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7252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-207645</wp:posOffset>
            </wp:positionV>
            <wp:extent cx="1443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3990" cy="825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78740</wp:posOffset>
            </wp:positionV>
            <wp:extent cx="1443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6" w:lineRule="exact"/>
        <w:rPr>
          <w:sz w:val="24"/>
          <w:szCs w:val="24"/>
          <w:color w:val="auto"/>
        </w:rPr>
      </w:pPr>
    </w:p>
    <w:p>
      <w:pPr>
        <w:ind w:left="520" w:hanging="517"/>
        <w:spacing w:after="0"/>
        <w:tabs>
          <w:tab w:leader="none" w:pos="52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2018</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80" w:lineRule="exact"/>
        <w:rPr>
          <w:sz w:val="24"/>
          <w:szCs w:val="24"/>
          <w:color w:val="auto"/>
        </w:rPr>
      </w:pPr>
    </w:p>
    <w:p>
      <w:pPr>
        <w:ind w:left="520" w:hanging="517"/>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1720" w:type="dxa"/>
        <w:tblCellMar>
          <w:top w:w="0" w:type="dxa"/>
          <w:left w:w="0" w:type="dxa"/>
          <w:bottom w:w="0" w:type="dxa"/>
          <w:right w:w="0" w:type="dxa"/>
        </w:tblCellMar>
      </w:tblPr>
      <w:tr>
        <w:trPr>
          <w:trHeight w:val="225"/>
        </w:trPr>
        <w:tc>
          <w:tcPr>
            <w:tcW w:w="6140" w:type="dxa"/>
            <w:vAlign w:val="bottom"/>
            <w:gridSpan w:val="3"/>
          </w:tcPr>
          <w:p>
            <w:pPr>
              <w:jc w:val="center"/>
              <w:ind w:left="1750"/>
              <w:spacing w:after="0"/>
              <w:rPr>
                <w:sz w:val="20"/>
                <w:szCs w:val="20"/>
                <w:color w:val="auto"/>
              </w:rPr>
            </w:pPr>
            <w:r>
              <w:rPr>
                <w:rFonts w:ascii="Arial" w:cs="Arial" w:eastAsia="Arial" w:hAnsi="Arial"/>
                <w:sz w:val="17"/>
                <w:szCs w:val="17"/>
                <w:b w:val="1"/>
                <w:bCs w:val="1"/>
                <w:color w:val="auto"/>
                <w:w w:val="92"/>
              </w:rPr>
              <w:t>For the transition period from _______ to _______</w:t>
            </w:r>
          </w:p>
        </w:tc>
        <w:tc>
          <w:tcPr>
            <w:tcW w:w="1240" w:type="dxa"/>
            <w:vAlign w:val="bottom"/>
          </w:tcPr>
          <w:p>
            <w:pPr>
              <w:spacing w:after="0"/>
              <w:rPr>
                <w:sz w:val="19"/>
                <w:szCs w:val="19"/>
                <w:color w:val="auto"/>
              </w:rPr>
            </w:pPr>
          </w:p>
        </w:tc>
      </w:tr>
      <w:tr>
        <w:trPr>
          <w:trHeight w:val="271"/>
        </w:trPr>
        <w:tc>
          <w:tcPr>
            <w:tcW w:w="6140" w:type="dxa"/>
            <w:vAlign w:val="bottom"/>
            <w:gridSpan w:val="3"/>
          </w:tcPr>
          <w:p>
            <w:pPr>
              <w:jc w:val="center"/>
              <w:ind w:left="1750"/>
              <w:spacing w:after="0"/>
              <w:rPr>
                <w:sz w:val="20"/>
                <w:szCs w:val="20"/>
                <w:color w:val="auto"/>
              </w:rPr>
            </w:pPr>
            <w:r>
              <w:rPr>
                <w:rFonts w:ascii="Arial" w:cs="Arial" w:eastAsia="Arial" w:hAnsi="Arial"/>
                <w:sz w:val="17"/>
                <w:szCs w:val="17"/>
                <w:b w:val="1"/>
                <w:bCs w:val="1"/>
                <w:color w:val="auto"/>
                <w:w w:val="92"/>
              </w:rPr>
              <w:t>Commission File Number: 001-36708</w:t>
            </w:r>
          </w:p>
        </w:tc>
        <w:tc>
          <w:tcPr>
            <w:tcW w:w="1240" w:type="dxa"/>
            <w:vAlign w:val="bottom"/>
          </w:tcPr>
          <w:p>
            <w:pPr>
              <w:spacing w:after="0"/>
              <w:rPr>
                <w:sz w:val="23"/>
                <w:szCs w:val="23"/>
                <w:color w:val="auto"/>
              </w:rPr>
            </w:pPr>
          </w:p>
        </w:tc>
      </w:tr>
      <w:tr>
        <w:trPr>
          <w:trHeight w:val="90"/>
        </w:trPr>
        <w:tc>
          <w:tcPr>
            <w:tcW w:w="286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737"/>
        </w:trPr>
        <w:tc>
          <w:tcPr>
            <w:tcW w:w="6140" w:type="dxa"/>
            <w:vAlign w:val="bottom"/>
            <w:gridSpan w:val="3"/>
          </w:tcPr>
          <w:p>
            <w:pPr>
              <w:jc w:val="center"/>
              <w:ind w:left="1750"/>
              <w:spacing w:after="0"/>
              <w:rPr>
                <w:sz w:val="20"/>
                <w:szCs w:val="20"/>
                <w:color w:val="auto"/>
              </w:rPr>
            </w:pPr>
            <w:r>
              <w:rPr>
                <w:rFonts w:ascii="Arial" w:cs="Arial" w:eastAsia="Arial" w:hAnsi="Arial"/>
                <w:sz w:val="41"/>
                <w:szCs w:val="41"/>
                <w:b w:val="1"/>
                <w:bCs w:val="1"/>
                <w:color w:val="auto"/>
                <w:w w:val="95"/>
              </w:rPr>
              <w:t>Uniti Group Inc.</w:t>
            </w:r>
          </w:p>
        </w:tc>
        <w:tc>
          <w:tcPr>
            <w:tcW w:w="1240" w:type="dxa"/>
            <w:vAlign w:val="bottom"/>
          </w:tcPr>
          <w:p>
            <w:pPr>
              <w:spacing w:after="0"/>
              <w:rPr>
                <w:sz w:val="24"/>
                <w:szCs w:val="24"/>
                <w:color w:val="auto"/>
              </w:rPr>
            </w:pPr>
          </w:p>
        </w:tc>
      </w:tr>
      <w:tr>
        <w:trPr>
          <w:trHeight w:val="225"/>
        </w:trPr>
        <w:tc>
          <w:tcPr>
            <w:tcW w:w="6140" w:type="dxa"/>
            <w:vAlign w:val="bottom"/>
            <w:gridSpan w:val="3"/>
          </w:tcPr>
          <w:p>
            <w:pPr>
              <w:jc w:val="center"/>
              <w:ind w:left="1770"/>
              <w:spacing w:after="0"/>
              <w:rPr>
                <w:sz w:val="20"/>
                <w:szCs w:val="20"/>
                <w:color w:val="auto"/>
              </w:rPr>
            </w:pPr>
            <w:r>
              <w:rPr>
                <w:rFonts w:ascii="Arial" w:cs="Arial" w:eastAsia="Arial" w:hAnsi="Arial"/>
                <w:sz w:val="17"/>
                <w:szCs w:val="17"/>
                <w:b w:val="1"/>
                <w:bCs w:val="1"/>
                <w:color w:val="auto"/>
                <w:w w:val="90"/>
              </w:rPr>
              <w:t>(Exact name of registrant as specified in its charter)</w:t>
            </w:r>
          </w:p>
        </w:tc>
        <w:tc>
          <w:tcPr>
            <w:tcW w:w="1240" w:type="dxa"/>
            <w:vAlign w:val="bottom"/>
          </w:tcPr>
          <w:p>
            <w:pPr>
              <w:spacing w:after="0"/>
              <w:rPr>
                <w:sz w:val="19"/>
                <w:szCs w:val="19"/>
                <w:color w:val="auto"/>
              </w:rPr>
            </w:pPr>
          </w:p>
        </w:tc>
      </w:tr>
      <w:tr>
        <w:trPr>
          <w:trHeight w:val="90"/>
        </w:trPr>
        <w:tc>
          <w:tcPr>
            <w:tcW w:w="286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55"/>
        </w:trPr>
        <w:tc>
          <w:tcPr>
            <w:tcW w:w="614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6"/>
              </w:rPr>
              <w:t>Maryland</w:t>
            </w:r>
          </w:p>
        </w:tc>
        <w:tc>
          <w:tcPr>
            <w:tcW w:w="1240" w:type="dxa"/>
            <w:vAlign w:val="bottom"/>
          </w:tcPr>
          <w:p>
            <w:pPr>
              <w:jc w:val="right"/>
              <w:ind w:right="44"/>
              <w:spacing w:after="0"/>
              <w:rPr>
                <w:sz w:val="20"/>
                <w:szCs w:val="20"/>
                <w:color w:val="auto"/>
              </w:rPr>
            </w:pPr>
            <w:r>
              <w:rPr>
                <w:rFonts w:ascii="Arial" w:cs="Arial" w:eastAsia="Arial" w:hAnsi="Arial"/>
                <w:sz w:val="17"/>
                <w:szCs w:val="17"/>
                <w:b w:val="1"/>
                <w:bCs w:val="1"/>
                <w:color w:val="auto"/>
              </w:rPr>
              <w:t>46-5230630</w:t>
            </w:r>
          </w:p>
        </w:tc>
      </w:tr>
      <w:tr>
        <w:trPr>
          <w:trHeight w:val="142"/>
        </w:trPr>
        <w:tc>
          <w:tcPr>
            <w:tcW w:w="6140" w:type="dxa"/>
            <w:vAlign w:val="bottom"/>
            <w:gridSpan w:val="3"/>
          </w:tcPr>
          <w:p>
            <w:pPr>
              <w:jc w:val="center"/>
              <w:ind w:right="3860"/>
              <w:spacing w:after="0" w:line="142" w:lineRule="exact"/>
              <w:rPr>
                <w:sz w:val="20"/>
                <w:szCs w:val="20"/>
                <w:color w:val="auto"/>
              </w:rPr>
            </w:pPr>
            <w:r>
              <w:rPr>
                <w:rFonts w:ascii="Arial" w:cs="Arial" w:eastAsia="Arial" w:hAnsi="Arial"/>
                <w:sz w:val="14"/>
                <w:szCs w:val="14"/>
                <w:b w:val="1"/>
                <w:bCs w:val="1"/>
                <w:color w:val="auto"/>
                <w:w w:val="89"/>
              </w:rPr>
              <w:t>(State or other jurisdiction of</w:t>
            </w:r>
          </w:p>
        </w:tc>
        <w:tc>
          <w:tcPr>
            <w:tcW w:w="1240" w:type="dxa"/>
            <w:vAlign w:val="bottom"/>
          </w:tcPr>
          <w:p>
            <w:pPr>
              <w:jc w:val="center"/>
              <w:ind w:left="104"/>
              <w:spacing w:after="0" w:line="142" w:lineRule="exact"/>
              <w:rPr>
                <w:sz w:val="20"/>
                <w:szCs w:val="20"/>
                <w:color w:val="auto"/>
              </w:rPr>
            </w:pPr>
            <w:r>
              <w:rPr>
                <w:rFonts w:ascii="Arial" w:cs="Arial" w:eastAsia="Arial" w:hAnsi="Arial"/>
                <w:sz w:val="14"/>
                <w:szCs w:val="14"/>
                <w:b w:val="1"/>
                <w:bCs w:val="1"/>
                <w:color w:val="auto"/>
                <w:w w:val="91"/>
              </w:rPr>
              <w:t>(I.R.S. Employer</w:t>
            </w:r>
          </w:p>
        </w:tc>
      </w:tr>
      <w:tr>
        <w:trPr>
          <w:trHeight w:val="179"/>
        </w:trPr>
        <w:tc>
          <w:tcPr>
            <w:tcW w:w="6140" w:type="dxa"/>
            <w:vAlign w:val="bottom"/>
            <w:gridSpan w:val="3"/>
          </w:tcPr>
          <w:p>
            <w:pPr>
              <w:jc w:val="center"/>
              <w:ind w:right="3860"/>
              <w:spacing w:after="0"/>
              <w:rPr>
                <w:sz w:val="20"/>
                <w:szCs w:val="20"/>
                <w:color w:val="auto"/>
              </w:rPr>
            </w:pPr>
            <w:r>
              <w:rPr>
                <w:rFonts w:ascii="Arial" w:cs="Arial" w:eastAsia="Arial" w:hAnsi="Arial"/>
                <w:sz w:val="14"/>
                <w:szCs w:val="14"/>
                <w:b w:val="1"/>
                <w:bCs w:val="1"/>
                <w:color w:val="auto"/>
                <w:w w:val="90"/>
              </w:rPr>
              <w:t>incorporation or organization)</w:t>
            </w:r>
          </w:p>
        </w:tc>
        <w:tc>
          <w:tcPr>
            <w:tcW w:w="1240" w:type="dxa"/>
            <w:vAlign w:val="bottom"/>
          </w:tcPr>
          <w:p>
            <w:pPr>
              <w:jc w:val="center"/>
              <w:ind w:left="104"/>
              <w:spacing w:after="0"/>
              <w:rPr>
                <w:sz w:val="20"/>
                <w:szCs w:val="20"/>
                <w:color w:val="auto"/>
              </w:rPr>
            </w:pPr>
            <w:r>
              <w:rPr>
                <w:rFonts w:ascii="Arial" w:cs="Arial" w:eastAsia="Arial" w:hAnsi="Arial"/>
                <w:sz w:val="14"/>
                <w:szCs w:val="14"/>
                <w:b w:val="1"/>
                <w:bCs w:val="1"/>
                <w:color w:val="auto"/>
                <w:w w:val="89"/>
              </w:rPr>
              <w:t>Identification No.)</w:t>
            </w:r>
          </w:p>
        </w:tc>
      </w:tr>
      <w:tr>
        <w:trPr>
          <w:trHeight w:val="252"/>
        </w:trPr>
        <w:tc>
          <w:tcPr>
            <w:tcW w:w="614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2"/>
              </w:rPr>
              <w:t>10802 Executive Center Drive</w:t>
            </w:r>
          </w:p>
        </w:tc>
        <w:tc>
          <w:tcPr>
            <w:tcW w:w="1240" w:type="dxa"/>
            <w:vAlign w:val="bottom"/>
          </w:tcPr>
          <w:p>
            <w:pPr>
              <w:spacing w:after="0"/>
              <w:rPr>
                <w:sz w:val="21"/>
                <w:szCs w:val="21"/>
                <w:color w:val="auto"/>
              </w:rPr>
            </w:pPr>
          </w:p>
        </w:tc>
      </w:tr>
      <w:tr>
        <w:trPr>
          <w:trHeight w:val="207"/>
        </w:trPr>
        <w:tc>
          <w:tcPr>
            <w:tcW w:w="614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1"/>
              </w:rPr>
              <w:t>Benton Building Suite 300</w:t>
            </w:r>
          </w:p>
        </w:tc>
        <w:tc>
          <w:tcPr>
            <w:tcW w:w="1240" w:type="dxa"/>
            <w:vAlign w:val="bottom"/>
          </w:tcPr>
          <w:p>
            <w:pPr>
              <w:spacing w:after="0"/>
              <w:rPr>
                <w:sz w:val="17"/>
                <w:szCs w:val="17"/>
                <w:color w:val="auto"/>
              </w:rPr>
            </w:pPr>
          </w:p>
        </w:tc>
      </w:tr>
      <w:tr>
        <w:trPr>
          <w:trHeight w:val="203"/>
        </w:trPr>
        <w:tc>
          <w:tcPr>
            <w:tcW w:w="6140" w:type="dxa"/>
            <w:vAlign w:val="bottom"/>
            <w:gridSpan w:val="3"/>
          </w:tcPr>
          <w:p>
            <w:pPr>
              <w:jc w:val="center"/>
              <w:ind w:right="3860"/>
              <w:spacing w:after="0"/>
              <w:rPr>
                <w:sz w:val="20"/>
                <w:szCs w:val="20"/>
                <w:color w:val="auto"/>
              </w:rPr>
            </w:pPr>
            <w:r>
              <w:rPr>
                <w:rFonts w:ascii="Arial" w:cs="Arial" w:eastAsia="Arial" w:hAnsi="Arial"/>
                <w:sz w:val="17"/>
                <w:szCs w:val="17"/>
                <w:b w:val="1"/>
                <w:bCs w:val="1"/>
                <w:color w:val="auto"/>
                <w:w w:val="92"/>
              </w:rPr>
              <w:t>Little Rock, Arkansas</w:t>
            </w:r>
          </w:p>
        </w:tc>
        <w:tc>
          <w:tcPr>
            <w:tcW w:w="1240" w:type="dxa"/>
            <w:vAlign w:val="bottom"/>
          </w:tcPr>
          <w:p>
            <w:pPr>
              <w:jc w:val="right"/>
              <w:ind w:right="244"/>
              <w:spacing w:after="0"/>
              <w:rPr>
                <w:sz w:val="20"/>
                <w:szCs w:val="20"/>
                <w:color w:val="auto"/>
              </w:rPr>
            </w:pPr>
            <w:r>
              <w:rPr>
                <w:rFonts w:ascii="Arial" w:cs="Arial" w:eastAsia="Arial" w:hAnsi="Arial"/>
                <w:sz w:val="17"/>
                <w:szCs w:val="17"/>
                <w:b w:val="1"/>
                <w:bCs w:val="1"/>
                <w:color w:val="auto"/>
              </w:rPr>
              <w:t>72211</w:t>
            </w:r>
          </w:p>
        </w:tc>
      </w:tr>
      <w:tr>
        <w:trPr>
          <w:trHeight w:val="179"/>
        </w:trPr>
        <w:tc>
          <w:tcPr>
            <w:tcW w:w="6140" w:type="dxa"/>
            <w:vAlign w:val="bottom"/>
            <w:gridSpan w:val="3"/>
          </w:tcPr>
          <w:p>
            <w:pPr>
              <w:jc w:val="center"/>
              <w:ind w:right="3860"/>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240" w:type="dxa"/>
            <w:vAlign w:val="bottom"/>
          </w:tcPr>
          <w:p>
            <w:pPr>
              <w:jc w:val="center"/>
              <w:ind w:left="104"/>
              <w:spacing w:after="0"/>
              <w:rPr>
                <w:sz w:val="20"/>
                <w:szCs w:val="20"/>
                <w:color w:val="auto"/>
              </w:rPr>
            </w:pPr>
            <w:r>
              <w:rPr>
                <w:rFonts w:ascii="Arial" w:cs="Arial" w:eastAsia="Arial" w:hAnsi="Arial"/>
                <w:sz w:val="14"/>
                <w:szCs w:val="14"/>
                <w:b w:val="1"/>
                <w:bCs w:val="1"/>
                <w:color w:val="auto"/>
                <w:w w:val="89"/>
              </w:rPr>
              <w:t>(Zip Code)</w:t>
            </w:r>
          </w:p>
        </w:tc>
      </w:tr>
      <w:tr>
        <w:trPr>
          <w:trHeight w:val="207"/>
        </w:trPr>
        <w:tc>
          <w:tcPr>
            <w:tcW w:w="6140" w:type="dxa"/>
            <w:vAlign w:val="bottom"/>
            <w:gridSpan w:val="3"/>
          </w:tcPr>
          <w:p>
            <w:pPr>
              <w:jc w:val="center"/>
              <w:ind w:left="1770"/>
              <w:spacing w:after="0"/>
              <w:rPr>
                <w:sz w:val="20"/>
                <w:szCs w:val="20"/>
                <w:color w:val="auto"/>
              </w:rPr>
            </w:pPr>
            <w:r>
              <w:rPr>
                <w:rFonts w:ascii="Arial" w:cs="Arial" w:eastAsia="Arial" w:hAnsi="Arial"/>
                <w:sz w:val="14"/>
                <w:szCs w:val="14"/>
                <w:b w:val="1"/>
                <w:bCs w:val="1"/>
                <w:color w:val="auto"/>
                <w:w w:val="88"/>
              </w:rPr>
              <w:t>Registrant’s telephone number, including area code: (501) 850-0820</w:t>
            </w:r>
          </w:p>
        </w:tc>
        <w:tc>
          <w:tcPr>
            <w:tcW w:w="12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56515</wp:posOffset>
            </wp:positionV>
            <wp:extent cx="1443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134" w:lineRule="exact"/>
        <w:rPr>
          <w:sz w:val="24"/>
          <w:szCs w:val="24"/>
          <w:color w:val="auto"/>
        </w:rPr>
      </w:pPr>
    </w:p>
    <w:p>
      <w:pPr>
        <w:ind w:right="160" w:firstLine="518"/>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5" w:lineRule="exact"/>
        <w:rPr>
          <w:sz w:val="24"/>
          <w:szCs w:val="24"/>
          <w:color w:val="auto"/>
        </w:rPr>
      </w:pPr>
    </w:p>
    <w:p>
      <w:pPr>
        <w:ind w:right="40" w:firstLine="518"/>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ind w:firstLine="518"/>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53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ind w:left="138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36"/>
        </w:trPr>
        <w:tc>
          <w:tcPr>
            <w:tcW w:w="2080" w:type="dxa"/>
            <w:vAlign w:val="bottom"/>
          </w:tcPr>
          <w:p>
            <w:pPr>
              <w:spacing w:after="0"/>
              <w:rPr>
                <w:sz w:val="20"/>
                <w:szCs w:val="20"/>
                <w:color w:val="auto"/>
              </w:rPr>
            </w:pPr>
            <w:r>
              <w:rPr>
                <w:rFonts w:ascii="Arial" w:cs="Arial" w:eastAsia="Arial" w:hAnsi="Arial"/>
                <w:sz w:val="17"/>
                <w:szCs w:val="17"/>
                <w:color w:val="auto"/>
              </w:rPr>
              <w:t>Non-accelerated filer</w:t>
            </w:r>
          </w:p>
        </w:tc>
        <w:tc>
          <w:tcPr>
            <w:tcW w:w="5340" w:type="dxa"/>
            <w:vAlign w:val="bottom"/>
          </w:tcPr>
          <w:p>
            <w:pPr>
              <w:ind w:left="5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(Do not check if a smaller reporting company)</w:t>
            </w:r>
          </w:p>
        </w:tc>
        <w:tc>
          <w:tcPr>
            <w:tcW w:w="3520" w:type="dxa"/>
            <w:vAlign w:val="bottom"/>
          </w:tcPr>
          <w:p>
            <w:pPr>
              <w:ind w:left="138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1"/>
        </w:trPr>
        <w:tc>
          <w:tcPr>
            <w:tcW w:w="208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3520" w:type="dxa"/>
            <w:vAlign w:val="bottom"/>
          </w:tcPr>
          <w:p>
            <w:pPr>
              <w:ind w:left="138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60" w:lineRule="exact"/>
        <w:rPr>
          <w:sz w:val="24"/>
          <w:szCs w:val="24"/>
          <w:color w:val="auto"/>
        </w:rPr>
      </w:pPr>
    </w:p>
    <w:p>
      <w:pPr>
        <w:ind w:right="120" w:firstLine="518"/>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ind w:right="1760" w:firstLine="518"/>
        <w:spacing w:after="0" w:line="262"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3, 2018, the registrant had 175,703,882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7252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98425</wp:posOffset>
            </wp:positionV>
            <wp:extent cx="7252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175895</wp:posOffset>
            </wp:positionV>
            <wp:extent cx="729424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30" w:lineRule="exact"/>
        <w:rPr>
          <w:sz w:val="20"/>
          <w:szCs w:val="20"/>
          <w:color w:val="auto"/>
        </w:rPr>
      </w:pPr>
    </w:p>
    <w:p>
      <w:pPr>
        <w:ind w:right="100" w:firstLine="344"/>
        <w:spacing w:after="0" w:line="269" w:lineRule="auto"/>
        <w:rPr>
          <w:sz w:val="20"/>
          <w:szCs w:val="20"/>
          <w:color w:val="auto"/>
        </w:rPr>
      </w:pPr>
      <w:r>
        <w:rPr>
          <w:rFonts w:ascii="Arial" w:cs="Arial" w:eastAsia="Arial" w:hAnsi="Arial"/>
          <w:sz w:val="16"/>
          <w:szCs w:val="16"/>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future growth and demand of the telecommunication industry; future financing plans, business strategies, growth prospects and operating and financial performance; expectations regarding the impact and integration of Hunt Telecommunications, LLC ("Hunt") and Southern Light, LLC ("Southern Light"), including expectations regarding operational synergies with Uniti Towers and Uniti Fiber; expectations regarding settling conversion of our 3% convertible preferred stock in cash upon conversion; expectations regarding the probability of our obligation to pay contingent consideration upon Tower Cloud, Inc.'s ("Tower Cloud") or Hunt's achievement of certain defined operational and financial milestones; expectations regarding future deployment of fiber strand miles and recognition of revenue related thereto; expectations regarding levels of capital expenditures; expectations regarding the deductibility of goodwill for tax purposes; expectations regarding the reclassification of accumulated other comprehensive income (loss) related to derivatives to interest expense; expectations regarding the amortization of intangible assets; expectations regarding the U.S. TelePacific Holdings Corp (“TPx”) transaction; and expectations regarding the payment of dividends.</w:t>
      </w:r>
    </w:p>
    <w:p>
      <w:pPr>
        <w:spacing w:after="0" w:line="6" w:lineRule="exact"/>
        <w:rPr>
          <w:sz w:val="20"/>
          <w:szCs w:val="20"/>
          <w:color w:val="auto"/>
        </w:rPr>
      </w:pPr>
    </w:p>
    <w:p>
      <w:pPr>
        <w:ind w:right="100" w:firstLine="341"/>
        <w:spacing w:after="0" w:line="256"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80" w:lineRule="exact"/>
        <w:rPr>
          <w:sz w:val="20"/>
          <w:szCs w:val="20"/>
          <w:color w:val="auto"/>
        </w:rPr>
      </w:pPr>
    </w:p>
    <w:p>
      <w:pPr>
        <w:ind w:left="1040" w:right="62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customers to meet and/or perform their obligations under any contractual arrangements entered into with us, including master lease arrangements;</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customers to comply with laws, rules and regulations in the operation of the assets we lease to them;</w:t>
      </w:r>
    </w:p>
    <w:p>
      <w:pPr>
        <w:spacing w:after="0" w:line="114" w:lineRule="exact"/>
        <w:rPr>
          <w:rFonts w:ascii="Arial" w:cs="Arial" w:eastAsia="Arial" w:hAnsi="Arial"/>
          <w:sz w:val="17"/>
          <w:szCs w:val="17"/>
          <w:color w:val="auto"/>
        </w:rPr>
      </w:pPr>
    </w:p>
    <w:p>
      <w:pPr>
        <w:ind w:left="1040" w:right="4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55" w:lineRule="exact"/>
        <w:rPr>
          <w:rFonts w:ascii="Arial" w:cs="Arial" w:eastAsia="Arial" w:hAnsi="Arial"/>
          <w:sz w:val="17"/>
          <w:szCs w:val="17"/>
          <w:color w:val="auto"/>
        </w:rPr>
      </w:pPr>
    </w:p>
    <w:p>
      <w:pPr>
        <w:ind w:left="104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renew, extend or retain our contracts or to obtain new contracts with significant customers (including customers of the businesses that we acquire);</w:t>
      </w:r>
    </w:p>
    <w:p>
      <w:pPr>
        <w:spacing w:after="0" w:line="55" w:lineRule="exact"/>
        <w:rPr>
          <w:rFonts w:ascii="Arial" w:cs="Arial" w:eastAsia="Arial" w:hAnsi="Arial"/>
          <w:sz w:val="17"/>
          <w:szCs w:val="17"/>
          <w:color w:val="auto"/>
        </w:rPr>
      </w:pPr>
    </w:p>
    <w:p>
      <w:pPr>
        <w:ind w:left="1040" w:right="64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of and our ability to identify suitable acquisition opportunities and our ability to acquire and lease the respective properties on favorable terms or operate and integrate the acquired businesses;</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generate sufficient cash flows to service our outstanding indebtedness;</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access debt and equity capital markets;</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impacts of litigation or disputes involving us or our customers;</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our key management personnel;</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our status as a real estate investment trust (“REIT”);</w:t>
      </w:r>
    </w:p>
    <w:p>
      <w:pPr>
        <w:spacing w:after="0" w:line="114" w:lineRule="exact"/>
        <w:rPr>
          <w:rFonts w:ascii="Arial" w:cs="Arial" w:eastAsia="Arial" w:hAnsi="Arial"/>
          <w:sz w:val="17"/>
          <w:szCs w:val="17"/>
          <w:color w:val="auto"/>
        </w:rPr>
      </w:pPr>
    </w:p>
    <w:p>
      <w:pPr>
        <w:ind w:left="1040" w:right="18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U.S. tax law and other federal, state or local laws, whether or not specific to REITs, including the impact of the recently enacted U.S. tax reform legislation;</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covenants in our debt agreements that may limit our operational flexibility;</w:t>
      </w:r>
    </w:p>
    <w:p>
      <w:pPr>
        <w:spacing w:after="0" w:line="114" w:lineRule="exact"/>
        <w:rPr>
          <w:rFonts w:ascii="Arial" w:cs="Arial" w:eastAsia="Arial" w:hAnsi="Arial"/>
          <w:sz w:val="17"/>
          <w:szCs w:val="17"/>
          <w:color w:val="auto"/>
        </w:rPr>
      </w:pPr>
    </w:p>
    <w:p>
      <w:pPr>
        <w:ind w:left="1040" w:right="60" w:hanging="520"/>
        <w:spacing w:after="0" w:line="28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we may experience equipment failures, natural disasters, cyber attacks or terrorist attacks for which our insurance may not provide adequate coverage;</w:t>
      </w:r>
    </w:p>
    <w:p>
      <w:pPr>
        <w:spacing w:after="0" w:line="55" w:lineRule="exact"/>
        <w:rPr>
          <w:rFonts w:ascii="Arial" w:cs="Arial" w:eastAsia="Arial" w:hAnsi="Arial"/>
          <w:sz w:val="17"/>
          <w:szCs w:val="17"/>
          <w:color w:val="auto"/>
        </w:rPr>
      </w:pPr>
    </w:p>
    <w:p>
      <w:pPr>
        <w:ind w:left="1040" w:hanging="520"/>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that we fail to fully realize the potential benefits of or have difficulty in integrating the companies we acquire;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21" w:lineRule="exact"/>
        <w:rPr>
          <w:sz w:val="20"/>
          <w:szCs w:val="20"/>
          <w:color w:val="auto"/>
        </w:rPr>
      </w:pPr>
    </w:p>
    <w:p>
      <w:pPr>
        <w:ind w:left="1040" w:hanging="520"/>
        <w:spacing w:after="0" w:line="283"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inherent in the communications industry and in the ownership of communications distribution systems, including potential liability relating to environmental matters and illiquidity of real estate investments;</w:t>
      </w:r>
    </w:p>
    <w:p>
      <w:pPr>
        <w:spacing w:after="0" w:line="55" w:lineRule="exact"/>
        <w:rPr>
          <w:rFonts w:ascii="Arial" w:cs="Arial" w:eastAsia="Arial" w:hAnsi="Arial"/>
          <w:sz w:val="17"/>
          <w:szCs w:val="17"/>
          <w:color w:val="auto"/>
        </w:rPr>
      </w:pPr>
    </w:p>
    <w:p>
      <w:pPr>
        <w:ind w:left="1040" w:hanging="520"/>
        <w:spacing w:after="0" w:line="283"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that the TPx transaction agreements may be modified or terminated prior to expiration or that the conditions to the TPx transaction may not be satisfied; and</w:t>
      </w:r>
    </w:p>
    <w:p>
      <w:pPr>
        <w:spacing w:after="0" w:line="55" w:lineRule="exact"/>
        <w:rPr>
          <w:rFonts w:ascii="Arial" w:cs="Arial" w:eastAsia="Arial" w:hAnsi="Arial"/>
          <w:sz w:val="17"/>
          <w:szCs w:val="17"/>
          <w:color w:val="auto"/>
        </w:rPr>
      </w:pPr>
    </w:p>
    <w:p>
      <w:pPr>
        <w:ind w:left="1040" w:right="100" w:hanging="520"/>
        <w:spacing w:after="0" w:line="292"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discussed in Part I, Item 2 “Management’s Discussion and Analysis of Financial Condition and Results of Operations” of this Quarterly Report on Form 10-Q and in Part I, Item 1A "Risk Factors" of our Annual Report on Form 10-K for the year ended December 31, 2017, as well as those described from time to time in our future reports filed with the U.S. Securities and Exchange Commission (“the SEC”).</w:t>
      </w:r>
    </w:p>
    <w:p>
      <w:pPr>
        <w:spacing w:after="0" w:line="117"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60" w:type="dxa"/>
            <w:vAlign w:val="bottom"/>
            <w:gridSpan w:val="4"/>
          </w:tcPr>
          <w:p>
            <w:pPr>
              <w:jc w:val="center"/>
              <w:ind w:right="4540"/>
              <w:spacing w:after="0"/>
              <w:rPr>
                <w:sz w:val="20"/>
                <w:szCs w:val="20"/>
                <w:color w:val="auto"/>
              </w:rPr>
            </w:pPr>
            <w:r>
              <w:rPr>
                <w:rFonts w:ascii="Arial" w:cs="Arial" w:eastAsia="Arial" w:hAnsi="Arial"/>
                <w:sz w:val="17"/>
                <w:szCs w:val="17"/>
                <w:b w:val="1"/>
                <w:bCs w:val="1"/>
                <w:color w:val="auto"/>
                <w:w w:val="95"/>
              </w:rPr>
              <w:t>Uniti Group Inc.</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20" w:type="dxa"/>
            <w:vAlign w:val="bottom"/>
            <w:gridSpan w:val="6"/>
          </w:tcPr>
          <w:p>
            <w:pPr>
              <w:jc w:val="center"/>
              <w:ind w:right="4180"/>
              <w:spacing w:after="0"/>
              <w:rPr>
                <w:sz w:val="20"/>
                <w:szCs w:val="20"/>
                <w:color w:val="auto"/>
              </w:rPr>
            </w:pPr>
            <w:r>
              <w:rPr>
                <w:rFonts w:ascii="Arial" w:cs="Arial" w:eastAsia="Arial" w:hAnsi="Arial"/>
                <w:sz w:val="17"/>
                <w:szCs w:val="17"/>
                <w:b w:val="1"/>
                <w:bCs w:val="1"/>
                <w:color w:val="auto"/>
                <w:w w:val="90"/>
              </w:rPr>
              <w:t>Table of Contents</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PART I.</w:t>
            </w:r>
          </w:p>
        </w:tc>
        <w:tc>
          <w:tcPr>
            <w:tcW w:w="9940" w:type="dxa"/>
            <w:vAlign w:val="bottom"/>
            <w:gridSpan w:val="18"/>
            <w:vMerge w:val="restart"/>
          </w:tcPr>
          <w:p>
            <w:pPr>
              <w:spacing w:after="0"/>
              <w:rPr>
                <w:rFonts w:ascii="Arial" w:cs="Arial" w:eastAsia="Arial" w:hAnsi="Arial"/>
                <w:sz w:val="17"/>
                <w:szCs w:val="17"/>
                <w:b w:val="1"/>
                <w:bCs w:val="1"/>
                <w:color w:val="0000EE"/>
              </w:rPr>
            </w:pPr>
            <w:hyperlink w:anchor="page5">
              <w:r>
                <w:rPr>
                  <w:rFonts w:ascii="Arial" w:cs="Arial" w:eastAsia="Arial" w:hAnsi="Arial"/>
                  <w:sz w:val="17"/>
                  <w:szCs w:val="17"/>
                  <w:b w:val="1"/>
                  <w:bCs w:val="1"/>
                  <w:color w:val="0000EE"/>
                </w:rPr>
                <w:t>FINANCIAL INFORMATION</w:t>
              </w:r>
            </w:hyperlink>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920" w:type="dxa"/>
            <w:vAlign w:val="bottom"/>
            <w:gridSpan w:val="2"/>
            <w:vMerge w:val="continue"/>
          </w:tcPr>
          <w:p>
            <w:pPr>
              <w:spacing w:after="0"/>
              <w:rPr>
                <w:sz w:val="15"/>
                <w:szCs w:val="15"/>
                <w:color w:val="auto"/>
              </w:rPr>
            </w:pPr>
          </w:p>
        </w:tc>
        <w:tc>
          <w:tcPr>
            <w:tcW w:w="9940" w:type="dxa"/>
            <w:vAlign w:val="bottom"/>
            <w:gridSpan w:val="18"/>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20" w:type="dxa"/>
            <w:vAlign w:val="bottom"/>
            <w:gridSpan w:val="2"/>
          </w:tcPr>
          <w:p>
            <w:pPr>
              <w:spacing w:after="0"/>
              <w:rPr>
                <w:sz w:val="20"/>
                <w:szCs w:val="20"/>
                <w:color w:val="auto"/>
              </w:rPr>
            </w:pPr>
            <w:r>
              <w:rPr>
                <w:rFonts w:ascii="Arial" w:cs="Arial" w:eastAsia="Arial" w:hAnsi="Arial"/>
                <w:sz w:val="17"/>
                <w:szCs w:val="17"/>
                <w:color w:val="auto"/>
              </w:rPr>
              <w:t>Item 1.</w:t>
            </w:r>
          </w:p>
        </w:tc>
        <w:tc>
          <w:tcPr>
            <w:tcW w:w="2320" w:type="dxa"/>
            <w:vAlign w:val="bottom"/>
            <w:tcBorders>
              <w:bottom w:val="single" w:sz="8" w:color="0000EE"/>
            </w:tcBorders>
            <w:gridSpan w:val="8"/>
          </w:tcPr>
          <w:p>
            <w:pPr>
              <w:spacing w:after="0"/>
              <w:rPr>
                <w:rFonts w:ascii="Arial" w:cs="Arial" w:eastAsia="Arial" w:hAnsi="Arial"/>
                <w:sz w:val="17"/>
                <w:szCs w:val="17"/>
                <w:color w:val="0000EE"/>
                <w:w w:val="91"/>
              </w:rPr>
            </w:pPr>
            <w:hyperlink w:anchor="page5">
              <w:r>
                <w:rPr>
                  <w:rFonts w:ascii="Arial" w:cs="Arial" w:eastAsia="Arial" w:hAnsi="Arial"/>
                  <w:sz w:val="17"/>
                  <w:szCs w:val="17"/>
                  <w:color w:val="0000EE"/>
                  <w:w w:val="91"/>
                </w:rPr>
                <w:t>Financial Statements (Unaudited)</w:t>
              </w:r>
            </w:hyperlink>
          </w:p>
        </w:tc>
        <w:tc>
          <w:tcPr>
            <w:tcW w:w="762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9"/>
        </w:trPr>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940" w:type="dxa"/>
            <w:vAlign w:val="bottom"/>
            <w:gridSpan w:val="18"/>
          </w:tcPr>
          <w:p>
            <w:pPr>
              <w:spacing w:after="0"/>
              <w:rPr>
                <w:sz w:val="20"/>
                <w:szCs w:val="20"/>
                <w:color w:val="auto"/>
              </w:rPr>
            </w:pPr>
            <w:r>
              <w:rPr>
                <w:rFonts w:ascii="Arial" w:cs="Arial" w:eastAsia="Arial" w:hAnsi="Arial"/>
                <w:sz w:val="17"/>
                <w:szCs w:val="17"/>
                <w:b w:val="1"/>
                <w:bCs w:val="1"/>
                <w:color w:val="auto"/>
              </w:rPr>
              <w:t>Uniti Group Inc.</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40" w:type="dxa"/>
            <w:vAlign w:val="bottom"/>
            <w:gridSpan w:val="18"/>
          </w:tcPr>
          <w:p>
            <w:pPr>
              <w:spacing w:after="0" w:line="180" w:lineRule="exact"/>
              <w:rPr>
                <w:rFonts w:ascii="Arial" w:cs="Arial" w:eastAsia="Arial" w:hAnsi="Arial"/>
                <w:sz w:val="17"/>
                <w:szCs w:val="17"/>
                <w:color w:val="0000EE"/>
              </w:rPr>
            </w:pPr>
            <w:hyperlink w:anchor="page5">
              <w:r>
                <w:rPr>
                  <w:rFonts w:ascii="Arial" w:cs="Arial" w:eastAsia="Arial" w:hAnsi="Arial"/>
                  <w:sz w:val="17"/>
                  <w:szCs w:val="17"/>
                  <w:color w:val="0000EE"/>
                </w:rPr>
                <w:t>Condensed Consolidated Balance Sheets</w:t>
              </w:r>
            </w:hyperlink>
          </w:p>
        </w:tc>
        <w:tc>
          <w:tcPr>
            <w:tcW w:w="560" w:type="dxa"/>
            <w:vAlign w:val="bottom"/>
          </w:tcPr>
          <w:p>
            <w:pPr>
              <w:jc w:val="right"/>
              <w:spacing w:after="0" w:line="180"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8"/>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Income</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8"/>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Condensed Consolidated Statements of Comprehensive Income (Loss)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60" w:type="dxa"/>
            <w:vAlign w:val="bottom"/>
            <w:tcBorders>
              <w:top w:val="single" w:sz="8" w:color="0000EE"/>
            </w:tcBorders>
            <w:gridSpan w:val="16"/>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Condensed Consolidated Statements of Shareholders’ Deficit</w:t>
              </w:r>
            </w:hyperlink>
          </w:p>
        </w:tc>
        <w:tc>
          <w:tcPr>
            <w:tcW w:w="5080" w:type="dxa"/>
            <w:vAlign w:val="bottom"/>
            <w:gridSpan w:val="2"/>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89"/>
              </w:rPr>
            </w:pPr>
            <w:hyperlink w:anchor="page9">
              <w:r>
                <w:rPr>
                  <w:rFonts w:ascii="Arial" w:cs="Arial" w:eastAsia="Arial" w:hAnsi="Arial"/>
                  <w:sz w:val="17"/>
                  <w:szCs w:val="17"/>
                  <w:color w:val="0000EE"/>
                  <w:w w:val="89"/>
                </w:rPr>
                <w:t>Condensed Consolidated Statements of Cash Flows</w:t>
              </w:r>
            </w:hyperlink>
          </w:p>
        </w:tc>
        <w:tc>
          <w:tcPr>
            <w:tcW w:w="660" w:type="dxa"/>
            <w:vAlign w:val="bottom"/>
            <w:tcBorders>
              <w:top w:val="single" w:sz="8" w:color="0000EE"/>
            </w:tcBorders>
            <w:gridSpan w:val="4"/>
          </w:tcPr>
          <w:p>
            <w:pPr>
              <w:spacing w:after="0"/>
              <w:rPr>
                <w:sz w:val="17"/>
                <w:szCs w:val="17"/>
                <w:color w:val="auto"/>
              </w:rPr>
            </w:pPr>
          </w:p>
        </w:tc>
        <w:tc>
          <w:tcPr>
            <w:tcW w:w="5720" w:type="dxa"/>
            <w:vAlign w:val="bottom"/>
            <w:gridSpan w:val="3"/>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8"/>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2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80" w:type="dxa"/>
            <w:vAlign w:val="bottom"/>
            <w:tcBorders>
              <w:bottom w:val="single" w:sz="8" w:color="0000EE"/>
            </w:tcBorders>
            <w:gridSpan w:val="17"/>
          </w:tcPr>
          <w:p>
            <w:pPr>
              <w:spacing w:after="0"/>
              <w:rPr>
                <w:rFonts w:ascii="Arial" w:cs="Arial" w:eastAsia="Arial" w:hAnsi="Arial"/>
                <w:sz w:val="17"/>
                <w:szCs w:val="17"/>
                <w:color w:val="0000EE"/>
                <w:w w:val="92"/>
              </w:rPr>
            </w:pPr>
            <w:hyperlink w:anchor="page29">
              <w:r>
                <w:rPr>
                  <w:rFonts w:ascii="Arial" w:cs="Arial" w:eastAsia="Arial" w:hAnsi="Arial"/>
                  <w:sz w:val="17"/>
                  <w:szCs w:val="17"/>
                  <w:color w:val="0000EE"/>
                  <w:w w:val="92"/>
                </w:rPr>
                <w:t>Management’s Discussion and Analysis of Financial Condition and Results of Operations</w:t>
              </w:r>
            </w:hyperlink>
          </w:p>
        </w:tc>
        <w:tc>
          <w:tcPr>
            <w:tcW w:w="37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80" w:type="dxa"/>
            <w:vAlign w:val="bottom"/>
            <w:tcBorders>
              <w:bottom w:val="single" w:sz="8" w:color="0000EE"/>
            </w:tcBorders>
            <w:gridSpan w:val="14"/>
          </w:tcPr>
          <w:p>
            <w:pPr>
              <w:spacing w:after="0"/>
              <w:rPr>
                <w:rFonts w:ascii="Arial" w:cs="Arial" w:eastAsia="Arial" w:hAnsi="Arial"/>
                <w:sz w:val="17"/>
                <w:szCs w:val="17"/>
                <w:color w:val="0000EE"/>
                <w:w w:val="93"/>
              </w:rPr>
            </w:pPr>
            <w:hyperlink w:anchor="page39">
              <w:r>
                <w:rPr>
                  <w:rFonts w:ascii="Arial" w:cs="Arial" w:eastAsia="Arial" w:hAnsi="Arial"/>
                  <w:sz w:val="17"/>
                  <w:szCs w:val="17"/>
                  <w:color w:val="0000EE"/>
                  <w:w w:val="93"/>
                </w:rPr>
                <w:t>Quantitative and Qualitative Disclosures About Market Risk</w:t>
              </w:r>
            </w:hyperlink>
          </w:p>
        </w:tc>
        <w:tc>
          <w:tcPr>
            <w:tcW w:w="5760" w:type="dxa"/>
            <w:vAlign w:val="bottom"/>
            <w:gridSpan w:val="4"/>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EE"/>
            </w:tcBorders>
            <w:gridSpan w:val="5"/>
          </w:tcPr>
          <w:p>
            <w:pPr>
              <w:spacing w:after="0"/>
              <w:rPr>
                <w:rFonts w:ascii="Arial" w:cs="Arial" w:eastAsia="Arial" w:hAnsi="Arial"/>
                <w:sz w:val="17"/>
                <w:szCs w:val="17"/>
                <w:color w:val="0000EE"/>
                <w:w w:val="89"/>
              </w:rPr>
            </w:pPr>
            <w:hyperlink w:anchor="page39">
              <w:r>
                <w:rPr>
                  <w:rFonts w:ascii="Arial" w:cs="Arial" w:eastAsia="Arial" w:hAnsi="Arial"/>
                  <w:sz w:val="17"/>
                  <w:szCs w:val="17"/>
                  <w:color w:val="0000EE"/>
                  <w:w w:val="89"/>
                </w:rPr>
                <w:t>Controls and Procedures</w:t>
              </w:r>
            </w:hyperlink>
          </w:p>
        </w:tc>
        <w:tc>
          <w:tcPr>
            <w:tcW w:w="8240" w:type="dxa"/>
            <w:vAlign w:val="bottom"/>
            <w:gridSpan w:val="13"/>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419"/>
        </w:trPr>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PART II.</w:t>
            </w:r>
          </w:p>
        </w:tc>
        <w:tc>
          <w:tcPr>
            <w:tcW w:w="1940" w:type="dxa"/>
            <w:vAlign w:val="bottom"/>
            <w:tcBorders>
              <w:bottom w:val="single" w:sz="8" w:color="0000EE"/>
            </w:tcBorders>
            <w:gridSpan w:val="6"/>
          </w:tcPr>
          <w:p>
            <w:pPr>
              <w:spacing w:after="0"/>
              <w:rPr>
                <w:rFonts w:ascii="Arial" w:cs="Arial" w:eastAsia="Arial" w:hAnsi="Arial"/>
                <w:sz w:val="17"/>
                <w:szCs w:val="17"/>
                <w:b w:val="1"/>
                <w:bCs w:val="1"/>
                <w:color w:val="0000EE"/>
              </w:rPr>
            </w:pPr>
            <w:hyperlink w:anchor="page41">
              <w:r>
                <w:rPr>
                  <w:rFonts w:ascii="Arial" w:cs="Arial" w:eastAsia="Arial" w:hAnsi="Arial"/>
                  <w:sz w:val="17"/>
                  <w:szCs w:val="17"/>
                  <w:b w:val="1"/>
                  <w:bCs w:val="1"/>
                  <w:color w:val="0000EE"/>
                </w:rPr>
                <w:t>OTHER INFORMATION</w:t>
              </w:r>
            </w:hyperlink>
          </w:p>
        </w:tc>
        <w:tc>
          <w:tcPr>
            <w:tcW w:w="800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2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280" w:type="dxa"/>
            <w:vAlign w:val="bottom"/>
            <w:tcBorders>
              <w:bottom w:val="single" w:sz="8" w:color="0000EE"/>
            </w:tcBorders>
            <w:gridSpan w:val="4"/>
          </w:tcPr>
          <w:p>
            <w:pPr>
              <w:spacing w:after="0"/>
              <w:rPr>
                <w:rFonts w:ascii="Arial" w:cs="Arial" w:eastAsia="Arial" w:hAnsi="Arial"/>
                <w:sz w:val="17"/>
                <w:szCs w:val="17"/>
                <w:color w:val="0000EE"/>
                <w:w w:val="89"/>
              </w:rPr>
            </w:pPr>
            <w:hyperlink w:anchor="page41">
              <w:r>
                <w:rPr>
                  <w:rFonts w:ascii="Arial" w:cs="Arial" w:eastAsia="Arial" w:hAnsi="Arial"/>
                  <w:sz w:val="17"/>
                  <w:szCs w:val="17"/>
                  <w:color w:val="0000EE"/>
                  <w:w w:val="89"/>
                </w:rPr>
                <w:t>Legal Proceedings</w:t>
              </w:r>
            </w:hyperlink>
          </w:p>
        </w:tc>
        <w:tc>
          <w:tcPr>
            <w:tcW w:w="866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9940" w:type="dxa"/>
            <w:vAlign w:val="bottom"/>
            <w:gridSpan w:val="18"/>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57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940" w:type="dxa"/>
            <w:vAlign w:val="bottom"/>
            <w:gridSpan w:val="18"/>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60" w:type="dxa"/>
            <w:vAlign w:val="bottom"/>
            <w:tcBorders>
              <w:top w:val="single" w:sz="8" w:color="0000EE"/>
            </w:tcBorders>
            <w:gridSpan w:val="13"/>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Defaults Upon Senior Securities</w:t>
              </w:r>
            </w:hyperlink>
          </w:p>
        </w:tc>
        <w:tc>
          <w:tcPr>
            <w:tcW w:w="5780" w:type="dxa"/>
            <w:vAlign w:val="bottom"/>
            <w:gridSpan w:val="5"/>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2"/>
              </w:rPr>
            </w:pPr>
            <w:hyperlink w:anchor="page41">
              <w:r>
                <w:rPr>
                  <w:rFonts w:ascii="Arial" w:cs="Arial" w:eastAsia="Arial" w:hAnsi="Arial"/>
                  <w:sz w:val="17"/>
                  <w:szCs w:val="17"/>
                  <w:color w:val="0000EE"/>
                  <w:w w:val="92"/>
                </w:rPr>
                <w:t>Mine Safety Disclosures</w:t>
              </w:r>
            </w:hyperlink>
          </w:p>
        </w:tc>
        <w:tc>
          <w:tcPr>
            <w:tcW w:w="580" w:type="dxa"/>
            <w:vAlign w:val="bottom"/>
            <w:tcBorders>
              <w:top w:val="single" w:sz="8" w:color="0000EE"/>
            </w:tcBorders>
            <w:gridSpan w:val="2"/>
          </w:tcPr>
          <w:p>
            <w:pPr>
              <w:spacing w:after="0"/>
              <w:rPr>
                <w:sz w:val="17"/>
                <w:szCs w:val="17"/>
                <w:color w:val="auto"/>
              </w:rPr>
            </w:pPr>
          </w:p>
        </w:tc>
        <w:tc>
          <w:tcPr>
            <w:tcW w:w="7660" w:type="dxa"/>
            <w:vAlign w:val="bottom"/>
            <w:gridSpan w:val="11"/>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26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41">
              <w:r>
                <w:rPr>
                  <w:rFonts w:ascii="Arial" w:cs="Arial" w:eastAsia="Arial" w:hAnsi="Arial"/>
                  <w:sz w:val="17"/>
                  <w:szCs w:val="17"/>
                  <w:color w:val="0000EE"/>
                  <w:w w:val="93"/>
                </w:rPr>
                <w:t>Other Information</w:t>
              </w:r>
            </w:hyperlink>
          </w:p>
        </w:tc>
        <w:tc>
          <w:tcPr>
            <w:tcW w:w="8680" w:type="dxa"/>
            <w:vAlign w:val="bottom"/>
            <w:gridSpan w:val="15"/>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0"/>
        </w:trPr>
        <w:tc>
          <w:tcPr>
            <w:tcW w:w="920" w:type="dxa"/>
            <w:vAlign w:val="bottom"/>
            <w:gridSpan w:val="2"/>
          </w:tcPr>
          <w:p>
            <w:pPr>
              <w:spacing w:after="0"/>
              <w:rPr>
                <w:sz w:val="20"/>
                <w:szCs w:val="20"/>
                <w:color w:val="auto"/>
              </w:rPr>
            </w:pPr>
            <w:r>
              <w:rPr>
                <w:rFonts w:ascii="Arial" w:cs="Arial" w:eastAsia="Arial" w:hAnsi="Arial"/>
                <w:sz w:val="17"/>
                <w:szCs w:val="17"/>
                <w:color w:val="auto"/>
              </w:rPr>
              <w:t>Item 6.</w:t>
            </w:r>
          </w:p>
        </w:tc>
        <w:tc>
          <w:tcPr>
            <w:tcW w:w="9940" w:type="dxa"/>
            <w:vAlign w:val="bottom"/>
            <w:gridSpan w:val="18"/>
          </w:tcPr>
          <w:p>
            <w:pPr>
              <w:spacing w:after="0"/>
              <w:rPr>
                <w:rFonts w:ascii="Arial" w:cs="Arial" w:eastAsia="Arial" w:hAnsi="Arial"/>
                <w:sz w:val="17"/>
                <w:szCs w:val="17"/>
                <w:color w:val="0000EE"/>
              </w:rPr>
            </w:pPr>
            <w:hyperlink w:anchor="page42">
              <w:r>
                <w:rPr>
                  <w:rFonts w:ascii="Arial" w:cs="Arial" w:eastAsia="Arial" w:hAnsi="Arial"/>
                  <w:sz w:val="17"/>
                  <w:szCs w:val="17"/>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419"/>
        </w:trPr>
        <w:tc>
          <w:tcPr>
            <w:tcW w:w="740" w:type="dxa"/>
            <w:vAlign w:val="bottom"/>
            <w:tcBorders>
              <w:bottom w:val="single" w:sz="8" w:color="0000EE"/>
            </w:tcBorders>
          </w:tcPr>
          <w:p>
            <w:pPr>
              <w:spacing w:after="0"/>
              <w:rPr>
                <w:rFonts w:ascii="Arial" w:cs="Arial" w:eastAsia="Arial" w:hAnsi="Arial"/>
                <w:sz w:val="17"/>
                <w:szCs w:val="17"/>
                <w:color w:val="0000EE"/>
                <w:w w:val="88"/>
              </w:rPr>
            </w:pPr>
            <w:hyperlink w:anchor="page43">
              <w:r>
                <w:rPr>
                  <w:rFonts w:ascii="Arial" w:cs="Arial" w:eastAsia="Arial" w:hAnsi="Arial"/>
                  <w:sz w:val="17"/>
                  <w:szCs w:val="17"/>
                  <w:color w:val="0000EE"/>
                  <w:w w:val="88"/>
                </w:rPr>
                <w:t>Signatures</w:t>
              </w:r>
            </w:hyperlink>
          </w:p>
        </w:tc>
        <w:tc>
          <w:tcPr>
            <w:tcW w:w="1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I—FINANCIAL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tcPr>
          <w:p>
            <w:pPr>
              <w:spacing w:after="0"/>
              <w:rPr>
                <w:sz w:val="20"/>
                <w:szCs w:val="20"/>
                <w:color w:val="auto"/>
              </w:rPr>
            </w:pPr>
            <w:r>
              <w:rPr>
                <w:rFonts w:ascii="Arial" w:cs="Arial" w:eastAsia="Arial" w:hAnsi="Arial"/>
                <w:sz w:val="14"/>
                <w:szCs w:val="14"/>
                <w:color w:val="auto"/>
              </w:rPr>
              <w:t>(Thousands, except par value)</w:t>
            </w:r>
          </w:p>
        </w:tc>
        <w:tc>
          <w:tcPr>
            <w:tcW w:w="20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2017</w:t>
            </w:r>
          </w:p>
        </w:tc>
      </w:tr>
      <w:tr>
        <w:trPr>
          <w:trHeight w:val="218"/>
        </w:trPr>
        <w:tc>
          <w:tcPr>
            <w:tcW w:w="754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158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20"/>
        </w:trPr>
        <w:tc>
          <w:tcPr>
            <w:tcW w:w="7720" w:type="dxa"/>
            <w:vAlign w:val="bottom"/>
            <w:gridSpan w:val="2"/>
          </w:tcPr>
          <w:p>
            <w:pPr>
              <w:ind w:left="240"/>
              <w:spacing w:after="0"/>
              <w:rPr>
                <w:sz w:val="20"/>
                <w:szCs w:val="20"/>
                <w:color w:val="auto"/>
              </w:rPr>
            </w:pPr>
            <w:r>
              <w:rPr>
                <w:rFonts w:ascii="Arial" w:cs="Arial" w:eastAsia="Arial" w:hAnsi="Arial"/>
                <w:sz w:val="17"/>
                <w:szCs w:val="17"/>
                <w:color w:val="auto"/>
              </w:rPr>
              <w:t>Property, plant and equipment, net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3,049,714</w:t>
            </w:r>
          </w:p>
        </w:tc>
        <w:tc>
          <w:tcPr>
            <w:tcW w:w="26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3,053,889</w:t>
            </w:r>
          </w:p>
        </w:tc>
        <w:tc>
          <w:tcPr>
            <w:tcW w:w="100" w:type="dxa"/>
            <w:vAlign w:val="bottom"/>
          </w:tcPr>
          <w:p>
            <w:pPr>
              <w:spacing w:after="0"/>
              <w:rPr>
                <w:sz w:val="19"/>
                <w:szCs w:val="19"/>
                <w:color w:val="auto"/>
              </w:rPr>
            </w:pPr>
          </w:p>
        </w:tc>
      </w:tr>
      <w:tr>
        <w:trPr>
          <w:trHeight w:val="220"/>
        </w:trPr>
        <w:tc>
          <w:tcPr>
            <w:tcW w:w="77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56,901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59,765</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gridSpan w:val="2"/>
          </w:tcPr>
          <w:p>
            <w:pPr>
              <w:ind w:left="240"/>
              <w:spacing w:after="0"/>
              <w:rPr>
                <w:sz w:val="20"/>
                <w:szCs w:val="20"/>
                <w:color w:val="auto"/>
              </w:rPr>
            </w:pPr>
            <w:r>
              <w:rPr>
                <w:rFonts w:ascii="Arial" w:cs="Arial" w:eastAsia="Arial" w:hAnsi="Arial"/>
                <w:sz w:val="17"/>
                <w:szCs w:val="17"/>
                <w:color w:val="auto"/>
              </w:rPr>
              <w:t>Accounts receivable,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37,601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43,652</w:t>
            </w:r>
          </w:p>
        </w:tc>
        <w:tc>
          <w:tcPr>
            <w:tcW w:w="100" w:type="dxa"/>
            <w:vAlign w:val="bottom"/>
          </w:tcPr>
          <w:p>
            <w:pPr>
              <w:spacing w:after="0"/>
              <w:rPr>
                <w:sz w:val="19"/>
                <w:szCs w:val="19"/>
                <w:color w:val="auto"/>
              </w:rPr>
            </w:pPr>
          </w:p>
        </w:tc>
      </w:tr>
      <w:tr>
        <w:trPr>
          <w:trHeight w:val="220"/>
        </w:trPr>
        <w:tc>
          <w:tcPr>
            <w:tcW w:w="77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677,132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673,729</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gridSpan w:val="2"/>
          </w:tcPr>
          <w:p>
            <w:pPr>
              <w:ind w:left="240"/>
              <w:spacing w:after="0"/>
              <w:rPr>
                <w:sz w:val="20"/>
                <w:szCs w:val="20"/>
                <w:color w:val="auto"/>
              </w:rPr>
            </w:pPr>
            <w:r>
              <w:rPr>
                <w:rFonts w:ascii="Arial" w:cs="Arial" w:eastAsia="Arial" w:hAnsi="Arial"/>
                <w:sz w:val="17"/>
                <w:szCs w:val="17"/>
                <w:color w:val="auto"/>
              </w:rPr>
              <w:t>Intangible assets, net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425,694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429,357</w:t>
            </w:r>
          </w:p>
        </w:tc>
        <w:tc>
          <w:tcPr>
            <w:tcW w:w="100" w:type="dxa"/>
            <w:vAlign w:val="bottom"/>
          </w:tcPr>
          <w:p>
            <w:pPr>
              <w:spacing w:after="0"/>
              <w:rPr>
                <w:sz w:val="19"/>
                <w:szCs w:val="19"/>
                <w:color w:val="auto"/>
              </w:rPr>
            </w:pPr>
          </w:p>
        </w:tc>
      </w:tr>
      <w:tr>
        <w:trPr>
          <w:trHeight w:val="220"/>
        </w:trPr>
        <w:tc>
          <w:tcPr>
            <w:tcW w:w="77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Straight-line revenue receivable</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51,447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47,041</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gridSpan w:val="2"/>
          </w:tcPr>
          <w:p>
            <w:pPr>
              <w:ind w:left="240"/>
              <w:spacing w:after="0"/>
              <w:rPr>
                <w:sz w:val="20"/>
                <w:szCs w:val="20"/>
                <w:color w:val="auto"/>
              </w:rPr>
            </w:pPr>
            <w:r>
              <w:rPr>
                <w:rFonts w:ascii="Arial" w:cs="Arial" w:eastAsia="Arial" w:hAnsi="Arial"/>
                <w:sz w:val="17"/>
                <w:szCs w:val="17"/>
                <w:color w:val="auto"/>
              </w:rPr>
              <w:t>Derivative asset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42,061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6,793</w:t>
            </w:r>
          </w:p>
        </w:tc>
        <w:tc>
          <w:tcPr>
            <w:tcW w:w="100" w:type="dxa"/>
            <w:vAlign w:val="bottom"/>
          </w:tcPr>
          <w:p>
            <w:pPr>
              <w:spacing w:after="0"/>
              <w:rPr>
                <w:sz w:val="19"/>
                <w:szCs w:val="19"/>
                <w:color w:val="auto"/>
              </w:rPr>
            </w:pPr>
          </w:p>
        </w:tc>
      </w:tr>
      <w:tr>
        <w:trPr>
          <w:trHeight w:val="220"/>
        </w:trPr>
        <w:tc>
          <w:tcPr>
            <w:tcW w:w="77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22,963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15,856</w:t>
            </w:r>
          </w:p>
        </w:tc>
        <w:tc>
          <w:tcPr>
            <w:tcW w:w="100" w:type="dxa"/>
            <w:vAlign w:val="bottom"/>
            <w:shd w:val="clear" w:color="auto" w:fill="CFF0FC"/>
          </w:tcPr>
          <w:p>
            <w:pPr>
              <w:spacing w:after="0"/>
              <w:rPr>
                <w:sz w:val="19"/>
                <w:szCs w:val="19"/>
                <w:color w:val="auto"/>
              </w:rPr>
            </w:pPr>
          </w:p>
        </w:tc>
      </w:tr>
      <w:tr>
        <w:trPr>
          <w:trHeight w:val="25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b w:val="1"/>
                <w:bCs w:val="1"/>
                <w:color w:val="auto"/>
              </w:rPr>
              <w:t>Total Assets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4,363,513</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4,330,082</w:t>
            </w:r>
          </w:p>
        </w:tc>
        <w:tc>
          <w:tcPr>
            <w:tcW w:w="100" w:type="dxa"/>
            <w:vAlign w:val="bottom"/>
            <w:tcBorders>
              <w:bottom w:val="single" w:sz="8" w:color="CFF0FC"/>
            </w:tcBorders>
          </w:tcPr>
          <w:p>
            <w:pPr>
              <w:spacing w:after="0"/>
              <w:rPr>
                <w:sz w:val="21"/>
                <w:szCs w:val="21"/>
                <w:color w:val="auto"/>
              </w:rPr>
            </w:pPr>
          </w:p>
        </w:tc>
      </w:tr>
      <w:tr>
        <w:trPr>
          <w:trHeight w:val="405"/>
        </w:trPr>
        <w:tc>
          <w:tcPr>
            <w:tcW w:w="7720" w:type="dxa"/>
            <w:vAlign w:val="bottom"/>
            <w:gridSpan w:val="2"/>
            <w:shd w:val="clear" w:color="auto" w:fill="CFF0FC"/>
          </w:tcPr>
          <w:p>
            <w:pPr>
              <w:spacing w:after="0"/>
              <w:rPr>
                <w:sz w:val="20"/>
                <w:szCs w:val="20"/>
                <w:color w:val="auto"/>
              </w:rPr>
            </w:pPr>
            <w:r>
              <w:rPr>
                <w:rFonts w:ascii="Arial" w:cs="Arial" w:eastAsia="Arial" w:hAnsi="Arial"/>
                <w:sz w:val="17"/>
                <w:szCs w:val="17"/>
                <w:b w:val="1"/>
                <w:bCs w:val="1"/>
                <w:color w:val="auto"/>
              </w:rPr>
              <w:t>Liabilities, Convertible Preferred Stock and Shareholders' Deficit:</w:t>
            </w:r>
          </w:p>
        </w:tc>
        <w:tc>
          <w:tcPr>
            <w:tcW w:w="20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5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77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Accounts payable, accrued expenses and other liabilities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80,419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77,634</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gridSpan w:val="2"/>
          </w:tcPr>
          <w:p>
            <w:pPr>
              <w:ind w:left="240"/>
              <w:spacing w:after="0"/>
              <w:rPr>
                <w:sz w:val="20"/>
                <w:szCs w:val="20"/>
                <w:color w:val="auto"/>
              </w:rPr>
            </w:pPr>
            <w:r>
              <w:rPr>
                <w:rFonts w:ascii="Arial" w:cs="Arial" w:eastAsia="Arial" w:hAnsi="Arial"/>
                <w:sz w:val="17"/>
                <w:szCs w:val="17"/>
                <w:color w:val="auto"/>
              </w:rPr>
              <w:t>Accrued interest payable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70,517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28,684</w:t>
            </w:r>
          </w:p>
        </w:tc>
        <w:tc>
          <w:tcPr>
            <w:tcW w:w="100" w:type="dxa"/>
            <w:vAlign w:val="bottom"/>
          </w:tcPr>
          <w:p>
            <w:pPr>
              <w:spacing w:after="0"/>
              <w:rPr>
                <w:sz w:val="19"/>
                <w:szCs w:val="19"/>
                <w:color w:val="auto"/>
              </w:rPr>
            </w:pPr>
          </w:p>
        </w:tc>
      </w:tr>
      <w:tr>
        <w:trPr>
          <w:trHeight w:val="220"/>
        </w:trPr>
        <w:tc>
          <w:tcPr>
            <w:tcW w:w="77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Deferred revenue</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586,595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537,553</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gridSpan w:val="2"/>
          </w:tcPr>
          <w:p>
            <w:pPr>
              <w:ind w:left="240"/>
              <w:spacing w:after="0"/>
              <w:rPr>
                <w:sz w:val="20"/>
                <w:szCs w:val="20"/>
                <w:color w:val="auto"/>
              </w:rPr>
            </w:pPr>
            <w:r>
              <w:rPr>
                <w:rFonts w:ascii="Arial" w:cs="Arial" w:eastAsia="Arial" w:hAnsi="Arial"/>
                <w:sz w:val="17"/>
                <w:szCs w:val="17"/>
                <w:color w:val="auto"/>
              </w:rPr>
              <w:t>Dividends payable</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109,365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109,557</w:t>
            </w:r>
          </w:p>
        </w:tc>
        <w:tc>
          <w:tcPr>
            <w:tcW w:w="100" w:type="dxa"/>
            <w:vAlign w:val="bottom"/>
          </w:tcPr>
          <w:p>
            <w:pPr>
              <w:spacing w:after="0"/>
              <w:rPr>
                <w:sz w:val="19"/>
                <w:szCs w:val="19"/>
                <w:color w:val="auto"/>
              </w:rPr>
            </w:pPr>
          </w:p>
        </w:tc>
      </w:tr>
      <w:tr>
        <w:trPr>
          <w:trHeight w:val="220"/>
        </w:trPr>
        <w:tc>
          <w:tcPr>
            <w:tcW w:w="77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Deferred income taxes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55,611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55,478</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gridSpan w:val="2"/>
          </w:tcPr>
          <w:p>
            <w:pPr>
              <w:ind w:left="240"/>
              <w:spacing w:after="0"/>
              <w:rPr>
                <w:sz w:val="20"/>
                <w:szCs w:val="20"/>
                <w:color w:val="auto"/>
              </w:rPr>
            </w:pPr>
            <w:r>
              <w:rPr>
                <w:rFonts w:ascii="Arial" w:cs="Arial" w:eastAsia="Arial" w:hAnsi="Arial"/>
                <w:sz w:val="17"/>
                <w:szCs w:val="17"/>
                <w:color w:val="auto"/>
              </w:rPr>
              <w:t>Capital lease obligations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55,651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56,329</w:t>
            </w:r>
          </w:p>
        </w:tc>
        <w:tc>
          <w:tcPr>
            <w:tcW w:w="100" w:type="dxa"/>
            <w:vAlign w:val="bottom"/>
          </w:tcPr>
          <w:p>
            <w:pPr>
              <w:spacing w:after="0"/>
              <w:rPr>
                <w:sz w:val="19"/>
                <w:szCs w:val="19"/>
                <w:color w:val="auto"/>
              </w:rPr>
            </w:pPr>
          </w:p>
        </w:tc>
      </w:tr>
      <w:tr>
        <w:trPr>
          <w:trHeight w:val="220"/>
        </w:trPr>
        <w:tc>
          <w:tcPr>
            <w:tcW w:w="77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Contingent consideration</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89,236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105,762</w:t>
            </w:r>
          </w:p>
        </w:tc>
        <w:tc>
          <w:tcPr>
            <w:tcW w:w="100" w:type="dxa"/>
            <w:vAlign w:val="bottom"/>
            <w:shd w:val="clear" w:color="auto" w:fill="CFF0FC"/>
          </w:tcPr>
          <w:p>
            <w:pPr>
              <w:spacing w:after="0"/>
              <w:rPr>
                <w:sz w:val="19"/>
                <w:szCs w:val="19"/>
                <w:color w:val="auto"/>
              </w:rPr>
            </w:pPr>
          </w:p>
        </w:tc>
      </w:tr>
      <w:tr>
        <w:trPr>
          <w:trHeight w:val="220"/>
        </w:trPr>
        <w:tc>
          <w:tcPr>
            <w:tcW w:w="772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Notes and other debt, net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4,503,462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4,482,697</w:t>
            </w:r>
          </w:p>
        </w:tc>
        <w:tc>
          <w:tcPr>
            <w:tcW w:w="100" w:type="dxa"/>
            <w:vAlign w:val="bottom"/>
            <w:tcBorders>
              <w:bottom w:val="single" w:sz="8" w:color="CFF0FC"/>
            </w:tcBorders>
          </w:tcPr>
          <w:p>
            <w:pPr>
              <w:spacing w:after="0"/>
              <w:rPr>
                <w:sz w:val="19"/>
                <w:szCs w:val="19"/>
                <w:color w:val="auto"/>
              </w:rPr>
            </w:pPr>
          </w:p>
        </w:tc>
      </w:tr>
      <w:tr>
        <w:trPr>
          <w:trHeight w:val="213"/>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5,550,856</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5,453,694</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52335" cy="139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1397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Commitments and contingencies (Note 12)</w:t>
      </w:r>
    </w:p>
    <w:p>
      <w:pPr>
        <w:sectPr>
          <w:pgSz w:w="11900" w:h="16838" w:orient="portrait"/>
          <w:cols w:equalWidth="0" w:num="1">
            <w:col w:w="11420"/>
          </w:cols>
          <w:pgMar w:left="240" w:top="127" w:right="239" w:bottom="1440" w:gutter="0" w:footer="0" w:header="0"/>
        </w:sectPr>
      </w:pPr>
    </w:p>
    <w:p>
      <w:pPr>
        <w:spacing w:after="0" w:line="238"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b w:val="1"/>
          <w:bCs w:val="1"/>
          <w:color w:val="auto"/>
        </w:rPr>
        <w:t>Convertible preferred stock</w:t>
      </w:r>
      <w:r>
        <w:rPr>
          <w:rFonts w:ascii="Arial" w:cs="Arial" w:eastAsia="Arial" w:hAnsi="Arial"/>
          <w:sz w:val="17"/>
          <w:szCs w:val="17"/>
          <w:color w:val="auto"/>
        </w:rPr>
        <w:t>, Series A, $0.0001 par value, 88 shares authorized, issued and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$87,500 liquidation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7252335" cy="270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27051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52335" cy="139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139700"/>
                    </a:xfrm>
                    <a:prstGeom prst="rect">
                      <a:avLst/>
                    </a:prstGeom>
                    <a:noFill/>
                  </pic:spPr>
                </pic:pic>
              </a:graphicData>
            </a:graphic>
          </wp:anchor>
        </w:drawing>
      </w:r>
    </w:p>
    <w:p>
      <w:pPr>
        <w:spacing w:after="0" w:line="10" w:lineRule="exact"/>
        <w:rPr>
          <w:sz w:val="20"/>
          <w:szCs w:val="20"/>
          <w:color w:val="auto"/>
        </w:rPr>
      </w:pPr>
    </w:p>
    <w:p>
      <w:pPr>
        <w:ind w:left="240" w:right="340"/>
        <w:spacing w:after="0" w:line="264" w:lineRule="auto"/>
        <w:rPr>
          <w:sz w:val="20"/>
          <w:szCs w:val="20"/>
          <w:color w:val="auto"/>
        </w:rPr>
      </w:pPr>
      <w:r>
        <w:rPr>
          <w:rFonts w:ascii="Arial" w:cs="Arial" w:eastAsia="Arial" w:hAnsi="Arial"/>
          <w:sz w:val="17"/>
          <w:szCs w:val="17"/>
          <w:color w:val="auto"/>
        </w:rPr>
        <w:t>Preferred stock, $0.0001 par value, 50,000 shares authorized, no shares issued and outstanding Common stock, $0.0001 par value, 500,000 shares authorized, issued and outstanding: 174,970 shares at March 31, 2018 and 174,852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-269875</wp:posOffset>
            </wp:positionV>
            <wp:extent cx="7252335" cy="270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27051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252335" cy="139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139700"/>
                    </a:xfrm>
                    <a:prstGeom prst="rect">
                      <a:avLst/>
                    </a:prstGeom>
                    <a:noFill/>
                  </pic:spPr>
                </pic:pic>
              </a:graphicData>
            </a:graphic>
          </wp:anchor>
        </w:drawing>
      </w:r>
    </w:p>
    <w:p>
      <w:pPr>
        <w:spacing w:after="0" w:line="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Accumulated other comprehensive income</w:t>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Distributions in excess of accumulated earnings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440" w:type="dxa"/>
            <w:vAlign w:val="bottom"/>
          </w:tcPr>
          <w:p>
            <w:pPr>
              <w:jc w:val="right"/>
              <w:ind w:right="614"/>
              <w:spacing w:after="0"/>
              <w:rPr>
                <w:sz w:val="20"/>
                <w:szCs w:val="20"/>
                <w:color w:val="auto"/>
              </w:rPr>
            </w:pPr>
            <w:r>
              <w:rPr>
                <w:rFonts w:ascii="Arial" w:cs="Arial" w:eastAsia="Arial" w:hAnsi="Arial"/>
                <w:sz w:val="17"/>
                <w:szCs w:val="17"/>
                <w:color w:val="auto"/>
              </w:rPr>
              <w:t>84,274</w:t>
            </w:r>
          </w:p>
        </w:tc>
        <w:tc>
          <w:tcPr>
            <w:tcW w:w="1440" w:type="dxa"/>
            <w:vAlign w:val="bottom"/>
          </w:tcPr>
          <w:p>
            <w:pPr>
              <w:jc w:val="right"/>
              <w:spacing w:after="0"/>
              <w:rPr>
                <w:sz w:val="20"/>
                <w:szCs w:val="20"/>
                <w:color w:val="auto"/>
              </w:rPr>
            </w:pPr>
            <w:r>
              <w:rPr>
                <w:rFonts w:ascii="Arial" w:cs="Arial" w:eastAsia="Arial" w:hAnsi="Arial"/>
                <w:sz w:val="17"/>
                <w:szCs w:val="17"/>
                <w:color w:val="auto"/>
              </w:rPr>
              <w:t>83,530</w:t>
            </w:r>
          </w:p>
        </w:tc>
      </w:tr>
      <w:tr>
        <w:trPr>
          <w:trHeight w:val="762"/>
        </w:trPr>
        <w:tc>
          <w:tcPr>
            <w:tcW w:w="1440" w:type="dxa"/>
            <w:vAlign w:val="bottom"/>
          </w:tcPr>
          <w:p>
            <w:pPr>
              <w:jc w:val="right"/>
              <w:ind w:right="614"/>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23"/>
        </w:trPr>
        <w:tc>
          <w:tcPr>
            <w:tcW w:w="1440" w:type="dxa"/>
            <w:vAlign w:val="bottom"/>
          </w:tcPr>
          <w:p>
            <w:pPr>
              <w:jc w:val="right"/>
              <w:ind w:right="614"/>
              <w:spacing w:after="0"/>
              <w:rPr>
                <w:sz w:val="20"/>
                <w:szCs w:val="20"/>
                <w:color w:val="auto"/>
              </w:rPr>
            </w:pPr>
            <w:r>
              <w:rPr>
                <w:rFonts w:ascii="Arial" w:cs="Arial" w:eastAsia="Arial" w:hAnsi="Arial"/>
                <w:sz w:val="17"/>
                <w:szCs w:val="17"/>
                <w:color w:val="auto"/>
              </w:rPr>
              <w:t>17</w:t>
            </w:r>
          </w:p>
        </w:tc>
        <w:tc>
          <w:tcPr>
            <w:tcW w:w="1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23"/>
        </w:trPr>
        <w:tc>
          <w:tcPr>
            <w:tcW w:w="1440" w:type="dxa"/>
            <w:vAlign w:val="bottom"/>
          </w:tcPr>
          <w:p>
            <w:pPr>
              <w:jc w:val="right"/>
              <w:ind w:right="614"/>
              <w:spacing w:after="0"/>
              <w:rPr>
                <w:sz w:val="20"/>
                <w:szCs w:val="20"/>
                <w:color w:val="auto"/>
              </w:rPr>
            </w:pPr>
            <w:r>
              <w:rPr>
                <w:rFonts w:ascii="Arial" w:cs="Arial" w:eastAsia="Arial" w:hAnsi="Arial"/>
                <w:sz w:val="17"/>
                <w:szCs w:val="17"/>
                <w:color w:val="auto"/>
              </w:rPr>
              <w:t>645,403</w:t>
            </w:r>
          </w:p>
        </w:tc>
        <w:tc>
          <w:tcPr>
            <w:tcW w:w="1440" w:type="dxa"/>
            <w:vAlign w:val="bottom"/>
          </w:tcPr>
          <w:p>
            <w:pPr>
              <w:jc w:val="right"/>
              <w:spacing w:after="0"/>
              <w:rPr>
                <w:sz w:val="20"/>
                <w:szCs w:val="20"/>
                <w:color w:val="auto"/>
              </w:rPr>
            </w:pPr>
            <w:r>
              <w:rPr>
                <w:rFonts w:ascii="Arial" w:cs="Arial" w:eastAsia="Arial" w:hAnsi="Arial"/>
                <w:sz w:val="17"/>
                <w:szCs w:val="17"/>
                <w:color w:val="auto"/>
              </w:rPr>
              <w:t>644,328</w:t>
            </w:r>
          </w:p>
        </w:tc>
      </w:tr>
      <w:tr>
        <w:trPr>
          <w:trHeight w:val="220"/>
        </w:trPr>
        <w:tc>
          <w:tcPr>
            <w:tcW w:w="1440" w:type="dxa"/>
            <w:vAlign w:val="bottom"/>
          </w:tcPr>
          <w:p>
            <w:pPr>
              <w:jc w:val="right"/>
              <w:ind w:right="614"/>
              <w:spacing w:after="0"/>
              <w:rPr>
                <w:sz w:val="20"/>
                <w:szCs w:val="20"/>
                <w:color w:val="auto"/>
              </w:rPr>
            </w:pPr>
            <w:r>
              <w:rPr>
                <w:rFonts w:ascii="Arial" w:cs="Arial" w:eastAsia="Arial" w:hAnsi="Arial"/>
                <w:sz w:val="17"/>
                <w:szCs w:val="17"/>
                <w:color w:val="auto"/>
              </w:rPr>
              <w:t>46,735</w:t>
            </w:r>
          </w:p>
        </w:tc>
        <w:tc>
          <w:tcPr>
            <w:tcW w:w="1440" w:type="dxa"/>
            <w:vAlign w:val="bottom"/>
          </w:tcPr>
          <w:p>
            <w:pPr>
              <w:jc w:val="right"/>
              <w:spacing w:after="0"/>
              <w:rPr>
                <w:sz w:val="20"/>
                <w:szCs w:val="20"/>
                <w:color w:val="auto"/>
              </w:rPr>
            </w:pPr>
            <w:r>
              <w:rPr>
                <w:rFonts w:ascii="Arial" w:cs="Arial" w:eastAsia="Arial" w:hAnsi="Arial"/>
                <w:sz w:val="17"/>
                <w:szCs w:val="17"/>
                <w:color w:val="auto"/>
              </w:rPr>
              <w:t>7,821</w:t>
            </w:r>
          </w:p>
        </w:tc>
      </w:tr>
      <w:tr>
        <w:trPr>
          <w:trHeight w:val="217"/>
        </w:trPr>
        <w:tc>
          <w:tcPr>
            <w:tcW w:w="1440" w:type="dxa"/>
            <w:vAlign w:val="bottom"/>
          </w:tcPr>
          <w:p>
            <w:pPr>
              <w:jc w:val="right"/>
              <w:ind w:right="534"/>
              <w:spacing w:after="0"/>
              <w:rPr>
                <w:sz w:val="20"/>
                <w:szCs w:val="20"/>
                <w:color w:val="auto"/>
              </w:rPr>
            </w:pPr>
            <w:r>
              <w:rPr>
                <w:rFonts w:ascii="Arial" w:cs="Arial" w:eastAsia="Arial" w:hAnsi="Arial"/>
                <w:sz w:val="17"/>
                <w:szCs w:val="17"/>
                <w:color w:val="auto"/>
                <w:w w:val="91"/>
              </w:rPr>
              <w:t>(2,063,640)</w:t>
            </w:r>
          </w:p>
        </w:tc>
        <w:tc>
          <w:tcPr>
            <w:tcW w:w="1440" w:type="dxa"/>
            <w:vAlign w:val="bottom"/>
          </w:tcPr>
          <w:p>
            <w:pPr>
              <w:jc w:val="right"/>
              <w:spacing w:after="0"/>
              <w:rPr>
                <w:sz w:val="20"/>
                <w:szCs w:val="20"/>
                <w:color w:val="auto"/>
              </w:rPr>
            </w:pPr>
            <w:r>
              <w:rPr>
                <w:rFonts w:ascii="Arial" w:cs="Arial" w:eastAsia="Arial" w:hAnsi="Arial"/>
                <w:sz w:val="17"/>
                <w:szCs w:val="17"/>
                <w:color w:val="auto"/>
              </w:rPr>
              <w:t>(1,960,715)</w:t>
            </w:r>
          </w:p>
        </w:tc>
      </w:tr>
    </w:tbl>
    <w:p>
      <w:pPr>
        <w:spacing w:after="0" w:line="20" w:lineRule="exact"/>
        <w:rPr>
          <w:sz w:val="20"/>
          <w:szCs w:val="20"/>
          <w:color w:val="auto"/>
        </w:rPr>
      </w:pPr>
    </w:p>
    <w:p>
      <w:pPr>
        <w:sectPr>
          <w:pgSz w:w="11900" w:h="16838" w:orient="portrait"/>
          <w:cols w:equalWidth="0" w:num="2">
            <w:col w:w="7780" w:space="720"/>
            <w:col w:w="2920"/>
          </w:cols>
          <w:pgMar w:left="240" w:top="127"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7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5"/>
        </w:trPr>
        <w:tc>
          <w:tcPr>
            <w:tcW w:w="77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Uniti shareholders' deficit</w:t>
            </w:r>
          </w:p>
        </w:tc>
        <w:tc>
          <w:tcPr>
            <w:tcW w:w="42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(1,371,485)</w:t>
            </w:r>
          </w:p>
        </w:tc>
        <w:tc>
          <w:tcPr>
            <w:tcW w:w="56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(1,308,549)</w:t>
            </w:r>
          </w:p>
        </w:tc>
      </w:tr>
      <w:tr>
        <w:trPr>
          <w:trHeight w:val="220"/>
        </w:trPr>
        <w:tc>
          <w:tcPr>
            <w:tcW w:w="77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Noncontrolling interests - operating partnership units</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99,868</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101,407</w:t>
            </w:r>
          </w:p>
        </w:tc>
        <w:tc>
          <w:tcPr>
            <w:tcW w:w="100" w:type="dxa"/>
            <w:vAlign w:val="bottom"/>
            <w:tcBorders>
              <w:bottom w:val="single" w:sz="8" w:color="CFF0FC"/>
            </w:tcBorders>
          </w:tcPr>
          <w:p>
            <w:pPr>
              <w:spacing w:after="0"/>
              <w:rPr>
                <w:sz w:val="19"/>
                <w:szCs w:val="19"/>
                <w:color w:val="auto"/>
              </w:rPr>
            </w:pPr>
          </w:p>
        </w:tc>
      </w:tr>
      <w:tr>
        <w:trPr>
          <w:trHeight w:val="213"/>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shareholders' deficit</w:t>
            </w:r>
          </w:p>
        </w:tc>
        <w:tc>
          <w:tcPr>
            <w:tcW w:w="4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(1,271,617)</w:t>
            </w:r>
          </w:p>
        </w:tc>
        <w:tc>
          <w:tcPr>
            <w:tcW w:w="5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(1,207,142)</w:t>
            </w:r>
          </w:p>
        </w:tc>
      </w:tr>
      <w:tr>
        <w:trPr>
          <w:trHeight w:val="213"/>
        </w:trPr>
        <w:tc>
          <w:tcPr>
            <w:tcW w:w="7720" w:type="dxa"/>
            <w:vAlign w:val="bottom"/>
          </w:tcPr>
          <w:p>
            <w:pPr>
              <w:spacing w:after="0"/>
              <w:rPr>
                <w:sz w:val="20"/>
                <w:szCs w:val="20"/>
                <w:color w:val="auto"/>
              </w:rPr>
            </w:pPr>
            <w:r>
              <w:rPr>
                <w:rFonts w:ascii="Arial" w:cs="Arial" w:eastAsia="Arial" w:hAnsi="Arial"/>
                <w:sz w:val="17"/>
                <w:szCs w:val="17"/>
                <w:b w:val="1"/>
                <w:bCs w:val="1"/>
                <w:color w:val="auto"/>
              </w:rPr>
              <w:t>Total Liabilities, Convertible Preferred Stock, and Shareholders' Deficit</w:t>
            </w: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4,363,513</w:t>
            </w:r>
          </w:p>
        </w:tc>
        <w:tc>
          <w:tcPr>
            <w:tcW w:w="2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4,330,082</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020" w:type="dxa"/>
            <w:vAlign w:val="bottom"/>
            <w:gridSpan w:val="2"/>
          </w:tcPr>
          <w:p>
            <w:pPr>
              <w:spacing w:after="0"/>
              <w:rPr>
                <w:sz w:val="20"/>
                <w:szCs w:val="20"/>
                <w:color w:val="auto"/>
              </w:rPr>
            </w:pPr>
            <w:r>
              <w:rPr>
                <w:rFonts w:ascii="Arial" w:cs="Arial" w:eastAsia="Arial" w:hAnsi="Arial"/>
                <w:sz w:val="14"/>
                <w:szCs w:val="14"/>
                <w:color w:val="auto"/>
              </w:rPr>
              <w:t>(Thousands, except per share data)</w:t>
            </w:r>
          </w:p>
        </w:tc>
        <w:tc>
          <w:tcPr>
            <w:tcW w:w="480" w:type="dxa"/>
            <w:vAlign w:val="bottom"/>
          </w:tcPr>
          <w:p>
            <w:pPr>
              <w:spacing w:after="0"/>
              <w:rPr>
                <w:sz w:val="19"/>
                <w:szCs w:val="19"/>
                <w:color w:val="auto"/>
              </w:rPr>
            </w:pPr>
          </w:p>
        </w:tc>
        <w:tc>
          <w:tcPr>
            <w:tcW w:w="1520" w:type="dxa"/>
            <w:vAlign w:val="bottom"/>
          </w:tcPr>
          <w:p>
            <w:pPr>
              <w:jc w:val="right"/>
              <w:ind w:right="775"/>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ind w:right="77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2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Leasing</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172,774</w:t>
            </w:r>
          </w:p>
        </w:tc>
        <w:tc>
          <w:tcPr>
            <w:tcW w:w="300" w:type="dxa"/>
            <w:vAlign w:val="bottom"/>
          </w:tcPr>
          <w:p>
            <w:pPr>
              <w:spacing w:after="0"/>
              <w:rPr>
                <w:sz w:val="19"/>
                <w:szCs w:val="19"/>
                <w:color w:val="auto"/>
              </w:rPr>
            </w:pP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170,306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Fiber Infrastructure</w:t>
            </w: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66,967</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Tower</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3,370</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Consumer CLEC</w:t>
            </w:r>
          </w:p>
        </w:tc>
        <w:tc>
          <w:tcPr>
            <w:tcW w:w="4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3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gridSpan w:val="2"/>
          </w:tcPr>
          <w:p>
            <w:pPr>
              <w:ind w:left="480"/>
              <w:spacing w:after="0"/>
              <w:rPr>
                <w:sz w:val="20"/>
                <w:szCs w:val="20"/>
                <w:color w:val="auto"/>
              </w:rPr>
            </w:pPr>
            <w:r>
              <w:rPr>
                <w:rFonts w:ascii="Arial" w:cs="Arial" w:eastAsia="Arial" w:hAnsi="Arial"/>
                <w:sz w:val="17"/>
                <w:szCs w:val="17"/>
                <w:color w:val="auto"/>
              </w:rPr>
              <w:t>Total revenues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246,915</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211,473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Costs and Expenses:</w:t>
            </w:r>
          </w:p>
        </w:tc>
        <w:tc>
          <w:tcPr>
            <w:tcW w:w="4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Interest expense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77,607</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114,721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General and administrative expense</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22,520</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Operating expense (exclusive of depreciation and amortization)</w:t>
            </w:r>
          </w:p>
        </w:tc>
        <w:tc>
          <w:tcPr>
            <w:tcW w:w="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29,904</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Transaction related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5,913</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Other (income) expense</w:t>
            </w:r>
          </w:p>
        </w:tc>
        <w:tc>
          <w:tcPr>
            <w:tcW w:w="4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(3,885)</w:t>
            </w: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tcBorders>
              <w:bottom w:val="single" w:sz="8" w:color="CFF0FC"/>
            </w:tcBorders>
            <w:gridSpan w:val="2"/>
          </w:tcPr>
          <w:p>
            <w:pPr>
              <w:ind w:left="500"/>
              <w:spacing w:after="0"/>
              <w:rPr>
                <w:sz w:val="20"/>
                <w:szCs w:val="20"/>
                <w:color w:val="auto"/>
              </w:rPr>
            </w:pPr>
            <w:r>
              <w:rPr>
                <w:rFonts w:ascii="Arial" w:cs="Arial" w:eastAsia="Arial" w:hAnsi="Arial"/>
                <w:sz w:val="17"/>
                <w:szCs w:val="17"/>
                <w:color w:val="auto"/>
              </w:rPr>
              <w:t>Total costs and expenses</w:t>
            </w:r>
          </w:p>
        </w:tc>
        <w:tc>
          <w:tcPr>
            <w:tcW w:w="4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246,780</w:t>
            </w:r>
          </w:p>
        </w:tc>
        <w:tc>
          <w:tcPr>
            <w:tcW w:w="300" w:type="dxa"/>
            <w:vAlign w:val="bottom"/>
            <w:tcBorders>
              <w:bottom w:val="single" w:sz="8" w:color="CFF0FC"/>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231,852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Income (loss) before income taxes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135</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(20,379)</w:t>
            </w: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Income tax benefit</w:t>
            </w:r>
          </w:p>
        </w:tc>
        <w:tc>
          <w:tcPr>
            <w:tcW w:w="4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(1,096)</w:t>
            </w:r>
          </w:p>
        </w:tc>
        <w:tc>
          <w:tcPr>
            <w:tcW w:w="8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income (loss)</w:t>
            </w: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1,231</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income attributable to noncontrolling interests</w:t>
            </w:r>
          </w:p>
        </w:tc>
        <w:tc>
          <w:tcPr>
            <w:tcW w:w="4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3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Net income (loss) available to shareholders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1,210</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Participating securities' share in earnings</w:t>
            </w:r>
          </w:p>
        </w:tc>
        <w:tc>
          <w:tcPr>
            <w:tcW w:w="4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(679)</w:t>
            </w:r>
          </w:p>
        </w:tc>
        <w:tc>
          <w:tcPr>
            <w:tcW w:w="8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20"/>
        </w:trPr>
        <w:tc>
          <w:tcPr>
            <w:tcW w:w="7020" w:type="dxa"/>
            <w:vAlign w:val="bottom"/>
            <w:gridSpan w:val="2"/>
          </w:tcPr>
          <w:p>
            <w:pPr>
              <w:ind w:left="240"/>
              <w:spacing w:after="0"/>
              <w:rPr>
                <w:sz w:val="20"/>
                <w:szCs w:val="20"/>
                <w:color w:val="auto"/>
              </w:rPr>
            </w:pPr>
            <w:r>
              <w:rPr>
                <w:rFonts w:ascii="Arial" w:cs="Arial" w:eastAsia="Arial" w:hAnsi="Arial"/>
                <w:sz w:val="17"/>
                <w:szCs w:val="17"/>
                <w:color w:val="auto"/>
              </w:rPr>
              <w:t>Dividends declared on convertible preferred stock</w:t>
            </w:r>
          </w:p>
        </w:tc>
        <w:tc>
          <w:tcPr>
            <w:tcW w:w="480" w:type="dxa"/>
            <w:vAlign w:val="bottom"/>
          </w:tcPr>
          <w:p>
            <w:pPr>
              <w:spacing w:after="0"/>
              <w:rPr>
                <w:sz w:val="19"/>
                <w:szCs w:val="19"/>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7"/>
                <w:szCs w:val="17"/>
                <w:color w:val="auto"/>
              </w:rPr>
              <w:t>(656)</w:t>
            </w:r>
          </w:p>
        </w:tc>
        <w:tc>
          <w:tcPr>
            <w:tcW w:w="8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Amortization of discount on convertible preferred stock</w:t>
            </w:r>
          </w:p>
        </w:tc>
        <w:tc>
          <w:tcPr>
            <w:tcW w:w="4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(745)</w:t>
            </w:r>
          </w:p>
        </w:tc>
        <w:tc>
          <w:tcPr>
            <w:tcW w:w="8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(745)</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loss attributable to common shareholders</w:t>
            </w: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020" w:type="dxa"/>
            <w:vAlign w:val="bottom"/>
            <w:gridSpan w:val="2"/>
            <w:vMerge w:val="continue"/>
          </w:tcPr>
          <w:p>
            <w:pPr>
              <w:spacing w:after="0"/>
              <w:rPr>
                <w:sz w:val="21"/>
                <w:szCs w:val="21"/>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40"/>
              <w:spacing w:after="0"/>
              <w:rPr>
                <w:sz w:val="20"/>
                <w:szCs w:val="20"/>
                <w:color w:val="auto"/>
              </w:rPr>
            </w:pPr>
            <w:r>
              <w:rPr>
                <w:rFonts w:ascii="Arial" w:cs="Arial" w:eastAsia="Arial" w:hAnsi="Arial"/>
                <w:sz w:val="17"/>
                <w:szCs w:val="17"/>
                <w:color w:val="auto"/>
              </w:rPr>
              <w:t>(870)</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(21,788)</w:t>
            </w:r>
          </w:p>
        </w:tc>
        <w:tc>
          <w:tcPr>
            <w:tcW w:w="0" w:type="dxa"/>
            <w:vAlign w:val="bottom"/>
          </w:tcPr>
          <w:p>
            <w:pPr>
              <w:spacing w:after="0"/>
              <w:rPr>
                <w:sz w:val="1"/>
                <w:szCs w:val="1"/>
                <w:color w:val="auto"/>
              </w:rPr>
            </w:pPr>
          </w:p>
        </w:tc>
      </w:tr>
      <w:tr>
        <w:trPr>
          <w:trHeight w:val="198"/>
        </w:trPr>
        <w:tc>
          <w:tcPr>
            <w:tcW w:w="68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Earnings (loss) per common share:</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Basic</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bottom w:val="single" w:sz="8" w:color="CFF0FC"/>
            </w:tcBorders>
            <w:gridSpan w:val="2"/>
            <w:vMerge w:val="restart"/>
          </w:tcPr>
          <w:p>
            <w:pPr>
              <w:ind w:left="240"/>
              <w:spacing w:after="0"/>
              <w:rPr>
                <w:sz w:val="20"/>
                <w:szCs w:val="20"/>
                <w:color w:val="auto"/>
              </w:rPr>
            </w:pPr>
            <w:r>
              <w:rPr>
                <w:rFonts w:ascii="Arial" w:cs="Arial" w:eastAsia="Arial" w:hAnsi="Arial"/>
                <w:sz w:val="17"/>
                <w:szCs w:val="17"/>
                <w:color w:val="auto"/>
              </w:rPr>
              <w:t>Diluted</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020" w:type="dxa"/>
            <w:vAlign w:val="bottom"/>
            <w:gridSpan w:val="2"/>
            <w:vMerge w:val="continue"/>
          </w:tcPr>
          <w:p>
            <w:pPr>
              <w:spacing w:after="0"/>
              <w:rPr>
                <w:sz w:val="20"/>
                <w:szCs w:val="20"/>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40"/>
              <w:spacing w:after="0"/>
              <w:rPr>
                <w:sz w:val="20"/>
                <w:szCs w:val="20"/>
                <w:color w:val="auto"/>
              </w:rPr>
            </w:pPr>
            <w:r>
              <w:rPr>
                <w:rFonts w:ascii="Arial" w:cs="Arial" w:eastAsia="Arial" w:hAnsi="Arial"/>
                <w:sz w:val="17"/>
                <w:szCs w:val="17"/>
                <w:color w:val="auto"/>
              </w:rPr>
              <w:t>(0.01)</w:t>
            </w: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198"/>
        </w:trPr>
        <w:tc>
          <w:tcPr>
            <w:tcW w:w="68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Weighted-average number of common shares outstanding:</w:t>
            </w: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0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7"/>
                <w:szCs w:val="17"/>
                <w:color w:val="auto"/>
              </w:rPr>
              <w:t>Basic</w:t>
            </w:r>
          </w:p>
        </w:tc>
        <w:tc>
          <w:tcPr>
            <w:tcW w:w="4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174,892</w:t>
            </w: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155,184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ind w:left="240"/>
              <w:spacing w:after="0"/>
              <w:rPr>
                <w:sz w:val="20"/>
                <w:szCs w:val="20"/>
                <w:color w:val="auto"/>
              </w:rPr>
            </w:pPr>
            <w:r>
              <w:rPr>
                <w:rFonts w:ascii="Arial" w:cs="Arial" w:eastAsia="Arial" w:hAnsi="Arial"/>
                <w:sz w:val="17"/>
                <w:szCs w:val="17"/>
                <w:color w:val="auto"/>
              </w:rPr>
              <w:t>Diluted</w:t>
            </w: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020" w:type="dxa"/>
            <w:vAlign w:val="bottom"/>
            <w:tcBorders>
              <w:bottom w:val="single" w:sz="8" w:color="CFF0FC"/>
            </w:tcBorders>
            <w:gridSpan w:val="2"/>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175,499</w:t>
            </w:r>
          </w:p>
        </w:tc>
        <w:tc>
          <w:tcPr>
            <w:tcW w:w="30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155,184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020" w:type="dxa"/>
            <w:vAlign w:val="bottom"/>
            <w:gridSpan w:val="2"/>
          </w:tcPr>
          <w:p>
            <w:pPr>
              <w:spacing w:after="0"/>
              <w:rPr>
                <w:sz w:val="20"/>
                <w:szCs w:val="20"/>
                <w:color w:val="auto"/>
              </w:rPr>
            </w:pPr>
            <w:r>
              <w:rPr>
                <w:rFonts w:ascii="Arial" w:cs="Arial" w:eastAsia="Arial" w:hAnsi="Arial"/>
                <w:sz w:val="17"/>
                <w:szCs w:val="17"/>
                <w:b w:val="1"/>
                <w:bCs w:val="1"/>
                <w:color w:val="auto"/>
              </w:rPr>
              <w:t>Dividends declared per common share</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0.60</w:t>
            </w:r>
          </w:p>
        </w:tc>
        <w:tc>
          <w:tcPr>
            <w:tcW w:w="300" w:type="dxa"/>
            <w:vAlign w:val="bottom"/>
          </w:tcPr>
          <w:p>
            <w:pPr>
              <w:spacing w:after="0"/>
              <w:rPr>
                <w:sz w:val="19"/>
                <w:szCs w:val="19"/>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3"/>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FF0FC"/>
            </w:tcBorders>
          </w:tcPr>
          <w:p>
            <w:pPr>
              <w:spacing w:after="0"/>
              <w:rPr>
                <w:sz w:val="18"/>
                <w:szCs w:val="18"/>
                <w:color w:val="auto"/>
              </w:rPr>
            </w:pPr>
          </w:p>
        </w:tc>
      </w:tr>
      <w:tr>
        <w:trPr>
          <w:trHeight w:val="213"/>
        </w:trPr>
        <w:tc>
          <w:tcPr>
            <w:tcW w:w="6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1,231</w:t>
            </w: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(20,000)</w:t>
            </w:r>
          </w:p>
        </w:tc>
      </w:tr>
      <w:tr>
        <w:trPr>
          <w:trHeight w:val="220"/>
        </w:trPr>
        <w:tc>
          <w:tcPr>
            <w:tcW w:w="6920" w:type="dxa"/>
            <w:vAlign w:val="bottom"/>
            <w:gridSpan w:val="2"/>
          </w:tcPr>
          <w:p>
            <w:pPr>
              <w:spacing w:after="0"/>
              <w:rPr>
                <w:sz w:val="20"/>
                <w:szCs w:val="20"/>
                <w:color w:val="auto"/>
              </w:rPr>
            </w:pPr>
            <w:r>
              <w:rPr>
                <w:rFonts w:ascii="Arial" w:cs="Arial" w:eastAsia="Arial" w:hAnsi="Arial"/>
                <w:sz w:val="17"/>
                <w:szCs w:val="17"/>
                <w:color w:val="auto"/>
              </w:rPr>
              <w:t>Other comprehensive income:</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0"/>
        </w:trPr>
        <w:tc>
          <w:tcPr>
            <w:tcW w:w="69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Unrealized gain on derivative contracts</w:t>
            </w:r>
          </w:p>
        </w:tc>
        <w:tc>
          <w:tcPr>
            <w:tcW w:w="4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35,268</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4,566</w:t>
            </w:r>
          </w:p>
        </w:tc>
        <w:tc>
          <w:tcPr>
            <w:tcW w:w="120" w:type="dxa"/>
            <w:vAlign w:val="bottom"/>
            <w:shd w:val="clear" w:color="auto" w:fill="CFF0FC"/>
          </w:tcPr>
          <w:p>
            <w:pPr>
              <w:spacing w:after="0"/>
              <w:rPr>
                <w:sz w:val="19"/>
                <w:szCs w:val="19"/>
                <w:color w:val="auto"/>
              </w:rPr>
            </w:pPr>
          </w:p>
        </w:tc>
      </w:tr>
      <w:tr>
        <w:trPr>
          <w:trHeight w:val="220"/>
        </w:trPr>
        <w:tc>
          <w:tcPr>
            <w:tcW w:w="692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Changes in foreign currency translation</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4,565</w:t>
            </w:r>
          </w:p>
        </w:tc>
        <w:tc>
          <w:tcPr>
            <w:tcW w:w="3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4,875</w:t>
            </w:r>
          </w:p>
        </w:tc>
        <w:tc>
          <w:tcPr>
            <w:tcW w:w="120" w:type="dxa"/>
            <w:vAlign w:val="bottom"/>
            <w:tcBorders>
              <w:bottom w:val="single" w:sz="8" w:color="CFF0FC"/>
            </w:tcBorders>
          </w:tcPr>
          <w:p>
            <w:pPr>
              <w:spacing w:after="0"/>
              <w:rPr>
                <w:sz w:val="19"/>
                <w:szCs w:val="19"/>
                <w:color w:val="auto"/>
              </w:rPr>
            </w:pPr>
          </w:p>
        </w:tc>
      </w:tr>
      <w:tr>
        <w:trPr>
          <w:trHeight w:val="213"/>
        </w:trPr>
        <w:tc>
          <w:tcPr>
            <w:tcW w:w="6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comprehensive income</w:t>
            </w:r>
          </w:p>
        </w:tc>
        <w:tc>
          <w:tcPr>
            <w:tcW w:w="4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39,833</w:t>
            </w:r>
          </w:p>
        </w:tc>
        <w:tc>
          <w:tcPr>
            <w:tcW w:w="30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9,441</w:t>
            </w:r>
          </w:p>
        </w:tc>
        <w:tc>
          <w:tcPr>
            <w:tcW w:w="120" w:type="dxa"/>
            <w:vAlign w:val="bottom"/>
            <w:shd w:val="clear" w:color="auto" w:fill="CFF0FC"/>
          </w:tcPr>
          <w:p>
            <w:pPr>
              <w:spacing w:after="0"/>
              <w:rPr>
                <w:sz w:val="18"/>
                <w:szCs w:val="18"/>
                <w:color w:val="auto"/>
              </w:rPr>
            </w:pPr>
          </w:p>
        </w:tc>
      </w:tr>
      <w:tr>
        <w:trPr>
          <w:trHeight w:val="213"/>
        </w:trPr>
        <w:tc>
          <w:tcPr>
            <w:tcW w:w="6920" w:type="dxa"/>
            <w:vAlign w:val="bottom"/>
            <w:gridSpan w:val="2"/>
          </w:tcPr>
          <w:p>
            <w:pPr>
              <w:spacing w:after="0"/>
              <w:rPr>
                <w:sz w:val="20"/>
                <w:szCs w:val="20"/>
                <w:color w:val="auto"/>
              </w:rPr>
            </w:pPr>
            <w:r>
              <w:rPr>
                <w:rFonts w:ascii="Arial" w:cs="Arial" w:eastAsia="Arial" w:hAnsi="Arial"/>
                <w:sz w:val="17"/>
                <w:szCs w:val="17"/>
                <w:color w:val="auto"/>
              </w:rPr>
              <w:t>Comprehensive income (loss)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41,064</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(10,559)</w:t>
            </w:r>
          </w:p>
        </w:tc>
      </w:tr>
      <w:tr>
        <w:trPr>
          <w:trHeight w:val="220"/>
        </w:trPr>
        <w:tc>
          <w:tcPr>
            <w:tcW w:w="6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Comprehensive income attributable to noncontrolling interest</w:t>
            </w:r>
          </w:p>
        </w:tc>
        <w:tc>
          <w:tcPr>
            <w:tcW w:w="4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940</w:t>
            </w:r>
          </w:p>
        </w:tc>
        <w:tc>
          <w:tcPr>
            <w:tcW w:w="3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r>
      <w:tr>
        <w:trPr>
          <w:trHeight w:val="213"/>
        </w:trPr>
        <w:tc>
          <w:tcPr>
            <w:tcW w:w="6920" w:type="dxa"/>
            <w:vAlign w:val="bottom"/>
            <w:gridSpan w:val="2"/>
          </w:tcPr>
          <w:p>
            <w:pPr>
              <w:spacing w:after="0"/>
              <w:rPr>
                <w:sz w:val="20"/>
                <w:szCs w:val="20"/>
                <w:color w:val="auto"/>
              </w:rPr>
            </w:pPr>
            <w:r>
              <w:rPr>
                <w:rFonts w:ascii="Arial" w:cs="Arial" w:eastAsia="Arial" w:hAnsi="Arial"/>
                <w:sz w:val="17"/>
                <w:szCs w:val="17"/>
                <w:b w:val="1"/>
                <w:bCs w:val="1"/>
                <w:color w:val="auto"/>
              </w:rPr>
              <w:t>Comprehensive income (loss) attributable to common shareholders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40,124</w:t>
            </w:r>
          </w:p>
        </w:tc>
        <w:tc>
          <w:tcPr>
            <w:tcW w:w="300" w:type="dxa"/>
            <w:vAlign w:val="bottom"/>
          </w:tcPr>
          <w:p>
            <w:pPr>
              <w:spacing w:after="0"/>
              <w:rPr>
                <w:sz w:val="18"/>
                <w:szCs w:val="18"/>
                <w:color w:val="auto"/>
              </w:rPr>
            </w:pP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(10,559)</w:t>
            </w:r>
          </w:p>
        </w:tc>
      </w:tr>
      <w:tr>
        <w:trPr>
          <w:trHeight w:val="20"/>
        </w:trPr>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218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4"/>
        </w:trPr>
        <w:tc>
          <w:tcPr>
            <w:tcW w:w="122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7"/>
                <w:szCs w:val="17"/>
                <w:b w:val="1"/>
                <w:bCs w:val="1"/>
                <w:color w:val="auto"/>
                <w:w w:val="97"/>
              </w:rPr>
              <w:t>Uniti Group Inc.</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540" w:type="dxa"/>
            <w:vAlign w:val="bottom"/>
            <w:gridSpan w:val="18"/>
          </w:tcPr>
          <w:p>
            <w:pPr>
              <w:ind w:left="40"/>
              <w:spacing w:after="0"/>
              <w:rPr>
                <w:sz w:val="20"/>
                <w:szCs w:val="20"/>
                <w:color w:val="auto"/>
              </w:rPr>
            </w:pPr>
            <w:r>
              <w:rPr>
                <w:rFonts w:ascii="Arial" w:cs="Arial" w:eastAsia="Arial" w:hAnsi="Arial"/>
                <w:sz w:val="17"/>
                <w:szCs w:val="17"/>
                <w:b w:val="1"/>
                <w:bCs w:val="1"/>
                <w:color w:val="auto"/>
                <w:w w:val="90"/>
              </w:rPr>
              <w:t>Condensed Consolidated Statements of Shareholders’ Deficit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6"/>
          </w:tcPr>
          <w:p>
            <w:pPr>
              <w:jc w:val="right"/>
              <w:ind w:right="560"/>
              <w:spacing w:after="0"/>
              <w:rPr>
                <w:sz w:val="20"/>
                <w:szCs w:val="20"/>
                <w:color w:val="auto"/>
              </w:rPr>
            </w:pPr>
            <w:r>
              <w:rPr>
                <w:rFonts w:ascii="Arial" w:cs="Arial" w:eastAsia="Arial" w:hAnsi="Arial"/>
                <w:sz w:val="17"/>
                <w:szCs w:val="17"/>
                <w:b w:val="1"/>
                <w:bCs w:val="1"/>
                <w:color w:val="auto"/>
              </w:rPr>
              <w:t>(unaudited)</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right="200"/>
              <w:spacing w:after="0"/>
              <w:rPr>
                <w:sz w:val="20"/>
                <w:szCs w:val="20"/>
                <w:color w:val="auto"/>
              </w:rPr>
            </w:pPr>
            <w:r>
              <w:rPr>
                <w:rFonts w:ascii="Arial" w:cs="Arial" w:eastAsia="Arial" w:hAnsi="Arial"/>
                <w:sz w:val="17"/>
                <w:szCs w:val="17"/>
                <w:color w:val="auto"/>
                <w:w w:val="93"/>
              </w:rPr>
              <w:t>Accumulated</w:t>
            </w:r>
          </w:p>
        </w:tc>
        <w:tc>
          <w:tcPr>
            <w:tcW w:w="1080" w:type="dxa"/>
            <w:vAlign w:val="bottom"/>
            <w:gridSpan w:val="3"/>
          </w:tcPr>
          <w:p>
            <w:pPr>
              <w:ind w:left="20"/>
              <w:spacing w:after="0"/>
              <w:rPr>
                <w:sz w:val="20"/>
                <w:szCs w:val="20"/>
                <w:color w:val="auto"/>
              </w:rPr>
            </w:pPr>
            <w:r>
              <w:rPr>
                <w:rFonts w:ascii="Arial" w:cs="Arial" w:eastAsia="Arial" w:hAnsi="Arial"/>
                <w:sz w:val="17"/>
                <w:szCs w:val="17"/>
                <w:color w:val="auto"/>
              </w:rPr>
              <w:t>Distributions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4"/>
          </w:tcPr>
          <w:p>
            <w:pPr>
              <w:ind w:left="200"/>
              <w:spacing w:after="0"/>
              <w:rPr>
                <w:sz w:val="20"/>
                <w:szCs w:val="20"/>
                <w:color w:val="auto"/>
              </w:rPr>
            </w:pPr>
            <w:r>
              <w:rPr>
                <w:rFonts w:ascii="Arial" w:cs="Arial" w:eastAsia="Arial" w:hAnsi="Arial"/>
                <w:sz w:val="17"/>
                <w:szCs w:val="17"/>
                <w:color w:val="auto"/>
              </w:rPr>
              <w:t>Additional</w:t>
            </w:r>
          </w:p>
        </w:tc>
        <w:tc>
          <w:tcPr>
            <w:tcW w:w="20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7"/>
                <w:szCs w:val="17"/>
                <w:color w:val="auto"/>
                <w:w w:val="89"/>
              </w:rPr>
              <w:t>Other</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w w:val="93"/>
              </w:rPr>
              <w:t>in Excess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7"/>
                <w:szCs w:val="17"/>
                <w:color w:val="auto"/>
                <w:w w:val="94"/>
              </w:rPr>
              <w:t>Paid-in</w:t>
            </w:r>
          </w:p>
        </w:tc>
        <w:tc>
          <w:tcPr>
            <w:tcW w:w="1280" w:type="dxa"/>
            <w:vAlign w:val="bottom"/>
            <w:gridSpan w:val="3"/>
          </w:tcPr>
          <w:p>
            <w:pPr>
              <w:spacing w:after="0"/>
              <w:rPr>
                <w:sz w:val="20"/>
                <w:szCs w:val="20"/>
                <w:color w:val="auto"/>
              </w:rPr>
            </w:pPr>
            <w:r>
              <w:rPr>
                <w:rFonts w:ascii="Arial" w:cs="Arial" w:eastAsia="Arial" w:hAnsi="Arial"/>
                <w:sz w:val="17"/>
                <w:szCs w:val="17"/>
                <w:color w:val="auto"/>
              </w:rPr>
              <w:t>Comprehensive</w:t>
            </w:r>
          </w:p>
        </w:tc>
        <w:tc>
          <w:tcPr>
            <w:tcW w:w="1080" w:type="dxa"/>
            <w:vAlign w:val="bottom"/>
            <w:gridSpan w:val="3"/>
          </w:tcPr>
          <w:p>
            <w:pPr>
              <w:spacing w:after="0"/>
              <w:rPr>
                <w:sz w:val="20"/>
                <w:szCs w:val="20"/>
                <w:color w:val="auto"/>
              </w:rPr>
            </w:pPr>
            <w:r>
              <w:rPr>
                <w:rFonts w:ascii="Arial" w:cs="Arial" w:eastAsia="Arial" w:hAnsi="Arial"/>
                <w:sz w:val="17"/>
                <w:szCs w:val="17"/>
                <w:color w:val="auto"/>
              </w:rPr>
              <w:t>Accumulated</w:t>
            </w:r>
          </w:p>
        </w:tc>
        <w:tc>
          <w:tcPr>
            <w:tcW w:w="1260" w:type="dxa"/>
            <w:vAlign w:val="bottom"/>
            <w:gridSpan w:val="4"/>
          </w:tcPr>
          <w:p>
            <w:pPr>
              <w:ind w:left="60"/>
              <w:spacing w:after="0"/>
              <w:rPr>
                <w:sz w:val="20"/>
                <w:szCs w:val="20"/>
                <w:color w:val="auto"/>
              </w:rPr>
            </w:pPr>
            <w:r>
              <w:rPr>
                <w:rFonts w:ascii="Arial" w:cs="Arial" w:eastAsia="Arial" w:hAnsi="Arial"/>
                <w:sz w:val="17"/>
                <w:szCs w:val="17"/>
                <w:color w:val="auto"/>
              </w:rPr>
              <w:t>Noncontrolling</w:t>
            </w:r>
          </w:p>
        </w:tc>
        <w:tc>
          <w:tcPr>
            <w:tcW w:w="1100" w:type="dxa"/>
            <w:vAlign w:val="bottom"/>
            <w:gridSpan w:val="4"/>
          </w:tcPr>
          <w:p>
            <w:pPr>
              <w:ind w:left="80"/>
              <w:spacing w:after="0"/>
              <w:rPr>
                <w:sz w:val="20"/>
                <w:szCs w:val="20"/>
                <w:color w:val="auto"/>
              </w:rPr>
            </w:pPr>
            <w:r>
              <w:rPr>
                <w:rFonts w:ascii="Arial" w:cs="Arial" w:eastAsia="Arial" w:hAnsi="Arial"/>
                <w:sz w:val="17"/>
                <w:szCs w:val="17"/>
                <w:color w:val="auto"/>
                <w:w w:val="95"/>
              </w:rPr>
              <w:t>Shareholders'</w:t>
            </w:r>
          </w:p>
        </w:tc>
        <w:tc>
          <w:tcPr>
            <w:tcW w:w="0" w:type="dxa"/>
            <w:vAlign w:val="bottom"/>
          </w:tcPr>
          <w:p>
            <w:pPr>
              <w:spacing w:after="0"/>
              <w:rPr>
                <w:sz w:val="1"/>
                <w:szCs w:val="1"/>
                <w:color w:val="auto"/>
              </w:rPr>
            </w:pPr>
          </w:p>
        </w:tc>
      </w:tr>
      <w:tr>
        <w:trPr>
          <w:trHeight w:val="219"/>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(Thousands, except share data)</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w w:val="98"/>
              </w:rPr>
              <w:t>Preferred Stock</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7"/>
                <w:szCs w:val="17"/>
                <w:color w:val="auto"/>
                <w:w w:val="98"/>
              </w:rPr>
              <w:t>Common Stock</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94"/>
              </w:rPr>
              <w:t>Capital</w:t>
            </w:r>
          </w:p>
        </w:tc>
        <w:tc>
          <w:tcPr>
            <w:tcW w:w="220" w:type="dxa"/>
            <w:vAlign w:val="bottom"/>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2"/>
              </w:rPr>
              <w:t>Income (Loss)</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95"/>
              </w:rPr>
              <w:t>Earnings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Interest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Deficit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spacing w:after="0" w:line="174" w:lineRule="exact"/>
              <w:rPr>
                <w:sz w:val="20"/>
                <w:szCs w:val="20"/>
                <w:color w:val="auto"/>
              </w:rPr>
            </w:pPr>
            <w:r>
              <w:rPr>
                <w:rFonts w:ascii="Arial" w:cs="Arial" w:eastAsia="Arial" w:hAnsi="Arial"/>
                <w:sz w:val="17"/>
                <w:szCs w:val="17"/>
                <w:color w:val="auto"/>
              </w:rPr>
              <w:t>Shares</w:t>
            </w:r>
          </w:p>
        </w:tc>
        <w:tc>
          <w:tcPr>
            <w:tcW w:w="40" w:type="dxa"/>
            <w:vAlign w:val="bottom"/>
          </w:tcPr>
          <w:p>
            <w:pPr>
              <w:spacing w:after="0"/>
              <w:rPr>
                <w:sz w:val="15"/>
                <w:szCs w:val="15"/>
                <w:color w:val="auto"/>
              </w:rPr>
            </w:pPr>
          </w:p>
        </w:tc>
        <w:tc>
          <w:tcPr>
            <w:tcW w:w="780" w:type="dxa"/>
            <w:vAlign w:val="bottom"/>
            <w:gridSpan w:val="4"/>
          </w:tcPr>
          <w:p>
            <w:pPr>
              <w:spacing w:after="0" w:line="174" w:lineRule="exact"/>
              <w:rPr>
                <w:sz w:val="20"/>
                <w:szCs w:val="20"/>
                <w:color w:val="auto"/>
              </w:rPr>
            </w:pPr>
            <w:r>
              <w:rPr>
                <w:rFonts w:ascii="Arial" w:cs="Arial" w:eastAsia="Arial" w:hAnsi="Arial"/>
                <w:sz w:val="17"/>
                <w:szCs w:val="17"/>
                <w:color w:val="auto"/>
              </w:rPr>
              <w:t>Amount</w:t>
            </w:r>
          </w:p>
        </w:tc>
        <w:tc>
          <w:tcPr>
            <w:tcW w:w="260" w:type="dxa"/>
            <w:vAlign w:val="bottom"/>
          </w:tcPr>
          <w:p>
            <w:pPr>
              <w:spacing w:after="0"/>
              <w:rPr>
                <w:sz w:val="15"/>
                <w:szCs w:val="15"/>
                <w:color w:val="auto"/>
              </w:rPr>
            </w:pPr>
          </w:p>
        </w:tc>
        <w:tc>
          <w:tcPr>
            <w:tcW w:w="720" w:type="dxa"/>
            <w:vAlign w:val="bottom"/>
            <w:gridSpan w:val="2"/>
          </w:tcPr>
          <w:p>
            <w:pPr>
              <w:jc w:val="right"/>
              <w:ind w:right="260"/>
              <w:spacing w:after="0" w:line="174" w:lineRule="exact"/>
              <w:rPr>
                <w:sz w:val="20"/>
                <w:szCs w:val="20"/>
                <w:color w:val="auto"/>
              </w:rPr>
            </w:pPr>
            <w:r>
              <w:rPr>
                <w:rFonts w:ascii="Arial" w:cs="Arial" w:eastAsia="Arial" w:hAnsi="Arial"/>
                <w:sz w:val="17"/>
                <w:szCs w:val="17"/>
                <w:color w:val="auto"/>
                <w:w w:val="81"/>
              </w:rPr>
              <w:t>Shares</w:t>
            </w:r>
          </w:p>
        </w:tc>
        <w:tc>
          <w:tcPr>
            <w:tcW w:w="180" w:type="dxa"/>
            <w:vAlign w:val="bottom"/>
          </w:tcPr>
          <w:p>
            <w:pPr>
              <w:spacing w:after="0"/>
              <w:rPr>
                <w:sz w:val="15"/>
                <w:szCs w:val="15"/>
                <w:color w:val="auto"/>
              </w:rPr>
            </w:pPr>
          </w:p>
        </w:tc>
        <w:tc>
          <w:tcPr>
            <w:tcW w:w="620" w:type="dxa"/>
            <w:vAlign w:val="bottom"/>
            <w:gridSpan w:val="4"/>
          </w:tcPr>
          <w:p>
            <w:pPr>
              <w:jc w:val="right"/>
              <w:ind w:right="20"/>
              <w:spacing w:after="0" w:line="174" w:lineRule="exact"/>
              <w:rPr>
                <w:sz w:val="20"/>
                <w:szCs w:val="20"/>
                <w:color w:val="auto"/>
              </w:rPr>
            </w:pPr>
            <w:r>
              <w:rPr>
                <w:rFonts w:ascii="Arial" w:cs="Arial" w:eastAsia="Arial" w:hAnsi="Arial"/>
                <w:sz w:val="17"/>
                <w:szCs w:val="17"/>
                <w:color w:val="auto"/>
                <w:w w:val="98"/>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w w:val="97"/>
              </w:rPr>
              <w:t>Balance at December 31, 2016</w:t>
            </w: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14"/>
              <w:spacing w:after="0"/>
              <w:rPr>
                <w:sz w:val="20"/>
                <w:szCs w:val="20"/>
                <w:color w:val="auto"/>
              </w:rPr>
            </w:pPr>
            <w:r>
              <w:rPr>
                <w:rFonts w:ascii="Arial" w:cs="Arial" w:eastAsia="Arial" w:hAnsi="Arial"/>
                <w:sz w:val="17"/>
                <w:szCs w:val="17"/>
                <w:color w:val="auto"/>
                <w:w w:val="84"/>
              </w:rPr>
              <w:t>$</w:t>
            </w:r>
          </w:p>
        </w:tc>
        <w:tc>
          <w:tcPr>
            <w:tcW w:w="12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w w:val="99"/>
              </w:rPr>
              <w:t>155,138,637</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141,092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(6,369)</w:t>
            </w:r>
          </w:p>
        </w:tc>
        <w:tc>
          <w:tcPr>
            <w:tcW w:w="1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w w:val="98"/>
              </w:rPr>
              <w:t>(1,537,183)</w:t>
            </w: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w w:val="96"/>
              </w:rPr>
              <w:t>(1,402,445)</w:t>
            </w:r>
          </w:p>
        </w:tc>
        <w:tc>
          <w:tcPr>
            <w:tcW w:w="0" w:type="dxa"/>
            <w:vAlign w:val="bottom"/>
          </w:tcPr>
          <w:p>
            <w:pPr>
              <w:spacing w:after="0"/>
              <w:rPr>
                <w:sz w:val="1"/>
                <w:szCs w:val="1"/>
                <w:color w:val="auto"/>
              </w:rPr>
            </w:pPr>
          </w:p>
        </w:tc>
      </w:tr>
      <w:tr>
        <w:trPr>
          <w:trHeight w:val="220"/>
        </w:trPr>
        <w:tc>
          <w:tcPr>
            <w:tcW w:w="2180" w:type="dxa"/>
            <w:vAlign w:val="bottom"/>
            <w:gridSpan w:val="3"/>
          </w:tcPr>
          <w:p>
            <w:pPr>
              <w:spacing w:after="0"/>
              <w:rPr>
                <w:sz w:val="20"/>
                <w:szCs w:val="20"/>
                <w:color w:val="auto"/>
              </w:rPr>
            </w:pPr>
            <w:r>
              <w:rPr>
                <w:rFonts w:ascii="Arial" w:cs="Arial" w:eastAsia="Arial" w:hAnsi="Arial"/>
                <w:sz w:val="16"/>
                <w:szCs w:val="16"/>
                <w:color w:val="auto"/>
              </w:rPr>
              <w:t>Net loss</w:t>
            </w: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gridSpan w:val="2"/>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(20,000)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199"/>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Amortization of discount of</w:t>
            </w:r>
          </w:p>
        </w:tc>
        <w:tc>
          <w:tcPr>
            <w:tcW w:w="580" w:type="dxa"/>
            <w:vAlign w:val="bottom"/>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gridSpan w:val="2"/>
            <w:vMerge w:val="restart"/>
            <w:shd w:val="clear" w:color="auto" w:fill="CFF0FC"/>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7"/>
                <w:szCs w:val="17"/>
                <w:color w:val="auto"/>
              </w:rPr>
            </w:pPr>
          </w:p>
        </w:tc>
        <w:tc>
          <w:tcPr>
            <w:tcW w:w="98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7"/>
                <w:szCs w:val="17"/>
                <w:color w:val="auto"/>
              </w:rPr>
              <w:t>(745)</w:t>
            </w:r>
          </w:p>
        </w:tc>
        <w:tc>
          <w:tcPr>
            <w:tcW w:w="20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(745)</w:t>
            </w:r>
          </w:p>
        </w:tc>
        <w:tc>
          <w:tcPr>
            <w:tcW w:w="0" w:type="dxa"/>
            <w:vAlign w:val="bottom"/>
          </w:tcPr>
          <w:p>
            <w:pPr>
              <w:spacing w:after="0"/>
              <w:rPr>
                <w:sz w:val="1"/>
                <w:szCs w:val="1"/>
                <w:color w:val="auto"/>
              </w:rPr>
            </w:pPr>
          </w:p>
        </w:tc>
      </w:tr>
      <w:tr>
        <w:trPr>
          <w:trHeight w:val="202"/>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580" w:type="dxa"/>
            <w:vAlign w:val="bottom"/>
            <w:gridSpan w:val="3"/>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3"/>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80" w:type="dxa"/>
            <w:vAlign w:val="bottom"/>
            <w:gridSpan w:val="3"/>
          </w:tcPr>
          <w:p>
            <w:pPr>
              <w:spacing w:after="0"/>
              <w:rPr>
                <w:sz w:val="20"/>
                <w:szCs w:val="20"/>
                <w:color w:val="auto"/>
              </w:rPr>
            </w:pPr>
            <w:r>
              <w:rPr>
                <w:rFonts w:ascii="Arial" w:cs="Arial" w:eastAsia="Arial" w:hAnsi="Arial"/>
                <w:sz w:val="16"/>
                <w:szCs w:val="16"/>
                <w:color w:val="auto"/>
              </w:rPr>
              <w:t>Other comprehensive income</w:t>
            </w: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gridSpan w:val="2"/>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9,441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Common stock dividends</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(93,692)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(93,692)</w:t>
            </w:r>
          </w:p>
        </w:tc>
        <w:tc>
          <w:tcPr>
            <w:tcW w:w="0" w:type="dxa"/>
            <w:vAlign w:val="bottom"/>
          </w:tcPr>
          <w:p>
            <w:pPr>
              <w:spacing w:after="0"/>
              <w:rPr>
                <w:sz w:val="1"/>
                <w:szCs w:val="1"/>
                <w:color w:val="auto"/>
              </w:rPr>
            </w:pPr>
          </w:p>
        </w:tc>
      </w:tr>
      <w:tr>
        <w:trPr>
          <w:trHeight w:val="199"/>
        </w:trPr>
        <w:tc>
          <w:tcPr>
            <w:tcW w:w="2180" w:type="dxa"/>
            <w:vAlign w:val="bottom"/>
            <w:gridSpan w:val="3"/>
          </w:tcPr>
          <w:p>
            <w:pPr>
              <w:spacing w:after="0"/>
              <w:rPr>
                <w:sz w:val="20"/>
                <w:szCs w:val="20"/>
                <w:color w:val="auto"/>
              </w:rPr>
            </w:pPr>
            <w:r>
              <w:rPr>
                <w:rFonts w:ascii="Arial" w:cs="Arial" w:eastAsia="Arial" w:hAnsi="Arial"/>
                <w:sz w:val="16"/>
                <w:szCs w:val="16"/>
                <w:color w:val="auto"/>
              </w:rPr>
              <w:t>Convertible preferred stock</w:t>
            </w:r>
          </w:p>
        </w:tc>
        <w:tc>
          <w:tcPr>
            <w:tcW w:w="58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gridSpan w:val="2"/>
            <w:vMerge w:val="restart"/>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7"/>
                <w:szCs w:val="17"/>
                <w:color w:val="auto"/>
              </w:rPr>
            </w:pPr>
          </w:p>
        </w:tc>
        <w:tc>
          <w:tcPr>
            <w:tcW w:w="98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(656)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02"/>
        </w:trPr>
        <w:tc>
          <w:tcPr>
            <w:tcW w:w="2180" w:type="dxa"/>
            <w:vAlign w:val="bottom"/>
            <w:gridSpan w:val="3"/>
          </w:tcPr>
          <w:p>
            <w:pPr>
              <w:spacing w:after="0"/>
              <w:rPr>
                <w:sz w:val="20"/>
                <w:szCs w:val="20"/>
                <w:color w:val="auto"/>
              </w:rPr>
            </w:pPr>
            <w:r>
              <w:rPr>
                <w:rFonts w:ascii="Arial" w:cs="Arial" w:eastAsia="Arial" w:hAnsi="Arial"/>
                <w:sz w:val="16"/>
                <w:szCs w:val="16"/>
                <w:color w:val="auto"/>
              </w:rPr>
              <w:t>dividends</w:t>
            </w:r>
          </w:p>
        </w:tc>
        <w:tc>
          <w:tcPr>
            <w:tcW w:w="5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Equity issuance cost</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(54)</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0"/>
        </w:trPr>
        <w:tc>
          <w:tcPr>
            <w:tcW w:w="2180" w:type="dxa"/>
            <w:vAlign w:val="bottom"/>
            <w:gridSpan w:val="3"/>
          </w:tcPr>
          <w:p>
            <w:pPr>
              <w:spacing w:after="0"/>
              <w:rPr>
                <w:sz w:val="20"/>
                <w:szCs w:val="20"/>
                <w:color w:val="auto"/>
              </w:rPr>
            </w:pPr>
            <w:r>
              <w:rPr>
                <w:rFonts w:ascii="Arial" w:cs="Arial" w:eastAsia="Arial" w:hAnsi="Arial"/>
                <w:sz w:val="16"/>
                <w:szCs w:val="16"/>
                <w:color w:val="auto"/>
              </w:rPr>
              <w:t>Net share settlement</w:t>
            </w: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gridSpan w:val="2"/>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(421)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(1,269)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(1,690)</w:t>
            </w:r>
          </w:p>
        </w:tc>
        <w:tc>
          <w:tcPr>
            <w:tcW w:w="0" w:type="dxa"/>
            <w:vAlign w:val="bottom"/>
          </w:tcPr>
          <w:p>
            <w:pPr>
              <w:spacing w:after="0"/>
              <w:rPr>
                <w:sz w:val="1"/>
                <w:szCs w:val="1"/>
                <w:color w:val="auto"/>
              </w:rPr>
            </w:pPr>
          </w:p>
        </w:tc>
      </w:tr>
      <w:tr>
        <w:trPr>
          <w:trHeight w:val="220"/>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5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136,866</w:t>
            </w:r>
          </w:p>
        </w:tc>
        <w:tc>
          <w:tcPr>
            <w:tcW w:w="1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1,631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80" w:type="dxa"/>
            <w:vAlign w:val="bottom"/>
            <w:gridSpan w:val="3"/>
          </w:tcPr>
          <w:p>
            <w:pPr>
              <w:spacing w:after="0"/>
              <w:rPr>
                <w:sz w:val="20"/>
                <w:szCs w:val="20"/>
                <w:color w:val="auto"/>
              </w:rPr>
            </w:pPr>
            <w:r>
              <w:rPr>
                <w:rFonts w:ascii="Arial" w:cs="Arial" w:eastAsia="Arial" w:hAnsi="Arial"/>
                <w:sz w:val="16"/>
                <w:szCs w:val="16"/>
                <w:color w:val="auto"/>
              </w:rPr>
              <w:t>Balance at March 31, 2017</w:t>
            </w: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314"/>
              <w:spacing w:after="0"/>
              <w:rPr>
                <w:sz w:val="20"/>
                <w:szCs w:val="20"/>
                <w:color w:val="auto"/>
              </w:rPr>
            </w:pPr>
            <w:r>
              <w:rPr>
                <w:rFonts w:ascii="Arial" w:cs="Arial" w:eastAsia="Arial" w:hAnsi="Arial"/>
                <w:sz w:val="17"/>
                <w:szCs w:val="17"/>
                <w:color w:val="auto"/>
                <w:w w:val="84"/>
              </w:rPr>
              <w:t>$</w:t>
            </w:r>
          </w:p>
        </w:tc>
        <w:tc>
          <w:tcPr>
            <w:tcW w:w="120" w:type="dxa"/>
            <w:vAlign w:val="bottom"/>
            <w:gridSpan w:val="2"/>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w w:val="99"/>
              </w:rPr>
              <w:t>155,275,503</w:t>
            </w:r>
          </w:p>
        </w:tc>
        <w:tc>
          <w:tcPr>
            <w:tcW w:w="32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16</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141,503</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3,072</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(1,652,800)</w:t>
            </w:r>
          </w:p>
        </w:tc>
        <w:tc>
          <w:tcPr>
            <w:tcW w:w="2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(1,508,209)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w w:val="97"/>
              </w:rPr>
              <w:t>Balance at December 31, 2017</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14"/>
              <w:spacing w:after="0"/>
              <w:rPr>
                <w:sz w:val="20"/>
                <w:szCs w:val="20"/>
                <w:color w:val="auto"/>
              </w:rPr>
            </w:pPr>
            <w:r>
              <w:rPr>
                <w:rFonts w:ascii="Arial" w:cs="Arial" w:eastAsia="Arial" w:hAnsi="Arial"/>
                <w:sz w:val="17"/>
                <w:szCs w:val="17"/>
                <w:color w:val="auto"/>
                <w:w w:val="84"/>
              </w:rPr>
              <w:t>$</w:t>
            </w:r>
          </w:p>
        </w:tc>
        <w:tc>
          <w:tcPr>
            <w:tcW w:w="12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w w:val="99"/>
              </w:rPr>
              <w:t>174,851,514</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644,328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w w:val="98"/>
              </w:rPr>
              <w:t>(1,960,715)</w:t>
            </w: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101,407</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w w:val="96"/>
              </w:rPr>
              <w:t>(1,207,142)</w:t>
            </w:r>
          </w:p>
        </w:tc>
        <w:tc>
          <w:tcPr>
            <w:tcW w:w="0" w:type="dxa"/>
            <w:vAlign w:val="bottom"/>
          </w:tcPr>
          <w:p>
            <w:pPr>
              <w:spacing w:after="0"/>
              <w:rPr>
                <w:sz w:val="1"/>
                <w:szCs w:val="1"/>
                <w:color w:val="auto"/>
              </w:rPr>
            </w:pPr>
          </w:p>
        </w:tc>
      </w:tr>
      <w:tr>
        <w:trPr>
          <w:trHeight w:val="213"/>
        </w:trPr>
        <w:tc>
          <w:tcPr>
            <w:tcW w:w="2180" w:type="dxa"/>
            <w:vAlign w:val="bottom"/>
            <w:gridSpan w:val="3"/>
          </w:tcPr>
          <w:p>
            <w:pPr>
              <w:spacing w:after="0"/>
              <w:rPr>
                <w:sz w:val="20"/>
                <w:szCs w:val="20"/>
                <w:color w:val="auto"/>
              </w:rPr>
            </w:pPr>
            <w:r>
              <w:rPr>
                <w:rFonts w:ascii="Arial" w:cs="Arial" w:eastAsia="Arial" w:hAnsi="Arial"/>
                <w:sz w:val="16"/>
                <w:szCs w:val="16"/>
                <w:color w:val="auto"/>
              </w:rPr>
              <w:t>Net income</w:t>
            </w: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9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Amortization of discount on</w:t>
            </w:r>
          </w:p>
        </w:tc>
        <w:tc>
          <w:tcPr>
            <w:tcW w:w="580" w:type="dxa"/>
            <w:vAlign w:val="bottom"/>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gridSpan w:val="2"/>
            <w:vMerge w:val="restart"/>
            <w:shd w:val="clear" w:color="auto" w:fill="CFF0FC"/>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7"/>
                <w:szCs w:val="17"/>
                <w:color w:val="auto"/>
              </w:rPr>
            </w:pPr>
          </w:p>
        </w:tc>
        <w:tc>
          <w:tcPr>
            <w:tcW w:w="98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7"/>
                <w:szCs w:val="17"/>
                <w:color w:val="auto"/>
              </w:rPr>
              <w:t>(745)</w:t>
            </w:r>
          </w:p>
        </w:tc>
        <w:tc>
          <w:tcPr>
            <w:tcW w:w="20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(745)</w:t>
            </w:r>
          </w:p>
        </w:tc>
        <w:tc>
          <w:tcPr>
            <w:tcW w:w="0" w:type="dxa"/>
            <w:vAlign w:val="bottom"/>
          </w:tcPr>
          <w:p>
            <w:pPr>
              <w:spacing w:after="0"/>
              <w:rPr>
                <w:sz w:val="1"/>
                <w:szCs w:val="1"/>
                <w:color w:val="auto"/>
              </w:rPr>
            </w:pPr>
          </w:p>
        </w:tc>
      </w:tr>
      <w:tr>
        <w:trPr>
          <w:trHeight w:val="202"/>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580" w:type="dxa"/>
            <w:vAlign w:val="bottom"/>
            <w:gridSpan w:val="3"/>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3"/>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80" w:type="dxa"/>
            <w:vAlign w:val="bottom"/>
            <w:gridSpan w:val="3"/>
          </w:tcPr>
          <w:p>
            <w:pPr>
              <w:spacing w:after="0"/>
              <w:rPr>
                <w:sz w:val="20"/>
                <w:szCs w:val="20"/>
                <w:color w:val="auto"/>
              </w:rPr>
            </w:pPr>
            <w:r>
              <w:rPr>
                <w:rFonts w:ascii="Arial" w:cs="Arial" w:eastAsia="Arial" w:hAnsi="Arial"/>
                <w:sz w:val="16"/>
                <w:szCs w:val="16"/>
                <w:color w:val="auto"/>
              </w:rPr>
              <w:t>Other comprehensive income</w:t>
            </w: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gridSpan w:val="2"/>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38,914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Common stock dividends</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(105,069)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(105,069)</w:t>
            </w:r>
          </w:p>
        </w:tc>
        <w:tc>
          <w:tcPr>
            <w:tcW w:w="0" w:type="dxa"/>
            <w:vAlign w:val="bottom"/>
          </w:tcPr>
          <w:p>
            <w:pPr>
              <w:spacing w:after="0"/>
              <w:rPr>
                <w:sz w:val="1"/>
                <w:szCs w:val="1"/>
                <w:color w:val="auto"/>
              </w:rPr>
            </w:pPr>
          </w:p>
        </w:tc>
      </w:tr>
      <w:tr>
        <w:trPr>
          <w:trHeight w:val="199"/>
        </w:trPr>
        <w:tc>
          <w:tcPr>
            <w:tcW w:w="2180" w:type="dxa"/>
            <w:vAlign w:val="bottom"/>
            <w:gridSpan w:val="3"/>
          </w:tcPr>
          <w:p>
            <w:pPr>
              <w:spacing w:after="0"/>
              <w:rPr>
                <w:sz w:val="20"/>
                <w:szCs w:val="20"/>
                <w:color w:val="auto"/>
              </w:rPr>
            </w:pPr>
            <w:r>
              <w:rPr>
                <w:rFonts w:ascii="Arial" w:cs="Arial" w:eastAsia="Arial" w:hAnsi="Arial"/>
                <w:sz w:val="16"/>
                <w:szCs w:val="16"/>
                <w:color w:val="auto"/>
              </w:rPr>
              <w:t>Distributions to noncontrolling</w:t>
            </w:r>
          </w:p>
        </w:tc>
        <w:tc>
          <w:tcPr>
            <w:tcW w:w="58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gridSpan w:val="2"/>
            <w:vMerge w:val="restart"/>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7"/>
                <w:szCs w:val="17"/>
                <w:color w:val="auto"/>
              </w:rPr>
            </w:pPr>
          </w:p>
        </w:tc>
        <w:tc>
          <w:tcPr>
            <w:tcW w:w="98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(2,479)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(2,479)</w:t>
            </w:r>
          </w:p>
        </w:tc>
        <w:tc>
          <w:tcPr>
            <w:tcW w:w="0" w:type="dxa"/>
            <w:vAlign w:val="bottom"/>
          </w:tcPr>
          <w:p>
            <w:pPr>
              <w:spacing w:after="0"/>
              <w:rPr>
                <w:sz w:val="1"/>
                <w:szCs w:val="1"/>
                <w:color w:val="auto"/>
              </w:rPr>
            </w:pPr>
          </w:p>
        </w:tc>
      </w:tr>
      <w:tr>
        <w:trPr>
          <w:trHeight w:val="202"/>
        </w:trPr>
        <w:tc>
          <w:tcPr>
            <w:tcW w:w="2180" w:type="dxa"/>
            <w:vAlign w:val="bottom"/>
            <w:gridSpan w:val="3"/>
          </w:tcPr>
          <w:p>
            <w:pPr>
              <w:spacing w:after="0"/>
              <w:rPr>
                <w:sz w:val="20"/>
                <w:szCs w:val="20"/>
                <w:color w:val="auto"/>
              </w:rPr>
            </w:pPr>
            <w:r>
              <w:rPr>
                <w:rFonts w:ascii="Arial" w:cs="Arial" w:eastAsia="Arial" w:hAnsi="Arial"/>
                <w:sz w:val="16"/>
                <w:szCs w:val="16"/>
                <w:color w:val="auto"/>
              </w:rPr>
              <w:t>interest</w:t>
            </w:r>
          </w:p>
        </w:tc>
        <w:tc>
          <w:tcPr>
            <w:tcW w:w="5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580" w:type="dxa"/>
            <w:vAlign w:val="bottom"/>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gridSpan w:val="2"/>
            <w:vMerge w:val="restart"/>
            <w:shd w:val="clear" w:color="auto" w:fill="CFF0FC"/>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7"/>
                <w:szCs w:val="17"/>
                <w:color w:val="auto"/>
              </w:rPr>
            </w:pPr>
          </w:p>
        </w:tc>
        <w:tc>
          <w:tcPr>
            <w:tcW w:w="98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(656)</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02"/>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dividends</w:t>
            </w:r>
          </w:p>
        </w:tc>
        <w:tc>
          <w:tcPr>
            <w:tcW w:w="580" w:type="dxa"/>
            <w:vAlign w:val="bottom"/>
            <w:gridSpan w:val="3"/>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gridSpan w:val="3"/>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vMerge w:val="continue"/>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80" w:type="dxa"/>
            <w:vAlign w:val="bottom"/>
            <w:gridSpan w:val="3"/>
          </w:tcPr>
          <w:p>
            <w:pPr>
              <w:spacing w:after="0"/>
              <w:rPr>
                <w:sz w:val="20"/>
                <w:szCs w:val="20"/>
                <w:color w:val="auto"/>
              </w:rPr>
            </w:pPr>
            <w:r>
              <w:rPr>
                <w:rFonts w:ascii="Arial" w:cs="Arial" w:eastAsia="Arial" w:hAnsi="Arial"/>
                <w:sz w:val="16"/>
                <w:szCs w:val="16"/>
                <w:color w:val="auto"/>
              </w:rPr>
              <w:t>Net share settlement</w:t>
            </w: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gridSpan w:val="2"/>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(390)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(269)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(659)</w:t>
            </w:r>
          </w:p>
        </w:tc>
        <w:tc>
          <w:tcPr>
            <w:tcW w:w="0" w:type="dxa"/>
            <w:vAlign w:val="bottom"/>
          </w:tcPr>
          <w:p>
            <w:pPr>
              <w:spacing w:after="0"/>
              <w:rPr>
                <w:sz w:val="1"/>
                <w:szCs w:val="1"/>
                <w:color w:val="auto"/>
              </w:rPr>
            </w:pPr>
          </w:p>
        </w:tc>
      </w:tr>
      <w:tr>
        <w:trPr>
          <w:trHeight w:val="220"/>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118,132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180" w:type="dxa"/>
            <w:vAlign w:val="bottom"/>
            <w:gridSpan w:val="3"/>
          </w:tcPr>
          <w:p>
            <w:pPr>
              <w:spacing w:after="0"/>
              <w:rPr>
                <w:sz w:val="20"/>
                <w:szCs w:val="20"/>
                <w:color w:val="auto"/>
              </w:rPr>
            </w:pPr>
            <w:r>
              <w:rPr>
                <w:rFonts w:ascii="Arial" w:cs="Arial" w:eastAsia="Arial" w:hAnsi="Arial"/>
                <w:sz w:val="16"/>
                <w:szCs w:val="16"/>
                <w:color w:val="auto"/>
                <w:w w:val="97"/>
              </w:rPr>
              <w:t>Impact of change in accounting</w:t>
            </w:r>
          </w:p>
        </w:tc>
        <w:tc>
          <w:tcPr>
            <w:tcW w:w="580" w:type="dxa"/>
            <w:vAlign w:val="bottom"/>
            <w:gridSpan w:val="3"/>
            <w:vMerge w:val="restart"/>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gridSpan w:val="2"/>
            <w:vMerge w:val="restart"/>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7"/>
                <w:szCs w:val="17"/>
                <w:color w:val="auto"/>
              </w:rPr>
            </w:pPr>
          </w:p>
        </w:tc>
        <w:tc>
          <w:tcPr>
            <w:tcW w:w="98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1,859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1,859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Borders>
              <w:bottom w:val="single" w:sz="8" w:color="CFF0FC"/>
            </w:tcBorders>
            <w:gridSpan w:val="3"/>
          </w:tcPr>
          <w:p>
            <w:pPr>
              <w:spacing w:after="0"/>
              <w:rPr>
                <w:sz w:val="20"/>
                <w:szCs w:val="20"/>
                <w:color w:val="auto"/>
              </w:rPr>
            </w:pPr>
            <w:r>
              <w:rPr>
                <w:rFonts w:ascii="Arial" w:cs="Arial" w:eastAsia="Arial" w:hAnsi="Arial"/>
                <w:sz w:val="16"/>
                <w:szCs w:val="16"/>
                <w:color w:val="auto"/>
              </w:rPr>
              <w:t>standard</w:t>
            </w:r>
          </w:p>
        </w:tc>
        <w:tc>
          <w:tcPr>
            <w:tcW w:w="580" w:type="dxa"/>
            <w:vAlign w:val="bottom"/>
            <w:tcBorders>
              <w:bottom w:val="single" w:sz="8" w:color="auto"/>
            </w:tcBorders>
            <w:gridSpan w:val="3"/>
            <w:vMerge w:val="continue"/>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gridSpan w:val="3"/>
            <w:vMerge w:val="continue"/>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Balance at March 31, 2018</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14"/>
              <w:spacing w:after="0"/>
              <w:rPr>
                <w:sz w:val="20"/>
                <w:szCs w:val="20"/>
                <w:color w:val="auto"/>
              </w:rPr>
            </w:pPr>
            <w:r>
              <w:rPr>
                <w:rFonts w:ascii="Arial" w:cs="Arial" w:eastAsia="Arial" w:hAnsi="Arial"/>
                <w:sz w:val="17"/>
                <w:szCs w:val="17"/>
                <w:color w:val="auto"/>
                <w:w w:val="84"/>
              </w:rPr>
              <w:t>$</w:t>
            </w:r>
          </w:p>
        </w:tc>
        <w:tc>
          <w:tcPr>
            <w:tcW w:w="12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w w:val="99"/>
              </w:rPr>
              <w:t>174,969,646</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645,403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46,735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w w:val="98"/>
              </w:rPr>
              <w:t>(2,063,640)</w:t>
            </w:r>
          </w:p>
        </w:tc>
        <w:tc>
          <w:tcPr>
            <w:tcW w:w="24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99,868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w w:val="96"/>
              </w:rPr>
              <w:t>(1,271,617)</w:t>
            </w:r>
          </w:p>
        </w:tc>
        <w:tc>
          <w:tcPr>
            <w:tcW w:w="0" w:type="dxa"/>
            <w:vAlign w:val="bottom"/>
          </w:tcPr>
          <w:p>
            <w:pPr>
              <w:spacing w:after="0"/>
              <w:rPr>
                <w:sz w:val="1"/>
                <w:szCs w:val="1"/>
                <w:color w:val="auto"/>
              </w:rPr>
            </w:pP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25"/>
        </w:trPr>
        <w:tc>
          <w:tcPr>
            <w:tcW w:w="73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Cash flow from operating activities</w:t>
            </w:r>
          </w:p>
        </w:tc>
        <w:tc>
          <w:tcPr>
            <w:tcW w:w="14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spacing w:after="0"/>
              <w:rPr>
                <w:sz w:val="20"/>
                <w:szCs w:val="20"/>
                <w:color w:val="auto"/>
              </w:rPr>
            </w:pPr>
            <w:r>
              <w:rPr>
                <w:rFonts w:ascii="Arial" w:cs="Arial" w:eastAsia="Arial" w:hAnsi="Arial"/>
                <w:sz w:val="17"/>
                <w:szCs w:val="17"/>
                <w:color w:val="auto"/>
              </w:rPr>
              <w:t>Net income (loss)</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1,231</w:t>
            </w:r>
          </w:p>
        </w:tc>
        <w:tc>
          <w:tcPr>
            <w:tcW w:w="260" w:type="dxa"/>
            <w:vAlign w:val="bottom"/>
          </w:tcPr>
          <w:p>
            <w:pPr>
              <w:spacing w:after="0"/>
              <w:rPr>
                <w:sz w:val="19"/>
                <w:szCs w:val="19"/>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Depreciation and amortization</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114,721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101,361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Amortization of deferred financing costs and debt discount</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Deferred income taxes</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(1,502)</w:t>
            </w: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(1,002)</w:t>
            </w: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Straight-line revenues</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(4,592)</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(3,629)</w:t>
            </w: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Stock-based compensation</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2,210</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Change in fair value of contingent consideration</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(3,864)</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Other</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921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Changes in assets and liabilities, net of acquisitions: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360"/>
              <w:spacing w:after="0"/>
              <w:rPr>
                <w:sz w:val="20"/>
                <w:szCs w:val="20"/>
                <w:color w:val="auto"/>
              </w:rPr>
            </w:pPr>
            <w:r>
              <w:rPr>
                <w:rFonts w:ascii="Arial" w:cs="Arial" w:eastAsia="Arial" w:hAnsi="Arial"/>
                <w:sz w:val="17"/>
                <w:szCs w:val="17"/>
                <w:color w:val="auto"/>
              </w:rPr>
              <w:t>Accounts receivable</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6,409</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Other assets</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(4,621)</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(1,626)</w:t>
            </w:r>
          </w:p>
        </w:tc>
        <w:tc>
          <w:tcPr>
            <w:tcW w:w="0" w:type="dxa"/>
            <w:vAlign w:val="bottom"/>
          </w:tcPr>
          <w:p>
            <w:pPr>
              <w:spacing w:after="0"/>
              <w:rPr>
                <w:sz w:val="1"/>
                <w:szCs w:val="1"/>
                <w:color w:val="auto"/>
              </w:rPr>
            </w:pPr>
          </w:p>
        </w:tc>
      </w:tr>
      <w:tr>
        <w:trPr>
          <w:trHeight w:val="220"/>
        </w:trPr>
        <w:tc>
          <w:tcPr>
            <w:tcW w:w="7360" w:type="dxa"/>
            <w:vAlign w:val="bottom"/>
            <w:tcBorders>
              <w:bottom w:val="single" w:sz="8" w:color="CFF0FC"/>
            </w:tcBorders>
            <w:gridSpan w:val="2"/>
          </w:tcPr>
          <w:p>
            <w:pPr>
              <w:ind w:left="360"/>
              <w:spacing w:after="0"/>
              <w:rPr>
                <w:sz w:val="20"/>
                <w:szCs w:val="20"/>
                <w:color w:val="auto"/>
              </w:rPr>
            </w:pPr>
            <w:r>
              <w:rPr>
                <w:rFonts w:ascii="Arial" w:cs="Arial" w:eastAsia="Arial" w:hAnsi="Arial"/>
                <w:sz w:val="17"/>
                <w:szCs w:val="17"/>
                <w:color w:val="auto"/>
              </w:rPr>
              <w:t>Accounts payable, accrued expenses and other liabilities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39,919</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156,866</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128,202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spacing w:after="0"/>
              <w:rPr>
                <w:sz w:val="20"/>
                <w:szCs w:val="20"/>
                <w:color w:val="auto"/>
              </w:rPr>
            </w:pPr>
            <w:r>
              <w:rPr>
                <w:rFonts w:ascii="Arial" w:cs="Arial" w:eastAsia="Arial" w:hAnsi="Arial"/>
                <w:sz w:val="17"/>
                <w:szCs w:val="17"/>
                <w:b w:val="1"/>
                <w:bCs w:val="1"/>
                <w:color w:val="auto"/>
              </w:rPr>
              <w:t>Cash flow from investing activities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Acquisition of businesses, net of cash acquired</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Acquisition of ground lease investments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(7,191)</w:t>
            </w: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NMS asset acquisitions (Note 4)</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(962)</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(64,622)</w:t>
            </w: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Capital expenditures - other</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(51,143)</w:t>
            </w: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(14,931)</w:t>
            </w: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Net cash used in investing activities</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60" w:type="dxa"/>
            <w:vAlign w:val="bottom"/>
            <w:gridSpan w:val="2"/>
            <w:vMerge w:val="continue"/>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(52,105)</w:t>
            </w:r>
          </w:p>
        </w:tc>
        <w:tc>
          <w:tcPr>
            <w:tcW w:w="4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(86,496)</w:t>
            </w:r>
          </w:p>
        </w:tc>
        <w:tc>
          <w:tcPr>
            <w:tcW w:w="0" w:type="dxa"/>
            <w:vAlign w:val="bottom"/>
          </w:tcPr>
          <w:p>
            <w:pPr>
              <w:spacing w:after="0"/>
              <w:rPr>
                <w:sz w:val="1"/>
                <w:szCs w:val="1"/>
                <w:color w:val="auto"/>
              </w:rPr>
            </w:pPr>
          </w:p>
        </w:tc>
      </w:tr>
      <w:tr>
        <w:trPr>
          <w:trHeight w:val="220"/>
        </w:trPr>
        <w:tc>
          <w:tcPr>
            <w:tcW w:w="7360" w:type="dxa"/>
            <w:vAlign w:val="bottom"/>
            <w:gridSpan w:val="2"/>
          </w:tcPr>
          <w:p>
            <w:pPr>
              <w:spacing w:after="0"/>
              <w:rPr>
                <w:sz w:val="20"/>
                <w:szCs w:val="20"/>
                <w:color w:val="auto"/>
              </w:rPr>
            </w:pPr>
            <w:r>
              <w:rPr>
                <w:rFonts w:ascii="Arial" w:cs="Arial" w:eastAsia="Arial" w:hAnsi="Arial"/>
                <w:sz w:val="17"/>
                <w:szCs w:val="17"/>
                <w:b w:val="1"/>
                <w:bCs w:val="1"/>
                <w:color w:val="auto"/>
              </w:rPr>
              <w:t>Cash flow from financing activities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Principal payments on debt</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(5,270)</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(5,270)</w:t>
            </w: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Dividends paid</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(105,920)</w:t>
            </w: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(94,133)</w:t>
            </w: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Payments of contingent consideration</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(12,662)</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(18,791)</w:t>
            </w: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Distributions paid to noncontrolling interest</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(2,479)</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Borrowings under revolving credit facility</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70,000</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Payments under revolving credit facility</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(50,000)</w:t>
            </w: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Capital lease payments</w:t>
            </w:r>
          </w:p>
        </w:tc>
        <w:tc>
          <w:tcPr>
            <w:tcW w:w="4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(899)</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(672)</w:t>
            </w: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Deferred financing costs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(24,418)</w:t>
            </w:r>
          </w:p>
        </w:tc>
        <w:tc>
          <w:tcPr>
            <w:tcW w:w="0" w:type="dxa"/>
            <w:vAlign w:val="bottom"/>
          </w:tcPr>
          <w:p>
            <w:pPr>
              <w:spacing w:after="0"/>
              <w:rPr>
                <w:sz w:val="1"/>
                <w:szCs w:val="1"/>
                <w:color w:val="auto"/>
              </w:rPr>
            </w:pPr>
          </w:p>
        </w:tc>
      </w:tr>
      <w:tr>
        <w:trPr>
          <w:trHeight w:val="220"/>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Common stock issuance, net of costs</w:t>
            </w:r>
          </w:p>
        </w:tc>
        <w:tc>
          <w:tcPr>
            <w:tcW w:w="4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0"/>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Net share settlement</w:t>
            </w:r>
          </w:p>
        </w:tc>
        <w:tc>
          <w:tcPr>
            <w:tcW w:w="44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(658)</w:t>
            </w:r>
          </w:p>
        </w:tc>
        <w:tc>
          <w:tcPr>
            <w:tcW w:w="4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(1,690)</w:t>
            </w:r>
          </w:p>
        </w:tc>
        <w:tc>
          <w:tcPr>
            <w:tcW w:w="0" w:type="dxa"/>
            <w:vAlign w:val="bottom"/>
          </w:tcPr>
          <w:p>
            <w:pPr>
              <w:spacing w:after="0"/>
              <w:rPr>
                <w:sz w:val="1"/>
                <w:szCs w:val="1"/>
                <w:color w:val="auto"/>
              </w:rPr>
            </w:pPr>
          </w:p>
        </w:tc>
      </w:tr>
      <w:tr>
        <w:trPr>
          <w:trHeight w:val="20"/>
        </w:trPr>
        <w:tc>
          <w:tcPr>
            <w:tcW w:w="736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Net cash used in financing activities</w:t>
            </w: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60" w:type="dxa"/>
            <w:vAlign w:val="bottom"/>
            <w:gridSpan w:val="2"/>
            <w:vMerge w:val="continue"/>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(107,888)</w:t>
            </w:r>
          </w:p>
        </w:tc>
        <w:tc>
          <w:tcPr>
            <w:tcW w:w="4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(145,028)</w:t>
            </w:r>
          </w:p>
        </w:tc>
        <w:tc>
          <w:tcPr>
            <w:tcW w:w="0" w:type="dxa"/>
            <w:vAlign w:val="bottom"/>
          </w:tcPr>
          <w:p>
            <w:pPr>
              <w:spacing w:after="0"/>
              <w:rPr>
                <w:sz w:val="1"/>
                <w:szCs w:val="1"/>
                <w:color w:val="auto"/>
              </w:rPr>
            </w:pPr>
          </w:p>
        </w:tc>
      </w:tr>
      <w:tr>
        <w:trPr>
          <w:trHeight w:val="220"/>
        </w:trPr>
        <w:tc>
          <w:tcPr>
            <w:tcW w:w="73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Effect of exchange rates on cash and cash equivalents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decrease in cash and cash equivalents</w:t>
            </w:r>
          </w:p>
        </w:tc>
        <w:tc>
          <w:tcPr>
            <w:tcW w:w="4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(2,864)</w:t>
            </w:r>
          </w:p>
        </w:tc>
        <w:tc>
          <w:tcPr>
            <w:tcW w:w="4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(103,028)</w:t>
            </w:r>
          </w:p>
        </w:tc>
        <w:tc>
          <w:tcPr>
            <w:tcW w:w="0" w:type="dxa"/>
            <w:vAlign w:val="bottom"/>
          </w:tcPr>
          <w:p>
            <w:pPr>
              <w:spacing w:after="0"/>
              <w:rPr>
                <w:sz w:val="1"/>
                <w:szCs w:val="1"/>
                <w:color w:val="auto"/>
              </w:rPr>
            </w:pPr>
          </w:p>
        </w:tc>
      </w:tr>
      <w:tr>
        <w:trPr>
          <w:trHeight w:val="220"/>
        </w:trPr>
        <w:tc>
          <w:tcPr>
            <w:tcW w:w="73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Cash and cash equivalents at beginning of period</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59,765</w:t>
            </w:r>
          </w:p>
        </w:tc>
        <w:tc>
          <w:tcPr>
            <w:tcW w:w="2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171,754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440" w:type="dxa"/>
            <w:vAlign w:val="bottom"/>
            <w:tcBorders>
              <w:bottom w:val="single" w:sz="8" w:color="auto"/>
            </w:tcBorders>
            <w:shd w:val="clear" w:color="auto" w:fill="CFF0FC"/>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56,901</w:t>
            </w:r>
          </w:p>
        </w:tc>
        <w:tc>
          <w:tcPr>
            <w:tcW w:w="26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68,726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36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3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Property and equipment acquired but not yet paid</w:t>
            </w:r>
          </w:p>
        </w:tc>
        <w:tc>
          <w:tcPr>
            <w:tcW w:w="440" w:type="dxa"/>
            <w:vAlign w:val="bottom"/>
            <w:shd w:val="clear" w:color="auto" w:fill="CFF0FC"/>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18,078</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4,013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360" w:type="dxa"/>
            <w:vAlign w:val="bottom"/>
            <w:gridSpan w:val="2"/>
          </w:tcPr>
          <w:p>
            <w:pPr>
              <w:ind w:left="240"/>
              <w:spacing w:after="0"/>
              <w:rPr>
                <w:sz w:val="20"/>
                <w:szCs w:val="20"/>
                <w:color w:val="auto"/>
              </w:rPr>
            </w:pPr>
            <w:r>
              <w:rPr>
                <w:rFonts w:ascii="Arial" w:cs="Arial" w:eastAsia="Arial" w:hAnsi="Arial"/>
                <w:sz w:val="17"/>
                <w:szCs w:val="17"/>
                <w:color w:val="auto"/>
              </w:rPr>
              <w:t>Tenant capital improvements</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47,352</w:t>
            </w:r>
          </w:p>
        </w:tc>
        <w:tc>
          <w:tcPr>
            <w:tcW w:w="260" w:type="dxa"/>
            <w:vAlign w:val="bottom"/>
          </w:tcPr>
          <w:p>
            <w:pPr>
              <w:spacing w:after="0"/>
              <w:rPr>
                <w:sz w:val="20"/>
                <w:szCs w:val="20"/>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33,824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and Description of Business</w:t>
      </w:r>
    </w:p>
    <w:p>
      <w:pPr>
        <w:spacing w:after="0" w:line="22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Uniti Group Inc. (the “Company,” “Uniti,” “we,” “us,” or “our”), formerly known as Communications Sales &amp; Leasing, Inc., was incorporated in the state of Delaware in February 2014 and reorganized in the state of Maryland on September 4, 2014. We are an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We manage our operations in four separate lines of business: Uniti Fiber, Uniti Towers, Uniti Leasing, and the Consumer CLEC Business.</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We are the sole general partner of the Operating Partnership and own approximately 97.7% of the partnership interests in the Operating Partnership as of March 31, 2018 and December 31, 2017,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Basis of Presentation and Summary of Significant Accounting Policies</w:t>
      </w:r>
    </w:p>
    <w:p>
      <w:pPr>
        <w:spacing w:after="0" w:line="224"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its wholly-owned and/or controlled subsidiaries, which consist of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by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70"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2017 (“Annual Report”), filed with the SEC on March 1, 2018. Accordingly, significant accounting policies and other disclosures normally provided have been omitted from the accompanying Condensed Consolidated Financial Statements and related notes since such items are disclosed in our Annual Report.</w:t>
      </w:r>
    </w:p>
    <w:p>
      <w:pPr>
        <w:spacing w:after="0" w:line="159" w:lineRule="exact"/>
        <w:rPr>
          <w:sz w:val="20"/>
          <w:szCs w:val="20"/>
          <w:color w:val="auto"/>
        </w:rPr>
      </w:pPr>
    </w:p>
    <w:p>
      <w:pPr>
        <w:ind w:right="440"/>
        <w:spacing w:after="0" w:line="283" w:lineRule="auto"/>
        <w:rPr>
          <w:sz w:val="20"/>
          <w:szCs w:val="20"/>
          <w:color w:val="auto"/>
        </w:rPr>
      </w:pPr>
      <w:r>
        <w:rPr>
          <w:rFonts w:ascii="Arial" w:cs="Arial" w:eastAsia="Arial" w:hAnsi="Arial"/>
          <w:sz w:val="17"/>
          <w:szCs w:val="17"/>
          <w:u w:val="single" w:color="auto"/>
          <w:color w:val="auto"/>
        </w:rPr>
        <w:t>Concentration of Credit Risks</w:t>
      </w:r>
      <w:r>
        <w:rPr>
          <w:rFonts w:ascii="Arial" w:cs="Arial" w:eastAsia="Arial" w:hAnsi="Arial"/>
          <w:sz w:val="17"/>
          <w:szCs w:val="17"/>
          <w:color w:val="auto"/>
        </w:rPr>
        <w:t>—We are party to a Master Lease agreement with from Windstream Holdings, Inc. (“Windstream Holdings” and together with its subsidiaries, “Windstream”) from which substantially all of Uniti’s leasing revenues and operating</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cash flows are currently derived. Revenue under the Master Lease provided 70.0% and 80.5% of our revenue for the three months ended March 31, 2018 and 2017, respectively. Because a substantial portion of our revenue and cash flows are derived from lease payments by Windstream pursuant to the Master Lease, there could be a material adverse impact on our consolidated results of operations, liquidity, financial condition and/or ability to pay dividends and service debt if Windstream were to default under the Master Lease or otherwise experiences operating or liquidity difficulties and becomes unable to generate sufficient cash to make payments to us. In recent years, Windstream has experienced annual declines in its total revenue, sales and cash flow, and has had its credit ratings downgraded by nationally recognized credit rating agencies. Most recently, Windstream is involved in litigation with an entity who acquired certain Windstream debt securities and immediately claimed an “event of default” under such securities relating to our spin-off from Windstream. On December 7, 2017, the entity issued a notice of acceleration to Windstream claiming that the principal amount, along with accrued interest, of such securities was due and payable immediately. Windstream is challenging the matter in federal court and a trial date has been scheduled for July 23, 2018. If Windstream receives a final, unappealable adverse ruling, an “event of default” would be declared. An actual “event of default” would trigger cross-default provisions in Windstream’s other debt instruments, including Windstream Services’ existing credit facility, which, in turn, would trigger a default under the Master Lease. If an adverse outcome occurs with respect to this matter and Windstream does not have the ability to pay under the Master Lease, there could be a material adverse impact to us as disclosed above.</w:t>
      </w:r>
    </w:p>
    <w:p>
      <w:pPr>
        <w:spacing w:after="0" w:line="160"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ongoing litigation and news reports regarding Windstream and its businesses, (iv) conducting research to ascertain industry trends potentially affecting Windstream, and (v) monitoring the timeliness of its lease payments.</w:t>
      </w:r>
    </w:p>
    <w:p>
      <w:pPr>
        <w:spacing w:after="0" w:line="177"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Windstream is a publicly traded company and is subject to the periodic filing requirements of the Securities Exchange Act of 1934, as amended. Windstream filings can be found at www.sec.gov. Windstream filings are not incorporated by reference in this Quarterly Report on Form 10-Q.</w:t>
      </w:r>
    </w:p>
    <w:p>
      <w:pPr>
        <w:spacing w:after="0" w:line="159" w:lineRule="exact"/>
        <w:rPr>
          <w:sz w:val="20"/>
          <w:szCs w:val="20"/>
          <w:color w:val="auto"/>
        </w:rPr>
      </w:pPr>
    </w:p>
    <w:p>
      <w:pPr>
        <w:ind w:right="180"/>
        <w:spacing w:after="0" w:line="300" w:lineRule="auto"/>
        <w:rPr>
          <w:sz w:val="20"/>
          <w:szCs w:val="20"/>
          <w:color w:val="auto"/>
        </w:rPr>
      </w:pPr>
      <w:r>
        <w:rPr>
          <w:rFonts w:ascii="Arial" w:cs="Arial" w:eastAsia="Arial" w:hAnsi="Arial"/>
          <w:sz w:val="15"/>
          <w:szCs w:val="15"/>
          <w:u w:val="single" w:color="auto"/>
          <w:color w:val="auto"/>
        </w:rPr>
        <w:t>Income Taxes</w:t>
      </w:r>
      <w:r>
        <w:rPr>
          <w:rFonts w:ascii="Arial" w:cs="Arial" w:eastAsia="Arial" w:hAnsi="Arial"/>
          <w:sz w:val="15"/>
          <w:szCs w:val="15"/>
          <w:color w:val="auto"/>
        </w:rPr>
        <w:t>—The Tax Cuts and Jobs Act (“Tax Bill”) was enacted on December 22, 2017. The Tax Bill reduces the U.S. federal corporate tax rate from 35% to 21%, requires companies to pay a one-time transition tax on earnings of certain foreign subsidiaries that were previously tax deferred and creates new taxes on certain foreign sourced earnings. Consistent with Staff Accounting Bulletin No. 118 issued by the SEC, which provides for a measurement period of one year from the enactment date to finalize the accounting for effects of the Tax Bill, the Company provisionally recorded income tax benefit of $17.0 million related to the Tax Bill in the fourth quarter of 2017. As of March 31, 2018, we have not yet completed our accounting for the tax effects of the enactment of the Tax Bill. Future regulatory and rulemaking interpretations or other guidance clarifying provisions of the Tax Bill could affect the Company’s analysis and tax position.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Reclassifications</w:t>
      </w:r>
      <w:r>
        <w:rPr>
          <w:rFonts w:ascii="Arial" w:cs="Arial" w:eastAsia="Arial" w:hAnsi="Arial"/>
          <w:sz w:val="17"/>
          <w:szCs w:val="17"/>
          <w:color w:val="auto"/>
        </w:rPr>
        <w:t>—Certain prior year asset categories and related amounts in Note 6 have been reclassified to conform with current year presentation.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Recently Issued Accounting Standards</w:t>
      </w:r>
    </w:p>
    <w:p>
      <w:pPr>
        <w:spacing w:after="0" w:line="21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August 2017, the FASB issued Accounting Standards Update (“ASU”) No. 2017-12</w:t>
      </w:r>
      <w:r>
        <w:rPr>
          <w:rFonts w:ascii="Arial" w:cs="Arial" w:eastAsia="Arial" w:hAnsi="Arial"/>
          <w:sz w:val="17"/>
          <w:szCs w:val="17"/>
          <w:i w:val="1"/>
          <w:iCs w:val="1"/>
          <w:color w:val="auto"/>
        </w:rPr>
        <w:t>, Derivatives and Hedging (Topic 815): Targeted Improvements to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Hedging Activities </w:t>
      </w:r>
      <w:r>
        <w:rPr>
          <w:rFonts w:ascii="Arial" w:cs="Arial" w:eastAsia="Arial" w:hAnsi="Arial"/>
          <w:sz w:val="17"/>
          <w:szCs w:val="17"/>
          <w:color w:val="auto"/>
        </w:rPr>
        <w:t>(“ASU 2017-12”), which amends and simplifies existing guidance in order to allow companies to more accurately present the economic</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of risk management activities in the financial statements. ASU 2017-12 is effective for annual periods beginning after December 15, 2018 and interim periods within those annual periods, and earlier adoption is permitted. We adopted ASU 2017-12 effective January 1, 2018, and there was no material impact on our financial position.</w:t>
      </w:r>
    </w:p>
    <w:p>
      <w:pPr>
        <w:spacing w:after="0" w:line="17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 - 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Asset Derecognition Guidance and Accounting for Partial Sales of Nonfinancial Assets </w:t>
      </w:r>
      <w:r>
        <w:rPr>
          <w:rFonts w:ascii="Arial" w:cs="Arial" w:eastAsia="Arial" w:hAnsi="Arial"/>
          <w:sz w:val="17"/>
          <w:szCs w:val="17"/>
          <w:color w:val="auto"/>
        </w:rPr>
        <w:t>(“ASU 2017-05”), which provides guidance for</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recognizing gains and losses from the transfer of nonfinancial assets and for partial sales of nonfinancial assets, and is effective for financial statements issued for fiscal years and interim periods beginning after December 15, 2017. We adopted ASU 2017-05 effective January 1, 2018, using the modified retrospective approach and there was no material impact on our financial position.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Statement of Cash Flows (Topic 230): Classification of Certain Cash Receipts and Cash Payments</w:t>
      </w:r>
      <w:r>
        <w:rPr>
          <w:rFonts w:ascii="Arial" w:cs="Arial" w:eastAsia="Arial" w:hAnsi="Arial"/>
          <w:sz w:val="15"/>
          <w:szCs w:val="15"/>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w:t>
      </w:r>
    </w:p>
    <w:p>
      <w:pPr>
        <w:ind w:right="480"/>
        <w:spacing w:after="0" w:line="267" w:lineRule="auto"/>
        <w:rPr>
          <w:sz w:val="20"/>
          <w:szCs w:val="20"/>
          <w:color w:val="auto"/>
        </w:rPr>
      </w:pPr>
      <w:r>
        <w:rPr>
          <w:rFonts w:ascii="Arial" w:cs="Arial" w:eastAsia="Arial" w:hAnsi="Arial"/>
          <w:sz w:val="17"/>
          <w:szCs w:val="17"/>
          <w:color w:val="auto"/>
        </w:rPr>
        <w:t>The new guidance is effective for the fiscal years beginning after December 15, 2017, and interim periods within those fiscal years. We adopted ASU 2016-15 effective January 1, 2018, and there was no material impact on our financial position.</w:t>
      </w:r>
    </w:p>
    <w:p>
      <w:pPr>
        <w:spacing w:after="0" w:line="173" w:lineRule="exact"/>
        <w:rPr>
          <w:sz w:val="20"/>
          <w:szCs w:val="20"/>
          <w:color w:val="auto"/>
        </w:rPr>
      </w:pPr>
    </w:p>
    <w:p>
      <w:pPr>
        <w:ind w:right="40"/>
        <w:spacing w:after="0" w:line="259" w:lineRule="auto"/>
        <w:rPr>
          <w:rFonts w:ascii="Arial" w:cs="Arial" w:eastAsia="Arial" w:hAnsi="Arial"/>
          <w:sz w:val="17"/>
          <w:szCs w:val="17"/>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(“Topic 606”).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Topic 606 is effective for annual periods beginning after December 15, 2017 and interim periods within those annual periods. We adopted Topic 606 as of January 1, 2018 using the modified retrospective transition method. </w:t>
      </w:r>
      <w:hyperlink w:anchor="page13">
        <w:r>
          <w:rPr>
            <w:rFonts w:ascii="Arial" w:cs="Arial" w:eastAsia="Arial" w:hAnsi="Arial"/>
            <w:sz w:val="17"/>
            <w:szCs w:val="17"/>
            <w:u w:val="single" w:color="auto"/>
            <w:color w:val="0000EE"/>
          </w:rPr>
          <w:t>See Note 3</w:t>
        </w:r>
      </w:hyperlink>
      <w:r>
        <w:rPr>
          <w:rFonts w:ascii="Arial" w:cs="Arial" w:eastAsia="Arial" w:hAnsi="Arial"/>
          <w:sz w:val="17"/>
          <w:szCs w:val="17"/>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which sets out the principles for the recognition, measurement, presentation and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disclosure of leases for both parties to a contract (i.e. lessees and lessors). The new standard requires lessees to apply a dual approach, classifying leases as either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finance or operating leases based on the principle of whether or not the lease is effectively a financed purchase by the lessee. This classification will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determine whether lease expense is recognized based on an effective interest method or on a straight line basis over the term of the lease, respectively. A lessee is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also required to record a right-of-use asset and a lease liability for all leases with a term of greater than 12 months regardless of their classification. Leases with a</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term of 12 months or less will be accounted for similar to existing guidance for operating leases today. The provisions of this guidance are effective for annual</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periods beginning after December 31, 2018, and for interim periods therein. The Company is currently evaluating this guidance to determine the impact it will have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on our financial statements by reviewing its existing operating lease contracts, where we are the lessee and service contracts that may include embedded leases.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Company expects a gross-up of its Consolidated Balance Sheets as a result of recognizing lease liabilities and right-of-use assets, the extent of the impact of a gross-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up is under evaluation. The Company does not anticipate material changes to the recognition of operating lease expense in its Consolidated Statements of Income.</w:t>
      </w:r>
    </w:p>
    <w:p>
      <w:pPr>
        <w:spacing w:after="0" w:line="22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 xml:space="preserve">In January 2018, the FASB issued ASU 2018-01, </w:t>
      </w:r>
      <w:r>
        <w:rPr>
          <w:rFonts w:ascii="Arial" w:cs="Arial" w:eastAsia="Arial" w:hAnsi="Arial"/>
          <w:sz w:val="17"/>
          <w:szCs w:val="17"/>
          <w:i w:val="1"/>
          <w:iCs w:val="1"/>
          <w:color w:val="auto"/>
        </w:rPr>
        <w:t>Leases (Topic 842) – Land Easement Practical Expedient for Transition to Topic 842</w:t>
      </w:r>
      <w:r>
        <w:rPr>
          <w:rFonts w:ascii="Arial" w:cs="Arial" w:eastAsia="Arial" w:hAnsi="Arial"/>
          <w:sz w:val="17"/>
          <w:szCs w:val="17"/>
          <w:color w:val="auto"/>
        </w:rPr>
        <w:t>. This standard permits an entity to elect an optional transition practical expedient to not evaluate land easements that exist or expire before the Company's adoption of ASC 842 and that were not previously accounted for as leases under ASC 840. The Company intends to elect this transition provision.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Revenues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 xml:space="preserve">Adoption of ASC Topic 606, </w:t>
      </w:r>
      <w:r>
        <w:rPr>
          <w:rFonts w:ascii="Arial" w:cs="Arial" w:eastAsia="Arial" w:hAnsi="Arial"/>
          <w:sz w:val="17"/>
          <w:szCs w:val="17"/>
          <w:i w:val="1"/>
          <w:iCs w:val="1"/>
          <w:u w:val="single" w:color="auto"/>
          <w:color w:val="auto"/>
        </w:rPr>
        <w:t>Revenue from Contracts with Customers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Except for the changes below, we have consistently applied the accounting policies to all periods presented in these Condensed Consolidated Financial Statements.</w:t>
      </w:r>
    </w:p>
    <w:p>
      <w:pPr>
        <w:spacing w:after="0" w:line="24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January 1, 2018, we adopted Topic 606 using the modified retrospective method, whereby the cumulative effect of initially applying Topic 606 is recognized as an adjustment to the opening balance of equity at January 1, 2018. Therefore, comparative information has not been adjusted and continues to be reported under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We recorded a net increase to opening retained earnings of $1.9 million as of January 1, 2018 due to the cumulative impact of adopting Topic 606, with the impact primarily related to commission costs that are capitalized under Topic 606 which were previously expensed.</w:t>
      </w:r>
    </w:p>
    <w:p>
      <w:pPr>
        <w:spacing w:after="0" w:line="160" w:lineRule="exact"/>
        <w:rPr>
          <w:sz w:val="20"/>
          <w:szCs w:val="20"/>
          <w:color w:val="auto"/>
        </w:rPr>
      </w:pPr>
    </w:p>
    <w:p>
      <w:pPr>
        <w:ind w:right="760"/>
        <w:spacing w:after="0" w:line="283" w:lineRule="auto"/>
        <w:rPr>
          <w:sz w:val="20"/>
          <w:szCs w:val="20"/>
          <w:color w:val="auto"/>
        </w:rPr>
      </w:pPr>
      <w:r>
        <w:rPr>
          <w:rFonts w:ascii="Arial" w:cs="Arial" w:eastAsia="Arial" w:hAnsi="Arial"/>
          <w:sz w:val="17"/>
          <w:szCs w:val="17"/>
          <w:color w:val="auto"/>
        </w:rPr>
        <w:t>The details of the significant changes and quantitative impact of the changes are set out below. We have applied this guidance only to contracts that are not completed as of the January 1, 2018, the date of initial application.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Commissions</w:t>
      </w:r>
    </w:p>
    <w:p>
      <w:pPr>
        <w:spacing w:after="0" w:line="218" w:lineRule="exact"/>
        <w:rPr>
          <w:sz w:val="20"/>
          <w:szCs w:val="20"/>
          <w:color w:val="auto"/>
        </w:rPr>
      </w:pPr>
    </w:p>
    <w:p>
      <w:pPr>
        <w:ind w:right="140"/>
        <w:spacing w:after="0" w:line="295" w:lineRule="auto"/>
        <w:rPr>
          <w:sz w:val="20"/>
          <w:szCs w:val="20"/>
          <w:color w:val="auto"/>
        </w:rPr>
      </w:pPr>
      <w:r>
        <w:rPr>
          <w:rFonts w:ascii="Arial" w:cs="Arial" w:eastAsia="Arial" w:hAnsi="Arial"/>
          <w:sz w:val="15"/>
          <w:szCs w:val="15"/>
          <w:color w:val="auto"/>
        </w:rPr>
        <w:t xml:space="preserve">We previously recognized commission fees related to obtaining a contract as selling expenses when incurred. Under Topic 606 and Topic 340, </w:t>
      </w:r>
      <w:r>
        <w:rPr>
          <w:rFonts w:ascii="Arial" w:cs="Arial" w:eastAsia="Arial" w:hAnsi="Arial"/>
          <w:sz w:val="15"/>
          <w:szCs w:val="15"/>
          <w:i w:val="1"/>
          <w:iCs w:val="1"/>
          <w:color w:val="auto"/>
        </w:rPr>
        <w:t>Other Assets and</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Costs</w:t>
      </w:r>
      <w:r>
        <w:rPr>
          <w:rFonts w:ascii="Arial" w:cs="Arial" w:eastAsia="Arial" w:hAnsi="Arial"/>
          <w:sz w:val="15"/>
          <w:szCs w:val="15"/>
          <w:color w:val="auto"/>
        </w:rPr>
        <w:t>, when they are incremental, expected to be recovered, we capitalize those commission fees as costs of obtaining a contract and amortize them</w:t>
      </w:r>
      <w:r>
        <w:rPr>
          <w:rFonts w:ascii="Arial" w:cs="Arial" w:eastAsia="Arial" w:hAnsi="Arial"/>
          <w:sz w:val="15"/>
          <w:szCs w:val="15"/>
          <w:i w:val="1"/>
          <w:iCs w:val="1"/>
          <w:color w:val="auto"/>
        </w:rPr>
        <w:t xml:space="preserve"> </w:t>
      </w:r>
      <w:r>
        <w:rPr>
          <w:rFonts w:ascii="Arial" w:cs="Arial" w:eastAsia="Arial" w:hAnsi="Arial"/>
          <w:sz w:val="15"/>
          <w:szCs w:val="15"/>
          <w:color w:val="auto"/>
        </w:rPr>
        <w:t>consistently with the pattern of transfer of the product or service to which the asset relates. These costs are included in general and administrative expense on the Condensed Consolidated Statements of Income. These deferred balances were $2.9 and $2.5 at March 31, 2018 and January 1, 2018, respectively, and included in Other Assets on the Condensed Consolidated Balance Sheets; Other Assets would have been lower by those amounts under revenue recognition and cost guidance applicable to us prior to the adoption of Topic 606 and Topic 340. The impact to costs as a result of applying Topic 606 was a decrease of $0.4 million for the three months ended March 31, 2018 as compared to what the general and administrative expense would have been under previous revenue and cost recognition guidance. There would have been no other differences in our Condensed Consolidated Balance Sheet as of March 31, 2018 or Condensed Consolidated Statements of Income for the quarter ended March 31, 2018 under previous revenue and cost recognition guidance as compared to Topic 606 and Topic 340.</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Nature of goods and services</w:t>
      </w:r>
    </w:p>
    <w:p>
      <w:pPr>
        <w:spacing w:after="0" w:line="218"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The following is a description of principal activities, separated by reportable segments (</w:t>
      </w:r>
      <w:hyperlink w:anchor="page25">
        <w:r>
          <w:rPr>
            <w:rFonts w:ascii="Arial" w:cs="Arial" w:eastAsia="Arial" w:hAnsi="Arial"/>
            <w:sz w:val="17"/>
            <w:szCs w:val="17"/>
            <w:u w:val="single" w:color="auto"/>
            <w:color w:val="0000EE"/>
          </w:rPr>
          <w:t>see Note 11</w:t>
        </w:r>
      </w:hyperlink>
      <w:r>
        <w:rPr>
          <w:rFonts w:ascii="Arial" w:cs="Arial" w:eastAsia="Arial" w:hAnsi="Arial"/>
          <w:sz w:val="17"/>
          <w:szCs w:val="17"/>
          <w:color w:val="auto"/>
        </w:rPr>
        <w:t>), from which the Company generates its revenues.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Leasing</w:t>
      </w:r>
    </w:p>
    <w:p>
      <w:pPr>
        <w:spacing w:after="0" w:line="218"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auto"/>
        </w:rPr>
        <w:t xml:space="preserve">Leasing revenue represents the results from our leasing programs, Uniti Leasing, which is engaged in the acquisition of mission-critical communications assets and leasing them back to anchor customers on either an exclusive or shared-tenant basis. Due to the nature of these activities, they are outside the scope of the guidance of Topic 606, and are recognized under other applicable guidance, including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840”).</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Fiber Infrastructure</w:t>
      </w:r>
    </w:p>
    <w:p>
      <w:pPr>
        <w:spacing w:after="0" w:line="218"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159" w:lineRule="exact"/>
        <w:rPr>
          <w:sz w:val="20"/>
          <w:szCs w:val="20"/>
          <w:color w:val="auto"/>
        </w:rPr>
      </w:pPr>
    </w:p>
    <w:p>
      <w:pPr>
        <w:ind w:left="1120" w:right="40" w:hanging="742"/>
        <w:spacing w:after="0" w:line="292"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ind w:left="1120" w:right="60" w:hanging="742"/>
        <w:spacing w:after="0" w:line="263"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76" w:lineRule="exact"/>
        <w:rPr>
          <w:rFonts w:ascii="Arial" w:cs="Arial" w:eastAsia="Arial" w:hAnsi="Arial"/>
          <w:sz w:val="17"/>
          <w:szCs w:val="17"/>
          <w:color w:val="auto"/>
        </w:rPr>
      </w:pPr>
    </w:p>
    <w:p>
      <w:pPr>
        <w:ind w:left="1120" w:right="100" w:hanging="742"/>
        <w:spacing w:after="0" w:line="281"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Small cell contracts provide improved network connection to areas that may not require or accommodate a tower. These are smaller units, similar to a telephone pole that are constructed and then leased to the customer. As such, small cell contains five streams of revenue; site development, radio frequency (“RF”) design, dark fiber lease, construction services, and maintenance services. Site development, RF design and construction are each separate services and are considered distinct performance obligations under Topic 606. Dark fiber and associated maintenance services constitute a lease, and as such, they are outside the scope of Topic 606 and are governed by other applicable guidance.</w:t>
      </w:r>
    </w:p>
    <w:p>
      <w:pPr>
        <w:spacing w:after="0" w:line="163" w:lineRule="exact"/>
        <w:rPr>
          <w:rFonts w:ascii="Arial" w:cs="Arial" w:eastAsia="Arial" w:hAnsi="Arial"/>
          <w:sz w:val="16"/>
          <w:szCs w:val="16"/>
          <w:color w:val="auto"/>
        </w:rPr>
      </w:pPr>
    </w:p>
    <w:p>
      <w:pPr>
        <w:ind w:left="1120" w:hanging="742"/>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Construction revenue is generated from contracts to provide various construction services such as equipment installation or the laying of</w:t>
      </w:r>
    </w:p>
    <w:p>
      <w:pPr>
        <w:spacing w:after="0" w:line="23" w:lineRule="exact"/>
        <w:rPr>
          <w:rFonts w:ascii="Arial" w:cs="Arial" w:eastAsia="Arial" w:hAnsi="Arial"/>
          <w:sz w:val="17"/>
          <w:szCs w:val="17"/>
          <w:color w:val="auto"/>
        </w:rPr>
      </w:pPr>
    </w:p>
    <w:p>
      <w:pPr>
        <w:ind w:left="1120"/>
        <w:spacing w:after="0" w:line="284" w:lineRule="auto"/>
        <w:rPr>
          <w:rFonts w:ascii="Arial" w:cs="Arial" w:eastAsia="Arial" w:hAnsi="Arial"/>
          <w:sz w:val="17"/>
          <w:szCs w:val="17"/>
          <w:color w:val="auto"/>
        </w:rPr>
      </w:pPr>
      <w:r>
        <w:rPr>
          <w:rFonts w:ascii="Arial" w:cs="Arial" w:eastAsia="Arial" w:hAnsi="Arial"/>
          <w:sz w:val="16"/>
          <w:szCs w:val="16"/>
          <w:color w:val="auto"/>
        </w:rPr>
        <w:t>fiber. Construction revenue is recognized over time as construction activities occur as we are either enhancing a customer’s owned asset or we are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61" w:lineRule="exact"/>
        <w:rPr>
          <w:rFonts w:ascii="Arial" w:cs="Arial" w:eastAsia="Arial" w:hAnsi="Arial"/>
          <w:sz w:val="17"/>
          <w:szCs w:val="17"/>
          <w:color w:val="auto"/>
        </w:rPr>
      </w:pPr>
    </w:p>
    <w:p>
      <w:pPr>
        <w:ind w:left="1120" w:right="140" w:hanging="742"/>
        <w:spacing w:after="0" w:line="263"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Dark fiber arrangements represent operating leases under Topic 840 and, is outside the scope of Topic 606. When (i) a customer makes an advance payment or (ii)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76" w:lineRule="exact"/>
        <w:rPr>
          <w:rFonts w:ascii="Arial" w:cs="Arial" w:eastAsia="Arial" w:hAnsi="Arial"/>
          <w:sz w:val="17"/>
          <w:szCs w:val="17"/>
          <w:color w:val="auto"/>
        </w:rPr>
      </w:pPr>
    </w:p>
    <w:p>
      <w:pPr>
        <w:ind w:left="1120" w:right="60" w:hanging="742"/>
        <w:spacing w:after="0" w:line="264" w:lineRule="auto"/>
        <w:tabs>
          <w:tab w:leader="none" w:pos="1120" w:val="left"/>
        </w:tabs>
        <w:numPr>
          <w:ilvl w:val="0"/>
          <w:numId w:val="6"/>
        </w:numPr>
        <w:rPr>
          <w:rFonts w:ascii="Arial" w:cs="Arial" w:eastAsia="Arial" w:hAnsi="Arial"/>
          <w:sz w:val="20"/>
          <w:szCs w:val="20"/>
          <w:color w:val="auto"/>
        </w:rPr>
      </w:pPr>
      <w:r>
        <w:rPr>
          <w:rFonts w:ascii="Arial" w:cs="Arial" w:eastAsia="Arial" w:hAnsi="Arial"/>
          <w:sz w:val="16"/>
          <w:szCs w:val="16"/>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Towers</w:t>
      </w:r>
    </w:p>
    <w:p>
      <w:pPr>
        <w:spacing w:after="0" w:line="21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The Towers segment represents the operations of our towers business, Uniti Towers, through which we acquire and construct tower and tower-related real estate, which we then lease to our customers in the United States and Latin America. Revenue from our towers business qualifies as a lease under Topic 840 and is outside the scope of Topic 606.</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Consumer CLEC</w:t>
      </w:r>
    </w:p>
    <w:p>
      <w:pPr>
        <w:spacing w:after="0" w:line="21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Consumer CLEC segment represents the operations of Talk America Services (“Talk America”) through which we operate the Consumer CLEC Business, which provides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revenues disaggregated by revenue stream.</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40" w:type="dxa"/>
            <w:vAlign w:val="bottom"/>
            <w:gridSpan w:val="5"/>
          </w:tcPr>
          <w:p>
            <w:pPr>
              <w:jc w:val="right"/>
              <w:ind w:right="1080"/>
              <w:spacing w:after="0"/>
              <w:rPr>
                <w:sz w:val="20"/>
                <w:szCs w:val="20"/>
                <w:color w:val="auto"/>
              </w:rPr>
            </w:pPr>
            <w:r>
              <w:rPr>
                <w:rFonts w:ascii="Arial" w:cs="Arial" w:eastAsia="Arial" w:hAnsi="Arial"/>
                <w:sz w:val="17"/>
                <w:szCs w:val="17"/>
                <w:b w:val="1"/>
                <w:bCs w:val="1"/>
                <w:color w:val="auto"/>
              </w:rPr>
              <w:t>Three Months Ended March 31,</w:t>
            </w:r>
          </w:p>
        </w:tc>
      </w:tr>
      <w:tr>
        <w:trPr>
          <w:trHeight w:val="213"/>
        </w:trPr>
        <w:tc>
          <w:tcPr>
            <w:tcW w:w="6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(Thousands)</w:t>
            </w:r>
          </w:p>
        </w:tc>
        <w:tc>
          <w:tcPr>
            <w:tcW w:w="200" w:type="dxa"/>
            <w:vAlign w:val="bottom"/>
            <w:tcBorders>
              <w:bottom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top w:val="single" w:sz="8" w:color="auto"/>
              <w:bottom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2017</w:t>
            </w:r>
            <w:r>
              <w:rPr>
                <w:rFonts w:ascii="Arial" w:cs="Arial" w:eastAsia="Arial" w:hAnsi="Arial"/>
                <w:sz w:val="14"/>
                <w:szCs w:val="14"/>
                <w:b w:val="1"/>
                <w:bCs w:val="1"/>
                <w:color w:val="auto"/>
              </w:rPr>
              <w:t>(1)</w:t>
            </w:r>
          </w:p>
        </w:tc>
        <w:tc>
          <w:tcPr>
            <w:tcW w:w="100" w:type="dxa"/>
            <w:vAlign w:val="bottom"/>
            <w:tcBorders>
              <w:bottom w:val="single" w:sz="8" w:color="CFF0FC"/>
            </w:tcBorders>
          </w:tcPr>
          <w:p>
            <w:pPr>
              <w:spacing w:after="0"/>
              <w:rPr>
                <w:sz w:val="18"/>
                <w:szCs w:val="18"/>
                <w:color w:val="auto"/>
              </w:rPr>
            </w:pPr>
          </w:p>
        </w:tc>
      </w:tr>
      <w:tr>
        <w:trPr>
          <w:trHeight w:val="213"/>
        </w:trPr>
        <w:tc>
          <w:tcPr>
            <w:tcW w:w="7020" w:type="dxa"/>
            <w:vAlign w:val="bottom"/>
            <w:gridSpan w:val="2"/>
            <w:shd w:val="clear" w:color="auto" w:fill="CFF0FC"/>
          </w:tcPr>
          <w:p>
            <w:pPr>
              <w:spacing w:after="0"/>
              <w:rPr>
                <w:sz w:val="20"/>
                <w:szCs w:val="20"/>
                <w:color w:val="auto"/>
              </w:rPr>
            </w:pPr>
            <w:r>
              <w:rPr>
                <w:rFonts w:ascii="Arial" w:cs="Arial" w:eastAsia="Arial" w:hAnsi="Arial"/>
                <w:sz w:val="17"/>
                <w:szCs w:val="17"/>
                <w:i w:val="1"/>
                <w:iCs w:val="1"/>
                <w:color w:val="auto"/>
              </w:rPr>
              <w:t>Revenue disaggregated by revenue stream</w:t>
            </w: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020" w:type="dxa"/>
            <w:vAlign w:val="bottom"/>
            <w:gridSpan w:val="2"/>
          </w:tcPr>
          <w:p>
            <w:pPr>
              <w:spacing w:after="0"/>
              <w:rPr>
                <w:sz w:val="20"/>
                <w:szCs w:val="20"/>
                <w:color w:val="auto"/>
              </w:rPr>
            </w:pPr>
            <w:r>
              <w:rPr>
                <w:rFonts w:ascii="Arial" w:cs="Arial" w:eastAsia="Arial" w:hAnsi="Arial"/>
                <w:sz w:val="17"/>
                <w:szCs w:val="17"/>
                <w:color w:val="auto"/>
              </w:rPr>
              <w:t>Revenue from contracts with customers</w:t>
            </w: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702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Fiber Infrastructure</w:t>
            </w: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20" w:type="dxa"/>
            <w:vAlign w:val="bottom"/>
            <w:gridSpan w:val="2"/>
          </w:tcPr>
          <w:p>
            <w:pPr>
              <w:ind w:left="360"/>
              <w:spacing w:after="0"/>
              <w:rPr>
                <w:sz w:val="20"/>
                <w:szCs w:val="20"/>
                <w:color w:val="auto"/>
              </w:rPr>
            </w:pPr>
            <w:r>
              <w:rPr>
                <w:rFonts w:ascii="Arial" w:cs="Arial" w:eastAsia="Arial" w:hAnsi="Arial"/>
                <w:sz w:val="17"/>
                <w:szCs w:val="17"/>
                <w:color w:val="auto"/>
              </w:rPr>
              <w:t>Lit backhaul</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33,346</w:t>
            </w:r>
          </w:p>
        </w:tc>
        <w:tc>
          <w:tcPr>
            <w:tcW w:w="300" w:type="dxa"/>
            <w:vAlign w:val="bottom"/>
          </w:tcPr>
          <w:p>
            <w:pPr>
              <w:spacing w:after="0"/>
              <w:rPr>
                <w:sz w:val="19"/>
                <w:szCs w:val="19"/>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24,252</w:t>
            </w:r>
          </w:p>
        </w:tc>
        <w:tc>
          <w:tcPr>
            <w:tcW w:w="100" w:type="dxa"/>
            <w:vAlign w:val="bottom"/>
          </w:tcPr>
          <w:p>
            <w:pPr>
              <w:spacing w:after="0"/>
              <w:rPr>
                <w:sz w:val="19"/>
                <w:szCs w:val="19"/>
                <w:color w:val="auto"/>
              </w:rPr>
            </w:pPr>
          </w:p>
        </w:tc>
      </w:tr>
      <w:tr>
        <w:trPr>
          <w:trHeight w:val="220"/>
        </w:trPr>
        <w:tc>
          <w:tcPr>
            <w:tcW w:w="702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Enterprise and wholesale</w:t>
            </w: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15,418</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3,479</w:t>
            </w:r>
          </w:p>
        </w:tc>
        <w:tc>
          <w:tcPr>
            <w:tcW w:w="100" w:type="dxa"/>
            <w:vAlign w:val="bottom"/>
            <w:shd w:val="clear" w:color="auto" w:fill="CFF0FC"/>
          </w:tcPr>
          <w:p>
            <w:pPr>
              <w:spacing w:after="0"/>
              <w:rPr>
                <w:sz w:val="19"/>
                <w:szCs w:val="19"/>
                <w:color w:val="auto"/>
              </w:rPr>
            </w:pPr>
          </w:p>
        </w:tc>
      </w:tr>
      <w:tr>
        <w:trPr>
          <w:trHeight w:val="220"/>
        </w:trPr>
        <w:tc>
          <w:tcPr>
            <w:tcW w:w="7020" w:type="dxa"/>
            <w:vAlign w:val="bottom"/>
            <w:gridSpan w:val="2"/>
          </w:tcPr>
          <w:p>
            <w:pPr>
              <w:ind w:left="360"/>
              <w:spacing w:after="0"/>
              <w:rPr>
                <w:sz w:val="20"/>
                <w:szCs w:val="20"/>
                <w:color w:val="auto"/>
              </w:rPr>
            </w:pPr>
            <w:r>
              <w:rPr>
                <w:rFonts w:ascii="Arial" w:cs="Arial" w:eastAsia="Arial" w:hAnsi="Arial"/>
                <w:sz w:val="17"/>
                <w:szCs w:val="17"/>
                <w:color w:val="auto"/>
              </w:rPr>
              <w:t>E-Rate and government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14,230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6,951</w:t>
            </w:r>
          </w:p>
        </w:tc>
        <w:tc>
          <w:tcPr>
            <w:tcW w:w="100" w:type="dxa"/>
            <w:vAlign w:val="bottom"/>
          </w:tcPr>
          <w:p>
            <w:pPr>
              <w:spacing w:after="0"/>
              <w:rPr>
                <w:sz w:val="19"/>
                <w:szCs w:val="19"/>
                <w:color w:val="auto"/>
              </w:rPr>
            </w:pPr>
          </w:p>
        </w:tc>
      </w:tr>
      <w:tr>
        <w:trPr>
          <w:trHeight w:val="220"/>
        </w:trPr>
        <w:tc>
          <w:tcPr>
            <w:tcW w:w="7020" w:type="dxa"/>
            <w:vAlign w:val="bottom"/>
            <w:gridSpan w:val="2"/>
            <w:shd w:val="clear" w:color="auto" w:fill="CFF0FC"/>
          </w:tcPr>
          <w:p>
            <w:pPr>
              <w:ind w:left="360"/>
              <w:spacing w:after="0"/>
              <w:rPr>
                <w:sz w:val="20"/>
                <w:szCs w:val="20"/>
                <w:color w:val="auto"/>
              </w:rPr>
            </w:pPr>
            <w:r>
              <w:rPr>
                <w:rFonts w:ascii="Arial" w:cs="Arial" w:eastAsia="Arial" w:hAnsi="Arial"/>
                <w:sz w:val="17"/>
                <w:szCs w:val="17"/>
                <w:color w:val="auto"/>
              </w:rPr>
              <w:t>Other</w:t>
            </w: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990</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(240)</w:t>
            </w:r>
          </w:p>
        </w:tc>
      </w:tr>
      <w:tr>
        <w:trPr>
          <w:trHeight w:val="213"/>
        </w:trPr>
        <w:tc>
          <w:tcPr>
            <w:tcW w:w="7020" w:type="dxa"/>
            <w:vAlign w:val="bottom"/>
            <w:gridSpan w:val="2"/>
          </w:tcPr>
          <w:p>
            <w:pPr>
              <w:ind w:left="120"/>
              <w:spacing w:after="0"/>
              <w:rPr>
                <w:sz w:val="20"/>
                <w:szCs w:val="20"/>
                <w:color w:val="auto"/>
              </w:rPr>
            </w:pPr>
            <w:r>
              <w:rPr>
                <w:rFonts w:ascii="Arial" w:cs="Arial" w:eastAsia="Arial" w:hAnsi="Arial"/>
                <w:sz w:val="17"/>
                <w:szCs w:val="17"/>
                <w:color w:val="auto"/>
              </w:rPr>
              <w:t>Fiber Infrastructure</w:t>
            </w:r>
          </w:p>
        </w:tc>
        <w:tc>
          <w:tcPr>
            <w:tcW w:w="460" w:type="dxa"/>
            <w:vAlign w:val="bottom"/>
            <w:tcBorders>
              <w:top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63,984</w:t>
            </w:r>
          </w:p>
        </w:tc>
        <w:tc>
          <w:tcPr>
            <w:tcW w:w="300" w:type="dxa"/>
            <w:vAlign w:val="bottom"/>
          </w:tcPr>
          <w:p>
            <w:pPr>
              <w:spacing w:after="0"/>
              <w:rPr>
                <w:sz w:val="18"/>
                <w:szCs w:val="18"/>
                <w:color w:val="auto"/>
              </w:rPr>
            </w:pP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34,442</w:t>
            </w:r>
          </w:p>
        </w:tc>
        <w:tc>
          <w:tcPr>
            <w:tcW w:w="100" w:type="dxa"/>
            <w:vAlign w:val="bottom"/>
          </w:tcPr>
          <w:p>
            <w:pPr>
              <w:spacing w:after="0"/>
              <w:rPr>
                <w:sz w:val="18"/>
                <w:szCs w:val="18"/>
                <w:color w:val="auto"/>
              </w:rPr>
            </w:pPr>
          </w:p>
        </w:tc>
      </w:tr>
      <w:tr>
        <w:trPr>
          <w:trHeight w:val="220"/>
        </w:trPr>
        <w:tc>
          <w:tcPr>
            <w:tcW w:w="702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Consumer CLEC</w:t>
            </w: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100" w:type="dxa"/>
            <w:vAlign w:val="bottom"/>
            <w:shd w:val="clear" w:color="auto" w:fill="CFF0FC"/>
          </w:tcPr>
          <w:p>
            <w:pPr>
              <w:spacing w:after="0"/>
              <w:rPr>
                <w:sz w:val="19"/>
                <w:szCs w:val="19"/>
                <w:color w:val="auto"/>
              </w:rPr>
            </w:pPr>
          </w:p>
        </w:tc>
      </w:tr>
      <w:tr>
        <w:trPr>
          <w:trHeight w:val="213"/>
        </w:trPr>
        <w:tc>
          <w:tcPr>
            <w:tcW w:w="7020" w:type="dxa"/>
            <w:vAlign w:val="bottom"/>
            <w:gridSpan w:val="2"/>
          </w:tcPr>
          <w:p>
            <w:pPr>
              <w:spacing w:after="0"/>
              <w:rPr>
                <w:sz w:val="20"/>
                <w:szCs w:val="20"/>
                <w:color w:val="auto"/>
              </w:rPr>
            </w:pPr>
            <w:r>
              <w:rPr>
                <w:rFonts w:ascii="Arial" w:cs="Arial" w:eastAsia="Arial" w:hAnsi="Arial"/>
                <w:sz w:val="17"/>
                <w:szCs w:val="17"/>
                <w:color w:val="auto"/>
              </w:rPr>
              <w:t>Total revenue from contracts with customers</w:t>
            </w: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67,788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39,369</w:t>
            </w:r>
          </w:p>
        </w:tc>
        <w:tc>
          <w:tcPr>
            <w:tcW w:w="100" w:type="dxa"/>
            <w:vAlign w:val="bottom"/>
          </w:tcPr>
          <w:p>
            <w:pPr>
              <w:spacing w:after="0"/>
              <w:rPr>
                <w:sz w:val="18"/>
                <w:szCs w:val="18"/>
                <w:color w:val="auto"/>
              </w:rPr>
            </w:pPr>
          </w:p>
        </w:tc>
      </w:tr>
      <w:tr>
        <w:trPr>
          <w:trHeight w:val="220"/>
        </w:trPr>
        <w:tc>
          <w:tcPr>
            <w:tcW w:w="70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 accounted for under other applicable guidance</w:t>
            </w: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179,127</w:t>
            </w:r>
          </w:p>
        </w:tc>
        <w:tc>
          <w:tcPr>
            <w:tcW w:w="3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172,104</w:t>
            </w:r>
          </w:p>
        </w:tc>
        <w:tc>
          <w:tcPr>
            <w:tcW w:w="100" w:type="dxa"/>
            <w:vAlign w:val="bottom"/>
            <w:shd w:val="clear" w:color="auto" w:fill="CFF0FC"/>
          </w:tcPr>
          <w:p>
            <w:pPr>
              <w:spacing w:after="0"/>
              <w:rPr>
                <w:sz w:val="19"/>
                <w:szCs w:val="19"/>
                <w:color w:val="auto"/>
              </w:rPr>
            </w:pPr>
          </w:p>
        </w:tc>
      </w:tr>
      <w:tr>
        <w:trPr>
          <w:trHeight w:val="213"/>
        </w:trPr>
        <w:tc>
          <w:tcPr>
            <w:tcW w:w="7020" w:type="dxa"/>
            <w:vAlign w:val="bottom"/>
            <w:gridSpan w:val="2"/>
          </w:tcPr>
          <w:p>
            <w:pPr>
              <w:spacing w:after="0"/>
              <w:rPr>
                <w:sz w:val="20"/>
                <w:szCs w:val="20"/>
                <w:color w:val="auto"/>
              </w:rPr>
            </w:pPr>
            <w:r>
              <w:rPr>
                <w:rFonts w:ascii="Arial" w:cs="Arial" w:eastAsia="Arial" w:hAnsi="Arial"/>
                <w:sz w:val="17"/>
                <w:szCs w:val="17"/>
                <w:color w:val="auto"/>
              </w:rPr>
              <w:t>Total revenue</w:t>
            </w: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246,915</w:t>
            </w:r>
          </w:p>
        </w:tc>
        <w:tc>
          <w:tcPr>
            <w:tcW w:w="30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211,473</w:t>
            </w:r>
          </w:p>
        </w:tc>
        <w:tc>
          <w:tcPr>
            <w:tcW w:w="10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 w:lineRule="exact"/>
        <w:rPr>
          <w:sz w:val="20"/>
          <w:szCs w:val="20"/>
          <w:color w:val="auto"/>
        </w:rPr>
      </w:pPr>
    </w:p>
    <w:p>
      <w:pPr>
        <w:ind w:left="380" w:hanging="377"/>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noted above, prior period amounts have not been adjusted under the modified retrospective method.</w:t>
      </w:r>
    </w:p>
    <w:p>
      <w:pPr>
        <w:spacing w:after="0" w:line="181"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color w:val="auto"/>
        </w:rPr>
        <w:t>At March 31, 2018, and January 1, 2018, lease receivables were $7.8 million and $10.9 million, respectively, and receivables from contract with customers were $28.3 million and $31.2 million,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Assets (Unbilled Revenue) and Liabilities (Deferred Revenue)</w:t>
      </w:r>
    </w:p>
    <w:p>
      <w:pPr>
        <w:spacing w:after="0" w:line="218"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contract assets and contract liabilities accounted for under Topic 606.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(Thousands)</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Contract Assets</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99"/>
              </w:rPr>
              <w:t>Contract Liabilities</w:t>
            </w:r>
          </w:p>
        </w:tc>
        <w:tc>
          <w:tcPr>
            <w:tcW w:w="100" w:type="dxa"/>
            <w:vAlign w:val="bottom"/>
            <w:tcBorders>
              <w:bottom w:val="single" w:sz="8" w:color="CFF0FC"/>
            </w:tcBorders>
          </w:tcPr>
          <w:p>
            <w:pPr>
              <w:spacing w:after="0"/>
              <w:rPr>
                <w:sz w:val="19"/>
                <w:szCs w:val="19"/>
                <w:color w:val="auto"/>
              </w:rPr>
            </w:pPr>
          </w:p>
        </w:tc>
      </w:tr>
      <w:tr>
        <w:trPr>
          <w:trHeight w:val="213"/>
        </w:trPr>
        <w:tc>
          <w:tcPr>
            <w:tcW w:w="70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Balance at January 1, 2018</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26,256</w:t>
            </w:r>
          </w:p>
        </w:tc>
        <w:tc>
          <w:tcPr>
            <w:tcW w:w="100" w:type="dxa"/>
            <w:vAlign w:val="bottom"/>
            <w:shd w:val="clear" w:color="auto" w:fill="CFF0FC"/>
          </w:tcPr>
          <w:p>
            <w:pPr>
              <w:spacing w:after="0"/>
              <w:rPr>
                <w:sz w:val="18"/>
                <w:szCs w:val="18"/>
                <w:color w:val="auto"/>
              </w:rPr>
            </w:pPr>
          </w:p>
        </w:tc>
      </w:tr>
      <w:tr>
        <w:trPr>
          <w:trHeight w:val="207"/>
        </w:trPr>
        <w:tc>
          <w:tcPr>
            <w:tcW w:w="7020" w:type="dxa"/>
            <w:vAlign w:val="bottom"/>
            <w:gridSpan w:val="2"/>
          </w:tcPr>
          <w:p>
            <w:pPr>
              <w:spacing w:after="0"/>
              <w:rPr>
                <w:sz w:val="20"/>
                <w:szCs w:val="20"/>
                <w:color w:val="auto"/>
              </w:rPr>
            </w:pPr>
            <w:r>
              <w:rPr>
                <w:rFonts w:ascii="Arial" w:cs="Arial" w:eastAsia="Arial" w:hAnsi="Arial"/>
                <w:sz w:val="17"/>
                <w:szCs w:val="17"/>
                <w:color w:val="auto"/>
              </w:rPr>
              <w:t>Revenue recognized that was included in the contract liability balance at the beginning of the</w:t>
            </w: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020" w:type="dxa"/>
            <w:vAlign w:val="bottom"/>
            <w:gridSpan w:val="2"/>
          </w:tcPr>
          <w:p>
            <w:pPr>
              <w:spacing w:after="0"/>
              <w:rPr>
                <w:sz w:val="20"/>
                <w:szCs w:val="20"/>
                <w:color w:val="auto"/>
              </w:rPr>
            </w:pPr>
            <w:r>
              <w:rPr>
                <w:rFonts w:ascii="Arial" w:cs="Arial" w:eastAsia="Arial" w:hAnsi="Arial"/>
                <w:sz w:val="17"/>
                <w:szCs w:val="17"/>
                <w:color w:val="auto"/>
              </w:rPr>
              <w:t>period</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7"/>
                <w:szCs w:val="17"/>
                <w:color w:val="auto"/>
              </w:rPr>
              <w:t>(2,398)</w:t>
            </w:r>
          </w:p>
        </w:tc>
      </w:tr>
      <w:tr>
        <w:trPr>
          <w:trHeight w:val="220"/>
        </w:trPr>
        <w:tc>
          <w:tcPr>
            <w:tcW w:w="70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Increases due to revenue recognized, and not billed during the period</w:t>
            </w: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r>
      <w:tr>
        <w:trPr>
          <w:trHeight w:val="220"/>
        </w:trPr>
        <w:tc>
          <w:tcPr>
            <w:tcW w:w="7020" w:type="dxa"/>
            <w:vAlign w:val="bottom"/>
            <w:gridSpan w:val="2"/>
          </w:tcPr>
          <w:p>
            <w:pPr>
              <w:spacing w:after="0"/>
              <w:rPr>
                <w:sz w:val="20"/>
                <w:szCs w:val="20"/>
                <w:color w:val="auto"/>
              </w:rPr>
            </w:pPr>
            <w:r>
              <w:rPr>
                <w:rFonts w:ascii="Arial" w:cs="Arial" w:eastAsia="Arial" w:hAnsi="Arial"/>
                <w:sz w:val="17"/>
                <w:szCs w:val="17"/>
                <w:color w:val="auto"/>
              </w:rPr>
              <w:t>Increases due to cash received, excluding amounts recognized as revenue during the period</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1,497</w:t>
            </w:r>
          </w:p>
        </w:tc>
        <w:tc>
          <w:tcPr>
            <w:tcW w:w="100" w:type="dxa"/>
            <w:vAlign w:val="bottom"/>
          </w:tcPr>
          <w:p>
            <w:pPr>
              <w:spacing w:after="0"/>
              <w:rPr>
                <w:sz w:val="19"/>
                <w:szCs w:val="19"/>
                <w:color w:val="auto"/>
              </w:rPr>
            </w:pPr>
          </w:p>
        </w:tc>
      </w:tr>
      <w:tr>
        <w:trPr>
          <w:trHeight w:val="220"/>
        </w:trPr>
        <w:tc>
          <w:tcPr>
            <w:tcW w:w="70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Transferred to receivables from contract assets, recognized at the beginning of the period</w:t>
            </w:r>
          </w:p>
        </w:tc>
        <w:tc>
          <w:tcPr>
            <w:tcW w:w="24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(2,554)</w:t>
            </w: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r>
      <w:tr>
        <w:trPr>
          <w:trHeight w:val="213"/>
        </w:trPr>
        <w:tc>
          <w:tcPr>
            <w:tcW w:w="7020" w:type="dxa"/>
            <w:vAlign w:val="bottom"/>
            <w:gridSpan w:val="2"/>
          </w:tcPr>
          <w:p>
            <w:pPr>
              <w:spacing w:after="0"/>
              <w:rPr>
                <w:sz w:val="20"/>
                <w:szCs w:val="20"/>
                <w:color w:val="auto"/>
              </w:rPr>
            </w:pPr>
            <w:r>
              <w:rPr>
                <w:rFonts w:ascii="Arial" w:cs="Arial" w:eastAsia="Arial" w:hAnsi="Arial"/>
                <w:sz w:val="17"/>
                <w:szCs w:val="17"/>
                <w:color w:val="auto"/>
              </w:rPr>
              <w:t>Balance at March 31, 2018</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2,731</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25,355</w:t>
            </w:r>
          </w:p>
        </w:tc>
        <w:tc>
          <w:tcPr>
            <w:tcW w:w="10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Transaction Price Allocated to Remaining Performance Obligations</w:t>
      </w:r>
    </w:p>
    <w:p>
      <w:pPr>
        <w:spacing w:after="0" w:line="218"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Performance obligations within contracts to stand ready to provide services are typically satisfied over time or as those services are provided. Contract assets primarily relate costs incremental to obtaining contracts and contract liabilities primarily relate to deferred revenue from non-recurring charges. The deferred revenue is recognized, and the liability reduced, over the contract term as the Company completes the performance obligation. As of March 31, 2018, our future revenues (i.e. transaction price related to remaining performance obligations) under contract accounted for under Topic 606 totaled $700.4 million, of which $624.8 million is related to contracts that are currently being invoiced and have an average remaining contract term of 2.9 years, while $75.6 million represents our backlog for sales bookings which have yet to be installed and have an average remaining contract term of 4.3 years.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Practical Expedients and Exemptions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do not disclose the value of unsatisfied performance obligations for contracts that have an original expected duration of one year or less.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We exclude from the transaction price any amounts collected from customers for sales taxes and therefore, they are not included in revenue.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Business Combinations and Asset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Network Management Holdings LTD</w:t>
      </w:r>
    </w:p>
    <w:p>
      <w:pPr>
        <w:spacing w:after="0" w:line="166" w:lineRule="exact"/>
        <w:rPr>
          <w:sz w:val="20"/>
          <w:szCs w:val="20"/>
          <w:color w:val="auto"/>
        </w:rPr>
      </w:pPr>
    </w:p>
    <w:p>
      <w:pPr>
        <w:spacing w:after="0" w:line="294" w:lineRule="auto"/>
        <w:rPr>
          <w:rFonts w:ascii="Arial" w:cs="Arial" w:eastAsia="Arial" w:hAnsi="Arial"/>
          <w:sz w:val="15"/>
          <w:szCs w:val="15"/>
          <w:color w:val="auto"/>
        </w:rPr>
      </w:pPr>
      <w:r>
        <w:rPr>
          <w:rFonts w:ascii="Arial" w:cs="Arial" w:eastAsia="Arial" w:hAnsi="Arial"/>
          <w:sz w:val="15"/>
          <w:szCs w:val="15"/>
          <w:color w:val="auto"/>
        </w:rPr>
        <w:t xml:space="preserve">On January 31, 2017, we completed the acquisition of NMS. The Company accounted for the acquisition of NMS as an asset purchase. At close, NMS owned and operated 366 wireless communications towers in Latin America with an additional 105 build to suit tower sites under development. The NMS portfolio spans three Latin American countries with 212 towers in Mexico, 54 towers in Nicaragua, and 100 towers in Colombia. The consideration for the 366 wireless towers in operation as of the transaction close date was $62.6 million, which was funded through cash on hand, and is presented in NMS asset acquisition on the Condensed Consolidated Statements of Cash Flows. NMS conducts its operations through three non-U.S. subsidiaries and the Company has determined that the functional currencies for the Mexican, Nicaraguan and Colombian subsidiaries are the Mexican Peso, U.S. Dollar and Colombian Peso, respectively. The non-U.S. subsidiaries in which NMS conducts its operations are subject to income tax in the jurisdictions in which they operate. The acquisition did not result in a step up in tax basis under local law. The Company recorded a net deferred tax liability of $18.4 million and a liability for unrecognized tax benefits of $5.3 million in connection with the acquisition. The deferred tax liability is primarily related to the excess of the recorded amounts for Property, Plant &amp; Equipment and Intangibles over their respective historical tax bases. Under the terms of the purchase agreement, we will acquire the towers under development when construction is completed. The NMS towers are reflected in our Towers segment. </w:t>
      </w:r>
      <w:hyperlink w:anchor="page25">
        <w:r>
          <w:rPr>
            <w:rFonts w:ascii="Arial" w:cs="Arial" w:eastAsia="Arial" w:hAnsi="Arial"/>
            <w:sz w:val="15"/>
            <w:szCs w:val="15"/>
            <w:u w:val="single" w:color="auto"/>
            <w:color w:val="auto"/>
          </w:rPr>
          <w:t>See Note 11</w:t>
        </w:r>
      </w:hyperlink>
      <w:r>
        <w:rPr>
          <w:rFonts w:ascii="Arial" w:cs="Arial" w:eastAsia="Arial" w:hAnsi="Arial"/>
          <w:sz w:val="15"/>
          <w:szCs w:val="15"/>
          <w:color w:val="auto"/>
        </w:rPr>
        <w:t>. The following is a summary of the estimated fair values of the assets acquired and liabilities assumed: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FF0FC"/>
            </w:tcBorders>
          </w:tcPr>
          <w:p>
            <w:pPr>
              <w:spacing w:after="0"/>
              <w:rPr>
                <w:sz w:val="14"/>
                <w:szCs w:val="14"/>
                <w:color w:val="auto"/>
              </w:rPr>
            </w:pPr>
          </w:p>
        </w:tc>
      </w:tr>
      <w:tr>
        <w:trPr>
          <w:trHeight w:val="238"/>
        </w:trPr>
        <w:tc>
          <w:tcPr>
            <w:tcW w:w="8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Property, plant and equipment</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36,417</w:t>
            </w:r>
          </w:p>
        </w:tc>
        <w:tc>
          <w:tcPr>
            <w:tcW w:w="120" w:type="dxa"/>
            <w:vAlign w:val="bottom"/>
            <w:shd w:val="clear" w:color="auto" w:fill="CFF0FC"/>
          </w:tcPr>
          <w:p>
            <w:pPr>
              <w:spacing w:after="0"/>
              <w:rPr>
                <w:sz w:val="20"/>
                <w:szCs w:val="20"/>
                <w:color w:val="auto"/>
              </w:rPr>
            </w:pPr>
          </w:p>
        </w:tc>
      </w:tr>
      <w:tr>
        <w:trPr>
          <w:trHeight w:val="220"/>
        </w:trPr>
        <w:tc>
          <w:tcPr>
            <w:tcW w:w="8920" w:type="dxa"/>
            <w:vAlign w:val="bottom"/>
            <w:gridSpan w:val="2"/>
          </w:tcPr>
          <w:p>
            <w:pPr>
              <w:spacing w:after="0"/>
              <w:rPr>
                <w:sz w:val="20"/>
                <w:szCs w:val="20"/>
                <w:color w:val="auto"/>
              </w:rPr>
            </w:pPr>
            <w:r>
              <w:rPr>
                <w:rFonts w:ascii="Arial" w:cs="Arial" w:eastAsia="Arial" w:hAnsi="Arial"/>
                <w:sz w:val="17"/>
                <w:szCs w:val="17"/>
                <w:color w:val="auto"/>
              </w:rPr>
              <w:t>Accounts receivable</w:t>
            </w: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2,826</w:t>
            </w:r>
          </w:p>
        </w:tc>
        <w:tc>
          <w:tcPr>
            <w:tcW w:w="120" w:type="dxa"/>
            <w:vAlign w:val="bottom"/>
          </w:tcPr>
          <w:p>
            <w:pPr>
              <w:spacing w:after="0"/>
              <w:rPr>
                <w:sz w:val="19"/>
                <w:szCs w:val="19"/>
                <w:color w:val="auto"/>
              </w:rPr>
            </w:pPr>
          </w:p>
        </w:tc>
      </w:tr>
      <w:tr>
        <w:trPr>
          <w:trHeight w:val="220"/>
        </w:trPr>
        <w:tc>
          <w:tcPr>
            <w:tcW w:w="8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assets</w:t>
            </w: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1,623</w:t>
            </w:r>
          </w:p>
        </w:tc>
        <w:tc>
          <w:tcPr>
            <w:tcW w:w="120" w:type="dxa"/>
            <w:vAlign w:val="bottom"/>
            <w:shd w:val="clear" w:color="auto" w:fill="CFF0FC"/>
          </w:tcPr>
          <w:p>
            <w:pPr>
              <w:spacing w:after="0"/>
              <w:rPr>
                <w:sz w:val="19"/>
                <w:szCs w:val="19"/>
                <w:color w:val="auto"/>
              </w:rPr>
            </w:pPr>
          </w:p>
        </w:tc>
      </w:tr>
      <w:tr>
        <w:trPr>
          <w:trHeight w:val="220"/>
        </w:trPr>
        <w:tc>
          <w:tcPr>
            <w:tcW w:w="8920" w:type="dxa"/>
            <w:vAlign w:val="bottom"/>
            <w:gridSpan w:val="2"/>
          </w:tcPr>
          <w:p>
            <w:pPr>
              <w:spacing w:after="0"/>
              <w:rPr>
                <w:sz w:val="20"/>
                <w:szCs w:val="20"/>
                <w:color w:val="auto"/>
              </w:rPr>
            </w:pPr>
            <w:r>
              <w:rPr>
                <w:rFonts w:ascii="Arial" w:cs="Arial" w:eastAsia="Arial" w:hAnsi="Arial"/>
                <w:sz w:val="17"/>
                <w:szCs w:val="17"/>
                <w:color w:val="auto"/>
              </w:rPr>
              <w:t>Intangible assets</w:t>
            </w: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52,437</w:t>
            </w:r>
          </w:p>
        </w:tc>
        <w:tc>
          <w:tcPr>
            <w:tcW w:w="120" w:type="dxa"/>
            <w:vAlign w:val="bottom"/>
          </w:tcPr>
          <w:p>
            <w:pPr>
              <w:spacing w:after="0"/>
              <w:rPr>
                <w:sz w:val="19"/>
                <w:szCs w:val="19"/>
                <w:color w:val="auto"/>
              </w:rPr>
            </w:pPr>
          </w:p>
        </w:tc>
      </w:tr>
      <w:tr>
        <w:trPr>
          <w:trHeight w:val="220"/>
        </w:trPr>
        <w:tc>
          <w:tcPr>
            <w:tcW w:w="8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Accounts payable, accrued expenses and other liabilities</w:t>
            </w: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(8,895)</w:t>
            </w:r>
          </w:p>
        </w:tc>
      </w:tr>
      <w:tr>
        <w:trPr>
          <w:trHeight w:val="220"/>
        </w:trPr>
        <w:tc>
          <w:tcPr>
            <w:tcW w:w="8920" w:type="dxa"/>
            <w:vAlign w:val="bottom"/>
            <w:gridSpan w:val="2"/>
          </w:tcPr>
          <w:p>
            <w:pPr>
              <w:spacing w:after="0"/>
              <w:rPr>
                <w:sz w:val="20"/>
                <w:szCs w:val="20"/>
                <w:color w:val="auto"/>
              </w:rPr>
            </w:pPr>
            <w:r>
              <w:rPr>
                <w:rFonts w:ascii="Arial" w:cs="Arial" w:eastAsia="Arial" w:hAnsi="Arial"/>
                <w:sz w:val="17"/>
                <w:szCs w:val="17"/>
                <w:color w:val="auto"/>
              </w:rPr>
              <w:t>Intangible liabilities</w:t>
            </w:r>
          </w:p>
        </w:tc>
        <w:tc>
          <w:tcPr>
            <w:tcW w:w="460" w:type="dxa"/>
            <w:vAlign w:val="bottom"/>
          </w:tcPr>
          <w:p>
            <w:pPr>
              <w:spacing w:after="0"/>
              <w:rPr>
                <w:sz w:val="19"/>
                <w:szCs w:val="19"/>
                <w:color w:val="auto"/>
              </w:rPr>
            </w:pPr>
          </w:p>
        </w:tc>
        <w:tc>
          <w:tcPr>
            <w:tcW w:w="2040" w:type="dxa"/>
            <w:vAlign w:val="bottom"/>
            <w:gridSpan w:val="2"/>
          </w:tcPr>
          <w:p>
            <w:pPr>
              <w:jc w:val="right"/>
              <w:ind w:right="60"/>
              <w:spacing w:after="0"/>
              <w:rPr>
                <w:sz w:val="20"/>
                <w:szCs w:val="20"/>
                <w:color w:val="auto"/>
              </w:rPr>
            </w:pPr>
            <w:r>
              <w:rPr>
                <w:rFonts w:ascii="Arial" w:cs="Arial" w:eastAsia="Arial" w:hAnsi="Arial"/>
                <w:sz w:val="17"/>
                <w:szCs w:val="17"/>
                <w:color w:val="auto"/>
              </w:rPr>
              <w:t>(3,440)</w:t>
            </w:r>
          </w:p>
        </w:tc>
      </w:tr>
      <w:tr>
        <w:trPr>
          <w:trHeight w:val="220"/>
        </w:trPr>
        <w:tc>
          <w:tcPr>
            <w:tcW w:w="8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4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(18,403)</w:t>
            </w:r>
          </w:p>
        </w:tc>
      </w:tr>
      <w:tr>
        <w:trPr>
          <w:trHeight w:val="213"/>
        </w:trPr>
        <w:tc>
          <w:tcPr>
            <w:tcW w:w="8920" w:type="dxa"/>
            <w:vAlign w:val="bottom"/>
            <w:gridSpan w:val="2"/>
          </w:tcPr>
          <w:p>
            <w:pPr>
              <w:spacing w:after="0"/>
              <w:rPr>
                <w:sz w:val="20"/>
                <w:szCs w:val="20"/>
                <w:color w:val="auto"/>
              </w:rPr>
            </w:pPr>
            <w:r>
              <w:rPr>
                <w:rFonts w:ascii="Arial" w:cs="Arial" w:eastAsia="Arial" w:hAnsi="Arial"/>
                <w:sz w:val="17"/>
                <w:szCs w:val="17"/>
                <w:color w:val="auto"/>
              </w:rPr>
              <w:t>Total purchase consideration</w:t>
            </w: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62,565</w:t>
            </w:r>
          </w:p>
        </w:tc>
        <w:tc>
          <w:tcPr>
            <w:tcW w:w="12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12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Of the $52.4 million of acquired intangible assets, $37.4 million was assigned to tenant contracts (22 year life), $13.5 million was assigned to network (22 year life) and $1.5 million was assigned to acquired above-market leases (10 year life). The acquired below-market lease intangible liability of $3.4 million has a 10 year life. </w:t>
      </w:r>
      <w:hyperlink w:anchor="page21">
        <w:r>
          <w:rPr>
            <w:rFonts w:ascii="Arial" w:cs="Arial" w:eastAsia="Arial" w:hAnsi="Arial"/>
            <w:sz w:val="17"/>
            <w:szCs w:val="17"/>
            <w:u w:val="single" w:color="auto"/>
            <w:color w:val="auto"/>
          </w:rPr>
          <w:t>See Note 8</w:t>
        </w:r>
      </w:hyperlink>
      <w:r>
        <w:rPr>
          <w:rFonts w:ascii="Arial" w:cs="Arial" w:eastAsia="Arial" w:hAnsi="Arial"/>
          <w:sz w:val="17"/>
          <w:szCs w:val="17"/>
          <w:color w:val="auto"/>
        </w:rPr>
        <w:t>.</w:t>
      </w:r>
    </w:p>
    <w:p>
      <w:pPr>
        <w:spacing w:after="0" w:line="17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During the three months ended March 31, 2018, construction was completed on 15 of the towers that were under development at the time of the NMS acquisition. and we acquired the completed towers pursuant to the purchase agreement for approximately $1.0 million. As of March 31, 2018, we acquired 65 of the 105 towers that were under development at the time of NMS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Southern Light, LLC</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line="303" w:lineRule="auto"/>
        <w:rPr>
          <w:rFonts w:ascii="Arial" w:cs="Arial" w:eastAsia="Arial" w:hAnsi="Arial"/>
          <w:sz w:val="15"/>
          <w:szCs w:val="15"/>
          <w:color w:val="auto"/>
        </w:rPr>
      </w:pPr>
      <w:r>
        <w:rPr>
          <w:rFonts w:ascii="Arial" w:cs="Arial" w:eastAsia="Arial" w:hAnsi="Arial"/>
          <w:sz w:val="15"/>
          <w:szCs w:val="15"/>
          <w:color w:val="auto"/>
        </w:rPr>
        <w:t xml:space="preserve">On July 3, 2017, we acquired 100% of the outstanding equity of Southern Light for $638.1 million in cash and 2.5 million common units in the Operating Partnership with an acquisition date fair value of $64.3 million. Southern Light is a leading provider of data transport services along the Gulf Coast region serving twelve attractive Tier II and Tier III markets across Florida, Alabama, Louisiana, and Mississippi.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w:anchor="page25">
        <w:r>
          <w:rPr>
            <w:rFonts w:ascii="Arial" w:cs="Arial" w:eastAsia="Arial" w:hAnsi="Arial"/>
            <w:sz w:val="15"/>
            <w:szCs w:val="15"/>
            <w:u w:val="single" w:color="auto"/>
            <w:color w:val="auto"/>
          </w:rPr>
          <w:t>See Note 11</w:t>
        </w:r>
      </w:hyperlink>
      <w:r>
        <w:rPr>
          <w:rFonts w:ascii="Arial" w:cs="Arial" w:eastAsia="Arial" w:hAnsi="Arial"/>
          <w:sz w:val="15"/>
          <w:szCs w:val="15"/>
          <w:color w:val="auto"/>
        </w:rPr>
        <w:t>. The following is a summary of the estimated fair values of the assets acquired and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70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w:t>
            </w: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279,467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318,620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color w:val="auto"/>
              </w:rPr>
              <w:t>Intangible assets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160,100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 accrued expenses and other liabilities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(19,846)</w:t>
            </w: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7"/>
                <w:szCs w:val="17"/>
                <w:color w:val="auto"/>
              </w:rPr>
              <w:t>(38,134)</w:t>
            </w:r>
          </w:p>
        </w:tc>
        <w:tc>
          <w:tcPr>
            <w:tcW w:w="0" w:type="dxa"/>
            <w:vAlign w:val="bottom"/>
          </w:tcPr>
          <w:p>
            <w:pPr>
              <w:spacing w:after="0"/>
              <w:rPr>
                <w:sz w:val="1"/>
                <w:szCs w:val="1"/>
                <w:color w:val="auto"/>
              </w:rPr>
            </w:pPr>
          </w:p>
        </w:tc>
      </w:tr>
      <w:tr>
        <w:trPr>
          <w:trHeight w:val="220"/>
        </w:trPr>
        <w:tc>
          <w:tcPr>
            <w:tcW w:w="870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(9,004)</w:t>
            </w: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color w:val="auto"/>
              </w:rPr>
              <w:t>Capital lease obligations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7"/>
                <w:szCs w:val="17"/>
                <w:color w:val="auto"/>
              </w:rPr>
              <w:t>(3,189)</w:t>
            </w:r>
          </w:p>
        </w:tc>
        <w:tc>
          <w:tcPr>
            <w:tcW w:w="0" w:type="dxa"/>
            <w:vAlign w:val="bottom"/>
          </w:tcPr>
          <w:p>
            <w:pPr>
              <w:spacing w:after="0"/>
              <w:rPr>
                <w:sz w:val="1"/>
                <w:szCs w:val="1"/>
                <w:color w:val="auto"/>
              </w:rPr>
            </w:pPr>
          </w:p>
        </w:tc>
      </w:tr>
      <w:tr>
        <w:trPr>
          <w:trHeight w:val="20"/>
        </w:trPr>
        <w:tc>
          <w:tcPr>
            <w:tcW w:w="87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purchase consideration</w:t>
            </w: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700" w:type="dxa"/>
            <w:vAlign w:val="bottom"/>
            <w:vMerge w:val="continue"/>
            <w:shd w:val="clear" w:color="auto" w:fill="CFF0FC"/>
          </w:tcPr>
          <w:p>
            <w:pPr>
              <w:spacing w:after="0"/>
              <w:rPr>
                <w:sz w:val="18"/>
                <w:szCs w:val="18"/>
                <w:color w:val="auto"/>
              </w:rPr>
            </w:pP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702,432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auto"/>
        </w:rPr>
        <w:t>The above purchase price allocation is considered preliminary and is subject to the resolution of contractual adjustments, such as working capital adjustments, set forth in the merger agreement, which is anticipated to be finalized during the second quarter of 2018.</w:t>
      </w:r>
    </w:p>
    <w:p>
      <w:pPr>
        <w:spacing w:after="0" w:line="10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goodwill arising from the transaction is primarily attributable to the expansion of our fiber network through the complementary nature of Southern Light’s fiber network to our existing fiber network, including anticipated incremental sales and cost savings. For federal income tax purposes, the transaction was treated as partially taxable (for portion paid in cash) and partially non-taxable (for portion paid with common units in the Operating Partnership). The portion of the acquisition that was treated as a taxable acquisition resulted in tax deductible goodwill. No tax deductible goodwill resulted from the portion of the acquisition that was treated as non-taxable.</w:t>
      </w:r>
    </w:p>
    <w:p>
      <w:pPr>
        <w:spacing w:after="0" w:line="126" w:lineRule="exact"/>
        <w:rPr>
          <w:sz w:val="20"/>
          <w:szCs w:val="20"/>
          <w:color w:val="auto"/>
        </w:rPr>
      </w:pPr>
    </w:p>
    <w:p>
      <w:pPr>
        <w:ind w:right="1340"/>
        <w:spacing w:after="0" w:line="444" w:lineRule="auto"/>
        <w:rPr>
          <w:rFonts w:ascii="Arial" w:cs="Arial" w:eastAsia="Arial" w:hAnsi="Arial"/>
          <w:sz w:val="17"/>
          <w:szCs w:val="17"/>
          <w:color w:val="auto"/>
        </w:rPr>
      </w:pPr>
      <w:r>
        <w:rPr>
          <w:rFonts w:ascii="Arial" w:cs="Arial" w:eastAsia="Arial" w:hAnsi="Arial"/>
          <w:sz w:val="17"/>
          <w:szCs w:val="17"/>
          <w:color w:val="auto"/>
        </w:rPr>
        <w:t xml:space="preserve">As part of the acquisition, we acquired an intangible asset that was assigned to customer relationships of $160.1 million (15 year life). </w:t>
      </w:r>
      <w:hyperlink w:anchor="page21">
        <w:r>
          <w:rPr>
            <w:rFonts w:ascii="Arial" w:cs="Arial" w:eastAsia="Arial" w:hAnsi="Arial"/>
            <w:sz w:val="17"/>
            <w:szCs w:val="17"/>
            <w:u w:val="single" w:color="auto"/>
            <w:color w:val="auto"/>
          </w:rPr>
          <w:t>See Note 8</w:t>
        </w:r>
      </w:hyperlink>
      <w:r>
        <w:rPr>
          <w:rFonts w:ascii="Arial" w:cs="Arial" w:eastAsia="Arial" w:hAnsi="Arial"/>
          <w:sz w:val="17"/>
          <w:szCs w:val="17"/>
          <w:color w:val="auto"/>
        </w:rPr>
        <w:t xml:space="preserve">. </w:t>
      </w:r>
      <w:r>
        <w:rPr>
          <w:rFonts w:ascii="Arial" w:cs="Arial" w:eastAsia="Arial" w:hAnsi="Arial"/>
          <w:sz w:val="17"/>
          <w:szCs w:val="17"/>
          <w:i w:val="1"/>
          <w:iCs w:val="1"/>
          <w:color w:val="auto"/>
        </w:rPr>
        <w:t>Hunt Telecommunications, LLC</w:t>
      </w:r>
    </w:p>
    <w:p>
      <w:pPr>
        <w:ind w:right="40"/>
        <w:spacing w:after="0" w:line="256" w:lineRule="auto"/>
        <w:rPr>
          <w:rFonts w:ascii="Arial" w:cs="Arial" w:eastAsia="Arial" w:hAnsi="Arial"/>
          <w:sz w:val="17"/>
          <w:szCs w:val="17"/>
          <w:color w:val="auto"/>
        </w:rPr>
      </w:pPr>
      <w:r>
        <w:rPr>
          <w:rFonts w:ascii="Arial" w:cs="Arial" w:eastAsia="Arial" w:hAnsi="Arial"/>
          <w:sz w:val="17"/>
          <w:szCs w:val="17"/>
          <w:color w:val="auto"/>
        </w:rPr>
        <w:t xml:space="preserve">On July 3, 2017, we acquired 100% of the outstanding equity of Hunt for $129.3 million in cash and 1.6 million common units in the Operating Partnership with an acquisition date fair value of $41.6 million. Additional contingent consideration of up to $17 million, with an acquisition date fair value of $16.4 million, may be paid upon the achievement of certain revenue milestones by delivering shares of our common stock. </w:t>
      </w:r>
      <w:hyperlink w:anchor="page18">
        <w:r>
          <w:rPr>
            <w:rFonts w:ascii="Arial" w:cs="Arial" w:eastAsia="Arial" w:hAnsi="Arial"/>
            <w:sz w:val="17"/>
            <w:szCs w:val="17"/>
            <w:u w:val="single" w:color="auto"/>
            <w:color w:val="auto"/>
          </w:rPr>
          <w:t>See Note 5</w:t>
        </w:r>
      </w:hyperlink>
      <w:r>
        <w:rPr>
          <w:rFonts w:ascii="Arial" w:cs="Arial" w:eastAsia="Arial" w:hAnsi="Arial"/>
          <w:sz w:val="20"/>
          <w:szCs w:val="20"/>
          <w:color w:val="auto"/>
        </w:rPr>
        <w:t>.</w:t>
      </w:r>
      <w:r>
        <w:rPr>
          <w:rFonts w:ascii="Arial" w:cs="Arial" w:eastAsia="Arial" w:hAnsi="Arial"/>
          <w:sz w:val="17"/>
          <w:szCs w:val="17"/>
          <w:color w:val="auto"/>
        </w:rPr>
        <w:t xml:space="preserve"> Hunt is a leading provider of data transport to K-12 schools and government agencies with a dense fiber network in Louisiana. The acquisition was recorded by allocating the costs of the assets acquired based on their estimated fair values at the acquisition date. The excess of the cost of the acquisition over the fair value of the assets acquired is recorded as goodwill within our Fiber Infrastructure segment. </w:t>
      </w:r>
      <w:hyperlink w:anchor="page25">
        <w:r>
          <w:rPr>
            <w:rFonts w:ascii="Arial" w:cs="Arial" w:eastAsia="Arial" w:hAnsi="Arial"/>
            <w:sz w:val="17"/>
            <w:szCs w:val="17"/>
            <w:u w:val="single" w:color="auto"/>
            <w:color w:val="auto"/>
          </w:rPr>
          <w:t>See Note 11</w:t>
        </w:r>
      </w:hyperlink>
      <w:r>
        <w:rPr>
          <w:rFonts w:ascii="Arial" w:cs="Arial" w:eastAsia="Arial" w:hAnsi="Arial"/>
          <w:sz w:val="17"/>
          <w:szCs w:val="17"/>
          <w:color w:val="auto"/>
        </w:rPr>
        <w: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jc w:val="center"/>
              <w:ind w:left="2634"/>
              <w:spacing w:after="0"/>
              <w:rPr>
                <w:sz w:val="20"/>
                <w:szCs w:val="20"/>
                <w:color w:val="auto"/>
              </w:rPr>
            </w:pPr>
            <w:r>
              <w:rPr>
                <w:rFonts w:ascii="Arial" w:cs="Arial" w:eastAsia="Arial" w:hAnsi="Arial"/>
                <w:sz w:val="17"/>
                <w:szCs w:val="17"/>
                <w:b w:val="1"/>
                <w:bCs w:val="1"/>
                <w:color w:val="auto"/>
                <w:w w:val="95"/>
              </w:rPr>
              <w:t>Uniti Group Inc.</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700" w:type="dxa"/>
            <w:vAlign w:val="bottom"/>
          </w:tcPr>
          <w:p>
            <w:pPr>
              <w:jc w:val="center"/>
              <w:ind w:left="2634"/>
              <w:spacing w:after="0"/>
              <w:rPr>
                <w:sz w:val="20"/>
                <w:szCs w:val="20"/>
                <w:color w:val="auto"/>
              </w:rPr>
            </w:pPr>
            <w:r>
              <w:rPr>
                <w:rFonts w:ascii="Arial" w:cs="Arial" w:eastAsia="Arial" w:hAnsi="Arial"/>
                <w:sz w:val="17"/>
                <w:szCs w:val="17"/>
                <w:b w:val="1"/>
                <w:bCs w:val="1"/>
                <w:color w:val="auto"/>
                <w:w w:val="89"/>
              </w:rPr>
              <w:t>Notes to the Condensed Consolidated Financial Statements – Continued</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700" w:type="dxa"/>
            <w:vAlign w:val="bottom"/>
          </w:tcPr>
          <w:p>
            <w:pPr>
              <w:jc w:val="center"/>
              <w:ind w:left="2634"/>
              <w:spacing w:after="0"/>
              <w:rPr>
                <w:sz w:val="20"/>
                <w:szCs w:val="20"/>
                <w:color w:val="auto"/>
              </w:rPr>
            </w:pPr>
            <w:r>
              <w:rPr>
                <w:rFonts w:ascii="Arial" w:cs="Arial" w:eastAsia="Arial" w:hAnsi="Arial"/>
                <w:sz w:val="17"/>
                <w:szCs w:val="17"/>
                <w:b w:val="1"/>
                <w:bCs w:val="1"/>
                <w:color w:val="auto"/>
                <w:w w:val="92"/>
              </w:rPr>
              <w:t>(unaudited)</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87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b w:val="1"/>
                <w:bCs w:val="1"/>
                <w:color w:val="auto"/>
              </w:rPr>
              <w:t>(thousands)</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700" w:type="dxa"/>
            <w:vAlign w:val="bottom"/>
            <w:shd w:val="clear" w:color="auto" w:fill="CFF0FC"/>
          </w:tcPr>
          <w:p>
            <w:pPr>
              <w:spacing w:after="0"/>
              <w:rPr>
                <w:sz w:val="20"/>
                <w:szCs w:val="20"/>
                <w:color w:val="auto"/>
              </w:rPr>
            </w:pPr>
            <w:r>
              <w:rPr>
                <w:rFonts w:ascii="Arial" w:cs="Arial" w:eastAsia="Arial" w:hAnsi="Arial"/>
                <w:sz w:val="17"/>
                <w:szCs w:val="17"/>
                <w:color w:val="auto"/>
              </w:rPr>
              <w:t>Property, plant and equipment</w:t>
            </w: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59,682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3,181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color w:val="auto"/>
              </w:rPr>
              <w:t>Intangible assets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73,000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 accrued expenses and other liabilities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(3,741)</w:t>
            </w: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7"/>
                <w:szCs w:val="17"/>
                <w:color w:val="auto"/>
              </w:rPr>
              <w:t>(6,040)</w:t>
            </w:r>
          </w:p>
        </w:tc>
        <w:tc>
          <w:tcPr>
            <w:tcW w:w="0" w:type="dxa"/>
            <w:vAlign w:val="bottom"/>
          </w:tcPr>
          <w:p>
            <w:pPr>
              <w:spacing w:after="0"/>
              <w:rPr>
                <w:sz w:val="1"/>
                <w:szCs w:val="1"/>
                <w:color w:val="auto"/>
              </w:rPr>
            </w:pPr>
          </w:p>
        </w:tc>
      </w:tr>
      <w:tr>
        <w:trPr>
          <w:trHeight w:val="220"/>
        </w:trPr>
        <w:tc>
          <w:tcPr>
            <w:tcW w:w="8700" w:type="dxa"/>
            <w:vAlign w:val="bottom"/>
            <w:shd w:val="clear" w:color="auto" w:fill="CFF0FC"/>
          </w:tcPr>
          <w:p>
            <w:pPr>
              <w:spacing w:after="0"/>
              <w:rPr>
                <w:sz w:val="20"/>
                <w:szCs w:val="20"/>
                <w:color w:val="auto"/>
              </w:rPr>
            </w:pPr>
            <w:r>
              <w:rPr>
                <w:rFonts w:ascii="Arial" w:cs="Arial" w:eastAsia="Arial" w:hAnsi="Arial"/>
                <w:sz w:val="17"/>
                <w:szCs w:val="17"/>
                <w:color w:val="auto"/>
              </w:rPr>
              <w:t>Deferred income taxes</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(40,391)</w:t>
            </w: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color w:val="auto"/>
              </w:rPr>
              <w:t>Capital lease obligations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20" w:type="dxa"/>
            <w:vAlign w:val="bottom"/>
            <w:gridSpan w:val="2"/>
          </w:tcPr>
          <w:p>
            <w:pPr>
              <w:jc w:val="right"/>
              <w:ind w:right="4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
        </w:trPr>
        <w:tc>
          <w:tcPr>
            <w:tcW w:w="87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purchase consideration</w:t>
            </w: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700" w:type="dxa"/>
            <w:vAlign w:val="bottom"/>
            <w:vMerge w:val="continue"/>
            <w:shd w:val="clear" w:color="auto" w:fill="CFF0FC"/>
          </w:tcPr>
          <w:p>
            <w:pPr>
              <w:spacing w:after="0"/>
              <w:rPr>
                <w:sz w:val="18"/>
                <w:szCs w:val="18"/>
                <w:color w:val="auto"/>
              </w:rPr>
            </w:pPr>
          </w:p>
        </w:tc>
        <w:tc>
          <w:tcPr>
            <w:tcW w:w="700" w:type="dxa"/>
            <w:vAlign w:val="bottom"/>
            <w:gridSpan w:val="2"/>
            <w:shd w:val="clear" w:color="auto" w:fill="CFF0FC"/>
          </w:tcPr>
          <w:p>
            <w:pPr>
              <w:jc w:val="right"/>
              <w:ind w:right="380"/>
              <w:spacing w:after="0"/>
              <w:rPr>
                <w:sz w:val="20"/>
                <w:szCs w:val="20"/>
                <w:color w:val="auto"/>
              </w:rPr>
            </w:pPr>
            <w:r>
              <w:rPr>
                <w:rFonts w:ascii="Arial" w:cs="Arial" w:eastAsia="Arial" w:hAnsi="Arial"/>
                <w:sz w:val="17"/>
                <w:szCs w:val="17"/>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187,271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auto"/>
        </w:rPr>
        <w:t>The above purchase price allocation is considered preliminary and is subject to the resolution of contractual adjustments, such as working capital adjustments, set forth in the merger agreement, which is anticipated to be finalized during the second quarter of 2018.</w:t>
      </w:r>
    </w:p>
    <w:p>
      <w:pPr>
        <w:spacing w:after="0" w:line="159" w:lineRule="exact"/>
        <w:rPr>
          <w:sz w:val="20"/>
          <w:szCs w:val="20"/>
          <w:color w:val="auto"/>
        </w:rPr>
      </w:pPr>
    </w:p>
    <w:p>
      <w:pPr>
        <w:ind w:right="500"/>
        <w:spacing w:after="0" w:line="283" w:lineRule="auto"/>
        <w:rPr>
          <w:sz w:val="20"/>
          <w:szCs w:val="20"/>
          <w:color w:val="auto"/>
        </w:rPr>
      </w:pPr>
      <w:r>
        <w:rPr>
          <w:rFonts w:ascii="Arial" w:cs="Arial" w:eastAsia="Arial" w:hAnsi="Arial"/>
          <w:sz w:val="17"/>
          <w:szCs w:val="17"/>
          <w:color w:val="auto"/>
        </w:rPr>
        <w:t>During the first quarter of 2018, the purchase price allocation was adjusted to record certain deferred revenues and accrued liabilities that existed at the date of acquisition. Deferred revenue and accrued liabilities increased $2.2 million and $1.2 million, respectively.</w:t>
      </w:r>
    </w:p>
    <w:p>
      <w:pPr>
        <w:spacing w:after="0" w:line="107" w:lineRule="exact"/>
        <w:rPr>
          <w:sz w:val="20"/>
          <w:szCs w:val="20"/>
          <w:color w:val="auto"/>
        </w:rPr>
      </w:pPr>
    </w:p>
    <w:p>
      <w:pPr>
        <w:ind w:right="20"/>
        <w:spacing w:after="0" w:line="315" w:lineRule="auto"/>
        <w:rPr>
          <w:sz w:val="20"/>
          <w:szCs w:val="20"/>
          <w:color w:val="auto"/>
        </w:rPr>
      </w:pPr>
      <w:r>
        <w:rPr>
          <w:rFonts w:ascii="Arial" w:cs="Arial" w:eastAsia="Arial" w:hAnsi="Arial"/>
          <w:sz w:val="16"/>
          <w:szCs w:val="16"/>
          <w:color w:val="auto"/>
        </w:rPr>
        <w:t>The goodwill arising from the transaction is primarily attributable to the expansion of our fiber network through the complementary nature of Hunt’s fiber network to our existing fiber network, including anticipated incremental sales and cost savings. The goodwill is not expected to be deductible for tax purposes.</w:t>
      </w:r>
    </w:p>
    <w:p>
      <w:pPr>
        <w:spacing w:after="0" w:line="86"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As part of the acquisition we acquired an intangible asset that was assigned to customer relationships of $73 million (18 year life). </w:t>
      </w:r>
      <w:hyperlink w:anchor="page21">
        <w:r>
          <w:rPr>
            <w:rFonts w:ascii="Arial" w:cs="Arial" w:eastAsia="Arial" w:hAnsi="Arial"/>
            <w:sz w:val="17"/>
            <w:szCs w:val="17"/>
            <w:u w:val="single" w:color="auto"/>
            <w:color w:val="auto"/>
          </w:rPr>
          <w:t>See Note 8</w:t>
        </w:r>
      </w:hyperlink>
      <w:r>
        <w:rPr>
          <w:rFonts w:ascii="Arial" w:cs="Arial" w:eastAsia="Arial" w:hAnsi="Arial"/>
          <w:sz w:val="17"/>
          <w:szCs w:val="17"/>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Fair Value of Financial Instruments</w:t>
      </w:r>
    </w:p>
    <w:p>
      <w:pPr>
        <w:spacing w:after="0" w:line="121"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1 </w:t>
      </w:r>
      <w:r>
        <w:rPr>
          <w:rFonts w:ascii="Arial" w:cs="Arial" w:eastAsia="Arial" w:hAnsi="Arial"/>
          <w:sz w:val="17"/>
          <w:szCs w:val="17"/>
          <w:color w:val="auto"/>
        </w:rPr>
        <w:t>– Quoted prices (unadjusted) in active markets for identical assets or liabilities that the reporting entity can access at the assessment date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2 </w:t>
      </w:r>
      <w:r>
        <w:rPr>
          <w:rFonts w:ascii="Arial" w:cs="Arial" w:eastAsia="Arial" w:hAnsi="Arial"/>
          <w:sz w:val="17"/>
          <w:szCs w:val="17"/>
          <w:color w:val="auto"/>
        </w:rPr>
        <w:t>– Inputs other than quoted prices included within Level 1 that are observable for the asset or liability, either directly or indirectly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Level 3 </w:t>
      </w:r>
      <w:r>
        <w:rPr>
          <w:rFonts w:ascii="Arial" w:cs="Arial" w:eastAsia="Arial" w:hAnsi="Arial"/>
          <w:sz w:val="17"/>
          <w:szCs w:val="17"/>
          <w:color w:val="auto"/>
        </w:rPr>
        <w:t>– Unobservable inputs for the asset or liability</w:t>
      </w:r>
    </w:p>
    <w:p>
      <w:pPr>
        <w:spacing w:after="0" w:line="218"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Our financial instruments consist of cash and cash equivalents, accounts and other receivables, a derivative liability, our outstanding notes and other debt, contingent consideration and accounts, interest and dividends payable.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our financial instruments at March 31, 2018 and December 31, 2017:</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Quoted Prices 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b w:val="1"/>
                <w:bCs w:val="1"/>
                <w:color w:val="auto"/>
              </w:rPr>
              <w:t>Prices with Other</w:t>
            </w: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Prices with</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9"/>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w w:val="99"/>
              </w:rPr>
              <w:t>Observable Inputs</w:t>
            </w: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65"/>
        </w:trPr>
        <w:tc>
          <w:tcPr>
            <w:tcW w:w="62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left="11"/>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Inputs (Level 3)</w:t>
            </w:r>
          </w:p>
        </w:tc>
        <w:tc>
          <w:tcPr>
            <w:tcW w:w="0" w:type="dxa"/>
            <w:vAlign w:val="bottom"/>
          </w:tcPr>
          <w:p>
            <w:pPr>
              <w:spacing w:after="0"/>
              <w:rPr>
                <w:sz w:val="1"/>
                <w:szCs w:val="1"/>
                <w:color w:val="auto"/>
              </w:rPr>
            </w:pPr>
          </w:p>
        </w:tc>
      </w:tr>
      <w:tr>
        <w:trPr>
          <w:trHeight w:val="213"/>
        </w:trPr>
        <w:tc>
          <w:tcPr>
            <w:tcW w:w="6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7"/>
                <w:szCs w:val="17"/>
                <w:color w:val="auto"/>
              </w:rPr>
              <w:t>At March 31, 2018</w:t>
            </w: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60" w:type="dxa"/>
            <w:vAlign w:val="bottom"/>
            <w:gridSpan w:val="2"/>
          </w:tcPr>
          <w:p>
            <w:pPr>
              <w:spacing w:after="0"/>
              <w:rPr>
                <w:sz w:val="20"/>
                <w:szCs w:val="20"/>
                <w:color w:val="auto"/>
              </w:rPr>
            </w:pPr>
            <w:r>
              <w:rPr>
                <w:rFonts w:ascii="Arial" w:cs="Arial" w:eastAsia="Arial" w:hAnsi="Arial"/>
                <w:sz w:val="17"/>
                <w:szCs w:val="17"/>
                <w:color w:val="auto"/>
              </w:rPr>
              <w:t>Assets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Derivative asset</w:t>
            </w:r>
          </w:p>
        </w:tc>
        <w:tc>
          <w:tcPr>
            <w:tcW w:w="36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42,061</w:t>
            </w:r>
          </w:p>
        </w:tc>
        <w:tc>
          <w:tcPr>
            <w:tcW w:w="1140" w:type="dxa"/>
            <w:vAlign w:val="bottom"/>
            <w:gridSpan w:val="2"/>
            <w:shd w:val="clear" w:color="auto" w:fill="CFF0FC"/>
          </w:tcPr>
          <w:p>
            <w:pPr>
              <w:jc w:val="right"/>
              <w:ind w:right="871"/>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42,061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260" w:type="dxa"/>
            <w:vAlign w:val="bottom"/>
            <w:gridSpan w:val="2"/>
            <w:vMerge w:val="continue"/>
          </w:tcPr>
          <w:p>
            <w:pPr>
              <w:spacing w:after="0"/>
              <w:rPr>
                <w:sz w:val="21"/>
                <w:szCs w:val="21"/>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42,061</w:t>
            </w:r>
          </w:p>
        </w:tc>
        <w:tc>
          <w:tcPr>
            <w:tcW w:w="1140" w:type="dxa"/>
            <w:vAlign w:val="bottom"/>
            <w:gridSpan w:val="2"/>
          </w:tcPr>
          <w:p>
            <w:pPr>
              <w:jc w:val="right"/>
              <w:ind w:right="871"/>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42,061</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6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Senior secured term loan B - variable rate, due October 24, 2022</w:t>
            </w:r>
          </w:p>
        </w:tc>
        <w:tc>
          <w:tcPr>
            <w:tcW w:w="36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2,008,760</w:t>
            </w:r>
          </w:p>
        </w:tc>
        <w:tc>
          <w:tcPr>
            <w:tcW w:w="1140" w:type="dxa"/>
            <w:vAlign w:val="bottom"/>
            <w:gridSpan w:val="2"/>
            <w:shd w:val="clear" w:color="auto" w:fill="CFF0FC"/>
          </w:tcPr>
          <w:p>
            <w:pPr>
              <w:jc w:val="right"/>
              <w:ind w:right="871"/>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2,008,760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gridSpan w:val="2"/>
          </w:tcPr>
          <w:p>
            <w:pPr>
              <w:ind w:left="120"/>
              <w:spacing w:after="0"/>
              <w:rPr>
                <w:sz w:val="20"/>
                <w:szCs w:val="20"/>
                <w:color w:val="auto"/>
              </w:rPr>
            </w:pPr>
            <w:r>
              <w:rPr>
                <w:rFonts w:ascii="Arial" w:cs="Arial" w:eastAsia="Arial" w:hAnsi="Arial"/>
                <w:sz w:val="17"/>
                <w:szCs w:val="17"/>
                <w:color w:val="auto"/>
              </w:rPr>
              <w:t>Senior secured notes - 6.00%, due April 15, 2023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528,000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528,000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Senior unsecured notes - 8.25%, due October 15, 2023</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1,051,725</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1,051,725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gridSpan w:val="2"/>
          </w:tcPr>
          <w:p>
            <w:pPr>
              <w:ind w:left="120"/>
              <w:spacing w:after="0"/>
              <w:rPr>
                <w:sz w:val="20"/>
                <w:szCs w:val="20"/>
                <w:color w:val="auto"/>
              </w:rPr>
            </w:pPr>
            <w:r>
              <w:rPr>
                <w:rFonts w:ascii="Arial" w:cs="Arial" w:eastAsia="Arial" w:hAnsi="Arial"/>
                <w:sz w:val="17"/>
                <w:szCs w:val="17"/>
                <w:color w:val="auto"/>
              </w:rPr>
              <w:t>Senior unsecured notes - 7.125%, due December 15, 2024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542,250</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542,250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Senior secured revolving credit facility, variable rate, due April 24, 2020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299,970</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299,970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Contingent consideration</w:t>
            </w: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89,236</w:t>
            </w:r>
          </w:p>
        </w:tc>
        <w:tc>
          <w:tcPr>
            <w:tcW w:w="1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7"/>
                <w:szCs w:val="17"/>
                <w:color w:val="auto"/>
              </w:rPr>
              <w:t>Total</w:t>
            </w: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4,519,941</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4,430,705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89,236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6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center"/>
              <w:ind w:right="37"/>
              <w:spacing w:after="0"/>
              <w:rPr>
                <w:sz w:val="20"/>
                <w:szCs w:val="20"/>
                <w:color w:val="auto"/>
              </w:rPr>
            </w:pPr>
            <w:r>
              <w:rPr>
                <w:rFonts w:ascii="Arial" w:cs="Arial" w:eastAsia="Arial" w:hAnsi="Arial"/>
                <w:sz w:val="14"/>
                <w:szCs w:val="14"/>
                <w:b w:val="1"/>
                <w:bCs w:val="1"/>
                <w:color w:val="auto"/>
                <w:w w:val="86"/>
              </w:rPr>
              <w:t>Prices with</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Quoted Prices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37"/>
              <w:spacing w:after="0" w:line="142"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Prices with</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ind w:right="37"/>
              <w:spacing w:after="0" w:line="142" w:lineRule="exact"/>
              <w:rPr>
                <w:sz w:val="20"/>
                <w:szCs w:val="20"/>
                <w:color w:val="auto"/>
              </w:rPr>
            </w:pPr>
            <w:r>
              <w:rPr>
                <w:rFonts w:ascii="Arial" w:cs="Arial" w:eastAsia="Arial" w:hAnsi="Arial"/>
                <w:sz w:val="14"/>
                <w:szCs w:val="14"/>
                <w:b w:val="1"/>
                <w:bCs w:val="1"/>
                <w:color w:val="auto"/>
                <w:w w:val="89"/>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57"/>
              <w:spacing w:after="0" w:line="142"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460" w:type="dxa"/>
            <w:vAlign w:val="bottom"/>
            <w:gridSpan w:val="5"/>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Unobservable Inputs</w:t>
            </w:r>
          </w:p>
        </w:tc>
        <w:tc>
          <w:tcPr>
            <w:tcW w:w="0" w:type="dxa"/>
            <w:vAlign w:val="bottom"/>
          </w:tcPr>
          <w:p>
            <w:pPr>
              <w:spacing w:after="0"/>
              <w:rPr>
                <w:sz w:val="1"/>
                <w:szCs w:val="1"/>
                <w:color w:val="auto"/>
              </w:rPr>
            </w:pPr>
          </w:p>
        </w:tc>
      </w:tr>
      <w:tr>
        <w:trPr>
          <w:trHeight w:val="165"/>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1"/>
              </w:rPr>
              <w:t>(Level 1)</w:t>
            </w: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At December 31, 2017</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60" w:type="dxa"/>
            <w:vAlign w:val="bottom"/>
            <w:gridSpan w:val="2"/>
          </w:tcPr>
          <w:p>
            <w:pPr>
              <w:spacing w:after="0"/>
              <w:rPr>
                <w:sz w:val="20"/>
                <w:szCs w:val="20"/>
                <w:color w:val="auto"/>
              </w:rPr>
            </w:pPr>
            <w:r>
              <w:rPr>
                <w:rFonts w:ascii="Arial" w:cs="Arial" w:eastAsia="Arial" w:hAnsi="Arial"/>
                <w:sz w:val="17"/>
                <w:szCs w:val="17"/>
                <w:color w:val="auto"/>
              </w:rPr>
              <w:t>Assets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Derivative asset</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6,793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6,793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260" w:type="dxa"/>
            <w:vAlign w:val="bottom"/>
            <w:gridSpan w:val="2"/>
            <w:vMerge w:val="continue"/>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6,793</w:t>
            </w:r>
          </w:p>
        </w:tc>
        <w:tc>
          <w:tcPr>
            <w:tcW w:w="1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6,793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60" w:type="dxa"/>
            <w:vAlign w:val="bottom"/>
            <w:gridSpan w:val="2"/>
          </w:tcPr>
          <w:p>
            <w:pPr>
              <w:spacing w:after="0"/>
              <w:rPr>
                <w:sz w:val="20"/>
                <w:szCs w:val="20"/>
                <w:color w:val="auto"/>
              </w:rPr>
            </w:pPr>
            <w:r>
              <w:rPr>
                <w:rFonts w:ascii="Arial" w:cs="Arial" w:eastAsia="Arial" w:hAnsi="Arial"/>
                <w:sz w:val="17"/>
                <w:szCs w:val="17"/>
                <w:color w:val="auto"/>
              </w:rPr>
              <w:t>Liabilities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Senior secured term loan B - variable rate, due October 24, 2022</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2,011,237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2,011,237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gridSpan w:val="2"/>
          </w:tcPr>
          <w:p>
            <w:pPr>
              <w:ind w:left="120"/>
              <w:spacing w:after="0"/>
              <w:rPr>
                <w:sz w:val="20"/>
                <w:szCs w:val="20"/>
                <w:color w:val="auto"/>
              </w:rPr>
            </w:pPr>
            <w:r>
              <w:rPr>
                <w:rFonts w:ascii="Arial" w:cs="Arial" w:eastAsia="Arial" w:hAnsi="Arial"/>
                <w:sz w:val="17"/>
                <w:szCs w:val="17"/>
                <w:color w:val="auto"/>
              </w:rPr>
              <w:t>Senior secured notes - 6.00%, due April 15, 2023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540,375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540,375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Senior unsecured notes - 8.25%, due October 15, 2023</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1,073,925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1,073,925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gridSpan w:val="2"/>
          </w:tcPr>
          <w:p>
            <w:pPr>
              <w:ind w:left="120"/>
              <w:spacing w:after="0"/>
              <w:rPr>
                <w:sz w:val="20"/>
                <w:szCs w:val="20"/>
                <w:color w:val="auto"/>
              </w:rPr>
            </w:pPr>
            <w:r>
              <w:rPr>
                <w:rFonts w:ascii="Arial" w:cs="Arial" w:eastAsia="Arial" w:hAnsi="Arial"/>
                <w:sz w:val="17"/>
                <w:szCs w:val="17"/>
                <w:color w:val="auto"/>
              </w:rPr>
              <w:t>Senior unsecured notes - 7.125%, due December 15, 2024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542,250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542,250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Senior secured revolving credit facility, variable rate, due April 24, 2020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279,972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279,972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6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Contingent consideration</w:t>
            </w:r>
          </w:p>
        </w:tc>
        <w:tc>
          <w:tcPr>
            <w:tcW w:w="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105,762</w:t>
            </w:r>
          </w:p>
        </w:tc>
        <w:tc>
          <w:tcPr>
            <w:tcW w:w="1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105,762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4,553,521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4,447,759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The carrying value of cash and cash equivalents, accounts and other receivables, and accounts, interest and dividends payable approximate fair values due to the short-term nature of these financial instruments.</w:t>
      </w:r>
    </w:p>
    <w:p>
      <w:pPr>
        <w:spacing w:after="0" w:line="159" w:lineRule="exact"/>
        <w:rPr>
          <w:sz w:val="20"/>
          <w:szCs w:val="20"/>
          <w:color w:val="auto"/>
        </w:rPr>
      </w:pPr>
    </w:p>
    <w:p>
      <w:pPr>
        <w:ind w:right="40"/>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The total principal balance of our outstanding notes and other debt was $4.6 billion at March 31, 2018, with a fair value of $4.4 billion. The estimated fair value of our outstanding notes and other debt was based on available external pricing data and current market rates for similar debt instruments, among other factors, which are classified as Level 2 inputs within the fair value hierarchy. Derivative assets are carried at fair value. </w:t>
      </w:r>
      <w:hyperlink w:anchor="page21">
        <w:r>
          <w:rPr>
            <w:rFonts w:ascii="Arial" w:cs="Arial" w:eastAsia="Arial" w:hAnsi="Arial"/>
            <w:sz w:val="17"/>
            <w:szCs w:val="17"/>
            <w:u w:val="single" w:color="auto"/>
            <w:color w:val="0000EE"/>
          </w:rPr>
          <w:t>See Note 7</w:t>
        </w:r>
      </w:hyperlink>
      <w:r>
        <w:rPr>
          <w:rFonts w:ascii="Arial" w:cs="Arial" w:eastAsia="Arial" w:hAnsi="Arial"/>
          <w:sz w:val="17"/>
          <w:szCs w:val="17"/>
          <w:color w:val="auto"/>
        </w:rPr>
        <w:t>. The fair value of an interest rate swap is determined based on the present value of expected future cash flows using observable, quoted LIBOR swap rates for the full term of the swap and also incorporate credit valuation adjustments to appropriately reflect both Uniti’s own non-performance risk and non-performance risk of the respective counterparties. The Company has determined that the majority of the inputs used to value its derivative assets fall within Level 2 of the fair value hierarchy; however the associated credit valuation adjustments utilized Level 3 inputs, such as estimates of credit spreads, to evaluate the likelihood of default by the Company and its counterparties. As of March 31, 2018, the Company has assessed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the significance of the impact of the credit valuation adjustments on the overall valuation of its derivative positions and has determined that the credit valuation adjustment is not significant to the overall value of the derivatives. As such, the Company classifies its derivative assets valuation in Level 2 of the fair value hierarchy.</w:t>
      </w:r>
    </w:p>
    <w:p>
      <w:pPr>
        <w:spacing w:after="0" w:line="172" w:lineRule="exact"/>
        <w:rPr>
          <w:sz w:val="20"/>
          <w:szCs w:val="20"/>
          <w:color w:val="auto"/>
        </w:rPr>
      </w:pPr>
    </w:p>
    <w:p>
      <w:pPr>
        <w:ind w:right="80"/>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As part of the acquisition of Hunt on July 3, 2017, we may be obligated to pay contingent consideration (the “Hunt Contingent Consideration”) upon the achievement of certain defined revenue milestones; therefore, we have recorded the estimated fair value of contingent consideration of approximately $10.5 million as of March 31, 2018. </w:t>
      </w:r>
      <w:hyperlink w:anchor="page16">
        <w:r>
          <w:rPr>
            <w:rFonts w:ascii="Arial" w:cs="Arial" w:eastAsia="Arial" w:hAnsi="Arial"/>
            <w:sz w:val="17"/>
            <w:szCs w:val="17"/>
            <w:u w:val="single" w:color="auto"/>
            <w:color w:val="0000EE"/>
          </w:rPr>
          <w:t>See Note 4</w:t>
        </w:r>
      </w:hyperlink>
      <w:r>
        <w:rPr>
          <w:rFonts w:ascii="Arial" w:cs="Arial" w:eastAsia="Arial" w:hAnsi="Arial"/>
          <w:sz w:val="17"/>
          <w:szCs w:val="17"/>
          <w:color w:val="auto"/>
        </w:rPr>
        <w:t>. In accordance with the Hunt merger agreement, Uniti common shares will be used to satisfy the contingent consideration payment. The fair value of the Hunt Contingent Consideration at March 31, 2018 was determined using the closing price of our common shares in the active market and the probability of expected declared dividends, and is classified as Level 3.</w:t>
      </w:r>
    </w:p>
    <w:p>
      <w:pPr>
        <w:spacing w:after="0" w:line="177"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As part of the acquisition of Tower Cloud on August 31, 2016, we may be obligated to pay contingent consideration upon achievement of certain defined operational and financial milestones. At the Company’s discretion, a combination of cash and Uniti common shares may be used to satisfy the contingent consideration payments, provided that at least 50% of the aggregate amount of payments is satisfied in cash. We recorded the estimated fair value of future contingent consideration of $78.7 million as of March 31, 2018. The fair value of the contingent consideration as of March 31, 2018, was determined using a discounted cash flow model and probability adjusted estimates of the future earnings and is classified as Level 3. During the three months ended March 31, 2018 and 2017, we paid $12.7 million and $18.8 million, respectively, for the achievement of certain milestones in accordance with the Tower Cloud merger agreement.</w:t>
      </w:r>
    </w:p>
    <w:p>
      <w:pPr>
        <w:spacing w:after="0" w:line="153"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Changes in the fair value of contingent consideration arrangements are recorded in our Condensed Consolidated Statement of Income in the period in which the change occurs. For the three months ended March 31, 2018, there was a $3.9 million decrease in the fair value of the contingent consideration that was recorded in Other (income) expense on the Condensed Consolidated Statements of Income.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roll forward of our liabilities measured at fair value on a recurring basis using unobservable inputs (Level 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0"/>
              </w:rPr>
              <w:t>December 31, 2017</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8"/>
              </w:rPr>
              <w:t>(Gain)/Loss included</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Settlements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Transfers into Level 3</w:t>
            </w:r>
          </w:p>
        </w:tc>
        <w:tc>
          <w:tcPr>
            <w:tcW w:w="240" w:type="dxa"/>
            <w:vAlign w:val="bottom"/>
            <w:tcBorders>
              <w:bottom w:val="single" w:sz="8" w:color="CFF0FC"/>
            </w:tcBorders>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 earnings</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Contingent consideration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105,762</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5"/>
            <w:shd w:val="clear" w:color="auto" w:fill="CFF0FC"/>
          </w:tcPr>
          <w:p>
            <w:pPr>
              <w:jc w:val="right"/>
              <w:ind w:right="31"/>
              <w:spacing w:after="0"/>
              <w:rPr>
                <w:sz w:val="20"/>
                <w:szCs w:val="20"/>
                <w:color w:val="auto"/>
              </w:rPr>
            </w:pPr>
            <w:r>
              <w:rPr>
                <w:rFonts w:ascii="Arial" w:cs="Arial" w:eastAsia="Arial" w:hAnsi="Arial"/>
                <w:sz w:val="17"/>
                <w:szCs w:val="17"/>
                <w:color w:val="auto"/>
              </w:rPr>
              <w:t>-   $</w:t>
            </w:r>
          </w:p>
        </w:tc>
        <w:tc>
          <w:tcPr>
            <w:tcW w:w="1300" w:type="dxa"/>
            <w:vAlign w:val="bottom"/>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(3,864)</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4"/>
            <w:shd w:val="clear" w:color="auto" w:fill="CFF0FC"/>
          </w:tcPr>
          <w:p>
            <w:pPr>
              <w:jc w:val="right"/>
              <w:ind w:right="180"/>
              <w:spacing w:after="0"/>
              <w:rPr>
                <w:sz w:val="20"/>
                <w:szCs w:val="20"/>
                <w:color w:val="auto"/>
              </w:rPr>
            </w:pPr>
            <w:r>
              <w:rPr>
                <w:rFonts w:ascii="Arial" w:cs="Arial" w:eastAsia="Arial" w:hAnsi="Arial"/>
                <w:sz w:val="17"/>
                <w:szCs w:val="17"/>
                <w:color w:val="auto"/>
              </w:rPr>
              <w:t>(12,662)</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89,236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3260" w:type="dxa"/>
            <w:vAlign w:val="bottom"/>
            <w:gridSpan w:val="2"/>
          </w:tcPr>
          <w:p>
            <w:pPr>
              <w:spacing w:after="0"/>
              <w:rPr>
                <w:sz w:val="20"/>
                <w:szCs w:val="20"/>
                <w:color w:val="auto"/>
              </w:rPr>
            </w:pPr>
            <w:r>
              <w:rPr>
                <w:rFonts w:ascii="Arial" w:cs="Arial" w:eastAsia="Arial" w:hAnsi="Arial"/>
                <w:sz w:val="17"/>
                <w:szCs w:val="17"/>
                <w:b w:val="1"/>
                <w:bCs w:val="1"/>
                <w:color w:val="auto"/>
              </w:rPr>
              <w:t>Note 6. Property, Plant and Equipment</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40" w:type="dxa"/>
            <w:vAlign w:val="bottom"/>
            <w:gridSpan w:val="4"/>
          </w:tcPr>
          <w:p>
            <w:pPr>
              <w:spacing w:after="0"/>
              <w:rPr>
                <w:sz w:val="20"/>
                <w:szCs w:val="20"/>
                <w:color w:val="auto"/>
              </w:rPr>
            </w:pPr>
            <w:r>
              <w:rPr>
                <w:rFonts w:ascii="Arial" w:cs="Arial" w:eastAsia="Arial" w:hAnsi="Arial"/>
                <w:sz w:val="17"/>
                <w:szCs w:val="17"/>
                <w:color w:val="auto"/>
                <w:w w:val="96"/>
              </w:rPr>
              <w:t>The carrying value of property, plant and equipment is as follows: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Depreciable Lives</w:t>
            </w:r>
          </w:p>
        </w:tc>
        <w:tc>
          <w:tcPr>
            <w:tcW w:w="20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4"/>
            <w:vMerge w:val="restart"/>
          </w:tcPr>
          <w:p>
            <w:pPr>
              <w:jc w:val="right"/>
              <w:ind w:right="455"/>
              <w:spacing w:after="0"/>
              <w:rPr>
                <w:sz w:val="20"/>
                <w:szCs w:val="20"/>
                <w:color w:val="auto"/>
              </w:rPr>
            </w:pPr>
            <w:r>
              <w:rPr>
                <w:rFonts w:ascii="Arial" w:cs="Arial" w:eastAsia="Arial" w:hAnsi="Arial"/>
                <w:sz w:val="14"/>
                <w:szCs w:val="14"/>
                <w:b w:val="1"/>
                <w:bCs w:val="1"/>
                <w:color w:val="auto"/>
              </w:rPr>
              <w:t>March 31, 2018</w:t>
            </w:r>
          </w:p>
        </w:tc>
        <w:tc>
          <w:tcPr>
            <w:tcW w:w="32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CFF0FC"/>
            </w:tcBorders>
            <w:gridSpan w:val="2"/>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320" w:type="dxa"/>
            <w:vAlign w:val="bottom"/>
            <w:tcBorders>
              <w:bottom w:val="single" w:sz="8" w:color="CFF0FC"/>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Land</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gridSpan w:val="4"/>
            <w:shd w:val="clear" w:color="auto" w:fill="CFF0FC"/>
          </w:tcPr>
          <w:p>
            <w:pPr>
              <w:jc w:val="right"/>
              <w:ind w:right="151"/>
              <w:spacing w:after="0"/>
              <w:rPr>
                <w:sz w:val="20"/>
                <w:szCs w:val="20"/>
                <w:color w:val="auto"/>
              </w:rPr>
            </w:pPr>
            <w:r>
              <w:rPr>
                <w:rFonts w:ascii="Arial" w:cs="Arial" w:eastAsia="Arial" w:hAnsi="Arial"/>
                <w:sz w:val="17"/>
                <w:szCs w:val="17"/>
                <w:color w:val="auto"/>
              </w:rPr>
              <w:t>Indefinite</w:t>
            </w:r>
          </w:p>
        </w:tc>
        <w:tc>
          <w:tcPr>
            <w:tcW w:w="10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27,332</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27,110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rPr>
                <w:sz w:val="20"/>
                <w:szCs w:val="20"/>
                <w:color w:val="auto"/>
              </w:rPr>
            </w:pPr>
            <w:r>
              <w:rPr>
                <w:rFonts w:ascii="Arial" w:cs="Arial" w:eastAsia="Arial" w:hAnsi="Arial"/>
                <w:sz w:val="17"/>
                <w:szCs w:val="17"/>
                <w:color w:val="auto"/>
              </w:rPr>
              <w:t>Building and improvements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4"/>
          </w:tcPr>
          <w:p>
            <w:pPr>
              <w:jc w:val="right"/>
              <w:ind w:right="151"/>
              <w:spacing w:after="0"/>
              <w:rPr>
                <w:sz w:val="20"/>
                <w:szCs w:val="20"/>
                <w:color w:val="auto"/>
              </w:rPr>
            </w:pPr>
            <w:r>
              <w:rPr>
                <w:rFonts w:ascii="Arial" w:cs="Arial" w:eastAsia="Arial" w:hAnsi="Arial"/>
                <w:sz w:val="17"/>
                <w:szCs w:val="17"/>
                <w:color w:val="auto"/>
              </w:rPr>
              <w:t>3 - 40 years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333,945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333,121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Real property interests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0" w:type="dxa"/>
            <w:vAlign w:val="bottom"/>
            <w:gridSpan w:val="5"/>
            <w:shd w:val="clear" w:color="auto" w:fill="CFF0FC"/>
          </w:tcPr>
          <w:p>
            <w:pPr>
              <w:jc w:val="right"/>
              <w:ind w:right="71"/>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34,580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rPr>
                <w:sz w:val="20"/>
                <w:szCs w:val="20"/>
                <w:color w:val="auto"/>
              </w:rPr>
            </w:pPr>
            <w:r>
              <w:rPr>
                <w:rFonts w:ascii="Arial" w:cs="Arial" w:eastAsia="Arial" w:hAnsi="Arial"/>
                <w:sz w:val="17"/>
                <w:szCs w:val="17"/>
                <w:color w:val="auto"/>
              </w:rPr>
              <w:t>Poles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4"/>
          </w:tcPr>
          <w:p>
            <w:pPr>
              <w:jc w:val="right"/>
              <w:ind w:right="151"/>
              <w:spacing w:after="0"/>
              <w:rPr>
                <w:sz w:val="20"/>
                <w:szCs w:val="20"/>
                <w:color w:val="auto"/>
              </w:rPr>
            </w:pPr>
            <w:r>
              <w:rPr>
                <w:rFonts w:ascii="Arial" w:cs="Arial" w:eastAsia="Arial" w:hAnsi="Arial"/>
                <w:sz w:val="17"/>
                <w:szCs w:val="17"/>
                <w:color w:val="auto"/>
              </w:rPr>
              <w:t>30 years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244,766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243,710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Fiber</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jc w:val="right"/>
              <w:ind w:right="151"/>
              <w:spacing w:after="0"/>
              <w:rPr>
                <w:sz w:val="20"/>
                <w:szCs w:val="20"/>
                <w:color w:val="auto"/>
              </w:rPr>
            </w:pPr>
            <w:r>
              <w:rPr>
                <w:rFonts w:ascii="Arial" w:cs="Arial" w:eastAsia="Arial" w:hAnsi="Arial"/>
                <w:sz w:val="17"/>
                <w:szCs w:val="17"/>
                <w:color w:val="auto"/>
              </w:rPr>
              <w:t>30 years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2,723,670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2,671,216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rPr>
                <w:sz w:val="20"/>
                <w:szCs w:val="20"/>
                <w:color w:val="auto"/>
              </w:rPr>
            </w:pPr>
            <w:r>
              <w:rPr>
                <w:rFonts w:ascii="Arial" w:cs="Arial" w:eastAsia="Arial" w:hAnsi="Arial"/>
                <w:sz w:val="17"/>
                <w:szCs w:val="17"/>
                <w:color w:val="auto"/>
              </w:rPr>
              <w:t>Equipment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4"/>
          </w:tcPr>
          <w:p>
            <w:pPr>
              <w:jc w:val="right"/>
              <w:ind w:right="151"/>
              <w:spacing w:after="0"/>
              <w:rPr>
                <w:sz w:val="20"/>
                <w:szCs w:val="20"/>
                <w:color w:val="auto"/>
              </w:rPr>
            </w:pPr>
            <w:r>
              <w:rPr>
                <w:rFonts w:ascii="Arial" w:cs="Arial" w:eastAsia="Arial" w:hAnsi="Arial"/>
                <w:sz w:val="17"/>
                <w:szCs w:val="17"/>
                <w:color w:val="auto"/>
              </w:rPr>
              <w:t>5 - 7 years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208,355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201,490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Copper</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jc w:val="right"/>
              <w:ind w:right="151"/>
              <w:spacing w:after="0"/>
              <w:rPr>
                <w:sz w:val="20"/>
                <w:szCs w:val="20"/>
                <w:color w:val="auto"/>
              </w:rPr>
            </w:pPr>
            <w:r>
              <w:rPr>
                <w:rFonts w:ascii="Arial" w:cs="Arial" w:eastAsia="Arial" w:hAnsi="Arial"/>
                <w:sz w:val="17"/>
                <w:szCs w:val="17"/>
                <w:color w:val="auto"/>
              </w:rPr>
              <w:t>20 years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3,677,480</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3,656,384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rPr>
                <w:sz w:val="20"/>
                <w:szCs w:val="20"/>
                <w:color w:val="auto"/>
              </w:rPr>
            </w:pPr>
            <w:r>
              <w:rPr>
                <w:rFonts w:ascii="Arial" w:cs="Arial" w:eastAsia="Arial" w:hAnsi="Arial"/>
                <w:sz w:val="17"/>
                <w:szCs w:val="17"/>
                <w:color w:val="auto"/>
              </w:rPr>
              <w:t>Conduit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4"/>
          </w:tcPr>
          <w:p>
            <w:pPr>
              <w:jc w:val="right"/>
              <w:ind w:right="151"/>
              <w:spacing w:after="0"/>
              <w:rPr>
                <w:sz w:val="20"/>
                <w:szCs w:val="20"/>
                <w:color w:val="auto"/>
              </w:rPr>
            </w:pPr>
            <w:r>
              <w:rPr>
                <w:rFonts w:ascii="Arial" w:cs="Arial" w:eastAsia="Arial" w:hAnsi="Arial"/>
                <w:sz w:val="17"/>
                <w:szCs w:val="17"/>
                <w:color w:val="auto"/>
              </w:rPr>
              <w:t>30 years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91,210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91,210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Tower assets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jc w:val="right"/>
              <w:ind w:right="151"/>
              <w:spacing w:after="0"/>
              <w:rPr>
                <w:sz w:val="20"/>
                <w:szCs w:val="20"/>
                <w:color w:val="auto"/>
              </w:rPr>
            </w:pPr>
            <w:r>
              <w:rPr>
                <w:rFonts w:ascii="Arial" w:cs="Arial" w:eastAsia="Arial" w:hAnsi="Arial"/>
                <w:sz w:val="17"/>
                <w:szCs w:val="17"/>
                <w:color w:val="auto"/>
              </w:rPr>
              <w:t>20 years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68,155</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rPr>
                <w:sz w:val="20"/>
                <w:szCs w:val="20"/>
                <w:color w:val="auto"/>
              </w:rPr>
            </w:pPr>
            <w:r>
              <w:rPr>
                <w:rFonts w:ascii="Arial" w:cs="Arial" w:eastAsia="Arial" w:hAnsi="Arial"/>
                <w:sz w:val="17"/>
                <w:szCs w:val="17"/>
                <w:color w:val="auto"/>
              </w:rPr>
              <w:t>Capital lease assets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0" w:type="dxa"/>
            <w:vAlign w:val="bottom"/>
            <w:gridSpan w:val="5"/>
          </w:tcPr>
          <w:p>
            <w:pPr>
              <w:jc w:val="right"/>
              <w:ind w:right="71"/>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92,974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93,465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4"/>
            <w:shd w:val="clear" w:color="auto" w:fill="CFF0FC"/>
          </w:tcPr>
          <w:p>
            <w:pPr>
              <w:jc w:val="right"/>
              <w:ind w:right="151"/>
              <w:spacing w:after="0"/>
              <w:rPr>
                <w:sz w:val="20"/>
                <w:szCs w:val="20"/>
                <w:color w:val="auto"/>
              </w:rPr>
            </w:pPr>
            <w:r>
              <w:rPr>
                <w:rFonts w:ascii="Arial" w:cs="Arial" w:eastAsia="Arial" w:hAnsi="Arial"/>
                <w:sz w:val="17"/>
                <w:szCs w:val="17"/>
                <w:color w:val="auto"/>
              </w:rPr>
              <w:t>15 - 20 years</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10,381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tcPr>
          <w:p>
            <w:pPr>
              <w:spacing w:after="0"/>
              <w:rPr>
                <w:sz w:val="20"/>
                <w:szCs w:val="20"/>
                <w:color w:val="auto"/>
              </w:rPr>
            </w:pPr>
            <w:r>
              <w:rPr>
                <w:rFonts w:ascii="Arial" w:cs="Arial" w:eastAsia="Arial" w:hAnsi="Arial"/>
                <w:sz w:val="17"/>
                <w:szCs w:val="17"/>
                <w:color w:val="auto"/>
              </w:rPr>
              <w:t>Corporate assets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4"/>
          </w:tcPr>
          <w:p>
            <w:pPr>
              <w:jc w:val="right"/>
              <w:ind w:right="151"/>
              <w:spacing w:after="0"/>
              <w:rPr>
                <w:sz w:val="20"/>
                <w:szCs w:val="20"/>
                <w:color w:val="auto"/>
              </w:rPr>
            </w:pPr>
            <w:r>
              <w:rPr>
                <w:rFonts w:ascii="Arial" w:cs="Arial" w:eastAsia="Arial" w:hAnsi="Arial"/>
                <w:sz w:val="17"/>
                <w:szCs w:val="17"/>
                <w:color w:val="auto"/>
              </w:rPr>
              <w:t>3 - 7 years</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8,262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Construction in progress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0" w:type="dxa"/>
            <w:vAlign w:val="bottom"/>
            <w:gridSpan w:val="5"/>
            <w:shd w:val="clear" w:color="auto" w:fill="CFF0FC"/>
          </w:tcPr>
          <w:p>
            <w:pPr>
              <w:jc w:val="right"/>
              <w:ind w:right="71"/>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124,611</w:t>
            </w:r>
          </w:p>
        </w:tc>
        <w:tc>
          <w:tcPr>
            <w:tcW w:w="3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112,489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89"/>
              </w:rPr>
              <w:t>7,645,721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7,542,587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accumulated depreciation</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7"/>
                <w:szCs w:val="17"/>
                <w:color w:val="auto"/>
                <w:w w:val="98"/>
              </w:rPr>
              <w:t>(4,596,007)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(4,488,698)</w:t>
            </w:r>
          </w:p>
        </w:tc>
        <w:tc>
          <w:tcPr>
            <w:tcW w:w="0" w:type="dxa"/>
            <w:vAlign w:val="bottom"/>
          </w:tcPr>
          <w:p>
            <w:pPr>
              <w:spacing w:after="0"/>
              <w:rPr>
                <w:sz w:val="1"/>
                <w:szCs w:val="1"/>
                <w:color w:val="auto"/>
              </w:rPr>
            </w:pPr>
          </w:p>
        </w:tc>
      </w:tr>
      <w:tr>
        <w:trPr>
          <w:trHeight w:val="213"/>
        </w:trPr>
        <w:tc>
          <w:tcPr>
            <w:tcW w:w="3260" w:type="dxa"/>
            <w:vAlign w:val="bottom"/>
            <w:gridSpan w:val="2"/>
          </w:tcPr>
          <w:p>
            <w:pPr>
              <w:spacing w:after="0"/>
              <w:rPr>
                <w:sz w:val="20"/>
                <w:szCs w:val="20"/>
                <w:color w:val="auto"/>
              </w:rPr>
            </w:pPr>
            <w:r>
              <w:rPr>
                <w:rFonts w:ascii="Arial" w:cs="Arial" w:eastAsia="Arial" w:hAnsi="Arial"/>
                <w:sz w:val="17"/>
                <w:szCs w:val="17"/>
                <w:color w:val="auto"/>
              </w:rPr>
              <w:t>Net property, plant and equipment</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3,049,714</w:t>
            </w:r>
          </w:p>
        </w:tc>
        <w:tc>
          <w:tcPr>
            <w:tcW w:w="32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3,053,889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4432300</wp:posOffset>
            </wp:positionH>
            <wp:positionV relativeFrom="paragraph">
              <wp:posOffset>0</wp:posOffset>
            </wp:positionV>
            <wp:extent cx="2748280"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48280" cy="2476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See our Annual Report for property, plant and equipment accounting policies.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three months ended March 31, 2018 and 2017 was $108.2 million and $98.9 million,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Derivative Instruments and Hedging Activities</w:t>
      </w:r>
    </w:p>
    <w:p>
      <w:pPr>
        <w:spacing w:after="0" w:line="121" w:lineRule="exact"/>
        <w:rPr>
          <w:sz w:val="20"/>
          <w:szCs w:val="20"/>
          <w:color w:val="auto"/>
        </w:rPr>
      </w:pPr>
    </w:p>
    <w:p>
      <w:pPr>
        <w:ind w:right="440"/>
        <w:spacing w:after="0" w:line="315" w:lineRule="auto"/>
        <w:rPr>
          <w:sz w:val="20"/>
          <w:szCs w:val="20"/>
          <w:color w:val="auto"/>
        </w:rPr>
      </w:pPr>
      <w:r>
        <w:rPr>
          <w:rFonts w:ascii="Arial" w:cs="Arial" w:eastAsia="Arial" w:hAnsi="Arial"/>
          <w:sz w:val="16"/>
          <w:szCs w:val="16"/>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3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On April 27, 2015, we entered into fixed for floating interest rate swap agreements to mitigate the interest rate risk inherent in our variable rate Senior Secured Term Loan B facility. These interest rate swaps are designated as cash flow hedges and have a notional value of $2.13 billion and mature on October 24, 2022. The weighted average fixed rate paid is 2.105%, and the variable rate received resets monthly to the one-month LIBOR subject to a minimum rate of 1.0%. The Company does not currently have any master netting arrangements related to its derivative contracts.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and the presentation in our Condensed Consolidated Balance Sheet: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Location on Condensed Consolidated</w:t>
            </w:r>
          </w:p>
        </w:tc>
        <w:tc>
          <w:tcPr>
            <w:tcW w:w="240" w:type="dxa"/>
            <w:vAlign w:val="bottom"/>
          </w:tcPr>
          <w:p>
            <w:pPr>
              <w:spacing w:after="0"/>
              <w:rPr>
                <w:sz w:val="14"/>
                <w:szCs w:val="14"/>
                <w:color w:val="auto"/>
              </w:rPr>
            </w:pPr>
          </w:p>
        </w:tc>
        <w:tc>
          <w:tcPr>
            <w:tcW w:w="150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w w:val="95"/>
              </w:rPr>
              <w:t>December 31, 2017</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FF0FC"/>
            </w:tcBorders>
          </w:tcPr>
          <w:p>
            <w:pPr>
              <w:spacing w:after="0"/>
              <w:rPr>
                <w:sz w:val="14"/>
                <w:szCs w:val="14"/>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Balance Sheet</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rate swaps</w:t>
            </w:r>
          </w:p>
        </w:tc>
        <w:tc>
          <w:tcPr>
            <w:tcW w:w="2760" w:type="dxa"/>
            <w:vAlign w:val="bottom"/>
            <w:gridSpan w:val="2"/>
            <w:shd w:val="clear" w:color="auto" w:fill="CFF0FC"/>
          </w:tcPr>
          <w:p>
            <w:pPr>
              <w:jc w:val="center"/>
              <w:ind w:right="180"/>
              <w:spacing w:after="0"/>
              <w:rPr>
                <w:sz w:val="20"/>
                <w:szCs w:val="20"/>
                <w:color w:val="auto"/>
              </w:rPr>
            </w:pPr>
            <w:r>
              <w:rPr>
                <w:rFonts w:ascii="Arial" w:cs="Arial" w:eastAsia="Arial" w:hAnsi="Arial"/>
                <w:sz w:val="17"/>
                <w:szCs w:val="17"/>
                <w:color w:val="auto"/>
                <w:w w:val="90"/>
              </w:rPr>
              <w:t>Derivative asset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42,061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As of March 31, 2018 and December 31, 2017, all of the interest rate swaps were valued in net unrealized gain positions and recognized as asset balances within the derivative asset balance. For the three months ended March 31, 2018, the amount recorded in other comprehensive income related to the unrealized gain on derivative instruments was $32.7 million. For the three months ended March 31, 2017, the amount recorded in other comprehensive income related to the unrealized loss on derivative instruments was $1.2 million. The amount reclassified out of other comprehensive income into interest expense on our Condensed Consolidated Statement of Income for the three months ended March 31, 2018 and 2017, was $2.6 million and $5.8 million, respectively. For the three months ended March 31, 2018 and 2017, there was no ineffective portion of the change in fair value derivatives.</w:t>
      </w:r>
    </w:p>
    <w:p>
      <w:pPr>
        <w:spacing w:after="0" w:line="168" w:lineRule="exact"/>
        <w:rPr>
          <w:sz w:val="20"/>
          <w:szCs w:val="20"/>
          <w:color w:val="auto"/>
        </w:rPr>
      </w:pPr>
    </w:p>
    <w:p>
      <w:pPr>
        <w:jc w:val="both"/>
        <w:ind w:right="120"/>
        <w:spacing w:after="0" w:line="352" w:lineRule="auto"/>
        <w:rPr>
          <w:sz w:val="20"/>
          <w:szCs w:val="20"/>
          <w:color w:val="auto"/>
        </w:rPr>
      </w:pPr>
      <w:r>
        <w:rPr>
          <w:rFonts w:ascii="Arial" w:cs="Arial" w:eastAsia="Arial" w:hAnsi="Arial"/>
          <w:sz w:val="15"/>
          <w:szCs w:val="15"/>
          <w:color w:val="auto"/>
        </w:rPr>
        <w:t>Amounts reported in accumulated other comprehensive income (loss) related to derivatives will be reclassified to interest expense as interest payments are made on our variable-rate debt. During the next twelve months, beginning April 1, 2018, we estimate that $10.4 million will be reclassified as an increase to interest expense.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Goodwill and Intangible Assets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carrying amount of goodwill occurring during the three months ended March 31, 2018,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26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Fiber Infrastructure</w:t>
            </w:r>
          </w:p>
        </w:tc>
        <w:tc>
          <w:tcPr>
            <w:tcW w:w="38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3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00" w:type="dxa"/>
            <w:vAlign w:val="bottom"/>
            <w:shd w:val="clear" w:color="auto" w:fill="CFF0FC"/>
          </w:tcPr>
          <w:p>
            <w:pPr>
              <w:spacing w:after="0"/>
              <w:rPr>
                <w:sz w:val="20"/>
                <w:szCs w:val="20"/>
                <w:color w:val="auto"/>
              </w:rPr>
            </w:pPr>
            <w:r>
              <w:rPr>
                <w:rFonts w:ascii="Arial" w:cs="Arial" w:eastAsia="Arial" w:hAnsi="Arial"/>
                <w:sz w:val="17"/>
                <w:szCs w:val="17"/>
                <w:color w:val="auto"/>
              </w:rPr>
              <w:t>Goodwill at December 31, 2017</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673,729</w:t>
            </w:r>
          </w:p>
        </w:tc>
        <w:tc>
          <w:tcPr>
            <w:tcW w:w="980" w:type="dxa"/>
            <w:vAlign w:val="bottom"/>
            <w:gridSpan w:val="2"/>
            <w:shd w:val="clear" w:color="auto" w:fill="CFF0FC"/>
          </w:tcPr>
          <w:p>
            <w:pPr>
              <w:jc w:val="right"/>
              <w:ind w:right="520"/>
              <w:spacing w:after="0"/>
              <w:rPr>
                <w:sz w:val="20"/>
                <w:szCs w:val="20"/>
                <w:color w:val="auto"/>
              </w:rPr>
            </w:pPr>
            <w:r>
              <w:rPr>
                <w:rFonts w:ascii="Arial" w:cs="Arial" w:eastAsia="Arial" w:hAnsi="Arial"/>
                <w:sz w:val="17"/>
                <w:szCs w:val="17"/>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673,729</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00" w:type="dxa"/>
            <w:vAlign w:val="bottom"/>
          </w:tcPr>
          <w:p>
            <w:pPr>
              <w:spacing w:after="0"/>
              <w:rPr>
                <w:sz w:val="20"/>
                <w:szCs w:val="20"/>
                <w:color w:val="auto"/>
              </w:rPr>
            </w:pPr>
            <w:r>
              <w:rPr>
                <w:rFonts w:ascii="Arial" w:cs="Arial" w:eastAsia="Arial" w:hAnsi="Arial"/>
                <w:sz w:val="17"/>
                <w:szCs w:val="17"/>
                <w:color w:val="auto"/>
              </w:rPr>
              <w:t>Goodwill purchase accounting adjustments - See Note 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3,403</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3,403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00" w:type="dxa"/>
            <w:vAlign w:val="bottom"/>
            <w:shd w:val="clear" w:color="auto" w:fill="CFF0FC"/>
          </w:tcPr>
          <w:p>
            <w:pPr>
              <w:spacing w:after="0"/>
              <w:rPr>
                <w:sz w:val="20"/>
                <w:szCs w:val="20"/>
                <w:color w:val="auto"/>
              </w:rPr>
            </w:pPr>
            <w:r>
              <w:rPr>
                <w:rFonts w:ascii="Arial" w:cs="Arial" w:eastAsia="Arial" w:hAnsi="Arial"/>
                <w:sz w:val="17"/>
                <w:szCs w:val="17"/>
                <w:color w:val="auto"/>
              </w:rPr>
              <w:t>Goodwill associated with 2018 acquisitions</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7"/>
                <w:szCs w:val="17"/>
                <w:color w:val="auto"/>
              </w:rPr>
              <w:t>Goodwill at March 31, 2018</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677,132</w:t>
            </w:r>
          </w:p>
        </w:tc>
        <w:tc>
          <w:tcPr>
            <w:tcW w:w="3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677,132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w w:val="94"/>
              </w:rPr>
              <w:t>21</w:t>
            </w:r>
          </w:p>
        </w:tc>
        <w:tc>
          <w:tcPr>
            <w:tcW w:w="3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560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intangible assets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4"/>
              </w:rPr>
              <w:t>March 31, 2018</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8"/>
              </w:rPr>
              <w:t>December 31, 2017</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jc w:val="right"/>
              <w:ind w:right="201"/>
              <w:spacing w:after="0" w:line="126" w:lineRule="exact"/>
              <w:rPr>
                <w:sz w:val="20"/>
                <w:szCs w:val="20"/>
                <w:color w:val="auto"/>
              </w:rPr>
            </w:pPr>
            <w:r>
              <w:rPr>
                <w:rFonts w:ascii="Arial" w:cs="Arial" w:eastAsia="Arial" w:hAnsi="Arial"/>
                <w:sz w:val="14"/>
                <w:szCs w:val="14"/>
                <w:b w:val="1"/>
                <w:bCs w:val="1"/>
                <w:color w:val="auto"/>
              </w:rPr>
              <w:t>Cumulative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380"/>
              <w:spacing w:after="0" w:line="126" w:lineRule="exact"/>
              <w:rPr>
                <w:sz w:val="20"/>
                <w:szCs w:val="20"/>
                <w:color w:val="auto"/>
              </w:rPr>
            </w:pPr>
            <w:r>
              <w:rPr>
                <w:rFonts w:ascii="Arial" w:cs="Arial" w:eastAsia="Arial" w:hAnsi="Arial"/>
                <w:sz w:val="14"/>
                <w:szCs w:val="14"/>
                <w:b w:val="1"/>
                <w:bCs w:val="1"/>
                <w:color w:val="auto"/>
                <w:w w:val="92"/>
              </w:rPr>
              <w:t>Cumulative</w:t>
            </w:r>
          </w:p>
        </w:tc>
        <w:tc>
          <w:tcPr>
            <w:tcW w:w="140" w:type="dxa"/>
            <w:vAlign w:val="bottom"/>
          </w:tcPr>
          <w:p>
            <w:pPr>
              <w:spacing w:after="0"/>
              <w:rPr>
                <w:sz w:val="10"/>
                <w:szCs w:val="10"/>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120" w:type="dxa"/>
            <w:vAlign w:val="bottom"/>
          </w:tcPr>
          <w:p>
            <w:pPr>
              <w:jc w:val="right"/>
              <w:ind w:right="201"/>
              <w:spacing w:after="0" w:line="142" w:lineRule="exact"/>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0"/>
              </w:rPr>
              <w:t>Translation</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201"/>
              <w:spacing w:after="0"/>
              <w:rPr>
                <w:sz w:val="20"/>
                <w:szCs w:val="20"/>
                <w:color w:val="auto"/>
              </w:rPr>
            </w:pPr>
            <w:r>
              <w:rPr>
                <w:rFonts w:ascii="Arial" w:cs="Arial" w:eastAsia="Arial" w:hAnsi="Arial"/>
                <w:sz w:val="14"/>
                <w:szCs w:val="14"/>
                <w:b w:val="1"/>
                <w:bCs w:val="1"/>
                <w:color w:val="auto"/>
              </w:rPr>
              <w:t>Adjustment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Adjustment</w:t>
            </w: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25"/>
        </w:trPr>
        <w:tc>
          <w:tcPr>
            <w:tcW w:w="2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Indefinite life intangible assets:</w:t>
            </w: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20" w:type="dxa"/>
            <w:vAlign w:val="bottom"/>
            <w:gridSpan w:val="2"/>
          </w:tcPr>
          <w:p>
            <w:pPr>
              <w:spacing w:after="0"/>
              <w:rPr>
                <w:sz w:val="20"/>
                <w:szCs w:val="20"/>
                <w:color w:val="auto"/>
              </w:rPr>
            </w:pPr>
            <w:r>
              <w:rPr>
                <w:rFonts w:ascii="Arial" w:cs="Arial" w:eastAsia="Arial" w:hAnsi="Arial"/>
                <w:sz w:val="17"/>
                <w:szCs w:val="17"/>
                <w:color w:val="auto"/>
              </w:rPr>
              <w:t>Trade name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2,000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2,000</w:t>
            </w:r>
          </w:p>
        </w:tc>
        <w:tc>
          <w:tcPr>
            <w:tcW w:w="140" w:type="dxa"/>
            <w:vAlign w:val="bottom"/>
          </w:tcPr>
          <w:p>
            <w:pPr>
              <w:spacing w:after="0"/>
              <w:rPr>
                <w:sz w:val="19"/>
                <w:szCs w:val="19"/>
                <w:color w:val="auto"/>
              </w:rPr>
            </w:pPr>
          </w:p>
        </w:tc>
        <w:tc>
          <w:tcPr>
            <w:tcW w:w="240" w:type="dxa"/>
            <w:vAlign w:val="bottom"/>
            <w:gridSpan w:val="2"/>
          </w:tcPr>
          <w:p>
            <w:pPr>
              <w:jc w:val="right"/>
              <w:ind w:right="11"/>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20" w:type="dxa"/>
            <w:vAlign w:val="bottom"/>
            <w:gridSpan w:val="2"/>
          </w:tcPr>
          <w:p>
            <w:pPr>
              <w:spacing w:after="0"/>
              <w:rPr>
                <w:sz w:val="20"/>
                <w:szCs w:val="20"/>
                <w:color w:val="auto"/>
              </w:rPr>
            </w:pPr>
            <w:r>
              <w:rPr>
                <w:rFonts w:ascii="Arial" w:cs="Arial" w:eastAsia="Arial" w:hAnsi="Arial"/>
                <w:sz w:val="17"/>
                <w:szCs w:val="17"/>
                <w:color w:val="auto"/>
              </w:rPr>
              <w:t>Finite life intangible assets: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Customer lists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421,743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(51,885)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421,743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(46,049)</w:t>
            </w:r>
          </w:p>
        </w:tc>
        <w:tc>
          <w:tcPr>
            <w:tcW w:w="0" w:type="dxa"/>
            <w:vAlign w:val="bottom"/>
          </w:tcPr>
          <w:p>
            <w:pPr>
              <w:spacing w:after="0"/>
              <w:rPr>
                <w:sz w:val="1"/>
                <w:szCs w:val="1"/>
                <w:color w:val="auto"/>
              </w:rPr>
            </w:pPr>
          </w:p>
        </w:tc>
      </w:tr>
      <w:tr>
        <w:trPr>
          <w:trHeight w:val="233"/>
        </w:trPr>
        <w:tc>
          <w:tcPr>
            <w:tcW w:w="2920" w:type="dxa"/>
            <w:vAlign w:val="bottom"/>
            <w:gridSpan w:val="2"/>
          </w:tcPr>
          <w:p>
            <w:pPr>
              <w:spacing w:after="0"/>
              <w:rPr>
                <w:sz w:val="20"/>
                <w:szCs w:val="20"/>
                <w:color w:val="auto"/>
              </w:rPr>
            </w:pPr>
            <w:r>
              <w:rPr>
                <w:rFonts w:ascii="Arial" w:cs="Arial" w:eastAsia="Arial" w:hAnsi="Arial"/>
                <w:sz w:val="17"/>
                <w:szCs w:val="17"/>
                <w:color w:val="auto"/>
              </w:rPr>
              <w:t>Tenant contracts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37,386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(2,158)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37,386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1,141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(1,605)</w:t>
            </w:r>
          </w:p>
        </w:tc>
        <w:tc>
          <w:tcPr>
            <w:tcW w:w="0" w:type="dxa"/>
            <w:vAlign w:val="bottom"/>
          </w:tcPr>
          <w:p>
            <w:pPr>
              <w:spacing w:after="0"/>
              <w:rPr>
                <w:sz w:val="1"/>
                <w:szCs w:val="1"/>
                <w:color w:val="auto"/>
              </w:rPr>
            </w:pPr>
          </w:p>
        </w:tc>
      </w:tr>
      <w:tr>
        <w:trPr>
          <w:trHeight w:val="233"/>
        </w:trPr>
        <w:tc>
          <w:tcPr>
            <w:tcW w:w="2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Network</w:t>
            </w:r>
            <w:r>
              <w:rPr>
                <w:rFonts w:ascii="Arial" w:cs="Arial" w:eastAsia="Arial" w:hAnsi="Arial"/>
                <w:sz w:val="14"/>
                <w:szCs w:val="14"/>
                <w:color w:val="auto"/>
              </w:rPr>
              <w:t>(1)</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13,541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1,198</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(782)</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13,541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220"/>
        </w:trPr>
        <w:tc>
          <w:tcPr>
            <w:tcW w:w="2920" w:type="dxa"/>
            <w:vAlign w:val="bottom"/>
            <w:gridSpan w:val="2"/>
          </w:tcPr>
          <w:p>
            <w:pPr>
              <w:spacing w:after="0"/>
              <w:rPr>
                <w:sz w:val="20"/>
                <w:szCs w:val="20"/>
                <w:color w:val="auto"/>
              </w:rPr>
            </w:pPr>
            <w:r>
              <w:rPr>
                <w:rFonts w:ascii="Arial" w:cs="Arial" w:eastAsia="Arial" w:hAnsi="Arial"/>
                <w:sz w:val="17"/>
                <w:szCs w:val="17"/>
                <w:color w:val="auto"/>
              </w:rPr>
              <w:t>Acquired below-market leases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25"/>
        </w:trPr>
        <w:tc>
          <w:tcPr>
            <w:tcW w:w="2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20" w:type="dxa"/>
            <w:vAlign w:val="bottom"/>
            <w:gridSpan w:val="2"/>
          </w:tcPr>
          <w:p>
            <w:pPr>
              <w:spacing w:after="0"/>
              <w:rPr>
                <w:sz w:val="20"/>
                <w:szCs w:val="20"/>
                <w:color w:val="auto"/>
              </w:rPr>
            </w:pPr>
            <w:r>
              <w:rPr>
                <w:rFonts w:ascii="Arial" w:cs="Arial" w:eastAsia="Arial" w:hAnsi="Arial"/>
                <w:sz w:val="17"/>
                <w:szCs w:val="17"/>
                <w:color w:val="auto"/>
              </w:rPr>
              <w:t>Total intangible assets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480,695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477,730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Less: Accumulated amortization</w:t>
            </w:r>
          </w:p>
        </w:tc>
        <w:tc>
          <w:tcPr>
            <w:tcW w:w="2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(55,001)</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(48,373)</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7"/>
                <w:szCs w:val="17"/>
                <w:color w:val="auto"/>
              </w:rPr>
              <w:t>Total intangible assets, net</w:t>
            </w: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920" w:type="dxa"/>
            <w:vAlign w:val="bottom"/>
            <w:gridSpan w:val="2"/>
            <w:vMerge w:val="continue"/>
          </w:tcPr>
          <w:p>
            <w:pPr>
              <w:spacing w:after="0"/>
              <w:rPr>
                <w:sz w:val="23"/>
                <w:szCs w:val="23"/>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425,694</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429,357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8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20" w:type="dxa"/>
            <w:vAlign w:val="bottom"/>
            <w:gridSpan w:val="2"/>
          </w:tcPr>
          <w:p>
            <w:pPr>
              <w:spacing w:after="0"/>
              <w:rPr>
                <w:sz w:val="20"/>
                <w:szCs w:val="20"/>
                <w:color w:val="auto"/>
              </w:rPr>
            </w:pPr>
            <w:r>
              <w:rPr>
                <w:rFonts w:ascii="Arial" w:cs="Arial" w:eastAsia="Arial" w:hAnsi="Arial"/>
                <w:sz w:val="17"/>
                <w:szCs w:val="17"/>
                <w:color w:val="auto"/>
              </w:rPr>
              <w:t>Finite life intangible liabilities: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Acquired above-market leases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266</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(432)</w:t>
            </w: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3,440</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1"/>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2335" cy="147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147955"/>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20" w:type="dxa"/>
            <w:vAlign w:val="bottom"/>
          </w:tcPr>
          <w:p>
            <w:pPr>
              <w:spacing w:after="0"/>
              <w:rPr>
                <w:sz w:val="20"/>
                <w:szCs w:val="20"/>
                <w:color w:val="auto"/>
              </w:rPr>
            </w:pPr>
            <w:r>
              <w:rPr>
                <w:rFonts w:ascii="Arial" w:cs="Arial" w:eastAsia="Arial" w:hAnsi="Arial"/>
                <w:sz w:val="17"/>
                <w:szCs w:val="17"/>
                <w:color w:val="auto"/>
              </w:rPr>
              <w:t>Finite life intangible liabilities:</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2920" w:type="dxa"/>
            <w:vAlign w:val="bottom"/>
          </w:tcPr>
          <w:p>
            <w:pPr>
              <w:spacing w:after="0"/>
              <w:rPr>
                <w:sz w:val="20"/>
                <w:szCs w:val="20"/>
                <w:color w:val="auto"/>
              </w:rPr>
            </w:pPr>
            <w:r>
              <w:rPr>
                <w:rFonts w:ascii="Arial" w:cs="Arial" w:eastAsia="Arial" w:hAnsi="Arial"/>
                <w:sz w:val="17"/>
                <w:szCs w:val="17"/>
                <w:color w:val="auto"/>
              </w:rPr>
              <w:t>Acquired above-market leases</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3,706</w:t>
            </w:r>
          </w:p>
        </w:tc>
        <w:tc>
          <w:tcPr>
            <w:tcW w:w="60" w:type="dxa"/>
            <w:vAlign w:val="bottom"/>
          </w:tcPr>
          <w:p>
            <w:pPr>
              <w:spacing w:after="0"/>
              <w:rPr>
                <w:sz w:val="21"/>
                <w:szCs w:val="21"/>
                <w:color w:val="auto"/>
              </w:rPr>
            </w:pPr>
          </w:p>
        </w:tc>
      </w:tr>
      <w:tr>
        <w:trPr>
          <w:trHeight w:val="232"/>
        </w:trPr>
        <w:tc>
          <w:tcPr>
            <w:tcW w:w="292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4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(432)</w:t>
            </w:r>
          </w:p>
        </w:tc>
      </w:tr>
      <w:tr>
        <w:trPr>
          <w:trHeight w:val="225"/>
        </w:trPr>
        <w:tc>
          <w:tcPr>
            <w:tcW w:w="2920" w:type="dxa"/>
            <w:vAlign w:val="bottom"/>
          </w:tcPr>
          <w:p>
            <w:pPr>
              <w:spacing w:after="0"/>
              <w:rPr>
                <w:sz w:val="20"/>
                <w:szCs w:val="20"/>
                <w:color w:val="auto"/>
              </w:rPr>
            </w:pPr>
            <w:r>
              <w:rPr>
                <w:rFonts w:ascii="Arial" w:cs="Arial" w:eastAsia="Arial" w:hAnsi="Arial"/>
                <w:sz w:val="17"/>
                <w:szCs w:val="17"/>
                <w:color w:val="auto"/>
              </w:rPr>
              <w:t>Total intangible liabilities, net</w:t>
            </w:r>
            <w:r>
              <w:rPr>
                <w:rFonts w:ascii="Arial" w:cs="Arial" w:eastAsia="Arial" w:hAnsi="Arial"/>
                <w:sz w:val="14"/>
                <w:szCs w:val="14"/>
                <w:color w:val="auto"/>
              </w:rPr>
              <w:t>(2)</w:t>
            </w: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3,274</w:t>
            </w:r>
          </w:p>
        </w:tc>
        <w:tc>
          <w:tcPr>
            <w:tcW w:w="6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-327660</wp:posOffset>
            </wp:positionV>
            <wp:extent cx="7252335" cy="147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147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left="810"/>
        <w:spacing w:after="0"/>
        <w:rPr>
          <w:sz w:val="20"/>
          <w:szCs w:val="20"/>
          <w:color w:val="auto"/>
        </w:rPr>
      </w:pPr>
      <w:r>
        <w:rPr>
          <w:rFonts w:ascii="Arial" w:cs="Arial" w:eastAsia="Arial" w:hAnsi="Arial"/>
          <w:sz w:val="17"/>
          <w:szCs w:val="17"/>
          <w:color w:val="auto"/>
        </w:rPr>
        <w:t>3,455</w:t>
      </w:r>
    </w:p>
    <w:p>
      <w:pPr>
        <w:spacing w:after="0" w:line="37" w:lineRule="exact"/>
        <w:rPr>
          <w:sz w:val="20"/>
          <w:szCs w:val="20"/>
          <w:color w:val="auto"/>
        </w:rPr>
      </w:pPr>
    </w:p>
    <w:p>
      <w:pPr>
        <w:jc w:val="right"/>
        <w:ind w:right="2900"/>
        <w:spacing w:after="0"/>
        <w:rPr>
          <w:sz w:val="20"/>
          <w:szCs w:val="20"/>
          <w:color w:val="auto"/>
        </w:rPr>
      </w:pPr>
      <w:r>
        <w:rPr>
          <w:rFonts w:ascii="Arial" w:cs="Arial" w:eastAsia="Arial" w:hAnsi="Arial"/>
          <w:sz w:val="17"/>
          <w:szCs w:val="17"/>
          <w:color w:val="auto"/>
        </w:rPr>
        <w:t>(317)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70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30" w:lineRule="exact"/>
        <w:rPr>
          <w:sz w:val="20"/>
          <w:szCs w:val="20"/>
          <w:color w:val="auto"/>
        </w:rPr>
      </w:pPr>
    </w:p>
    <w:p>
      <w:pPr>
        <w:ind w:left="810" w:hanging="810"/>
        <w:spacing w:after="0"/>
        <w:tabs>
          <w:tab w:leader="none" w:pos="810" w:val="left"/>
        </w:tabs>
        <w:numPr>
          <w:ilvl w:val="0"/>
          <w:numId w:val="8"/>
        </w:numPr>
        <w:rPr>
          <w:rFonts w:ascii="Arial" w:cs="Arial" w:eastAsia="Arial" w:hAnsi="Arial"/>
          <w:sz w:val="17"/>
          <w:szCs w:val="17"/>
          <w:color w:val="auto"/>
        </w:rPr>
      </w:pPr>
      <w:r>
        <w:rPr>
          <w:rFonts w:ascii="Arial" w:cs="Arial" w:eastAsia="Arial" w:hAnsi="Arial"/>
          <w:sz w:val="17"/>
          <w:szCs w:val="17"/>
          <w:color w:val="auto"/>
        </w:rPr>
        <w:t>3,138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70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0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wp:posOffset>
            </wp:positionV>
            <wp:extent cx="770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0890" cy="8255"/>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6570" w:space="720"/>
            <w:col w:w="4170"/>
          </w:cols>
          <w:pgMar w:left="240" w:top="127" w:right="199" w:bottom="1440" w:gutter="0" w:footer="0" w:header="0"/>
          <w:type w:val="continuous"/>
        </w:sectPr>
      </w:pPr>
    </w:p>
    <w:p>
      <w:pPr>
        <w:ind w:left="380" w:right="440" w:hanging="377"/>
        <w:spacing w:after="0" w:line="261"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Reflects the potential to lease additional tower capacity on the existing towers due to their geographical location and capacity that currently exists on these towers as of the valuation date.</w:t>
      </w:r>
    </w:p>
    <w:p>
      <w:pPr>
        <w:spacing w:after="0" w:line="1" w:lineRule="exact"/>
        <w:rPr>
          <w:rFonts w:ascii="Arial" w:cs="Arial" w:eastAsia="Arial" w:hAnsi="Arial"/>
          <w:sz w:val="17"/>
          <w:szCs w:val="17"/>
          <w:color w:val="auto"/>
        </w:rPr>
      </w:pPr>
    </w:p>
    <w:p>
      <w:pPr>
        <w:ind w:left="380" w:hanging="377"/>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Recorded in accounts payable, accrued expenses and other liabilities on the Condensed Consolidated Balance Sheet.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months ended March 31, 2018 and 2017 was $6.5 million and $2.5 million, respectively.</w:t>
      </w:r>
    </w:p>
    <w:p>
      <w:pPr>
        <w:spacing w:after="0" w:line="115" w:lineRule="exact"/>
        <w:rPr>
          <w:sz w:val="20"/>
          <w:szCs w:val="20"/>
          <w:color w:val="auto"/>
        </w:rPr>
      </w:pPr>
    </w:p>
    <w:p>
      <w:pPr>
        <w:ind w:right="540"/>
        <w:spacing w:after="0" w:line="283" w:lineRule="auto"/>
        <w:rPr>
          <w:sz w:val="20"/>
          <w:szCs w:val="20"/>
          <w:color w:val="auto"/>
        </w:rPr>
      </w:pPr>
      <w:r>
        <w:rPr>
          <w:rFonts w:ascii="Arial" w:cs="Arial" w:eastAsia="Arial" w:hAnsi="Arial"/>
          <w:sz w:val="17"/>
          <w:szCs w:val="17"/>
          <w:color w:val="auto"/>
        </w:rPr>
        <w:t>Amortization expense is estimated to be $25.3 million for the full year of 2018, $24.6 million in 2019, $24.0 million in 2020, $23.6 million in 2021, and $23.1 million for 2022.</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Notes and Other Debt</w:t>
      </w:r>
    </w:p>
    <w:p>
      <w:pPr>
        <w:spacing w:after="0" w:line="121" w:lineRule="exact"/>
        <w:rPr>
          <w:sz w:val="20"/>
          <w:szCs w:val="20"/>
          <w:color w:val="auto"/>
        </w:rPr>
      </w:pPr>
    </w:p>
    <w:p>
      <w:pPr>
        <w:ind w:right="720"/>
        <w:spacing w:after="0" w:line="283" w:lineRule="auto"/>
        <w:rPr>
          <w:sz w:val="20"/>
          <w:szCs w:val="20"/>
          <w:color w:val="auto"/>
        </w:rPr>
      </w:pPr>
      <w:r>
        <w:rPr>
          <w:rFonts w:ascii="Arial" w:cs="Arial" w:eastAsia="Arial" w:hAnsi="Arial"/>
          <w:sz w:val="17"/>
          <w:szCs w:val="17"/>
          <w:color w:val="auto"/>
        </w:rPr>
        <w:t>All debt, including the senior secured credit facility and notes described below, are obligations of the Operating Partnership and certain of its subsidiaries as discussed below. The Company is, however, a guarantor of such debt.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Notes and other debt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3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w w:val="99"/>
              </w:rPr>
              <w:t>December 31, 2017</w:t>
            </w:r>
          </w:p>
        </w:tc>
        <w:tc>
          <w:tcPr>
            <w:tcW w:w="100" w:type="dxa"/>
            <w:vAlign w:val="bottom"/>
            <w:tcBorders>
              <w:bottom w:val="single" w:sz="8" w:color="CFF0FC"/>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620" w:type="dxa"/>
            <w:vAlign w:val="bottom"/>
            <w:shd w:val="clear" w:color="auto" w:fill="CFF0FC"/>
          </w:tcPr>
          <w:p>
            <w:pPr>
              <w:spacing w:after="0"/>
              <w:rPr>
                <w:sz w:val="20"/>
                <w:szCs w:val="20"/>
                <w:color w:val="auto"/>
              </w:rPr>
            </w:pPr>
            <w:r>
              <w:rPr>
                <w:rFonts w:ascii="Arial" w:cs="Arial" w:eastAsia="Arial" w:hAnsi="Arial"/>
                <w:sz w:val="17"/>
                <w:szCs w:val="17"/>
                <w:color w:val="auto"/>
              </w:rPr>
              <w:t>Principal amount</w:t>
            </w:r>
          </w:p>
        </w:tc>
        <w:tc>
          <w:tcPr>
            <w:tcW w:w="184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4,641,617</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4,626,887</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20" w:type="dxa"/>
            <w:vAlign w:val="bottom"/>
          </w:tcPr>
          <w:p>
            <w:pPr>
              <w:spacing w:after="0"/>
              <w:rPr>
                <w:sz w:val="20"/>
                <w:szCs w:val="20"/>
                <w:color w:val="auto"/>
              </w:rPr>
            </w:pPr>
            <w:r>
              <w:rPr>
                <w:rFonts w:ascii="Arial" w:cs="Arial" w:eastAsia="Arial" w:hAnsi="Arial"/>
                <w:sz w:val="17"/>
                <w:szCs w:val="17"/>
                <w:color w:val="auto"/>
              </w:rPr>
              <w:t>Less unamortized discount, premium and debt issuance costs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(138,155)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7"/>
                <w:szCs w:val="17"/>
                <w:color w:val="auto"/>
              </w:rPr>
              <w:t>(144,190)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w w:val="89"/>
              </w:rPr>
              <w:t>Notes and other debt less unamortized discount, premium and debt issuance costs</w:t>
            </w:r>
          </w:p>
        </w:tc>
        <w:tc>
          <w:tcPr>
            <w:tcW w:w="13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620" w:type="dxa"/>
            <w:vAlign w:val="bottom"/>
            <w:vMerge w:val="continue"/>
            <w:shd w:val="clear" w:color="auto" w:fill="CFF0FC"/>
          </w:tcPr>
          <w:p>
            <w:pPr>
              <w:spacing w:after="0"/>
              <w:rPr>
                <w:sz w:val="19"/>
                <w:szCs w:val="19"/>
                <w:color w:val="auto"/>
              </w:rPr>
            </w:pPr>
          </w:p>
        </w:tc>
        <w:tc>
          <w:tcPr>
            <w:tcW w:w="1840" w:type="dxa"/>
            <w:vAlign w:val="bottom"/>
            <w:gridSpan w:val="3"/>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4,503,462</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4,482,697</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CFF0FC"/>
            </w:tcBorders>
            <w:vMerge w:val="restart"/>
          </w:tcPr>
          <w:p>
            <w:pPr>
              <w:jc w:val="right"/>
              <w:ind w:right="1114"/>
              <w:spacing w:after="0"/>
              <w:rPr>
                <w:sz w:val="20"/>
                <w:szCs w:val="20"/>
                <w:color w:val="auto"/>
              </w:rPr>
            </w:pPr>
            <w:r>
              <w:rPr>
                <w:rFonts w:ascii="Arial" w:cs="Arial" w:eastAsia="Arial" w:hAnsi="Arial"/>
                <w:sz w:val="17"/>
                <w:szCs w:val="17"/>
                <w:color w:val="auto"/>
                <w:w w:val="84"/>
              </w:rPr>
              <w:t>22</w:t>
            </w: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56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6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type w:val="continuous"/>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Notes and other debt at March 31, 2018 and December 31, 2017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5"/>
          </w:tcPr>
          <w:p>
            <w:pPr>
              <w:jc w:val="right"/>
              <w:ind w:right="1300"/>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14"/>
                <w:szCs w:val="14"/>
                <w:color w:val="auto"/>
              </w:rPr>
            </w:pPr>
          </w:p>
        </w:tc>
        <w:tc>
          <w:tcPr>
            <w:tcW w:w="29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89"/>
              </w:rPr>
              <w:t>Unamortized Discount,</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spacing w:after="0" w:line="126" w:lineRule="exact"/>
              <w:rPr>
                <w:sz w:val="20"/>
                <w:szCs w:val="20"/>
                <w:color w:val="auto"/>
              </w:rPr>
            </w:pPr>
            <w:r>
              <w:rPr>
                <w:rFonts w:ascii="Arial" w:cs="Arial" w:eastAsia="Arial" w:hAnsi="Arial"/>
                <w:sz w:val="14"/>
                <w:szCs w:val="14"/>
                <w:b w:val="1"/>
                <w:bCs w:val="1"/>
                <w:color w:val="auto"/>
                <w:w w:val="89"/>
              </w:rPr>
              <w:t>Unamortized Discount,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5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0"/>
              </w:rPr>
              <w:t>Premium and Debt</w:t>
            </w:r>
          </w:p>
        </w:tc>
        <w:tc>
          <w:tcPr>
            <w:tcW w:w="260" w:type="dxa"/>
            <w:vAlign w:val="bottom"/>
          </w:tcPr>
          <w:p>
            <w:pPr>
              <w:spacing w:after="0"/>
              <w:rPr>
                <w:sz w:val="12"/>
                <w:szCs w:val="12"/>
                <w:color w:val="auto"/>
              </w:rPr>
            </w:pPr>
          </w:p>
        </w:tc>
        <w:tc>
          <w:tcPr>
            <w:tcW w:w="13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Premium and Debt</w:t>
            </w:r>
          </w:p>
        </w:tc>
        <w:tc>
          <w:tcPr>
            <w:tcW w:w="0" w:type="dxa"/>
            <w:vAlign w:val="bottom"/>
          </w:tcPr>
          <w:p>
            <w:pPr>
              <w:spacing w:after="0"/>
              <w:rPr>
                <w:sz w:val="1"/>
                <w:szCs w:val="1"/>
                <w:color w:val="auto"/>
              </w:rPr>
            </w:pPr>
          </w:p>
        </w:tc>
      </w:tr>
      <w:tr>
        <w:trPr>
          <w:trHeight w:val="165"/>
        </w:trPr>
        <w:tc>
          <w:tcPr>
            <w:tcW w:w="4840" w:type="dxa"/>
            <w:vAlign w:val="bottom"/>
          </w:tcPr>
          <w:p>
            <w:pPr>
              <w:spacing w:after="0"/>
              <w:rPr>
                <w:sz w:val="20"/>
                <w:szCs w:val="20"/>
                <w:color w:val="auto"/>
              </w:rPr>
            </w:pPr>
            <w:r>
              <w:rPr>
                <w:rFonts w:ascii="Arial" w:cs="Arial" w:eastAsia="Arial" w:hAnsi="Arial"/>
                <w:sz w:val="14"/>
                <w:szCs w:val="14"/>
                <w:color w:val="auto"/>
              </w:rPr>
              <w:t>(Thousands)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Issuance Costs</w:t>
            </w:r>
          </w:p>
        </w:tc>
        <w:tc>
          <w:tcPr>
            <w:tcW w:w="2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Issuance Costs</w:t>
            </w:r>
          </w:p>
        </w:tc>
        <w:tc>
          <w:tcPr>
            <w:tcW w:w="0" w:type="dxa"/>
            <w:vAlign w:val="bottom"/>
          </w:tcPr>
          <w:p>
            <w:pPr>
              <w:spacing w:after="0"/>
              <w:rPr>
                <w:sz w:val="1"/>
                <w:szCs w:val="1"/>
                <w:color w:val="auto"/>
              </w:rPr>
            </w:pPr>
          </w:p>
        </w:tc>
      </w:tr>
      <w:tr>
        <w:trPr>
          <w:trHeight w:val="200"/>
        </w:trPr>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w w:val="98"/>
              </w:rPr>
              <w:t>Senior secured term loan B - variable rate, due October 24, 2022</w:t>
            </w: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(discount is based on imputed interest rate of 5.66%)</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2,081,617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(82,998)</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2,086,887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(87,140)</w:t>
            </w:r>
          </w:p>
        </w:tc>
        <w:tc>
          <w:tcPr>
            <w:tcW w:w="0" w:type="dxa"/>
            <w:vAlign w:val="bottom"/>
          </w:tcPr>
          <w:p>
            <w:pPr>
              <w:spacing w:after="0"/>
              <w:rPr>
                <w:sz w:val="1"/>
                <w:szCs w:val="1"/>
                <w:color w:val="auto"/>
              </w:rPr>
            </w:pPr>
          </w:p>
        </w:tc>
      </w:tr>
      <w:tr>
        <w:trPr>
          <w:trHeight w:val="207"/>
        </w:trPr>
        <w:tc>
          <w:tcPr>
            <w:tcW w:w="4840" w:type="dxa"/>
            <w:vAlign w:val="bottom"/>
          </w:tcPr>
          <w:p>
            <w:pPr>
              <w:spacing w:after="0"/>
              <w:rPr>
                <w:sz w:val="20"/>
                <w:szCs w:val="20"/>
                <w:color w:val="auto"/>
              </w:rPr>
            </w:pPr>
            <w:r>
              <w:rPr>
                <w:rFonts w:ascii="Arial" w:cs="Arial" w:eastAsia="Arial" w:hAnsi="Arial"/>
                <w:sz w:val="17"/>
                <w:szCs w:val="17"/>
                <w:color w:val="auto"/>
              </w:rPr>
              <w:t>Senior secured notes - 6.00%, due April 15, 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tcPr>
          <w:p>
            <w:pPr>
              <w:spacing w:after="0"/>
              <w:rPr>
                <w:sz w:val="20"/>
                <w:szCs w:val="20"/>
                <w:color w:val="auto"/>
              </w:rPr>
            </w:pPr>
            <w:r>
              <w:rPr>
                <w:rFonts w:ascii="Arial" w:cs="Arial" w:eastAsia="Arial" w:hAnsi="Arial"/>
                <w:sz w:val="17"/>
                <w:szCs w:val="17"/>
                <w:color w:val="auto"/>
              </w:rPr>
              <w:t>(discount is based on imputed interest rate of 6.29%)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550,000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(8,168)</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550,000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(8,508)</w:t>
            </w:r>
          </w:p>
        </w:tc>
        <w:tc>
          <w:tcPr>
            <w:tcW w:w="0" w:type="dxa"/>
            <w:vAlign w:val="bottom"/>
          </w:tcPr>
          <w:p>
            <w:pPr>
              <w:spacing w:after="0"/>
              <w:rPr>
                <w:sz w:val="1"/>
                <w:szCs w:val="1"/>
                <w:color w:val="auto"/>
              </w:rPr>
            </w:pPr>
          </w:p>
        </w:tc>
      </w:tr>
      <w:tr>
        <w:trPr>
          <w:trHeight w:val="207"/>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Senior unsecured notes - 8.25%, due October 15, 2023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(discount is based on imputed interest rate of 9.06%)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1,110,000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(39,122)</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1,110,000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(40,467)</w:t>
            </w:r>
          </w:p>
        </w:tc>
        <w:tc>
          <w:tcPr>
            <w:tcW w:w="0" w:type="dxa"/>
            <w:vAlign w:val="bottom"/>
          </w:tcPr>
          <w:p>
            <w:pPr>
              <w:spacing w:after="0"/>
              <w:rPr>
                <w:sz w:val="1"/>
                <w:szCs w:val="1"/>
                <w:color w:val="auto"/>
              </w:rPr>
            </w:pPr>
          </w:p>
        </w:tc>
      </w:tr>
      <w:tr>
        <w:trPr>
          <w:trHeight w:val="233"/>
        </w:trPr>
        <w:tc>
          <w:tcPr>
            <w:tcW w:w="4840" w:type="dxa"/>
            <w:vAlign w:val="bottom"/>
          </w:tcPr>
          <w:p>
            <w:pPr>
              <w:spacing w:after="0"/>
              <w:rPr>
                <w:sz w:val="20"/>
                <w:szCs w:val="20"/>
                <w:color w:val="auto"/>
              </w:rPr>
            </w:pPr>
            <w:r>
              <w:rPr>
                <w:rFonts w:ascii="Arial" w:cs="Arial" w:eastAsia="Arial" w:hAnsi="Arial"/>
                <w:sz w:val="17"/>
                <w:szCs w:val="17"/>
                <w:color w:val="auto"/>
              </w:rPr>
              <w:t>Senior unsecured notes - 7.125% due December 15, 2024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600,000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(7,867)</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600,000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(8,075)</w:t>
            </w:r>
          </w:p>
        </w:tc>
        <w:tc>
          <w:tcPr>
            <w:tcW w:w="0" w:type="dxa"/>
            <w:vAlign w:val="bottom"/>
          </w:tcPr>
          <w:p>
            <w:pPr>
              <w:spacing w:after="0"/>
              <w:rPr>
                <w:sz w:val="1"/>
                <w:szCs w:val="1"/>
                <w:color w:val="auto"/>
              </w:rPr>
            </w:pPr>
          </w:p>
        </w:tc>
      </w:tr>
      <w:tr>
        <w:trPr>
          <w:trHeight w:val="207"/>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w w:val="97"/>
              </w:rPr>
              <w:t>Senior secured revolving credit facility, variable rate, due April 24,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300,000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280,000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120"/>
              <w:spacing w:after="0"/>
              <w:rPr>
                <w:sz w:val="20"/>
                <w:szCs w:val="20"/>
                <w:color w:val="auto"/>
              </w:rPr>
            </w:pPr>
            <w:r>
              <w:rPr>
                <w:rFonts w:ascii="Arial" w:cs="Arial" w:eastAsia="Arial" w:hAnsi="Arial"/>
                <w:sz w:val="17"/>
                <w:szCs w:val="17"/>
                <w:color w:val="auto"/>
              </w:rPr>
              <w:t>Total</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4,641,617</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7"/>
                <w:szCs w:val="17"/>
                <w:color w:val="auto"/>
              </w:rPr>
              <w:t>(138,155)</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4,626,887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(144,190)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At March 31, 2018, notes and other debt included the following: (i) $2.1 billion under the senior secured term loan B facility that matures on October 24, 2022 (“Term Loan Facility”) pursuant to the credit agreement by and among the Operating Partnership, CSL Capital, LLC and Uniti Group Finance Inc., the guarantors and lenders party thereto and Bank of America, N.A., as administrative agent and collateral agent (the “Credit Agreement”); (ii) $550.0 million aggregate principal amount of 6.00% Senior Secured Notes due April 15, 2023 (the “Secured Notes”); (iii) $1.11 billion aggregate principal amount of 8.25% Senior Notes due October 15, 2023 (the “2023 Notes”); (iv) $600 million aggregate principal amount of 7.125% Senior Unsecured Notes due December 15, 2024 (the “2024 Notes,” and together with the Secured Notes and 2023 Notes, the “Notes”), and (v) $300 million under the senior secured revolving credit facility, variable rate, that matures April 24, 2020 pursuant to the Credit Agreement (the “Revolving Credit Facility” and, together with the Term Loan Facility, the “Facilities”).</w:t>
      </w:r>
    </w:p>
    <w:p>
      <w:pPr>
        <w:spacing w:after="0" w:line="15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On May 9, 2017, the Company completed its previously announced reorganization (the “up-REIT Reorganization”) to operate through a customary “up-REIT” structure. Under this structure, the Operating Partnership now holds substantially all of the Company’s assets and is the parent company of, among others, CSL Capital, LLC, Uniti Group Finance Inc. and Uniti Fiber Holdings Inc. In connection with the up-REIT Reorganization, the Operating Partnership replaced the Company and assumed its obligations as an obligor under the Notes and Facilities. The Company subsequently became a guarantor of the Notes and Facilities. Because the Operating Partnership is not a corporation, a corporate co-obligor that is a subsidiary of the Operating Partnership was also added to the Notes and Credit Agreement as part of the up-REIT Reorganization. As discussed below, Uniti Group Finance Inc. is the corporate co-obligor under the Credit Agreement and co-issuer of the Secured Notes and the 2023 Notes, and Uniti Fiber Holdings Inc. is the co-issuer of the 2024 Notes. Separate financial statements of the Operating Partnership have not been included since the Operating Partnership is not a registrant.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Agreement</w:t>
      </w:r>
    </w:p>
    <w:p>
      <w:pPr>
        <w:spacing w:after="0" w:line="21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Operating Partnership and its wholly-owned subsidiaries, CSL Capital, LLC, and Uniti Group Finance Inc. (collectively, the “Borrowers”) are party to the Credit Agreement, which provides for the Term Loan Facility (in an initial principal amount of $2.14 billion) and the Revolving Credit Facility. The term loans bear interest at a rate equal to LIBOR, subject to a 1.0% floor, plus an applicable margin equal to 3.00%, and are subject to amortization of 1.0% per annum. All obligations under the Credit Agreement are guaranteed by (i) the Company and (ii) certain of the Operating Partnership’s wholly-owned subsidiaries (the “Subsidiary Guarantors”), and are secured by substantially all of the assets of the Borrowers and the Subsidiary Guarantors, which assets also secure the Secured Notes. The Revolving Credit Facility bears interest at a rate equal to LIBOR plus 1.75% to 2.25% based on our consolidated secured leverage ratio, as defined in the Credit Agreement. On April 28, 2017, we amended the Credit Agreement to increase the commitments under our Revolving Credit Facility from $500 million to $750 million. Other terms of the Revolving Credit Facility remain unchanged.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(i) incremental term loan borrowings and/or increased commitments under the Credit Agreement in an unlimited amount, so long as, on a pro forma basis after giving effect to any such borrowings or increases, our consolidated secured leverage ratio, as defined in the Credit Agreement, does not exceed 4.00 to 1.00 and (ii) other indebtedness, so long as, on a pro forma basis after giving effect to any such indebtedness, our consolidated total leverage ratio, as defined in the Credit Agreement, does not exceed 6.50 to 1.00 and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March 31, 2018, the Borrowers were in compliance with all of the covenants under the Credit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The Notes</w:t>
      </w:r>
    </w:p>
    <w:p>
      <w:pPr>
        <w:spacing w:after="0" w:line="21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Borrowers, as co-issuers, have outstanding $550 million aggregate principal amount of the Secured Notes, of which $400 million was originally issued on April 24, 2015 at an issue price of 100% of par value and the remaining $150 million was issued on June 9, 2016 at an issue price of 99.25% of the par value as an add-on to the existing Secured Notes. The Borrowers, as co-issuers, also have outstanding $1.11 billion aggregate principal amount of the 2023 Notes that were originally issued on April 24, 2015 at an issue price of 97.055% of par value. The Secured Notes and the 2023 Notes are guaranteed by the Company and the Subsidiary Guarantors.</w:t>
      </w:r>
    </w:p>
    <w:p>
      <w:pPr>
        <w:spacing w:after="0" w:line="17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Operating Partnership and its wholly-owned subsidiaries, CSL Capital, LLC and Uniti Fiber Holdings Inc.,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Uniti Group Finance Inc. and the Subsidiary Guarantors.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Deferred Financing Cost</w:t>
      </w:r>
    </w:p>
    <w:p>
      <w:pPr>
        <w:spacing w:after="0" w:line="218"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Deferred financing costs were incurred in connection with the issuance of the Notes and the Facilities. These costs are amortized using the effective interest method over the term of the related indebtedness, and are included in interest expense in our Condensed Consolidated Statements of Income. For the three months ended March 31, 2018 and 2017, we recognized $3.6 million and $2.5 million, respectively, of non-cash interest expense related to the amortization of deferred financing costs.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Earnings Per Share</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Our time-based restricted stock awards are considered participating securities as they receive non-forfeitable rights to dividends at the same rate as common stock.</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As participating securities, we included these instruments in the computation of earnings per share under the two-class method described in FASB ASC 260,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Earnings per Share </w:t>
      </w:r>
      <w:r>
        <w:rPr>
          <w:rFonts w:ascii="Arial" w:cs="Arial" w:eastAsia="Arial" w:hAnsi="Arial"/>
          <w:sz w:val="17"/>
          <w:szCs w:val="17"/>
          <w:color w:val="auto"/>
        </w:rPr>
        <w:t>(“ASC 260”).</w:t>
      </w:r>
    </w:p>
    <w:p>
      <w:pPr>
        <w:spacing w:after="0" w:line="205" w:lineRule="exact"/>
        <w:rPr>
          <w:sz w:val="20"/>
          <w:szCs w:val="20"/>
          <w:color w:val="auto"/>
        </w:rPr>
      </w:pPr>
    </w:p>
    <w:p>
      <w:pPr>
        <w:ind w:right="340"/>
        <w:spacing w:after="0" w:line="283"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59"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The earnings per share impact of the Company’s 3% Convertible Preferred Stock, $0.0001 par value (“Series A Shares”), issued in connection with the May 2, 2016 acquisition of PEG Bandwidth, LLC, is calculated using the net share settlement method, whereby the redemption value of the instrument is assumed to be settled in cash and only the conversion premium, if any, is assumed to be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660"/>
        <w:spacing w:after="0" w:line="283" w:lineRule="auto"/>
        <w:rPr>
          <w:sz w:val="20"/>
          <w:szCs w:val="20"/>
          <w:color w:val="auto"/>
        </w:rPr>
      </w:pPr>
      <w:r>
        <w:rPr>
          <w:rFonts w:ascii="Arial" w:cs="Arial" w:eastAsia="Arial" w:hAnsi="Arial"/>
          <w:sz w:val="17"/>
          <w:szCs w:val="17"/>
          <w:color w:val="auto"/>
        </w:rPr>
        <w:t>settled in shares. The Series A Shares provide Uniti the option to cash or share settle the instrument, and it is our policy to settle the instrument in cash upon conversion.</w:t>
      </w:r>
    </w:p>
    <w:p>
      <w:pPr>
        <w:spacing w:after="0" w:line="159" w:lineRule="exact"/>
        <w:rPr>
          <w:sz w:val="20"/>
          <w:szCs w:val="20"/>
          <w:color w:val="auto"/>
        </w:rPr>
      </w:pPr>
    </w:p>
    <w:p>
      <w:pPr>
        <w:ind w:right="30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The Hunt merger agreement provides for the issuance of additional common shares upon the achievement of certain defined revenue milestones. </w:t>
      </w:r>
      <w:hyperlink w:anchor="page16">
        <w:r>
          <w:rPr>
            <w:rFonts w:ascii="Arial" w:cs="Arial" w:eastAsia="Arial" w:hAnsi="Arial"/>
            <w:sz w:val="17"/>
            <w:szCs w:val="17"/>
            <w:u w:val="single" w:color="auto"/>
            <w:color w:val="0000EE"/>
          </w:rPr>
          <w:t>See Note 4</w:t>
        </w:r>
      </w:hyperlink>
      <w:r>
        <w:rPr>
          <w:rFonts w:ascii="Arial" w:cs="Arial" w:eastAsia="Arial" w:hAnsi="Arial"/>
          <w:sz w:val="17"/>
          <w:szCs w:val="17"/>
          <w:color w:val="auto"/>
        </w:rPr>
        <w:t>. The earnings per share impact of the Hunt Contingent Consideration is calculated under the method described in ASC 260 for the treatment of contingently issuable shares in weighted-average shares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sets forth the computation of basic and diluted earnings per share under the two-class method: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vMerge w:val="restart"/>
          </w:tcPr>
          <w:p>
            <w:pPr>
              <w:spacing w:after="0"/>
              <w:rPr>
                <w:sz w:val="20"/>
                <w:szCs w:val="20"/>
                <w:color w:val="auto"/>
              </w:rPr>
            </w:pPr>
            <w:r>
              <w:rPr>
                <w:rFonts w:ascii="Arial" w:cs="Arial" w:eastAsia="Arial" w:hAnsi="Arial"/>
                <w:sz w:val="14"/>
                <w:szCs w:val="14"/>
                <w:color w:val="auto"/>
              </w:rPr>
              <w:t>(Thousands, except per share data)</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37"/>
              <w:spacing w:after="0" w:line="148"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36"/>
              <w:spacing w:after="0" w:line="148"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Basic earnings per share:</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spacing w:after="0"/>
              <w:rPr>
                <w:sz w:val="20"/>
                <w:szCs w:val="20"/>
                <w:color w:val="auto"/>
              </w:rPr>
            </w:pPr>
            <w:r>
              <w:rPr>
                <w:rFonts w:ascii="Arial" w:cs="Arial" w:eastAsia="Arial" w:hAnsi="Arial"/>
                <w:sz w:val="17"/>
                <w:szCs w:val="17"/>
                <w:color w:val="auto"/>
              </w:rPr>
              <w:t>Numerator:</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 (loss) attributable to shareholders</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1,210</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7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20"/>
        </w:trPr>
        <w:tc>
          <w:tcPr>
            <w:tcW w:w="6640" w:type="dxa"/>
            <w:vAlign w:val="bottom"/>
          </w:tcPr>
          <w:p>
            <w:pPr>
              <w:ind w:left="360"/>
              <w:spacing w:after="0"/>
              <w:rPr>
                <w:sz w:val="20"/>
                <w:szCs w:val="20"/>
                <w:color w:val="auto"/>
              </w:rPr>
            </w:pPr>
            <w:r>
              <w:rPr>
                <w:rFonts w:ascii="Arial" w:cs="Arial" w:eastAsia="Arial" w:hAnsi="Arial"/>
                <w:sz w:val="17"/>
                <w:szCs w:val="17"/>
                <w:color w:val="auto"/>
              </w:rPr>
              <w:t>Less: Income allocated to participating securities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7"/>
                <w:szCs w:val="17"/>
                <w:color w:val="auto"/>
              </w:rPr>
              <w:t>(469)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600"/>
              <w:spacing w:after="0"/>
              <w:rPr>
                <w:sz w:val="20"/>
                <w:szCs w:val="20"/>
                <w:color w:val="auto"/>
              </w:rPr>
            </w:pPr>
            <w:r>
              <w:rPr>
                <w:rFonts w:ascii="Arial" w:cs="Arial" w:eastAsia="Arial" w:hAnsi="Arial"/>
                <w:sz w:val="17"/>
                <w:szCs w:val="17"/>
                <w:color w:val="auto"/>
                <w:w w:val="94"/>
              </w:rPr>
              <w:t>Income allocated to participating securities on share settled contingent consideration</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7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6640" w:type="dxa"/>
            <w:vAlign w:val="bottom"/>
            <w:vMerge w:val="restart"/>
            <w:shd w:val="clear" w:color="auto" w:fill="CFF0FC"/>
          </w:tcPr>
          <w:p>
            <w:pPr>
              <w:ind w:left="600"/>
              <w:spacing w:after="0"/>
              <w:rPr>
                <w:sz w:val="20"/>
                <w:szCs w:val="20"/>
                <w:color w:val="auto"/>
              </w:rPr>
            </w:pPr>
            <w:r>
              <w:rPr>
                <w:rFonts w:ascii="Arial" w:cs="Arial" w:eastAsia="Arial" w:hAnsi="Arial"/>
                <w:sz w:val="17"/>
                <w:szCs w:val="17"/>
                <w:color w:val="auto"/>
              </w:rPr>
              <w:t>arrangements</w:t>
            </w: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76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2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664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6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1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600"/>
              <w:spacing w:after="0"/>
              <w:rPr>
                <w:sz w:val="20"/>
                <w:szCs w:val="20"/>
                <w:color w:val="auto"/>
              </w:rPr>
            </w:pPr>
            <w:r>
              <w:rPr>
                <w:rFonts w:ascii="Arial" w:cs="Arial" w:eastAsia="Arial" w:hAnsi="Arial"/>
                <w:sz w:val="17"/>
                <w:szCs w:val="17"/>
                <w:color w:val="auto"/>
              </w:rPr>
              <w:t>Dividends declared on convertible preferred stock</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7"/>
                <w:szCs w:val="17"/>
                <w:color w:val="auto"/>
              </w:rPr>
              <w:t>(656)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600"/>
              <w:spacing w:after="0"/>
              <w:rPr>
                <w:sz w:val="20"/>
                <w:szCs w:val="20"/>
                <w:color w:val="auto"/>
              </w:rPr>
            </w:pPr>
            <w:r>
              <w:rPr>
                <w:rFonts w:ascii="Arial" w:cs="Arial" w:eastAsia="Arial" w:hAnsi="Arial"/>
                <w:sz w:val="17"/>
                <w:szCs w:val="17"/>
                <w:color w:val="auto"/>
              </w:rPr>
              <w:t>Amortization of discount on convertible preferred stock</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(745)</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(745)</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40"/>
              <w:spacing w:after="0"/>
              <w:rPr>
                <w:sz w:val="20"/>
                <w:szCs w:val="20"/>
                <w:color w:val="auto"/>
              </w:rPr>
            </w:pPr>
            <w:r>
              <w:rPr>
                <w:rFonts w:ascii="Arial" w:cs="Arial" w:eastAsia="Arial" w:hAnsi="Arial"/>
                <w:sz w:val="17"/>
                <w:szCs w:val="17"/>
                <w:color w:val="auto"/>
              </w:rPr>
              <w:t>Net loss attributable to common shares</w:t>
            </w: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7"/>
                <w:szCs w:val="17"/>
                <w:color w:val="auto"/>
              </w:rPr>
              <w:t>(870)</w:t>
            </w:r>
          </w:p>
        </w:tc>
        <w:tc>
          <w:tcPr>
            <w:tcW w:w="98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(21,788)</w:t>
            </w: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Denominator:</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Basic weighted-average common shares outstanding</w:t>
            </w:r>
          </w:p>
        </w:tc>
        <w:tc>
          <w:tcPr>
            <w:tcW w:w="2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174,892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Basic earnings (loss) per common share</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7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640" w:type="dxa"/>
            <w:vAlign w:val="bottom"/>
            <w:vMerge w:val="restart"/>
          </w:tcPr>
          <w:p>
            <w:pPr>
              <w:spacing w:after="0"/>
              <w:rPr>
                <w:sz w:val="20"/>
                <w:szCs w:val="20"/>
                <w:color w:val="auto"/>
              </w:rPr>
            </w:pPr>
            <w:r>
              <w:rPr>
                <w:rFonts w:ascii="Arial" w:cs="Arial" w:eastAsia="Arial" w:hAnsi="Arial"/>
                <w:sz w:val="14"/>
                <w:szCs w:val="14"/>
                <w:color w:val="auto"/>
              </w:rPr>
              <w:t>(Thousands, except per share data)</w:t>
            </w:r>
          </w:p>
        </w:tc>
        <w:tc>
          <w:tcPr>
            <w:tcW w:w="2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6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837"/>
              <w:spacing w:after="0" w:line="148"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36"/>
              <w:spacing w:after="0" w:line="148"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7"/>
                <w:szCs w:val="17"/>
                <w:color w:val="auto"/>
              </w:rPr>
              <w:t>Diluted earnings per share:</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Numerator:</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240"/>
              <w:spacing w:after="0"/>
              <w:rPr>
                <w:sz w:val="20"/>
                <w:szCs w:val="20"/>
                <w:color w:val="auto"/>
              </w:rPr>
            </w:pPr>
            <w:r>
              <w:rPr>
                <w:rFonts w:ascii="Arial" w:cs="Arial" w:eastAsia="Arial" w:hAnsi="Arial"/>
                <w:sz w:val="17"/>
                <w:szCs w:val="17"/>
                <w:color w:val="auto"/>
              </w:rPr>
              <w:t>Net income (loss) attributable to shareholders</w:t>
            </w:r>
          </w:p>
        </w:tc>
        <w:tc>
          <w:tcPr>
            <w:tcW w:w="7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1,210</w:t>
            </w:r>
          </w:p>
        </w:tc>
        <w:tc>
          <w:tcPr>
            <w:tcW w:w="160" w:type="dxa"/>
            <w:vAlign w:val="bottom"/>
          </w:tcPr>
          <w:p>
            <w:pPr>
              <w:spacing w:after="0"/>
              <w:rPr>
                <w:sz w:val="19"/>
                <w:szCs w:val="19"/>
                <w:color w:val="auto"/>
              </w:rPr>
            </w:pPr>
          </w:p>
        </w:tc>
        <w:tc>
          <w:tcPr>
            <w:tcW w:w="980" w:type="dxa"/>
            <w:vAlign w:val="bottom"/>
            <w:gridSpan w:val="2"/>
          </w:tcPr>
          <w:p>
            <w:pPr>
              <w:jc w:val="right"/>
              <w:ind w:right="7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360"/>
              <w:spacing w:after="0"/>
              <w:rPr>
                <w:sz w:val="20"/>
                <w:szCs w:val="20"/>
                <w:color w:val="auto"/>
              </w:rPr>
            </w:pPr>
            <w:r>
              <w:rPr>
                <w:rFonts w:ascii="Arial" w:cs="Arial" w:eastAsia="Arial" w:hAnsi="Arial"/>
                <w:sz w:val="17"/>
                <w:szCs w:val="17"/>
                <w:color w:val="auto"/>
              </w:rPr>
              <w:t>Less: Income allocated to participating securities</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(469)</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20"/>
        </w:trPr>
        <w:tc>
          <w:tcPr>
            <w:tcW w:w="6640" w:type="dxa"/>
            <w:vAlign w:val="bottom"/>
          </w:tcPr>
          <w:p>
            <w:pPr>
              <w:ind w:left="600"/>
              <w:spacing w:after="0"/>
              <w:rPr>
                <w:sz w:val="20"/>
                <w:szCs w:val="20"/>
                <w:color w:val="auto"/>
              </w:rPr>
            </w:pPr>
            <w:r>
              <w:rPr>
                <w:rFonts w:ascii="Arial" w:cs="Arial" w:eastAsia="Arial" w:hAnsi="Arial"/>
                <w:sz w:val="17"/>
                <w:szCs w:val="17"/>
                <w:color w:val="auto"/>
              </w:rPr>
              <w:t>Dividends declared on convertible preferred stock</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7"/>
                <w:szCs w:val="17"/>
                <w:color w:val="auto"/>
              </w:rPr>
              <w:t>(656)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600"/>
              <w:spacing w:after="0"/>
              <w:rPr>
                <w:sz w:val="20"/>
                <w:szCs w:val="20"/>
                <w:color w:val="auto"/>
              </w:rPr>
            </w:pPr>
            <w:r>
              <w:rPr>
                <w:rFonts w:ascii="Arial" w:cs="Arial" w:eastAsia="Arial" w:hAnsi="Arial"/>
                <w:sz w:val="17"/>
                <w:szCs w:val="17"/>
                <w:color w:val="auto"/>
              </w:rPr>
              <w:t>Amortization of discount on convertible preferred stock</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(745)</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(745)</w:t>
            </w:r>
          </w:p>
        </w:tc>
        <w:tc>
          <w:tcPr>
            <w:tcW w:w="0" w:type="dxa"/>
            <w:vAlign w:val="bottom"/>
          </w:tcPr>
          <w:p>
            <w:pPr>
              <w:spacing w:after="0"/>
              <w:rPr>
                <w:sz w:val="1"/>
                <w:szCs w:val="1"/>
                <w:color w:val="auto"/>
              </w:rPr>
            </w:pPr>
          </w:p>
        </w:tc>
      </w:tr>
      <w:tr>
        <w:trPr>
          <w:trHeight w:val="220"/>
        </w:trPr>
        <w:tc>
          <w:tcPr>
            <w:tcW w:w="6640" w:type="dxa"/>
            <w:vAlign w:val="bottom"/>
          </w:tcPr>
          <w:p>
            <w:pPr>
              <w:ind w:left="600"/>
              <w:spacing w:after="0"/>
              <w:rPr>
                <w:sz w:val="20"/>
                <w:szCs w:val="20"/>
                <w:color w:val="auto"/>
              </w:rPr>
            </w:pPr>
            <w:r>
              <w:rPr>
                <w:rFonts w:ascii="Arial" w:cs="Arial" w:eastAsia="Arial" w:hAnsi="Arial"/>
                <w:sz w:val="17"/>
                <w:szCs w:val="17"/>
                <w:color w:val="auto"/>
              </w:rPr>
              <w:t>Mark-to-market gain on share settled contingent consideration arrangements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7"/>
                <w:szCs w:val="17"/>
                <w:color w:val="auto"/>
              </w:rPr>
              <w:t>(994)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Net loss attributable to common shares</w:t>
            </w: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(1,654)</w:t>
            </w:r>
          </w:p>
        </w:tc>
        <w:tc>
          <w:tcPr>
            <w:tcW w:w="980" w:type="dxa"/>
            <w:vAlign w:val="bottom"/>
            <w:gridSpan w:val="2"/>
            <w:shd w:val="clear" w:color="auto" w:fill="CFF0FC"/>
          </w:tcPr>
          <w:p>
            <w:pPr>
              <w:jc w:val="right"/>
              <w:ind w:right="7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(21,788)</w:t>
            </w:r>
          </w:p>
        </w:tc>
        <w:tc>
          <w:tcPr>
            <w:tcW w:w="0" w:type="dxa"/>
            <w:vAlign w:val="bottom"/>
          </w:tcPr>
          <w:p>
            <w:pPr>
              <w:spacing w:after="0"/>
              <w:rPr>
                <w:sz w:val="1"/>
                <w:szCs w:val="1"/>
                <w:color w:val="auto"/>
              </w:rPr>
            </w:pPr>
          </w:p>
        </w:tc>
      </w:tr>
      <w:tr>
        <w:trPr>
          <w:trHeight w:val="220"/>
        </w:trPr>
        <w:tc>
          <w:tcPr>
            <w:tcW w:w="6640" w:type="dxa"/>
            <w:vAlign w:val="bottom"/>
          </w:tcPr>
          <w:p>
            <w:pPr>
              <w:spacing w:after="0"/>
              <w:rPr>
                <w:sz w:val="20"/>
                <w:szCs w:val="20"/>
                <w:color w:val="auto"/>
              </w:rPr>
            </w:pPr>
            <w:r>
              <w:rPr>
                <w:rFonts w:ascii="Arial" w:cs="Arial" w:eastAsia="Arial" w:hAnsi="Arial"/>
                <w:sz w:val="17"/>
                <w:szCs w:val="17"/>
                <w:color w:val="auto"/>
              </w:rPr>
              <w:t>Denominator:</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Basic weighted-average common shares outstanding</w:t>
            </w: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174,892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155,184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ind w:left="360"/>
              <w:spacing w:after="0"/>
              <w:rPr>
                <w:sz w:val="20"/>
                <w:szCs w:val="20"/>
                <w:color w:val="auto"/>
              </w:rPr>
            </w:pPr>
            <w:r>
              <w:rPr>
                <w:rFonts w:ascii="Arial" w:cs="Arial" w:eastAsia="Arial" w:hAnsi="Arial"/>
                <w:sz w:val="17"/>
                <w:szCs w:val="17"/>
                <w:color w:val="auto"/>
              </w:rPr>
              <w:t>Contingent consideration (See Note 4)</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ind w:left="360"/>
              <w:spacing w:after="0"/>
              <w:rPr>
                <w:sz w:val="20"/>
                <w:szCs w:val="20"/>
                <w:color w:val="auto"/>
              </w:rPr>
            </w:pPr>
            <w:r>
              <w:rPr>
                <w:rFonts w:ascii="Arial" w:cs="Arial" w:eastAsia="Arial" w:hAnsi="Arial"/>
                <w:sz w:val="17"/>
                <w:szCs w:val="17"/>
                <w:color w:val="auto"/>
              </w:rPr>
              <w:t>Effect of dilutive non-participating securities</w:t>
            </w:r>
          </w:p>
        </w:tc>
        <w:tc>
          <w:tcPr>
            <w:tcW w:w="20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Weighted-average shares for dilutive earnings per common share</w:t>
            </w:r>
          </w:p>
        </w:tc>
        <w:tc>
          <w:tcPr>
            <w:tcW w:w="2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175,499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155,184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spacing w:after="0"/>
              <w:rPr>
                <w:sz w:val="20"/>
                <w:szCs w:val="20"/>
                <w:color w:val="auto"/>
              </w:rPr>
            </w:pPr>
            <w:r>
              <w:rPr>
                <w:rFonts w:ascii="Arial" w:cs="Arial" w:eastAsia="Arial" w:hAnsi="Arial"/>
                <w:sz w:val="17"/>
                <w:szCs w:val="17"/>
                <w:color w:val="auto"/>
              </w:rPr>
              <w:t>Dilutive (loss) earnings per common share</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(0.01)</w:t>
            </w:r>
          </w:p>
        </w:tc>
        <w:tc>
          <w:tcPr>
            <w:tcW w:w="980" w:type="dxa"/>
            <w:vAlign w:val="bottom"/>
            <w:gridSpan w:val="2"/>
            <w:shd w:val="clear" w:color="auto" w:fill="CFF0FC"/>
          </w:tcPr>
          <w:p>
            <w:pPr>
              <w:jc w:val="right"/>
              <w:ind w:right="7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For the three months ended March 31, 2018, 405,063 non-participating securities were excluded from the computation of diluted earnings per share, as their effect would have been anti-dilutive. For the three months ended March 31, 2017, 382,019 non-participating securities were excluded from the computation of diluted earnings per share, as their effect would have been anti-dilutive.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Segment Information</w:t>
      </w:r>
    </w:p>
    <w:p>
      <w:pPr>
        <w:spacing w:after="0" w:line="224"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Our management, including our chief executive officer, who is our chief operating decision maker, manage our operations as four reportable segments in addition to our corporate operations and include: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color w:val="auto"/>
        </w:rPr>
        <w:t>: Represents the results from our leasing programs, Uniti Leasing, which is engaged in the acquisition of mission-critical communications assets and leasing</w:t>
      </w:r>
      <w:r>
        <w:rPr>
          <w:rFonts w:ascii="Arial" w:cs="Arial" w:eastAsia="Arial" w:hAnsi="Arial"/>
          <w:sz w:val="17"/>
          <w:szCs w:val="17"/>
          <w:i w:val="1"/>
          <w:iCs w:val="1"/>
          <w:color w:val="auto"/>
        </w:rPr>
        <w:t xml:space="preserve"> </w:t>
      </w:r>
      <w:r>
        <w:rPr>
          <w:rFonts w:ascii="Arial" w:cs="Arial" w:eastAsia="Arial" w:hAnsi="Arial"/>
          <w:sz w:val="17"/>
          <w:szCs w:val="17"/>
          <w:color w:val="auto"/>
        </w:rPr>
        <w:t>them back to anchor customers on either an exclusive or shared-tenant basis.</w:t>
      </w:r>
    </w:p>
    <w:p>
      <w:pPr>
        <w:spacing w:after="0" w:line="159"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color w:val="auto"/>
        </w:rPr>
        <w:t>: Represents the operations of our fiber business, Uniti Fiber, which is a leading provider of infrastructure solutions, including cell site backhaul</w:t>
      </w:r>
      <w:r>
        <w:rPr>
          <w:rFonts w:ascii="Arial" w:cs="Arial" w:eastAsia="Arial" w:hAnsi="Arial"/>
          <w:sz w:val="17"/>
          <w:szCs w:val="17"/>
          <w:i w:val="1"/>
          <w:iCs w:val="1"/>
          <w:color w:val="auto"/>
        </w:rPr>
        <w:t xml:space="preserve"> </w:t>
      </w:r>
      <w:r>
        <w:rPr>
          <w:rFonts w:ascii="Arial" w:cs="Arial" w:eastAsia="Arial" w:hAnsi="Arial"/>
          <w:sz w:val="17"/>
          <w:szCs w:val="17"/>
          <w:color w:val="auto"/>
        </w:rPr>
        <w:t>and dark fiber, to the telecommunications industry.</w:t>
      </w:r>
    </w:p>
    <w:p>
      <w:pPr>
        <w:spacing w:after="0" w:line="159"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i w:val="1"/>
          <w:iCs w:val="1"/>
          <w:u w:val="single" w:color="auto"/>
          <w:color w:val="auto"/>
        </w:rPr>
        <w:t>Towers</w:t>
      </w:r>
      <w:r>
        <w:rPr>
          <w:rFonts w:ascii="Arial" w:cs="Arial" w:eastAsia="Arial" w:hAnsi="Arial"/>
          <w:sz w:val="17"/>
          <w:szCs w:val="17"/>
          <w:color w:val="auto"/>
        </w:rPr>
        <w:t>: Represents the operations of our towers business, Uniti Towers, through which we acquire and construct tower and tower-related real estate, which we then</w:t>
      </w:r>
      <w:r>
        <w:rPr>
          <w:rFonts w:ascii="Arial" w:cs="Arial" w:eastAsia="Arial" w:hAnsi="Arial"/>
          <w:sz w:val="17"/>
          <w:szCs w:val="17"/>
          <w:i w:val="1"/>
          <w:iCs w:val="1"/>
          <w:color w:val="auto"/>
        </w:rPr>
        <w:t xml:space="preserve"> </w:t>
      </w:r>
      <w:r>
        <w:rPr>
          <w:rFonts w:ascii="Arial" w:cs="Arial" w:eastAsia="Arial" w:hAnsi="Arial"/>
          <w:sz w:val="17"/>
          <w:szCs w:val="17"/>
          <w:color w:val="auto"/>
        </w:rPr>
        <w:t>lease to our customers in the United States and Latin America.</w:t>
      </w:r>
    </w:p>
    <w:p>
      <w:pPr>
        <w:spacing w:after="0" w:line="159"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color w:val="auto"/>
        </w:rPr>
        <w:t>: Represents the operations of Talk America Services (“Talk America”) through which we operate the Consumer CLEC Business, that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Spin-Off was reported as an integrated operation within Windstream. Talk America provides local telephone, high-speed internet and long distance services to customers in the eastern and central United States.</w:t>
      </w:r>
    </w:p>
    <w:p>
      <w:pPr>
        <w:spacing w:after="0" w:line="172"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charges, that are directly attributable to operations of our business segments are allocated to the respective segments.</w:t>
      </w:r>
    </w:p>
    <w:p>
      <w:pPr>
        <w:spacing w:after="0" w:line="159" w:lineRule="exact"/>
        <w:rPr>
          <w:sz w:val="20"/>
          <w:szCs w:val="20"/>
          <w:color w:val="auto"/>
        </w:rPr>
      </w:pPr>
    </w:p>
    <w:p>
      <w:pPr>
        <w:ind w:right="240"/>
        <w:spacing w:after="0" w:line="298" w:lineRule="auto"/>
        <w:rPr>
          <w:sz w:val="20"/>
          <w:szCs w:val="20"/>
          <w:color w:val="auto"/>
        </w:rPr>
      </w:pPr>
      <w:r>
        <w:rPr>
          <w:rFonts w:ascii="Arial" w:cs="Arial" w:eastAsia="Arial" w:hAnsi="Arial"/>
          <w:sz w:val="15"/>
          <w:szCs w:val="15"/>
          <w:color w:val="auto"/>
        </w:rPr>
        <w:t>Management evaluates the performance of each segment using Adjusted EBITDA, which is a segment performance measure defined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Selected financial data related to our segments is presented below for the three months ended March 31, 2018 and 2017:</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March 31, 2018</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Leasing</w:t>
            </w:r>
          </w:p>
        </w:tc>
        <w:tc>
          <w:tcPr>
            <w:tcW w:w="260" w:type="dxa"/>
            <w:vAlign w:val="bottom"/>
            <w:vMerge w:val="restart"/>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Fiber Infrastructure</w:t>
            </w:r>
          </w:p>
        </w:tc>
        <w:tc>
          <w:tcPr>
            <w:tcW w:w="2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Towers</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1"/>
              </w:rPr>
              <w:t>Consumer CLEC</w:t>
            </w:r>
          </w:p>
        </w:tc>
        <w:tc>
          <w:tcPr>
            <w:tcW w:w="2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235"/>
              <w:spacing w:after="0" w:line="126"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Reportable 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172,774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66,967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3,370</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246,915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172,369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29,195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(463)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(5,313)</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spacing w:after="0"/>
              <w:rPr>
                <w:sz w:val="20"/>
                <w:szCs w:val="20"/>
                <w:color w:val="auto"/>
              </w:rPr>
            </w:pPr>
            <w:r>
              <w:rPr>
                <w:rFonts w:ascii="Arial" w:cs="Arial" w:eastAsia="Arial" w:hAnsi="Arial"/>
                <w:sz w:val="17"/>
                <w:szCs w:val="17"/>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86,744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25,905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114,721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income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(3,885)</w:t>
            </w: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Transaction related costs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Income tax benefit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(1,096)</w:t>
            </w:r>
          </w:p>
        </w:tc>
        <w:tc>
          <w:tcPr>
            <w:tcW w:w="0" w:type="dxa"/>
            <w:vAlign w:val="bottom"/>
          </w:tcPr>
          <w:p>
            <w:pPr>
              <w:spacing w:after="0"/>
              <w:rPr>
                <w:sz w:val="1"/>
                <w:szCs w:val="1"/>
                <w:color w:val="auto"/>
              </w:rPr>
            </w:pPr>
          </w:p>
        </w:tc>
      </w:tr>
      <w:tr>
        <w:trPr>
          <w:trHeight w:val="213"/>
        </w:trPr>
        <w:tc>
          <w:tcPr>
            <w:tcW w:w="2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Net income</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Capital expenditures</w:t>
            </w:r>
            <w:r>
              <w:rPr>
                <w:rFonts w:ascii="Arial" w:cs="Arial" w:eastAsia="Arial" w:hAnsi="Arial"/>
                <w:sz w:val="14"/>
                <w:szCs w:val="14"/>
                <w:color w:val="auto"/>
              </w:rPr>
              <w:t>(1)</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42,647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9,246</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March 31,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Leasing</w:t>
            </w:r>
          </w:p>
        </w:tc>
        <w:tc>
          <w:tcPr>
            <w:tcW w:w="260" w:type="dxa"/>
            <w:vAlign w:val="bottom"/>
            <w:vMerge w:val="restart"/>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Fiber Infrastructure</w:t>
            </w:r>
          </w:p>
        </w:tc>
        <w:tc>
          <w:tcPr>
            <w:tcW w:w="2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Towers</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1"/>
              </w:rPr>
              <w:t>Consumer CLEC</w:t>
            </w:r>
          </w:p>
        </w:tc>
        <w:tc>
          <w:tcPr>
            <w:tcW w:w="2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235"/>
              <w:spacing w:after="0" w:line="126"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Reportable 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170,306</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34,812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211,473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170,060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(735)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(5,056)</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spacing w:after="0"/>
              <w:rPr>
                <w:sz w:val="20"/>
                <w:szCs w:val="20"/>
                <w:color w:val="auto"/>
              </w:rPr>
            </w:pPr>
            <w:r>
              <w:rPr>
                <w:rFonts w:ascii="Arial" w:cs="Arial" w:eastAsia="Arial" w:hAnsi="Arial"/>
                <w:sz w:val="17"/>
                <w:szCs w:val="17"/>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86,506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13,221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Transaction related costs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Income tax benefit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
        </w:trPr>
        <w:tc>
          <w:tcPr>
            <w:tcW w:w="254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Capital expenditures</w:t>
            </w:r>
            <w:r>
              <w:rPr>
                <w:rFonts w:ascii="Arial" w:cs="Arial" w:eastAsia="Arial" w:hAnsi="Arial"/>
                <w:sz w:val="14"/>
                <w:szCs w:val="14"/>
                <w:color w:val="auto"/>
              </w:rPr>
              <w:t>(1)</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14,502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72,203</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120" w:hanging="193"/>
        <w:spacing w:after="0" w:line="284" w:lineRule="auto"/>
        <w:rPr>
          <w:sz w:val="20"/>
          <w:szCs w:val="20"/>
          <w:color w:val="auto"/>
        </w:rPr>
      </w:pPr>
      <w:r>
        <w:rPr>
          <w:rFonts w:ascii="Arial" w:cs="Arial" w:eastAsia="Arial" w:hAnsi="Arial"/>
          <w:sz w:val="15"/>
          <w:szCs w:val="15"/>
          <w:color w:val="auto"/>
        </w:rPr>
        <w:t>(1)</w:t>
      </w:r>
      <w:r>
        <w:rPr>
          <w:rFonts w:ascii="Arial" w:cs="Arial" w:eastAsia="Arial" w:hAnsi="Arial"/>
          <w:sz w:val="17"/>
          <w:szCs w:val="17"/>
          <w:color w:val="auto"/>
        </w:rPr>
        <w:t>Segment capital expenditures represents capital expenditures, NMS asset acquisitions, and ground lease investments as reported in the investing activities section</w:t>
      </w:r>
      <w:r>
        <w:rPr>
          <w:rFonts w:ascii="Arial" w:cs="Arial" w:eastAsia="Arial" w:hAnsi="Arial"/>
          <w:sz w:val="15"/>
          <w:szCs w:val="15"/>
          <w:color w:val="auto"/>
        </w:rPr>
        <w:t xml:space="preserve"> </w:t>
      </w:r>
      <w:r>
        <w:rPr>
          <w:rFonts w:ascii="Arial" w:cs="Arial" w:eastAsia="Arial" w:hAnsi="Arial"/>
          <w:sz w:val="17"/>
          <w:szCs w:val="17"/>
          <w:color w:val="auto"/>
        </w:rPr>
        <w:t>of the Condensed Consolidated Statements of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Total assets by business segment as of March 31, 2018 and December 31, 2017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3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March 31, 2018</w:t>
            </w:r>
          </w:p>
        </w:tc>
        <w:tc>
          <w:tcPr>
            <w:tcW w:w="4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FF0FC"/>
            </w:tcBorders>
          </w:tcPr>
          <w:p>
            <w:pPr>
              <w:spacing w:after="0"/>
              <w:rPr>
                <w:sz w:val="14"/>
                <w:szCs w:val="14"/>
                <w:color w:val="auto"/>
              </w:rPr>
            </w:pPr>
          </w:p>
        </w:tc>
      </w:tr>
      <w:tr>
        <w:trPr>
          <w:trHeight w:val="225"/>
        </w:trPr>
        <w:tc>
          <w:tcPr>
            <w:tcW w:w="5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Leasing</w:t>
            </w:r>
          </w:p>
        </w:tc>
        <w:tc>
          <w:tcPr>
            <w:tcW w:w="500" w:type="dxa"/>
            <w:vAlign w:val="bottom"/>
            <w:shd w:val="clear" w:color="auto" w:fill="CFF0FC"/>
          </w:tcPr>
          <w:p>
            <w:pPr>
              <w:jc w:val="right"/>
              <w:ind w:right="314"/>
              <w:spacing w:after="0"/>
              <w:rPr>
                <w:sz w:val="20"/>
                <w:szCs w:val="20"/>
                <w:color w:val="auto"/>
              </w:rPr>
            </w:pPr>
            <w:r>
              <w:rPr>
                <w:rFonts w:ascii="Arial" w:cs="Arial" w:eastAsia="Arial" w:hAnsi="Arial"/>
                <w:sz w:val="17"/>
                <w:szCs w:val="17"/>
                <w:color w:val="auto"/>
                <w:w w:val="84"/>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2,085,311</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2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2,121,857</w:t>
            </w:r>
          </w:p>
        </w:tc>
        <w:tc>
          <w:tcPr>
            <w:tcW w:w="100" w:type="dxa"/>
            <w:vAlign w:val="bottom"/>
            <w:shd w:val="clear" w:color="auto" w:fill="CFF0FC"/>
          </w:tcPr>
          <w:p>
            <w:pPr>
              <w:spacing w:after="0"/>
              <w:rPr>
                <w:sz w:val="19"/>
                <w:szCs w:val="19"/>
                <w:color w:val="auto"/>
              </w:rPr>
            </w:pPr>
          </w:p>
        </w:tc>
      </w:tr>
      <w:tr>
        <w:trPr>
          <w:trHeight w:val="220"/>
        </w:trPr>
        <w:tc>
          <w:tcPr>
            <w:tcW w:w="5360" w:type="dxa"/>
            <w:vAlign w:val="bottom"/>
            <w:gridSpan w:val="2"/>
          </w:tcPr>
          <w:p>
            <w:pPr>
              <w:spacing w:after="0"/>
              <w:rPr>
                <w:sz w:val="20"/>
                <w:szCs w:val="20"/>
                <w:color w:val="auto"/>
              </w:rPr>
            </w:pPr>
            <w:r>
              <w:rPr>
                <w:rFonts w:ascii="Arial" w:cs="Arial" w:eastAsia="Arial" w:hAnsi="Arial"/>
                <w:sz w:val="17"/>
                <w:szCs w:val="17"/>
                <w:color w:val="auto"/>
              </w:rPr>
              <w:t>Fiber Infrastructure</w:t>
            </w:r>
          </w:p>
        </w:tc>
        <w:tc>
          <w:tcPr>
            <w:tcW w:w="5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2,031,646</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2,009,175</w:t>
            </w:r>
          </w:p>
        </w:tc>
        <w:tc>
          <w:tcPr>
            <w:tcW w:w="100" w:type="dxa"/>
            <w:vAlign w:val="bottom"/>
          </w:tcPr>
          <w:p>
            <w:pPr>
              <w:spacing w:after="0"/>
              <w:rPr>
                <w:sz w:val="19"/>
                <w:szCs w:val="19"/>
                <w:color w:val="auto"/>
              </w:rPr>
            </w:pPr>
          </w:p>
        </w:tc>
      </w:tr>
      <w:tr>
        <w:trPr>
          <w:trHeight w:val="220"/>
        </w:trPr>
        <w:tc>
          <w:tcPr>
            <w:tcW w:w="5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Towers</w:t>
            </w:r>
          </w:p>
        </w:tc>
        <w:tc>
          <w:tcPr>
            <w:tcW w:w="500" w:type="dxa"/>
            <w:vAlign w:val="bottom"/>
            <w:shd w:val="clear" w:color="auto" w:fill="CFF0FC"/>
          </w:tcPr>
          <w:p>
            <w:pPr>
              <w:spacing w:after="0"/>
              <w:rPr>
                <w:sz w:val="19"/>
                <w:szCs w:val="19"/>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176,905</w:t>
            </w: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157,180</w:t>
            </w:r>
          </w:p>
        </w:tc>
        <w:tc>
          <w:tcPr>
            <w:tcW w:w="100" w:type="dxa"/>
            <w:vAlign w:val="bottom"/>
            <w:shd w:val="clear" w:color="auto" w:fill="CFF0FC"/>
          </w:tcPr>
          <w:p>
            <w:pPr>
              <w:spacing w:after="0"/>
              <w:rPr>
                <w:sz w:val="19"/>
                <w:szCs w:val="19"/>
                <w:color w:val="auto"/>
              </w:rPr>
            </w:pPr>
          </w:p>
        </w:tc>
      </w:tr>
      <w:tr>
        <w:trPr>
          <w:trHeight w:val="220"/>
        </w:trPr>
        <w:tc>
          <w:tcPr>
            <w:tcW w:w="5360" w:type="dxa"/>
            <w:vAlign w:val="bottom"/>
            <w:gridSpan w:val="2"/>
          </w:tcPr>
          <w:p>
            <w:pPr>
              <w:spacing w:after="0"/>
              <w:rPr>
                <w:sz w:val="20"/>
                <w:szCs w:val="20"/>
                <w:color w:val="auto"/>
              </w:rPr>
            </w:pPr>
            <w:r>
              <w:rPr>
                <w:rFonts w:ascii="Arial" w:cs="Arial" w:eastAsia="Arial" w:hAnsi="Arial"/>
                <w:sz w:val="17"/>
                <w:szCs w:val="17"/>
                <w:color w:val="auto"/>
              </w:rPr>
              <w:t>Consumer CLEC</w:t>
            </w:r>
          </w:p>
        </w:tc>
        <w:tc>
          <w:tcPr>
            <w:tcW w:w="5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7"/>
                <w:szCs w:val="17"/>
                <w:color w:val="auto"/>
              </w:rPr>
              <w:t>11,090</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7"/>
                <w:szCs w:val="17"/>
                <w:color w:val="auto"/>
              </w:rPr>
              <w:t>10,919</w:t>
            </w:r>
          </w:p>
        </w:tc>
        <w:tc>
          <w:tcPr>
            <w:tcW w:w="100" w:type="dxa"/>
            <w:vAlign w:val="bottom"/>
          </w:tcPr>
          <w:p>
            <w:pPr>
              <w:spacing w:after="0"/>
              <w:rPr>
                <w:sz w:val="19"/>
                <w:szCs w:val="19"/>
                <w:color w:val="auto"/>
              </w:rPr>
            </w:pPr>
          </w:p>
        </w:tc>
      </w:tr>
      <w:tr>
        <w:trPr>
          <w:trHeight w:val="220"/>
        </w:trPr>
        <w:tc>
          <w:tcPr>
            <w:tcW w:w="5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Corporate</w:t>
            </w:r>
          </w:p>
        </w:tc>
        <w:tc>
          <w:tcPr>
            <w:tcW w:w="500" w:type="dxa"/>
            <w:vAlign w:val="bottom"/>
            <w:tcBorders>
              <w:bottom w:val="single" w:sz="8" w:color="auto"/>
            </w:tcBorders>
            <w:shd w:val="clear" w:color="auto" w:fill="CFF0FC"/>
          </w:tcPr>
          <w:p>
            <w:pPr>
              <w:spacing w:after="0"/>
              <w:rPr>
                <w:sz w:val="19"/>
                <w:szCs w:val="19"/>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58,561</w:t>
            </w:r>
          </w:p>
        </w:tc>
        <w:tc>
          <w:tcPr>
            <w:tcW w:w="4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30,951</w:t>
            </w:r>
          </w:p>
        </w:tc>
        <w:tc>
          <w:tcPr>
            <w:tcW w:w="100" w:type="dxa"/>
            <w:vAlign w:val="bottom"/>
            <w:shd w:val="clear" w:color="auto" w:fill="CFF0FC"/>
          </w:tcPr>
          <w:p>
            <w:pPr>
              <w:spacing w:after="0"/>
              <w:rPr>
                <w:sz w:val="19"/>
                <w:szCs w:val="19"/>
                <w:color w:val="auto"/>
              </w:rPr>
            </w:pPr>
          </w:p>
        </w:tc>
      </w:tr>
      <w:tr>
        <w:trPr>
          <w:trHeight w:val="213"/>
        </w:trPr>
        <w:tc>
          <w:tcPr>
            <w:tcW w:w="5360" w:type="dxa"/>
            <w:vAlign w:val="bottom"/>
            <w:gridSpan w:val="2"/>
          </w:tcPr>
          <w:p>
            <w:pPr>
              <w:spacing w:after="0"/>
              <w:rPr>
                <w:sz w:val="20"/>
                <w:szCs w:val="20"/>
                <w:color w:val="auto"/>
              </w:rPr>
            </w:pPr>
            <w:r>
              <w:rPr>
                <w:rFonts w:ascii="Arial" w:cs="Arial" w:eastAsia="Arial" w:hAnsi="Arial"/>
                <w:sz w:val="17"/>
                <w:szCs w:val="17"/>
                <w:color w:val="auto"/>
              </w:rPr>
              <w:t>Total of reportable segments</w:t>
            </w: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4,363,513</w:t>
            </w:r>
          </w:p>
        </w:tc>
        <w:tc>
          <w:tcPr>
            <w:tcW w:w="420" w:type="dxa"/>
            <w:vAlign w:val="bottom"/>
          </w:tcPr>
          <w:p>
            <w:pPr>
              <w:spacing w:after="0"/>
              <w:rPr>
                <w:sz w:val="18"/>
                <w:szCs w:val="18"/>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4,330,082</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Commitments and Contingencies</w:t>
      </w:r>
    </w:p>
    <w:p>
      <w:pPr>
        <w:spacing w:after="0" w:line="121"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5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w:t>
      </w:r>
    </w:p>
    <w:p>
      <w:pPr>
        <w:spacing w:after="0" w:line="18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Under the terms of the Tax Matters Agreement entered into with Windstream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Internal Revenue Code, as applicable, to the extent such failure to qualify is attributable to certain actions, events or transactions relating to our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Uniti Group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 Continued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5"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color w:val="auto"/>
        </w:rPr>
        <w:t>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Accumulated Other Comprehensive (Loss) Income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(loss) income by component is as follows for the three months ended March 31,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7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w w:val="76"/>
              </w:rPr>
              <w:t>2017</w:t>
            </w:r>
          </w:p>
        </w:tc>
        <w:tc>
          <w:tcPr>
            <w:tcW w:w="100" w:type="dxa"/>
            <w:vAlign w:val="bottom"/>
            <w:tcBorders>
              <w:bottom w:val="single" w:sz="8" w:color="CFF0FC"/>
            </w:tcBorders>
          </w:tcPr>
          <w:p>
            <w:pPr>
              <w:spacing w:after="0"/>
              <w:rPr>
                <w:sz w:val="18"/>
                <w:szCs w:val="18"/>
                <w:color w:val="auto"/>
              </w:rPr>
            </w:pPr>
          </w:p>
        </w:tc>
      </w:tr>
      <w:tr>
        <w:trPr>
          <w:trHeight w:val="213"/>
        </w:trPr>
        <w:tc>
          <w:tcPr>
            <w:tcW w:w="7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flow hedge changes in fair value gain (loss):</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260" w:type="dxa"/>
            <w:vAlign w:val="bottom"/>
            <w:gridSpan w:val="2"/>
          </w:tcPr>
          <w:p>
            <w:pPr>
              <w:ind w:left="120"/>
              <w:spacing w:after="0"/>
              <w:rPr>
                <w:sz w:val="20"/>
                <w:szCs w:val="20"/>
                <w:color w:val="auto"/>
              </w:rPr>
            </w:pPr>
            <w:r>
              <w:rPr>
                <w:rFonts w:ascii="Arial" w:cs="Arial" w:eastAsia="Arial" w:hAnsi="Arial"/>
                <w:sz w:val="17"/>
                <w:szCs w:val="17"/>
                <w:color w:val="auto"/>
              </w:rPr>
              <w:t>Balance at beginning of period</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6,793</w:t>
            </w:r>
          </w:p>
        </w:tc>
        <w:tc>
          <w:tcPr>
            <w:tcW w:w="280" w:type="dxa"/>
            <w:vAlign w:val="bottom"/>
          </w:tcPr>
          <w:p>
            <w:pPr>
              <w:spacing w:after="0"/>
              <w:rPr>
                <w:sz w:val="19"/>
                <w:szCs w:val="19"/>
                <w:color w:val="auto"/>
              </w:rPr>
            </w:pPr>
          </w:p>
        </w:tc>
        <w:tc>
          <w:tcPr>
            <w:tcW w:w="800" w:type="dxa"/>
            <w:vAlign w:val="bottom"/>
          </w:tcPr>
          <w:p>
            <w:pPr>
              <w:jc w:val="right"/>
              <w:ind w:right="6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(6,102)</w:t>
            </w:r>
          </w:p>
        </w:tc>
      </w:tr>
      <w:tr>
        <w:trPr>
          <w:trHeight w:val="220"/>
        </w:trPr>
        <w:tc>
          <w:tcPr>
            <w:tcW w:w="7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comprehensive income (loss) before reclassifications</w:t>
            </w: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32,670</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(1,247)</w:t>
            </w:r>
          </w:p>
        </w:tc>
      </w:tr>
      <w:tr>
        <w:trPr>
          <w:trHeight w:val="220"/>
        </w:trPr>
        <w:tc>
          <w:tcPr>
            <w:tcW w:w="726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Amounts reclassified from accumulated other comprehensive income</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2,598</w:t>
            </w:r>
          </w:p>
        </w:tc>
        <w:tc>
          <w:tcPr>
            <w:tcW w:w="2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5,813</w:t>
            </w:r>
          </w:p>
        </w:tc>
        <w:tc>
          <w:tcPr>
            <w:tcW w:w="100" w:type="dxa"/>
            <w:vAlign w:val="bottom"/>
            <w:tcBorders>
              <w:bottom w:val="single" w:sz="8" w:color="CFF0FC"/>
            </w:tcBorders>
          </w:tcPr>
          <w:p>
            <w:pPr>
              <w:spacing w:after="0"/>
              <w:rPr>
                <w:sz w:val="19"/>
                <w:szCs w:val="19"/>
                <w:color w:val="auto"/>
              </w:rPr>
            </w:pPr>
          </w:p>
        </w:tc>
      </w:tr>
      <w:tr>
        <w:trPr>
          <w:trHeight w:val="213"/>
        </w:trPr>
        <w:tc>
          <w:tcPr>
            <w:tcW w:w="7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Balance at end of period</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42,061</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(1,536)</w:t>
            </w:r>
          </w:p>
        </w:tc>
      </w:tr>
      <w:tr>
        <w:trPr>
          <w:trHeight w:val="220"/>
        </w:trPr>
        <w:tc>
          <w:tcPr>
            <w:tcW w:w="726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Less: Other comprehensive income attributable to noncontrolling interest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w:t>
            </w:r>
          </w:p>
        </w:tc>
        <w:tc>
          <w:tcPr>
            <w:tcW w:w="2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r>
      <w:tr>
        <w:trPr>
          <w:trHeight w:val="213"/>
        </w:trPr>
        <w:tc>
          <w:tcPr>
            <w:tcW w:w="7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Balance at end of period attributable to common shareholders</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40,805</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(1,536)</w:t>
            </w:r>
          </w:p>
        </w:tc>
      </w:tr>
      <w:tr>
        <w:trPr>
          <w:trHeight w:val="220"/>
        </w:trPr>
        <w:tc>
          <w:tcPr>
            <w:tcW w:w="7260" w:type="dxa"/>
            <w:vAlign w:val="bottom"/>
            <w:gridSpan w:val="2"/>
          </w:tcPr>
          <w:p>
            <w:pPr>
              <w:spacing w:after="0"/>
              <w:rPr>
                <w:sz w:val="20"/>
                <w:szCs w:val="20"/>
                <w:color w:val="auto"/>
              </w:rPr>
            </w:pPr>
            <w:r>
              <w:rPr>
                <w:rFonts w:ascii="Arial" w:cs="Arial" w:eastAsia="Arial" w:hAnsi="Arial"/>
                <w:sz w:val="17"/>
                <w:szCs w:val="17"/>
                <w:color w:val="auto"/>
              </w:rPr>
              <w:t>Foreign currency translation gain (loss):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7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Balance at beginning of period</w:t>
            </w: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1,393</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(267)</w:t>
            </w:r>
          </w:p>
        </w:tc>
      </w:tr>
      <w:tr>
        <w:trPr>
          <w:trHeight w:val="220"/>
        </w:trPr>
        <w:tc>
          <w:tcPr>
            <w:tcW w:w="726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Translation adjustments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4,565</w:t>
            </w:r>
          </w:p>
        </w:tc>
        <w:tc>
          <w:tcPr>
            <w:tcW w:w="2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4,875</w:t>
            </w:r>
          </w:p>
        </w:tc>
        <w:tc>
          <w:tcPr>
            <w:tcW w:w="100" w:type="dxa"/>
            <w:vAlign w:val="bottom"/>
            <w:tcBorders>
              <w:bottom w:val="single" w:sz="8" w:color="CFF0FC"/>
            </w:tcBorders>
          </w:tcPr>
          <w:p>
            <w:pPr>
              <w:spacing w:after="0"/>
              <w:rPr>
                <w:sz w:val="19"/>
                <w:szCs w:val="19"/>
                <w:color w:val="auto"/>
              </w:rPr>
            </w:pPr>
          </w:p>
        </w:tc>
      </w:tr>
      <w:tr>
        <w:trPr>
          <w:trHeight w:val="213"/>
        </w:trPr>
        <w:tc>
          <w:tcPr>
            <w:tcW w:w="7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Balance at end of period</w:t>
            </w:r>
          </w:p>
        </w:tc>
        <w:tc>
          <w:tcPr>
            <w:tcW w:w="4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5,958</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4,608</w:t>
            </w:r>
          </w:p>
        </w:tc>
        <w:tc>
          <w:tcPr>
            <w:tcW w:w="100" w:type="dxa"/>
            <w:vAlign w:val="bottom"/>
            <w:shd w:val="clear" w:color="auto" w:fill="CFF0FC"/>
          </w:tcPr>
          <w:p>
            <w:pPr>
              <w:spacing w:after="0"/>
              <w:rPr>
                <w:sz w:val="18"/>
                <w:szCs w:val="18"/>
                <w:color w:val="auto"/>
              </w:rPr>
            </w:pPr>
          </w:p>
        </w:tc>
      </w:tr>
      <w:tr>
        <w:trPr>
          <w:trHeight w:val="220"/>
        </w:trPr>
        <w:tc>
          <w:tcPr>
            <w:tcW w:w="726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Less: Other comprehensive income attributable to noncontrolling interest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2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9"/>
                <w:szCs w:val="19"/>
                <w:color w:val="auto"/>
              </w:rPr>
            </w:pPr>
          </w:p>
        </w:tc>
      </w:tr>
      <w:tr>
        <w:trPr>
          <w:trHeight w:val="213"/>
        </w:trPr>
        <w:tc>
          <w:tcPr>
            <w:tcW w:w="726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Balance at end of period attributable to common shareholders</w:t>
            </w:r>
          </w:p>
        </w:tc>
        <w:tc>
          <w:tcPr>
            <w:tcW w:w="4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5,930</w:t>
            </w:r>
          </w:p>
        </w:tc>
        <w:tc>
          <w:tcPr>
            <w:tcW w:w="28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4,608</w:t>
            </w:r>
          </w:p>
        </w:tc>
        <w:tc>
          <w:tcPr>
            <w:tcW w:w="100" w:type="dxa"/>
            <w:vAlign w:val="bottom"/>
            <w:shd w:val="clear" w:color="auto" w:fill="CFF0FC"/>
          </w:tcPr>
          <w:p>
            <w:pPr>
              <w:spacing w:after="0"/>
              <w:rPr>
                <w:sz w:val="18"/>
                <w:szCs w:val="18"/>
                <w:color w:val="auto"/>
              </w:rPr>
            </w:pPr>
          </w:p>
        </w:tc>
      </w:tr>
      <w:tr>
        <w:trPr>
          <w:trHeight w:val="213"/>
        </w:trPr>
        <w:tc>
          <w:tcPr>
            <w:tcW w:w="7260" w:type="dxa"/>
            <w:vAlign w:val="bottom"/>
            <w:gridSpan w:val="2"/>
          </w:tcPr>
          <w:p>
            <w:pPr>
              <w:spacing w:after="0"/>
              <w:rPr>
                <w:sz w:val="20"/>
                <w:szCs w:val="20"/>
                <w:color w:val="auto"/>
              </w:rPr>
            </w:pPr>
            <w:r>
              <w:rPr>
                <w:rFonts w:ascii="Arial" w:cs="Arial" w:eastAsia="Arial" w:hAnsi="Arial"/>
                <w:sz w:val="17"/>
                <w:szCs w:val="17"/>
                <w:color w:val="auto"/>
              </w:rPr>
              <w:t>Accumulated other comprehensive income at end of period</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46,735</w:t>
            </w:r>
          </w:p>
        </w:tc>
        <w:tc>
          <w:tcPr>
            <w:tcW w:w="280" w:type="dxa"/>
            <w:vAlign w:val="bottom"/>
          </w:tcPr>
          <w:p>
            <w:pPr>
              <w:spacing w:after="0"/>
              <w:rPr>
                <w:sz w:val="18"/>
                <w:szCs w:val="18"/>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3,072</w:t>
            </w:r>
          </w:p>
        </w:tc>
        <w:tc>
          <w:tcPr>
            <w:tcW w:w="10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Subsequent Events</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May 1, 2018, the Company closed on the first tranche of its previously announced sale-leaseback and fiber acquisition from U.S. TelePacific Holding Corp. (“TPx”). At close, the Company acquired 6,000 fiber strand miles located in Nevada, Texas and Massachusetts, which will be leased back to TPx on a triple net basis. In addition, the Company acquired and will have exclusive use of, 7,000 fiber strand miles located in Texas. Total consideration for this tranche was $25 million and was paid with cash on hand.</w:t>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On May 10, 2018, the Company acquired from CenturyLink 30 long-haul intercity dark fiber routes totaling 11,000 route miles and 270,000 fiber strand miles across 25 states. This transaction was approved by the U.S. Department of Justice as a condition of the CenturyLink / Level 3 merger, and adds attractive, high demand assets to Uniti Leasing. Simultaneously with this purchase, the Company executed an anchor tenant lease with a Fortune 100 company for 11% of the fiber strand miles.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describes the principal factors affecting the results of our operations, financial condition, and changes in financial condition for the three months ended March 31, 2018. This discussion should be read in conjunction with the accompanying unaudited financial statements, and the notes thereto set forth in Part I, Item 1 of this Quarterly Report on Form 10-Q and our Annual Report on Form 10-K for the year ended December 31, 2017, filed with the Securities and Exchange Commission (the “SEC”) on March 1, 2018.</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Company Description</w:t>
      </w:r>
    </w:p>
    <w:p>
      <w:pPr>
        <w:spacing w:after="0" w:line="21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17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substantially all of our leasing revenues are currently derived.</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77"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March 31, 2018, we are the sole general partner of the Operating Partnership and own approximately 97.7% of the partnership interests in the Operating Partnership.</w:t>
      </w:r>
    </w:p>
    <w:p>
      <w:pPr>
        <w:spacing w:after="0" w:line="16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expect to grow and diversify our portfolio and tenant base by pursuing a range of transaction structures with communication service providers, including, (i) sale leaseback transactions, whereby we acquire existing infrastructure assets from third parties, including communication service providers, and lease them back on a long-term triple net basis; (ii) whole company acquisitions, which may include the use of one or more TRSs that are permitted under the tax laws to acquire and operate non-REIT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manage our operations as four reportable business segments in addition to our corporate operations:</w:t>
      </w:r>
    </w:p>
    <w:p>
      <w:pPr>
        <w:spacing w:after="0" w:line="218"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i w:val="1"/>
          <w:iCs w:val="1"/>
          <w:u w:val="single" w:color="auto"/>
          <w:color w:val="auto"/>
        </w:rPr>
        <w:t>Leasing Segment</w:t>
      </w:r>
      <w:r>
        <w:rPr>
          <w:rFonts w:ascii="Arial" w:cs="Arial" w:eastAsia="Arial" w:hAnsi="Arial"/>
          <w:sz w:val="17"/>
          <w:szCs w:val="17"/>
          <w:color w:val="auto"/>
        </w:rPr>
        <w:t>: Represents our REIT operations and includes the results from our leasing business, Uniti Leasing, which is engaged in the acquisition of mission-critical communications assets and leasing them to anchor customers on either an exclusive or shared-tenant basis.</w:t>
      </w:r>
    </w:p>
    <w:p>
      <w:pPr>
        <w:spacing w:after="0" w:line="159"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i w:val="1"/>
          <w:iCs w:val="1"/>
          <w:u w:val="single" w:color="auto"/>
          <w:color w:val="auto"/>
        </w:rPr>
        <w:t>Fiber Infrastructure Segment</w:t>
      </w:r>
      <w:r>
        <w:rPr>
          <w:rFonts w:ascii="Arial" w:cs="Arial" w:eastAsia="Arial" w:hAnsi="Arial"/>
          <w:sz w:val="17"/>
          <w:szCs w:val="17"/>
          <w:color w:val="auto"/>
        </w:rPr>
        <w:t>: Represents the operations of our fiber business, Uniti Fiber, which is a leading provider of infrastructure solutions, including cell site</w:t>
      </w:r>
      <w:r>
        <w:rPr>
          <w:rFonts w:ascii="Arial" w:cs="Arial" w:eastAsia="Arial" w:hAnsi="Arial"/>
          <w:sz w:val="17"/>
          <w:szCs w:val="17"/>
          <w:i w:val="1"/>
          <w:iCs w:val="1"/>
          <w:color w:val="auto"/>
        </w:rPr>
        <w:t xml:space="preserve"> </w:t>
      </w:r>
      <w:r>
        <w:rPr>
          <w:rFonts w:ascii="Arial" w:cs="Arial" w:eastAsia="Arial" w:hAnsi="Arial"/>
          <w:sz w:val="17"/>
          <w:szCs w:val="17"/>
          <w:color w:val="auto"/>
        </w:rPr>
        <w:t>backhaul and dark fiber, to the telecommunications industry.</w:t>
      </w:r>
    </w:p>
    <w:p>
      <w:pPr>
        <w:spacing w:after="0" w:line="159"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i w:val="1"/>
          <w:iCs w:val="1"/>
          <w:u w:val="single" w:color="auto"/>
          <w:color w:val="auto"/>
        </w:rPr>
        <w:t>Towers Segment</w:t>
      </w:r>
      <w:r>
        <w:rPr>
          <w:rFonts w:ascii="Arial" w:cs="Arial" w:eastAsia="Arial" w:hAnsi="Arial"/>
          <w:sz w:val="17"/>
          <w:szCs w:val="17"/>
          <w:color w:val="auto"/>
        </w:rPr>
        <w:t>: Represents the operations of our towers business, Uniti Towers, through which we acquire and construct tower and tower-related real estate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and Latin America.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i w:val="1"/>
          <w:iCs w:val="1"/>
          <w:u w:val="single" w:color="auto"/>
          <w:color w:val="auto"/>
        </w:rPr>
        <w:t>Consumer CLEC Segment</w:t>
      </w:r>
      <w:r>
        <w:rPr>
          <w:rFonts w:ascii="Arial" w:cs="Arial" w:eastAsia="Arial" w:hAnsi="Arial"/>
          <w:sz w:val="17"/>
          <w:szCs w:val="17"/>
          <w:color w:val="auto"/>
        </w:rPr>
        <w:t>: Represents the operations of Talk America through which we operate the Consumer CLEC Business, that prior to the Spin-Off was</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as an integrated operation within Windstream. Talk America provides local telephone, high-speed internet and long distance services to customers in the eastern and central United States.</w:t>
      </w:r>
    </w:p>
    <w:p>
      <w:pPr>
        <w:spacing w:after="0" w:line="172"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i w:val="1"/>
          <w:iCs w:val="1"/>
          <w:u w:val="single" w:color="auto"/>
          <w:color w:val="auto"/>
        </w:rPr>
        <w:t>Corporate Operations</w:t>
      </w:r>
      <w:r>
        <w:rPr>
          <w:rFonts w:ascii="Arial" w:cs="Arial" w:eastAsia="Arial" w:hAnsi="Arial"/>
          <w:sz w:val="17"/>
          <w:szCs w:val="17"/>
          <w:color w:val="auto"/>
        </w:rPr>
        <w:t>: Represents our corporate and back office functions. Certain costs and expenses, primarily related to headcount, insurance, professional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similar charges, that are directly attributable to operations of our business segments are allocated to the respective segments.</w:t>
      </w:r>
    </w:p>
    <w:p>
      <w:pPr>
        <w:spacing w:after="0" w:line="15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For more information on Adjusted EBITDA, see “Non-GAAP Financial Measures.” Detailed information about our segments can be found in Note 11 to our condensed consolidated financial statements contained in Part I, Item 1 of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Business Developments</w:t>
      </w:r>
    </w:p>
    <w:p>
      <w:pPr>
        <w:spacing w:after="0" w:line="218"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u w:val="single" w:color="auto"/>
          <w:color w:val="auto"/>
        </w:rPr>
        <w:t>Acquisition and Lease-back of U.S. TelePacific Holding Corp. Fiber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On March 1, 2018, we entered into an agreement to acquire and lease-back fiber assets</w:t>
      </w:r>
      <w:r>
        <w:rPr>
          <w:rFonts w:ascii="Arial" w:cs="Arial" w:eastAsia="Arial" w:hAnsi="Arial"/>
          <w:sz w:val="16"/>
          <w:szCs w:val="16"/>
          <w:i w:val="1"/>
          <w:iCs w:val="1"/>
          <w:color w:val="auto"/>
        </w:rPr>
        <w:t xml:space="preserve"> </w:t>
      </w:r>
      <w:r>
        <w:rPr>
          <w:rFonts w:ascii="Arial" w:cs="Arial" w:eastAsia="Arial" w:hAnsi="Arial"/>
          <w:sz w:val="16"/>
          <w:szCs w:val="16"/>
          <w:color w:val="auto"/>
        </w:rPr>
        <w:t>from privately-held U.S. Telepacific Holding Corp. (“TPx”) for aggregate consideration of $95 million in cash. In the transactions, Uniti will acquire and leaseback to TPx, on a triple-net basis, 38,000 fiber strand miles located across California, Nevada, Texas, and Massachusetts. In addition, Uniti will acquire and have exclusive use of 7,000 fiber strand miles located in Texas, which are adjacent to Uniti Fiber’s southern network footprint. Uniti will also have non-exclusive rights to market, on behalf of TPx, certain of the fiber assets in California and Massachusetts. On May 1, 2018 we closed on the non-California assets, which included the exclusive use fiber strand miles in Texas, for total cash consideration of $25 million. The remaining California assets are subject to customary closing conditions and are expected to close in the third quarter of 2018. The initial lease term will be 15 years with five 5-year renewal options at TPx’s discretion. Upon the closing of both transactions, annual cash rent will initially be $8.8 million with a fixed annual escalator of 1.5%.</w:t>
      </w:r>
    </w:p>
    <w:p>
      <w:pPr>
        <w:spacing w:after="0" w:line="168"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i w:val="1"/>
          <w:iCs w:val="1"/>
          <w:u w:val="single" w:color="auto"/>
          <w:color w:val="auto"/>
        </w:rPr>
        <w:t>Dark Fiber Acquisition and Anchor Tenant Lease.</w:t>
      </w:r>
      <w:r>
        <w:rPr>
          <w:rFonts w:ascii="Arial" w:cs="Arial" w:eastAsia="Arial" w:hAnsi="Arial"/>
          <w:sz w:val="17"/>
          <w:szCs w:val="17"/>
          <w:i w:val="1"/>
          <w:iCs w:val="1"/>
          <w:color w:val="auto"/>
        </w:rPr>
        <w:t xml:space="preserve"> </w:t>
      </w:r>
      <w:r>
        <w:rPr>
          <w:rFonts w:ascii="Arial" w:cs="Arial" w:eastAsia="Arial" w:hAnsi="Arial"/>
          <w:sz w:val="17"/>
          <w:szCs w:val="17"/>
          <w:color w:val="auto"/>
        </w:rPr>
        <w:t>On May 10, 2018, the Company acquired from CenturyLink 30 long-haul intercity dark fiber routes totaling</w:t>
      </w:r>
      <w:r>
        <w:rPr>
          <w:rFonts w:ascii="Arial" w:cs="Arial" w:eastAsia="Arial" w:hAnsi="Arial"/>
          <w:sz w:val="17"/>
          <w:szCs w:val="17"/>
          <w:i w:val="1"/>
          <w:iCs w:val="1"/>
          <w:color w:val="auto"/>
        </w:rPr>
        <w:t xml:space="preserve"> </w:t>
      </w:r>
      <w:r>
        <w:rPr>
          <w:rFonts w:ascii="Arial" w:cs="Arial" w:eastAsia="Arial" w:hAnsi="Arial"/>
          <w:sz w:val="17"/>
          <w:szCs w:val="17"/>
          <w:color w:val="auto"/>
        </w:rPr>
        <w:t>11,000 route miles and 270,000 fiber strand miles across 25 states. This transaction was approved by the U.S. Department of Justice as a condition of the CenturyLink / Level 3 merger, and adds attractive, high demand assets to Uniti Leasing. Simultaneously with this purchase, the Company executed an anchor tenant lease with a Fortune 100 company for 11% of the fiber strand miles.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months ended March 31, 2018 and 2017</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March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160" w:type="dxa"/>
            <w:vAlign w:val="bottom"/>
          </w:tcPr>
          <w:p>
            <w:pPr>
              <w:spacing w:after="0"/>
              <w:rPr>
                <w:sz w:val="20"/>
                <w:szCs w:val="20"/>
                <w:color w:val="auto"/>
              </w:rPr>
            </w:pPr>
            <w:r>
              <w:rPr>
                <w:rFonts w:ascii="Arial" w:cs="Arial" w:eastAsia="Arial" w:hAnsi="Arial"/>
                <w:sz w:val="14"/>
                <w:szCs w:val="14"/>
                <w:color w:val="auto"/>
              </w:rPr>
              <w:t>(Thousands)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w w:val="90"/>
              </w:rPr>
              <w:t>% of Revenues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 of Revenues</w:t>
            </w:r>
          </w:p>
        </w:tc>
        <w:tc>
          <w:tcPr>
            <w:tcW w:w="0" w:type="dxa"/>
            <w:vAlign w:val="bottom"/>
          </w:tcPr>
          <w:p>
            <w:pPr>
              <w:spacing w:after="0"/>
              <w:rPr>
                <w:sz w:val="1"/>
                <w:szCs w:val="1"/>
                <w:color w:val="auto"/>
              </w:rPr>
            </w:pPr>
          </w:p>
        </w:tc>
      </w:tr>
      <w:tr>
        <w:trPr>
          <w:trHeight w:val="213"/>
        </w:trPr>
        <w:tc>
          <w:tcPr>
            <w:tcW w:w="6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240"/>
              <w:spacing w:after="0"/>
              <w:rPr>
                <w:sz w:val="20"/>
                <w:szCs w:val="20"/>
                <w:color w:val="auto"/>
              </w:rPr>
            </w:pPr>
            <w:r>
              <w:rPr>
                <w:rFonts w:ascii="Arial" w:cs="Arial" w:eastAsia="Arial" w:hAnsi="Arial"/>
                <w:sz w:val="17"/>
                <w:szCs w:val="17"/>
                <w:color w:val="auto"/>
              </w:rPr>
              <w:t>Leasing</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172,774</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70.0%</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170,306</w:t>
            </w:r>
          </w:p>
        </w:tc>
        <w:tc>
          <w:tcPr>
            <w:tcW w:w="3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1"/>
              </w:rPr>
              <w:t>80.5%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Fiber Infrastructure</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66,967</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27.1%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34,812</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16.5%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240"/>
              <w:spacing w:after="0"/>
              <w:rPr>
                <w:sz w:val="20"/>
                <w:szCs w:val="20"/>
                <w:color w:val="auto"/>
              </w:rPr>
            </w:pPr>
            <w:r>
              <w:rPr>
                <w:rFonts w:ascii="Arial" w:cs="Arial" w:eastAsia="Arial" w:hAnsi="Arial"/>
                <w:sz w:val="17"/>
                <w:szCs w:val="17"/>
                <w:color w:val="auto"/>
              </w:rPr>
              <w:t>Tower</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3,370</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2"/>
              </w:rPr>
              <w:t>1.4%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1,428</w:t>
            </w:r>
          </w:p>
        </w:tc>
        <w:tc>
          <w:tcPr>
            <w:tcW w:w="3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Consumer CLEC</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3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2"/>
              </w:rPr>
              <w:t>1.5%</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3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2"/>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480"/>
              <w:spacing w:after="0"/>
              <w:rPr>
                <w:sz w:val="20"/>
                <w:szCs w:val="20"/>
                <w:color w:val="auto"/>
              </w:rPr>
            </w:pPr>
            <w:r>
              <w:rPr>
                <w:rFonts w:ascii="Arial" w:cs="Arial" w:eastAsia="Arial" w:hAnsi="Arial"/>
                <w:sz w:val="17"/>
                <w:szCs w:val="17"/>
                <w:color w:val="auto"/>
              </w:rPr>
              <w:t>Total revenues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246,915</w:t>
            </w:r>
          </w:p>
        </w:tc>
        <w:tc>
          <w:tcPr>
            <w:tcW w:w="3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3"/>
              </w:rPr>
              <w:t>100.0%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211,473</w:t>
            </w:r>
          </w:p>
        </w:tc>
        <w:tc>
          <w:tcPr>
            <w:tcW w:w="3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0"/>
              </w:rPr>
              <w:t>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Costs and Expenses:</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77,607</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1"/>
              </w:rPr>
              <w:t>31.4%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73,365</w:t>
            </w:r>
          </w:p>
        </w:tc>
        <w:tc>
          <w:tcPr>
            <w:tcW w:w="3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1"/>
              </w:rPr>
              <w:t>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114,721</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46.5%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101,361</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47.9%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240"/>
              <w:spacing w:after="0"/>
              <w:rPr>
                <w:sz w:val="20"/>
                <w:szCs w:val="20"/>
                <w:color w:val="auto"/>
              </w:rPr>
            </w:pPr>
            <w:r>
              <w:rPr>
                <w:rFonts w:ascii="Arial" w:cs="Arial" w:eastAsia="Arial" w:hAnsi="Arial"/>
                <w:sz w:val="17"/>
                <w:szCs w:val="17"/>
                <w:color w:val="auto"/>
              </w:rPr>
              <w:t>General and administrative expense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22,520</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2"/>
              </w:rPr>
              <w:t>9.1%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13,978</w:t>
            </w:r>
          </w:p>
        </w:tc>
        <w:tc>
          <w:tcPr>
            <w:tcW w:w="3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 expense</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29,904</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12.1%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22,125</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240"/>
              <w:spacing w:after="0"/>
              <w:rPr>
                <w:sz w:val="20"/>
                <w:szCs w:val="20"/>
                <w:color w:val="auto"/>
              </w:rPr>
            </w:pPr>
            <w:r>
              <w:rPr>
                <w:rFonts w:ascii="Arial" w:cs="Arial" w:eastAsia="Arial" w:hAnsi="Arial"/>
                <w:sz w:val="17"/>
                <w:szCs w:val="17"/>
                <w:color w:val="auto"/>
              </w:rPr>
              <w:t>Transaction related costs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5,913</w:t>
            </w:r>
          </w:p>
        </w:tc>
        <w:tc>
          <w:tcPr>
            <w:tcW w:w="3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7"/>
                <w:szCs w:val="17"/>
                <w:color w:val="auto"/>
                <w:w w:val="92"/>
              </w:rPr>
              <w:t>2.4%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9,684</w:t>
            </w:r>
          </w:p>
        </w:tc>
        <w:tc>
          <w:tcPr>
            <w:tcW w:w="3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w w:val="92"/>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(income) expense</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(3,885)</w:t>
            </w: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(1.6%)</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11,339</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Total costs and expenses</w:t>
            </w:r>
          </w:p>
        </w:tc>
        <w:tc>
          <w:tcPr>
            <w:tcW w:w="2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246,780</w:t>
            </w:r>
          </w:p>
        </w:tc>
        <w:tc>
          <w:tcPr>
            <w:tcW w:w="320" w:type="dxa"/>
            <w:vAlign w:val="bottom"/>
            <w:tcBorders>
              <w:bottom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1"/>
              </w:rPr>
              <w:t>99.9%</w:t>
            </w:r>
          </w:p>
        </w:tc>
        <w:tc>
          <w:tcPr>
            <w:tcW w:w="3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231,852</w:t>
            </w:r>
          </w:p>
        </w:tc>
        <w:tc>
          <w:tcPr>
            <w:tcW w:w="34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0"/>
              </w:rPr>
              <w:t>109.6%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Income (loss) before income taxes</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0.1%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(20,379)</w:t>
            </w: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240"/>
              <w:spacing w:after="0"/>
              <w:rPr>
                <w:sz w:val="20"/>
                <w:szCs w:val="20"/>
                <w:color w:val="auto"/>
              </w:rPr>
            </w:pPr>
            <w:r>
              <w:rPr>
                <w:rFonts w:ascii="Arial" w:cs="Arial" w:eastAsia="Arial" w:hAnsi="Arial"/>
                <w:sz w:val="17"/>
                <w:szCs w:val="17"/>
                <w:color w:val="auto"/>
              </w:rPr>
              <w:t>Income tax benefit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(1,096)</w:t>
            </w:r>
          </w:p>
        </w:tc>
        <w:tc>
          <w:tcPr>
            <w:tcW w:w="960" w:type="dxa"/>
            <w:vAlign w:val="bottom"/>
          </w:tcPr>
          <w:p>
            <w:pPr>
              <w:jc w:val="center"/>
              <w:spacing w:after="0"/>
              <w:rPr>
                <w:sz w:val="20"/>
                <w:szCs w:val="20"/>
                <w:color w:val="auto"/>
              </w:rPr>
            </w:pPr>
            <w:r>
              <w:rPr>
                <w:rFonts w:ascii="Arial" w:cs="Arial" w:eastAsia="Arial" w:hAnsi="Arial"/>
                <w:sz w:val="17"/>
                <w:szCs w:val="17"/>
                <w:color w:val="auto"/>
                <w:w w:val="95"/>
              </w:rPr>
              <w:t>(0.4%)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(379)</w:t>
            </w:r>
          </w:p>
        </w:tc>
        <w:tc>
          <w:tcPr>
            <w:tcW w:w="940" w:type="dxa"/>
            <w:vAlign w:val="bottom"/>
          </w:tcPr>
          <w:p>
            <w:pPr>
              <w:jc w:val="center"/>
              <w:spacing w:after="0"/>
              <w:rPr>
                <w:sz w:val="20"/>
                <w:szCs w:val="20"/>
                <w:color w:val="auto"/>
              </w:rPr>
            </w:pPr>
            <w:r>
              <w:rPr>
                <w:rFonts w:ascii="Arial" w:cs="Arial" w:eastAsia="Arial" w:hAnsi="Arial"/>
                <w:sz w:val="17"/>
                <w:szCs w:val="17"/>
                <w:color w:val="auto"/>
                <w:w w:val="95"/>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Net income (loss)</w:t>
            </w: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16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1,231</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0.5%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(20,000)</w:t>
            </w: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income attributable to noncontrolling interests</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3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0.0%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income (loss) available to shareholders</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1,210</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0.5%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(20,000)</w:t>
            </w: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240"/>
              <w:spacing w:after="0"/>
              <w:rPr>
                <w:sz w:val="20"/>
                <w:szCs w:val="20"/>
                <w:color w:val="auto"/>
              </w:rPr>
            </w:pPr>
            <w:r>
              <w:rPr>
                <w:rFonts w:ascii="Arial" w:cs="Arial" w:eastAsia="Arial" w:hAnsi="Arial"/>
                <w:sz w:val="17"/>
                <w:szCs w:val="17"/>
                <w:color w:val="auto"/>
              </w:rPr>
              <w:t>Participating securities' share in earnings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(679)</w:t>
            </w:r>
          </w:p>
        </w:tc>
        <w:tc>
          <w:tcPr>
            <w:tcW w:w="960" w:type="dxa"/>
            <w:vAlign w:val="bottom"/>
          </w:tcPr>
          <w:p>
            <w:pPr>
              <w:jc w:val="center"/>
              <w:spacing w:after="0"/>
              <w:rPr>
                <w:sz w:val="20"/>
                <w:szCs w:val="20"/>
                <w:color w:val="auto"/>
              </w:rPr>
            </w:pPr>
            <w:r>
              <w:rPr>
                <w:rFonts w:ascii="Arial" w:cs="Arial" w:eastAsia="Arial" w:hAnsi="Arial"/>
                <w:sz w:val="17"/>
                <w:szCs w:val="17"/>
                <w:color w:val="auto"/>
                <w:w w:val="95"/>
              </w:rPr>
              <w:t>(0.3%)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(387)</w:t>
            </w:r>
          </w:p>
        </w:tc>
        <w:tc>
          <w:tcPr>
            <w:tcW w:w="940" w:type="dxa"/>
            <w:vAlign w:val="bottom"/>
          </w:tcPr>
          <w:p>
            <w:pPr>
              <w:jc w:val="center"/>
              <w:spacing w:after="0"/>
              <w:rPr>
                <w:sz w:val="20"/>
                <w:szCs w:val="20"/>
                <w:color w:val="auto"/>
              </w:rPr>
            </w:pPr>
            <w:r>
              <w:rPr>
                <w:rFonts w:ascii="Arial" w:cs="Arial" w:eastAsia="Arial" w:hAnsi="Arial"/>
                <w:sz w:val="17"/>
                <w:szCs w:val="17"/>
                <w:color w:val="auto"/>
                <w:w w:val="95"/>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Dividends declared on convertible preferred stock</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(656)</w:t>
            </w:r>
          </w:p>
        </w:tc>
        <w:tc>
          <w:tcPr>
            <w:tcW w:w="9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(0.3%)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(656)</w:t>
            </w:r>
          </w:p>
        </w:tc>
        <w:tc>
          <w:tcPr>
            <w:tcW w:w="9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160" w:type="dxa"/>
            <w:vAlign w:val="bottom"/>
          </w:tcPr>
          <w:p>
            <w:pPr>
              <w:ind w:left="240"/>
              <w:spacing w:after="0"/>
              <w:rPr>
                <w:sz w:val="20"/>
                <w:szCs w:val="20"/>
                <w:color w:val="auto"/>
              </w:rPr>
            </w:pPr>
            <w:r>
              <w:rPr>
                <w:rFonts w:ascii="Arial" w:cs="Arial" w:eastAsia="Arial" w:hAnsi="Arial"/>
                <w:sz w:val="17"/>
                <w:szCs w:val="17"/>
                <w:color w:val="auto"/>
              </w:rPr>
              <w:t>Amortization of discount on convertible preferred stock</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(745)</w:t>
            </w:r>
          </w:p>
        </w:tc>
        <w:tc>
          <w:tcPr>
            <w:tcW w:w="960" w:type="dxa"/>
            <w:vAlign w:val="bottom"/>
          </w:tcPr>
          <w:p>
            <w:pPr>
              <w:jc w:val="center"/>
              <w:spacing w:after="0"/>
              <w:rPr>
                <w:sz w:val="20"/>
                <w:szCs w:val="20"/>
                <w:color w:val="auto"/>
              </w:rPr>
            </w:pPr>
            <w:r>
              <w:rPr>
                <w:rFonts w:ascii="Arial" w:cs="Arial" w:eastAsia="Arial" w:hAnsi="Arial"/>
                <w:sz w:val="17"/>
                <w:szCs w:val="17"/>
                <w:color w:val="auto"/>
                <w:w w:val="95"/>
              </w:rPr>
              <w:t>(0.3%)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(745)</w:t>
            </w:r>
          </w:p>
        </w:tc>
        <w:tc>
          <w:tcPr>
            <w:tcW w:w="940" w:type="dxa"/>
            <w:vAlign w:val="bottom"/>
          </w:tcPr>
          <w:p>
            <w:pPr>
              <w:jc w:val="center"/>
              <w:spacing w:after="0"/>
              <w:rPr>
                <w:sz w:val="20"/>
                <w:szCs w:val="20"/>
                <w:color w:val="auto"/>
              </w:rPr>
            </w:pPr>
            <w:r>
              <w:rPr>
                <w:rFonts w:ascii="Arial" w:cs="Arial" w:eastAsia="Arial" w:hAnsi="Arial"/>
                <w:sz w:val="17"/>
                <w:szCs w:val="17"/>
                <w:color w:val="auto"/>
                <w:w w:val="95"/>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7"/>
                <w:szCs w:val="17"/>
                <w:b w:val="1"/>
                <w:bCs w:val="1"/>
                <w:color w:val="auto"/>
              </w:rPr>
              <w:t>Net income (loss) attributable to common shareholders</w:t>
            </w: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(870)</w:t>
            </w:r>
          </w:p>
        </w:tc>
        <w:tc>
          <w:tcPr>
            <w:tcW w:w="960" w:type="dxa"/>
            <w:vAlign w:val="bottom"/>
          </w:tcPr>
          <w:p>
            <w:pPr>
              <w:jc w:val="center"/>
              <w:spacing w:after="0"/>
              <w:rPr>
                <w:sz w:val="20"/>
                <w:szCs w:val="20"/>
                <w:color w:val="auto"/>
              </w:rPr>
            </w:pPr>
            <w:r>
              <w:rPr>
                <w:rFonts w:ascii="Arial" w:cs="Arial" w:eastAsia="Arial" w:hAnsi="Arial"/>
                <w:sz w:val="17"/>
                <w:szCs w:val="17"/>
                <w:color w:val="auto"/>
                <w:w w:val="95"/>
              </w:rPr>
              <w:t>(0.4%)</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(21,788)</w:t>
            </w:r>
          </w:p>
        </w:tc>
        <w:tc>
          <w:tcPr>
            <w:tcW w:w="940" w:type="dxa"/>
            <w:vAlign w:val="bottom"/>
          </w:tcPr>
          <w:p>
            <w:pPr>
              <w:jc w:val="center"/>
              <w:spacing w:after="0"/>
              <w:rPr>
                <w:sz w:val="20"/>
                <w:szCs w:val="20"/>
                <w:color w:val="auto"/>
              </w:rPr>
            </w:pPr>
            <w:r>
              <w:rPr>
                <w:rFonts w:ascii="Arial" w:cs="Arial" w:eastAsia="Arial" w:hAnsi="Arial"/>
                <w:sz w:val="17"/>
                <w:szCs w:val="17"/>
                <w:color w:val="auto"/>
                <w:w w:val="94"/>
              </w:rPr>
              <w:t>(10.3%)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for the three months ended March 31, 2018 and 2017, revenues and Adjusted EBITDA of our reportable segments: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March 31, 2018</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Leasing</w:t>
            </w:r>
          </w:p>
        </w:tc>
        <w:tc>
          <w:tcPr>
            <w:tcW w:w="260" w:type="dxa"/>
            <w:vAlign w:val="bottom"/>
            <w:vMerge w:val="restart"/>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Fiber Infrastructure</w:t>
            </w:r>
          </w:p>
        </w:tc>
        <w:tc>
          <w:tcPr>
            <w:tcW w:w="2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Towers</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91"/>
              </w:rPr>
              <w:t>Consumer CLEC</w:t>
            </w:r>
          </w:p>
        </w:tc>
        <w:tc>
          <w:tcPr>
            <w:tcW w:w="2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236"/>
              <w:spacing w:after="0" w:line="126"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Reportable 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172,774</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66,967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3,370</w:t>
            </w:r>
          </w:p>
        </w:tc>
        <w:tc>
          <w:tcPr>
            <w:tcW w:w="16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3,804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246,915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172,369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29,195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(463)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(5,313)</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spacing w:after="0"/>
              <w:rPr>
                <w:sz w:val="20"/>
                <w:szCs w:val="20"/>
                <w:color w:val="auto"/>
              </w:rPr>
            </w:pPr>
            <w:r>
              <w:rPr>
                <w:rFonts w:ascii="Arial" w:cs="Arial" w:eastAsia="Arial" w:hAnsi="Arial"/>
                <w:sz w:val="17"/>
                <w:szCs w:val="17"/>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86,744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25,905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114,721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income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(3,885)</w:t>
            </w: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Transaction related costs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Income tax benefit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(1,096)</w:t>
            </w:r>
          </w:p>
        </w:tc>
        <w:tc>
          <w:tcPr>
            <w:tcW w:w="0" w:type="dxa"/>
            <w:vAlign w:val="bottom"/>
          </w:tcPr>
          <w:p>
            <w:pPr>
              <w:spacing w:after="0"/>
              <w:rPr>
                <w:sz w:val="1"/>
                <w:szCs w:val="1"/>
                <w:color w:val="auto"/>
              </w:rPr>
            </w:pPr>
          </w:p>
        </w:tc>
      </w:tr>
      <w:tr>
        <w:trPr>
          <w:trHeight w:val="213"/>
        </w:trPr>
        <w:tc>
          <w:tcPr>
            <w:tcW w:w="2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Net income</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1,231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 March 31, 2017</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Leasing</w:t>
            </w:r>
          </w:p>
        </w:tc>
        <w:tc>
          <w:tcPr>
            <w:tcW w:w="260" w:type="dxa"/>
            <w:vAlign w:val="bottom"/>
            <w:vMerge w:val="restart"/>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Fiber Infrastructure</w:t>
            </w:r>
          </w:p>
        </w:tc>
        <w:tc>
          <w:tcPr>
            <w:tcW w:w="2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Towers</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91"/>
              </w:rPr>
              <w:t>Consumer CLEC</w:t>
            </w:r>
          </w:p>
        </w:tc>
        <w:tc>
          <w:tcPr>
            <w:tcW w:w="2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236"/>
              <w:spacing w:after="0" w:line="126" w:lineRule="exact"/>
              <w:rPr>
                <w:sz w:val="20"/>
                <w:szCs w:val="20"/>
                <w:color w:val="auto"/>
              </w:rPr>
            </w:pPr>
            <w:r>
              <w:rPr>
                <w:rFonts w:ascii="Arial" w:cs="Arial" w:eastAsia="Arial" w:hAnsi="Arial"/>
                <w:sz w:val="14"/>
                <w:szCs w:val="14"/>
                <w:b w:val="1"/>
                <w:bCs w:val="1"/>
                <w:color w:val="auto"/>
              </w:rPr>
              <w:t>Subtotal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Reportable Segments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170,306</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34,812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211,473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170,060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11,567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(735)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(5,056)</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spacing w:after="0"/>
              <w:rPr>
                <w:sz w:val="20"/>
                <w:szCs w:val="20"/>
                <w:color w:val="auto"/>
              </w:rPr>
            </w:pPr>
            <w:r>
              <w:rPr>
                <w:rFonts w:ascii="Arial" w:cs="Arial" w:eastAsia="Arial" w:hAnsi="Arial"/>
                <w:sz w:val="17"/>
                <w:szCs w:val="17"/>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86,506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13,221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101,361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Other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Transaction related costs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Stock-based compensation</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40" w:type="dxa"/>
            <w:vAlign w:val="bottom"/>
            <w:gridSpan w:val="2"/>
          </w:tcPr>
          <w:p>
            <w:pPr>
              <w:ind w:left="120"/>
              <w:spacing w:after="0"/>
              <w:rPr>
                <w:sz w:val="20"/>
                <w:szCs w:val="20"/>
                <w:color w:val="auto"/>
              </w:rPr>
            </w:pPr>
            <w:r>
              <w:rPr>
                <w:rFonts w:ascii="Arial" w:cs="Arial" w:eastAsia="Arial" w:hAnsi="Arial"/>
                <w:sz w:val="17"/>
                <w:szCs w:val="17"/>
                <w:color w:val="auto"/>
              </w:rPr>
              <w:t>Income tax benefit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
        </w:trPr>
        <w:tc>
          <w:tcPr>
            <w:tcW w:w="254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2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4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0"/>
        </w:trPr>
        <w:tc>
          <w:tcPr>
            <w:tcW w:w="2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Leasing</w:t>
      </w:r>
      <w:r>
        <w:rPr>
          <w:rFonts w:ascii="Arial" w:cs="Arial" w:eastAsia="Arial" w:hAnsi="Arial"/>
          <w:sz w:val="15"/>
          <w:szCs w:val="15"/>
          <w:i w:val="1"/>
          <w:iCs w:val="1"/>
          <w:color w:val="auto"/>
        </w:rPr>
        <w:t xml:space="preserve"> </w:t>
      </w:r>
      <w:r>
        <w:rPr>
          <w:rFonts w:ascii="Arial" w:cs="Arial" w:eastAsia="Arial" w:hAnsi="Arial"/>
          <w:sz w:val="15"/>
          <w:szCs w:val="15"/>
          <w:color w:val="auto"/>
        </w:rPr>
        <w:t>- Leasing revenues are primarily attributable to rental revenue from leasing the Distribution Systems to Windstream Holdings pursuant to the Master Lease.</w:t>
      </w:r>
    </w:p>
    <w:p>
      <w:pPr>
        <w:spacing w:after="0" w:line="24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163" w:lineRule="exact"/>
        <w:rPr>
          <w:sz w:val="20"/>
          <w:szCs w:val="20"/>
          <w:color w:val="auto"/>
        </w:rPr>
      </w:pPr>
    </w:p>
    <w:p>
      <w:pPr>
        <w:ind w:right="140"/>
        <w:spacing w:after="0" w:line="303" w:lineRule="auto"/>
        <w:rPr>
          <w:sz w:val="20"/>
          <w:szCs w:val="20"/>
          <w:color w:val="auto"/>
        </w:rPr>
      </w:pPr>
      <w:r>
        <w:rPr>
          <w:rFonts w:ascii="Arial" w:cs="Arial" w:eastAsia="Arial" w:hAnsi="Arial"/>
          <w:sz w:val="15"/>
          <w:szCs w:val="15"/>
          <w:color w:val="auto"/>
        </w:rPr>
        <w:t>For the three months ended March 31, 2018, we recognized $172.8 million of revenue from rents under the Master Lease, which included $4.3 million of straight-line revenues and $5.1 million of TCI revenue. For the three months ended March 31, 2017, we recognized $170.3 million of revenues from the Master Lease, which included $4.3 million of straight-line rent revenue, and $2.6 million of TCI revenue. The increase in TCI revenue is attributable to increased investment by Windstream in TCIs. Windstream invested $47.4 million in TCIs during the three months ended March 31, 2018, an increase from $33.8 million it invested in TCIs during the three months ended March 31, 2017. Since the inception of the Master Lease, Windstream has invested a total of $500.9 million in such improvements.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Because a substantial portion of our revenue and cash flows are derived from lease payments by Windstream pursuant to the Master Lease, there could be a material</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adverse impact on our consolidated results of operations, liquidity, financial condition and/or ability to pay dividends and service debt if Windstream were to default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under the Master Lease or otherwise experiences operating or liquidity difficulties and becomes unable to generate sufficient cash to make payments to us. In recent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years, Windstream has experienced annual declines in its total revenue, sales and cash flow, and has had its credit ratings downgraded by nationally recognized credit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rating agencies. Most recently, Windstream is involved in litigation with an entity who acquired certain Windstream debt securities and immediately claimed 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“event of default” under such securities relating to our spin-off from Windstream. On December 7, 2017, the entity issued a notice of acceleration to Windstream</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claiming that the principal amount, along with accrued interest, of such securities was due and payable immediately. Windstream is challenging the matter in federal</w:t>
      </w:r>
    </w:p>
    <w:p>
      <w:pPr>
        <w:spacing w:after="0" w:line="34" w:lineRule="exact"/>
        <w:rPr>
          <w:sz w:val="20"/>
          <w:szCs w:val="20"/>
          <w:color w:val="auto"/>
        </w:rPr>
      </w:pPr>
    </w:p>
    <w:p>
      <w:pPr>
        <w:spacing w:after="0"/>
        <w:tabs>
          <w:tab w:leader="none" w:pos="4200" w:val="left"/>
        </w:tabs>
        <w:rPr>
          <w:sz w:val="20"/>
          <w:szCs w:val="20"/>
          <w:color w:val="auto"/>
        </w:rPr>
      </w:pPr>
      <w:r>
        <w:rPr>
          <w:rFonts w:ascii="Arial" w:cs="Arial" w:eastAsia="Arial" w:hAnsi="Arial"/>
          <w:sz w:val="17"/>
          <w:szCs w:val="17"/>
          <w:color w:val="auto"/>
        </w:rPr>
        <w:t>court and a trial date has been scheduled for July 23, 2018.</w:t>
      </w:r>
      <w:r>
        <w:rPr>
          <w:sz w:val="20"/>
          <w:szCs w:val="20"/>
          <w:color w:val="auto"/>
        </w:rPr>
        <w:tab/>
      </w:r>
      <w:r>
        <w:rPr>
          <w:rFonts w:ascii="Arial" w:cs="Arial" w:eastAsia="Arial" w:hAnsi="Arial"/>
          <w:sz w:val="15"/>
          <w:szCs w:val="15"/>
          <w:color w:val="auto"/>
        </w:rPr>
        <w:t>If Windstream receives a final, unappealable adverse ruling, an “event of default” would be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declared. An actual “event of default” would trigger cross-default provisions in Windstream’s other debt instruments, including Windstream Services’ existing credit</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facility, which, in turn, would trigger a default under the Master Lease. If an adverse outcome occurs with respect to this matter and Windstream does not have the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ability to pay under the Master Lease, there could be a material adverse impact to us as disclosed above.</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Accordingly, we monitor the credit quality of Windstream through numerous methods, including by (i) reviewing the credit ratings of Windstream by nationally recognized credit rating agencies, (ii) reviewing the financial statements of Windstream that are publicly available and that are required to be delivered to us pursuant to the Master Lease, (iii) monitoring ongoing litigation and news reports regarding Windstream and its businesses, (iv) conducting research to ascertain industry trends potentially affecting Windstream,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120" w:firstLine="3"/>
        <w:spacing w:after="0" w:line="258" w:lineRule="auto"/>
        <w:tabs>
          <w:tab w:leader="none" w:pos="244" w:val="left"/>
        </w:tabs>
        <w:numPr>
          <w:ilvl w:val="0"/>
          <w:numId w:val="10"/>
        </w:numPr>
        <w:rPr>
          <w:rFonts w:ascii="Arial" w:cs="Arial" w:eastAsia="Arial" w:hAnsi="Arial"/>
          <w:sz w:val="17"/>
          <w:szCs w:val="17"/>
          <w:color w:val="auto"/>
        </w:rPr>
      </w:pPr>
      <w:r>
        <w:rPr>
          <w:rFonts w:ascii="Arial" w:cs="Arial" w:eastAsia="Arial" w:hAnsi="Arial"/>
          <w:sz w:val="17"/>
          <w:szCs w:val="17"/>
          <w:color w:val="auto"/>
        </w:rPr>
        <w:t>monitoring the timeliness of its lease payments. In addition to periodic financial statements, Windstream is obligated under the Master Lease to provide us (i) a detailed consolidated budget on an annual basis and any significant revisions approved by Windstream’s board of directors, (ii) prompt notice of any adverse action or investigation by a governmental authority relating to Windstream’s licenses affecting the leased property, and (iii) any information we require to comply with our reporting and filing obligations with the SEC. Furthermore, pursuant to the Master Lease, we may inspect the properties leased to Windstream upon reasonable advance notice, and, no more than twice per year, we may require Windstream to deliver an officer’s certificate certifying, among other things, its material compliance with the covenants under the Master Lease, the amount of rent and additional charges payable thereunder, the dates the same were paid, and any other questions or statements of fact we reasonably request.</w:t>
      </w:r>
    </w:p>
    <w:p>
      <w:pPr>
        <w:spacing w:after="0" w:line="183" w:lineRule="exact"/>
        <w:rPr>
          <w:sz w:val="20"/>
          <w:szCs w:val="20"/>
          <w:color w:val="auto"/>
        </w:rPr>
      </w:pPr>
    </w:p>
    <w:p>
      <w:pPr>
        <w:ind w:right="280"/>
        <w:spacing w:after="0" w:line="352" w:lineRule="auto"/>
        <w:rPr>
          <w:sz w:val="20"/>
          <w:szCs w:val="20"/>
          <w:color w:val="auto"/>
        </w:rPr>
      </w:pPr>
      <w:r>
        <w:rPr>
          <w:rFonts w:ascii="Arial" w:cs="Arial" w:eastAsia="Arial" w:hAnsi="Arial"/>
          <w:sz w:val="15"/>
          <w:szCs w:val="15"/>
          <w:i w:val="1"/>
          <w:iCs w:val="1"/>
          <w:u w:val="single" w:color="auto"/>
          <w:color w:val="auto"/>
        </w:rPr>
        <w:t>Fiber Infrastructure</w:t>
      </w:r>
      <w:r>
        <w:rPr>
          <w:rFonts w:ascii="Arial" w:cs="Arial" w:eastAsia="Arial" w:hAnsi="Arial"/>
          <w:sz w:val="15"/>
          <w:szCs w:val="15"/>
          <w:i w:val="1"/>
          <w:iCs w:val="1"/>
          <w:color w:val="auto"/>
        </w:rPr>
        <w:t xml:space="preserve"> </w:t>
      </w:r>
      <w:r>
        <w:rPr>
          <w:rFonts w:ascii="Arial" w:cs="Arial" w:eastAsia="Arial" w:hAnsi="Arial"/>
          <w:sz w:val="15"/>
          <w:szCs w:val="15"/>
          <w:color w:val="auto"/>
        </w:rPr>
        <w:t>– For the three months ended March 31, 2018 and 2017, we recognized $67.0 million and $34.8 million of revenue, respectively in our Fiber</w:t>
      </w:r>
      <w:r>
        <w:rPr>
          <w:rFonts w:ascii="Arial" w:cs="Arial" w:eastAsia="Arial" w:hAnsi="Arial"/>
          <w:sz w:val="15"/>
          <w:szCs w:val="15"/>
          <w:i w:val="1"/>
          <w:iCs w:val="1"/>
          <w:color w:val="auto"/>
        </w:rPr>
        <w:t xml:space="preserve"> </w:t>
      </w:r>
      <w:r>
        <w:rPr>
          <w:rFonts w:ascii="Arial" w:cs="Arial" w:eastAsia="Arial" w:hAnsi="Arial"/>
          <w:sz w:val="15"/>
          <w:szCs w:val="15"/>
          <w:color w:val="auto"/>
        </w:rPr>
        <w:t>Infrastructure segment. The increase to Fiber Infrastructure revenue is primarily driven by the timing of the July 3, 2017 acquisitions Southern Light and Hunt.</w:t>
      </w:r>
    </w:p>
    <w:p>
      <w:pPr>
        <w:spacing w:after="0" w:line="114" w:lineRule="exact"/>
        <w:rPr>
          <w:sz w:val="20"/>
          <w:szCs w:val="20"/>
          <w:color w:val="auto"/>
        </w:rPr>
      </w:pPr>
    </w:p>
    <w:p>
      <w:pPr>
        <w:ind w:right="720"/>
        <w:spacing w:after="0" w:line="283" w:lineRule="auto"/>
        <w:rPr>
          <w:sz w:val="20"/>
          <w:szCs w:val="20"/>
          <w:color w:val="auto"/>
        </w:rPr>
      </w:pPr>
      <w:r>
        <w:rPr>
          <w:rFonts w:ascii="Arial" w:cs="Arial" w:eastAsia="Arial" w:hAnsi="Arial"/>
          <w:sz w:val="17"/>
          <w:szCs w:val="17"/>
          <w:color w:val="auto"/>
        </w:rPr>
        <w:t>At March 31, 2018, we had approximately 17,165 customer connections, up from 5,500 customer connections at March 31, 2017. The increase is primarily attributable to the Southern Light and Hunt acquisitions, which added 11,524 connections as of March 31, 2018.</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Fiber Infrastructure revenues for the three months ended March 31, 2018 and 2017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2018</w:t>
            </w:r>
          </w:p>
        </w:tc>
        <w:tc>
          <w:tcPr>
            <w:tcW w:w="11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5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0"/>
                <w:szCs w:val="10"/>
                <w:color w:val="auto"/>
              </w:rPr>
            </w:pPr>
          </w:p>
        </w:tc>
        <w:tc>
          <w:tcPr>
            <w:tcW w:w="11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8"/>
              </w:rPr>
              <w:t>% of Segment</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8"/>
              </w:rPr>
              <w:t>% of Segment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7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Fiber Infrastructure revenues:</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760" w:type="dxa"/>
            <w:vAlign w:val="bottom"/>
            <w:gridSpan w:val="2"/>
          </w:tcPr>
          <w:p>
            <w:pPr>
              <w:ind w:left="240"/>
              <w:spacing w:after="0"/>
              <w:rPr>
                <w:sz w:val="20"/>
                <w:szCs w:val="20"/>
                <w:color w:val="auto"/>
              </w:rPr>
            </w:pPr>
            <w:r>
              <w:rPr>
                <w:rFonts w:ascii="Arial" w:cs="Arial" w:eastAsia="Arial" w:hAnsi="Arial"/>
                <w:sz w:val="17"/>
                <w:szCs w:val="17"/>
                <w:color w:val="auto"/>
              </w:rPr>
              <w:t>Lit backhaul services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33,346</w:t>
            </w:r>
          </w:p>
        </w:tc>
        <w:tc>
          <w:tcPr>
            <w:tcW w:w="1460" w:type="dxa"/>
            <w:vAlign w:val="bottom"/>
            <w:gridSpan w:val="2"/>
          </w:tcPr>
          <w:p>
            <w:pPr>
              <w:jc w:val="center"/>
              <w:ind w:left="197"/>
              <w:spacing w:after="0"/>
              <w:rPr>
                <w:sz w:val="20"/>
                <w:szCs w:val="20"/>
                <w:color w:val="auto"/>
              </w:rPr>
            </w:pPr>
            <w:r>
              <w:rPr>
                <w:rFonts w:ascii="Arial" w:cs="Arial" w:eastAsia="Arial" w:hAnsi="Arial"/>
                <w:sz w:val="17"/>
                <w:szCs w:val="17"/>
                <w:color w:val="auto"/>
                <w:w w:val="95"/>
              </w:rPr>
              <w:t>49.8%</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24,252</w:t>
            </w:r>
          </w:p>
        </w:tc>
        <w:tc>
          <w:tcPr>
            <w:tcW w:w="3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Enterprise and wholesale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15,418</w:t>
            </w:r>
          </w:p>
        </w:tc>
        <w:tc>
          <w:tcPr>
            <w:tcW w:w="1460" w:type="dxa"/>
            <w:vAlign w:val="bottom"/>
            <w:gridSpan w:val="2"/>
            <w:shd w:val="clear" w:color="auto" w:fill="CFF0FC"/>
          </w:tcPr>
          <w:p>
            <w:pPr>
              <w:jc w:val="center"/>
              <w:ind w:left="197"/>
              <w:spacing w:after="0"/>
              <w:rPr>
                <w:sz w:val="20"/>
                <w:szCs w:val="20"/>
                <w:color w:val="auto"/>
              </w:rPr>
            </w:pPr>
            <w:r>
              <w:rPr>
                <w:rFonts w:ascii="Arial" w:cs="Arial" w:eastAsia="Arial" w:hAnsi="Arial"/>
                <w:sz w:val="17"/>
                <w:szCs w:val="17"/>
                <w:color w:val="auto"/>
                <w:w w:val="95"/>
              </w:rPr>
              <w:t>23.0%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3,479</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1"/>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gridSpan w:val="2"/>
          </w:tcPr>
          <w:p>
            <w:pPr>
              <w:ind w:left="240"/>
              <w:spacing w:after="0"/>
              <w:rPr>
                <w:sz w:val="20"/>
                <w:szCs w:val="20"/>
                <w:color w:val="auto"/>
              </w:rPr>
            </w:pPr>
            <w:r>
              <w:rPr>
                <w:rFonts w:ascii="Arial" w:cs="Arial" w:eastAsia="Arial" w:hAnsi="Arial"/>
                <w:sz w:val="17"/>
                <w:szCs w:val="17"/>
                <w:color w:val="auto"/>
              </w:rPr>
              <w:t>E-Rate and government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14,230</w:t>
            </w:r>
          </w:p>
        </w:tc>
        <w:tc>
          <w:tcPr>
            <w:tcW w:w="1460" w:type="dxa"/>
            <w:vAlign w:val="bottom"/>
            <w:gridSpan w:val="2"/>
          </w:tcPr>
          <w:p>
            <w:pPr>
              <w:jc w:val="center"/>
              <w:ind w:left="197"/>
              <w:spacing w:after="0"/>
              <w:rPr>
                <w:sz w:val="20"/>
                <w:szCs w:val="20"/>
                <w:color w:val="auto"/>
              </w:rPr>
            </w:pPr>
            <w:r>
              <w:rPr>
                <w:rFonts w:ascii="Arial" w:cs="Arial" w:eastAsia="Arial" w:hAnsi="Arial"/>
                <w:sz w:val="17"/>
                <w:szCs w:val="17"/>
                <w:color w:val="auto"/>
                <w:w w:val="95"/>
              </w:rPr>
              <w:t>21.2%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6,951</w:t>
            </w:r>
          </w:p>
        </w:tc>
        <w:tc>
          <w:tcPr>
            <w:tcW w:w="3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1"/>
              </w:rPr>
              <w:t>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Dark fiber and small cells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2,983</w:t>
            </w:r>
          </w:p>
        </w:tc>
        <w:tc>
          <w:tcPr>
            <w:tcW w:w="1460" w:type="dxa"/>
            <w:vAlign w:val="bottom"/>
            <w:gridSpan w:val="2"/>
            <w:shd w:val="clear" w:color="auto" w:fill="CFF0FC"/>
          </w:tcPr>
          <w:p>
            <w:pPr>
              <w:jc w:val="center"/>
              <w:ind w:left="177"/>
              <w:spacing w:after="0"/>
              <w:rPr>
                <w:sz w:val="20"/>
                <w:szCs w:val="20"/>
                <w:color w:val="auto"/>
              </w:rPr>
            </w:pPr>
            <w:r>
              <w:rPr>
                <w:rFonts w:ascii="Arial" w:cs="Arial" w:eastAsia="Arial" w:hAnsi="Arial"/>
                <w:sz w:val="17"/>
                <w:szCs w:val="17"/>
                <w:color w:val="auto"/>
                <w:w w:val="92"/>
              </w:rPr>
              <w:t>4.5%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w:t>
            </w: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gridSpan w:val="2"/>
          </w:tcPr>
          <w:p>
            <w:pPr>
              <w:ind w:left="240"/>
              <w:spacing w:after="0"/>
              <w:rPr>
                <w:sz w:val="20"/>
                <w:szCs w:val="20"/>
                <w:color w:val="auto"/>
              </w:rPr>
            </w:pPr>
            <w:r>
              <w:rPr>
                <w:rFonts w:ascii="Arial" w:cs="Arial" w:eastAsia="Arial" w:hAnsi="Arial"/>
                <w:sz w:val="17"/>
                <w:szCs w:val="17"/>
                <w:color w:val="auto"/>
              </w:rPr>
              <w:t>Other services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990</w:t>
            </w:r>
          </w:p>
        </w:tc>
        <w:tc>
          <w:tcPr>
            <w:tcW w:w="3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auto"/>
                <w:w w:val="92"/>
              </w:rPr>
              <w:t>1.5%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(241)</w:t>
            </w:r>
          </w:p>
        </w:tc>
        <w:tc>
          <w:tcPr>
            <w:tcW w:w="1160" w:type="dxa"/>
            <w:vAlign w:val="bottom"/>
          </w:tcPr>
          <w:p>
            <w:pPr>
              <w:jc w:val="center"/>
              <w:spacing w:after="0"/>
              <w:rPr>
                <w:sz w:val="20"/>
                <w:szCs w:val="20"/>
                <w:color w:val="auto"/>
              </w:rPr>
            </w:pPr>
            <w:r>
              <w:rPr>
                <w:rFonts w:ascii="Arial" w:cs="Arial" w:eastAsia="Arial" w:hAnsi="Arial"/>
                <w:sz w:val="17"/>
                <w:szCs w:val="17"/>
                <w:color w:val="auto"/>
                <w:w w:val="94"/>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shd w:val="clear" w:color="auto" w:fill="CFF0FC"/>
          </w:tcPr>
          <w:p>
            <w:pPr>
              <w:ind w:left="480"/>
              <w:spacing w:after="0"/>
              <w:rPr>
                <w:sz w:val="20"/>
                <w:szCs w:val="20"/>
                <w:color w:val="auto"/>
              </w:rPr>
            </w:pPr>
            <w:r>
              <w:rPr>
                <w:rFonts w:ascii="Arial" w:cs="Arial" w:eastAsia="Arial" w:hAnsi="Arial"/>
                <w:sz w:val="17"/>
                <w:szCs w:val="17"/>
                <w:color w:val="auto"/>
              </w:rPr>
              <w:t>Total Fiber Infrastructure revenues</w:t>
            </w: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6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66,967</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100.0%</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34,812</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100.0%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440"/>
        <w:spacing w:after="0" w:line="300" w:lineRule="auto"/>
        <w:rPr>
          <w:sz w:val="20"/>
          <w:szCs w:val="20"/>
          <w:color w:val="auto"/>
        </w:rPr>
      </w:pPr>
      <w:r>
        <w:rPr>
          <w:rFonts w:ascii="Arial" w:cs="Arial" w:eastAsia="Arial" w:hAnsi="Arial"/>
          <w:sz w:val="15"/>
          <w:szCs w:val="15"/>
          <w:i w:val="1"/>
          <w:iCs w:val="1"/>
          <w:u w:val="single" w:color="auto"/>
          <w:color w:val="auto"/>
        </w:rPr>
        <w:t>Towers</w:t>
      </w:r>
      <w:r>
        <w:rPr>
          <w:rFonts w:ascii="Arial" w:cs="Arial" w:eastAsia="Arial" w:hAnsi="Arial"/>
          <w:sz w:val="15"/>
          <w:szCs w:val="15"/>
          <w:i w:val="1"/>
          <w:iCs w:val="1"/>
          <w:color w:val="auto"/>
        </w:rPr>
        <w:t xml:space="preserve"> </w:t>
      </w:r>
      <w:r>
        <w:rPr>
          <w:rFonts w:ascii="Arial" w:cs="Arial" w:eastAsia="Arial" w:hAnsi="Arial"/>
          <w:sz w:val="15"/>
          <w:szCs w:val="15"/>
          <w:color w:val="auto"/>
        </w:rPr>
        <w:t>- For the three months ended March 31, 2018, we recognized $3.4 million of revenue in our Towers segment, of which $2.3 million relates to our Latin</w:t>
      </w:r>
      <w:r>
        <w:rPr>
          <w:rFonts w:ascii="Arial" w:cs="Arial" w:eastAsia="Arial" w:hAnsi="Arial"/>
          <w:sz w:val="15"/>
          <w:szCs w:val="15"/>
          <w:i w:val="1"/>
          <w:iCs w:val="1"/>
          <w:color w:val="auto"/>
        </w:rPr>
        <w:t xml:space="preserve"> </w:t>
      </w:r>
      <w:r>
        <w:rPr>
          <w:rFonts w:ascii="Arial" w:cs="Arial" w:eastAsia="Arial" w:hAnsi="Arial"/>
          <w:sz w:val="15"/>
          <w:szCs w:val="15"/>
          <w:color w:val="auto"/>
        </w:rPr>
        <w:t>American operations. For the three months ended March 31, 2017, we recognized $1.4 million of revenue, of which $1.1 million relates to our Latin American operations. The increase is primarily driven by revenues associated with our January 31, 2017 acquisition of Network Management Holdings LTD (“NMS”), including the additional 41 towers acquired that were under development at the time of the NMS acquisition. At March 31, 2018, the Uniti Towers portfolio consisted of 253 wireless communications towers across the Eastern and Central regions in the United States, and 457 wireless communication towers in Latin America, up from 80 wireless communications towers in the United States, and 413 wireless communication towers in Latin America, at March 31, 2017.</w:t>
      </w:r>
    </w:p>
    <w:p>
      <w:pPr>
        <w:spacing w:after="0" w:line="153"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March 31, 2018, we recognized $3.8 million of revenue from the Consumer CLEC Business, compared to $4.9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March 31, 2017. The decrease is due to the effects of competition and customer attrition, as we served 26,750 customers as of March 31, 2018, a 23.1% decrease from 34,800 customers served at March 31, 2017.</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18"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Interest expense for the three months ended March 31, 2018, totaled $77.6 million, which includes non-cash interest expense of $6.0 million resulting from the amortization of our debt discounts and debt issuance costs. Interest expense for the three months ended March 31, 2017 totaled $73.4 million, which includes non-cash interest expense of $5.3 million resulting from the amortization of our debt discounts and debt issuance costs. The increase is primarily related to interest expense on the 2024 Notes of $3.6 million, which were not incurred in the three months ended March 31, 2017.</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 Expense</w:t>
      </w:r>
    </w:p>
    <w:p>
      <w:pPr>
        <w:spacing w:after="0" w:line="218" w:lineRule="exact"/>
        <w:rPr>
          <w:sz w:val="20"/>
          <w:szCs w:val="20"/>
          <w:color w:val="auto"/>
        </w:rPr>
      </w:pPr>
    </w:p>
    <w:p>
      <w:pPr>
        <w:jc w:val="both"/>
        <w:ind w:right="280"/>
        <w:spacing w:after="0" w:line="268" w:lineRule="auto"/>
        <w:rPr>
          <w:sz w:val="20"/>
          <w:szCs w:val="20"/>
          <w:color w:val="auto"/>
        </w:rPr>
      </w:pPr>
      <w:r>
        <w:rPr>
          <w:rFonts w:ascii="Arial" w:cs="Arial" w:eastAsia="Arial" w:hAnsi="Arial"/>
          <w:sz w:val="17"/>
          <w:szCs w:val="17"/>
          <w:color w:val="auto"/>
        </w:rPr>
        <w:t>We incur depreciation and amortization expense related to our property, plant and equipment, corporate assets and intangible assets. Charges for depreciation and amortization for the three months ended March 31, 2018 totaled $114.7 million, which included property, plant and equipment depreciation of $108.2 million and intangible asset amortization of $6.5 million. Charges 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depreciation and amortization for the three months ended March 31, 2017 totaled $101.4 million, which included property, plant and equipment depreciation of $93.3 million, corporate asset depreciation of $5.6 million and intangible asset amortization of $2.5 million. The increase is primarily driven by the timing of the acquisitions of Southern Light and Hunt.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General and administrative expenses include compensation costs (including stock-based compensation awards), professional and legal services, corporate office costs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and other costs associated with administrative activities. For the three months ended March 31, 2018, general and administrative costs totaled $22.5 million (9.1% of</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revenue), which includes $2.2 million of stock-based compensation expense. For the three months ended March 31, 2017, general and administrative costs totaled</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$14.0 million (6.6% of revenue), which includes $1.6 million of stock-based compensation expense. The increase is primarily driven by the timing of the acquisitions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of Southern Light and Hunt, as Fiber Infrastructure general and administrative expenses for the three months ended March 31, 2018 and 2017, totaled $13.2 million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and $5.9 million,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w:t>
      </w:r>
    </w:p>
    <w:p>
      <w:pPr>
        <w:spacing w:after="0" w:line="218" w:lineRule="exact"/>
        <w:rPr>
          <w:sz w:val="20"/>
          <w:szCs w:val="20"/>
          <w:color w:val="auto"/>
        </w:rPr>
      </w:pPr>
    </w:p>
    <w:p>
      <w:pPr>
        <w:ind w:right="60"/>
        <w:spacing w:after="0" w:line="352" w:lineRule="auto"/>
        <w:rPr>
          <w:sz w:val="20"/>
          <w:szCs w:val="20"/>
          <w:color w:val="auto"/>
        </w:rPr>
      </w:pPr>
      <w:r>
        <w:rPr>
          <w:rFonts w:ascii="Arial" w:cs="Arial" w:eastAsia="Arial" w:hAnsi="Arial"/>
          <w:sz w:val="15"/>
          <w:szCs w:val="15"/>
          <w:color w:val="auto"/>
        </w:rPr>
        <w:t>Operating expense for the three months ended March 31, 2018, totaled $29.9 million (12.1% of revenue) compared to $22.1 million (10.5% of revenue) for the three months ended March 31, 2017. Operating expense for our reportable segments for the three months ended March 31, 2018 and 2017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2018</w:t>
            </w:r>
          </w:p>
        </w:tc>
        <w:tc>
          <w:tcPr>
            <w:tcW w:w="11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2017</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5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0"/>
                <w:szCs w:val="10"/>
                <w:color w:val="auto"/>
              </w:rPr>
            </w:pPr>
          </w:p>
        </w:tc>
        <w:tc>
          <w:tcPr>
            <w:tcW w:w="11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0"/>
              </w:rPr>
              <w:t>% of Consolidated</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0"/>
                <w:szCs w:val="10"/>
                <w:color w:val="auto"/>
              </w:rPr>
            </w:pPr>
          </w:p>
        </w:tc>
        <w:tc>
          <w:tcPr>
            <w:tcW w:w="11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0"/>
              </w:rPr>
              <w:t>% of Consolidated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7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3"/>
        </w:trPr>
        <w:tc>
          <w:tcPr>
            <w:tcW w:w="5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Operating expenses by segment:</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760" w:type="dxa"/>
            <w:vAlign w:val="bottom"/>
            <w:gridSpan w:val="2"/>
          </w:tcPr>
          <w:p>
            <w:pPr>
              <w:ind w:left="240"/>
              <w:spacing w:after="0"/>
              <w:rPr>
                <w:sz w:val="20"/>
                <w:szCs w:val="20"/>
                <w:color w:val="auto"/>
              </w:rPr>
            </w:pPr>
            <w:r>
              <w:rPr>
                <w:rFonts w:ascii="Arial" w:cs="Arial" w:eastAsia="Arial" w:hAnsi="Arial"/>
                <w:sz w:val="17"/>
                <w:szCs w:val="17"/>
                <w:color w:val="auto"/>
              </w:rPr>
              <w:t>Fiber Infrastructure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24,961</w:t>
            </w:r>
          </w:p>
        </w:tc>
        <w:tc>
          <w:tcPr>
            <w:tcW w:w="1460" w:type="dxa"/>
            <w:vAlign w:val="bottom"/>
            <w:gridSpan w:val="2"/>
          </w:tcPr>
          <w:p>
            <w:pPr>
              <w:jc w:val="center"/>
              <w:ind w:left="198"/>
              <w:spacing w:after="0"/>
              <w:rPr>
                <w:sz w:val="20"/>
                <w:szCs w:val="20"/>
                <w:color w:val="auto"/>
              </w:rPr>
            </w:pPr>
            <w:r>
              <w:rPr>
                <w:rFonts w:ascii="Arial" w:cs="Arial" w:eastAsia="Arial" w:hAnsi="Arial"/>
                <w:sz w:val="17"/>
                <w:szCs w:val="17"/>
                <w:color w:val="auto"/>
                <w:w w:val="95"/>
              </w:rPr>
              <w:t>10.1%</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17,629</w:t>
            </w:r>
          </w:p>
        </w:tc>
        <w:tc>
          <w:tcPr>
            <w:tcW w:w="1460" w:type="dxa"/>
            <w:vAlign w:val="bottom"/>
            <w:gridSpan w:val="2"/>
          </w:tcPr>
          <w:p>
            <w:pPr>
              <w:jc w:val="center"/>
              <w:ind w:left="218"/>
              <w:spacing w:after="0"/>
              <w:rPr>
                <w:sz w:val="20"/>
                <w:szCs w:val="20"/>
                <w:color w:val="auto"/>
              </w:rPr>
            </w:pPr>
            <w:r>
              <w:rPr>
                <w:rFonts w:ascii="Arial" w:cs="Arial" w:eastAsia="Arial" w:hAnsi="Arial"/>
                <w:sz w:val="17"/>
                <w:szCs w:val="17"/>
                <w:color w:val="auto"/>
                <w:w w:val="92"/>
              </w:rPr>
              <w:t>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Towers</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2,053</w:t>
            </w:r>
          </w:p>
        </w:tc>
        <w:tc>
          <w:tcPr>
            <w:tcW w:w="1460" w:type="dxa"/>
            <w:vAlign w:val="bottom"/>
            <w:gridSpan w:val="2"/>
            <w:shd w:val="clear" w:color="auto" w:fill="CFF0FC"/>
          </w:tcPr>
          <w:p>
            <w:pPr>
              <w:jc w:val="center"/>
              <w:ind w:left="178"/>
              <w:spacing w:after="0"/>
              <w:rPr>
                <w:sz w:val="20"/>
                <w:szCs w:val="20"/>
                <w:color w:val="auto"/>
              </w:rPr>
            </w:pPr>
            <w:r>
              <w:rPr>
                <w:rFonts w:ascii="Arial" w:cs="Arial" w:eastAsia="Arial" w:hAnsi="Arial"/>
                <w:sz w:val="17"/>
                <w:szCs w:val="17"/>
                <w:color w:val="auto"/>
                <w:w w:val="92"/>
              </w:rPr>
              <w:t>0.8%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740</w:t>
            </w:r>
          </w:p>
        </w:tc>
        <w:tc>
          <w:tcPr>
            <w:tcW w:w="1460" w:type="dxa"/>
            <w:vAlign w:val="bottom"/>
            <w:gridSpan w:val="2"/>
            <w:shd w:val="clear" w:color="auto" w:fill="CFF0FC"/>
          </w:tcPr>
          <w:p>
            <w:pPr>
              <w:jc w:val="center"/>
              <w:ind w:left="218"/>
              <w:spacing w:after="0"/>
              <w:rPr>
                <w:sz w:val="20"/>
                <w:szCs w:val="20"/>
                <w:color w:val="auto"/>
              </w:rPr>
            </w:pPr>
            <w:r>
              <w:rPr>
                <w:rFonts w:ascii="Arial" w:cs="Arial" w:eastAsia="Arial" w:hAnsi="Arial"/>
                <w:sz w:val="17"/>
                <w:szCs w:val="17"/>
                <w:color w:val="auto"/>
                <w:w w:val="92"/>
              </w:rPr>
              <w:t>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tcBorders>
              <w:bottom w:val="single" w:sz="8" w:color="CFF0FC"/>
            </w:tcBorders>
            <w:gridSpan w:val="2"/>
          </w:tcPr>
          <w:p>
            <w:pPr>
              <w:ind w:left="240"/>
              <w:spacing w:after="0"/>
              <w:rPr>
                <w:sz w:val="20"/>
                <w:szCs w:val="20"/>
                <w:color w:val="auto"/>
              </w:rPr>
            </w:pPr>
            <w:r>
              <w:rPr>
                <w:rFonts w:ascii="Arial" w:cs="Arial" w:eastAsia="Arial" w:hAnsi="Arial"/>
                <w:sz w:val="17"/>
                <w:szCs w:val="17"/>
                <w:color w:val="auto"/>
              </w:rPr>
              <w:t>CLEC</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2,890</w:t>
            </w:r>
          </w:p>
        </w:tc>
        <w:tc>
          <w:tcPr>
            <w:tcW w:w="3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1.2%</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3,756</w:t>
            </w:r>
          </w:p>
        </w:tc>
        <w:tc>
          <w:tcPr>
            <w:tcW w:w="30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gridSpan w:val="2"/>
            <w:shd w:val="clear" w:color="auto" w:fill="CFF0FC"/>
          </w:tcPr>
          <w:p>
            <w:pPr>
              <w:ind w:left="480"/>
              <w:spacing w:after="0"/>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29,904</w:t>
            </w:r>
          </w:p>
        </w:tc>
        <w:tc>
          <w:tcPr>
            <w:tcW w:w="1460" w:type="dxa"/>
            <w:vAlign w:val="bottom"/>
            <w:gridSpan w:val="2"/>
            <w:shd w:val="clear" w:color="auto" w:fill="CFF0FC"/>
          </w:tcPr>
          <w:p>
            <w:pPr>
              <w:jc w:val="center"/>
              <w:ind w:left="198"/>
              <w:spacing w:after="0"/>
              <w:rPr>
                <w:sz w:val="20"/>
                <w:szCs w:val="20"/>
                <w:color w:val="auto"/>
              </w:rPr>
            </w:pPr>
            <w:r>
              <w:rPr>
                <w:rFonts w:ascii="Arial" w:cs="Arial" w:eastAsia="Arial" w:hAnsi="Arial"/>
                <w:sz w:val="17"/>
                <w:szCs w:val="17"/>
                <w:color w:val="auto"/>
                <w:w w:val="95"/>
              </w:rPr>
              <w:t>12.1%</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22,125</w:t>
            </w:r>
          </w:p>
        </w:tc>
        <w:tc>
          <w:tcPr>
            <w:tcW w:w="1460" w:type="dxa"/>
            <w:vAlign w:val="bottom"/>
            <w:gridSpan w:val="2"/>
            <w:shd w:val="clear" w:color="auto" w:fill="CFF0FC"/>
          </w:tcPr>
          <w:p>
            <w:pPr>
              <w:jc w:val="center"/>
              <w:ind w:left="218"/>
              <w:spacing w:after="0"/>
              <w:rPr>
                <w:sz w:val="20"/>
                <w:szCs w:val="20"/>
                <w:color w:val="auto"/>
              </w:rPr>
            </w:pPr>
            <w:r>
              <w:rPr>
                <w:rFonts w:ascii="Arial" w:cs="Arial" w:eastAsia="Arial" w:hAnsi="Arial"/>
                <w:sz w:val="17"/>
                <w:szCs w:val="17"/>
                <w:color w:val="auto"/>
                <w:w w:val="91"/>
              </w:rPr>
              <w:t>10.5%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The increase to Fiber Infrastructure operating expense is primarily driven by the timing of the acquisitions of Southern Light and Hunt. For the three months ended March 31, 2018, Fiber Infrastructure operating expenses included $5.0 million of construction related expenses, $3.8 million of payroll related expense, $2.9 million of tower rent, $6.3 million of lit service expense and $1.9 million of dark fiber rent. For the three months ended March 31, 2017, Fiber Infrastructure operating expenses included $3.3 million of payroll related expense, $2.8 million of tower rent, $1.8 million of lit service expense and $1.7 million of maintenance expense.</w:t>
      </w:r>
    </w:p>
    <w:p>
      <w:pPr>
        <w:spacing w:after="0" w:line="14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Expense associated with the Consumer CLEC Business is primarily attributable to the Wholesale Agreement and the Master Services Agreement entered between us and Windstream in connection with the Spin-Off, and also included costs arising under the interconnection agreements with other telecommunication carriers. Expense associated with the Wholesale Agreement and Master Services Agreement for the three months ended March 31, 2018 totaled $2.1 million (0.9% of revenue) and $0.2 million (0.1% of revenue), respectively, and expense associated with the Wholesale Agreement and the Master Services Agreement for the three months ended March 31, 2017 totaled $2.8 million (1.4% of revenue) and $0.4 million (0.2% of revenue),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recognized in other (income) expense a $3.9 million (1.6% of revenue) unrealized gain for mark-to-market adjustments on our contingent consideration arrangements for the three months ended March 31, 2018, compared to a $11.3 million (5.4% of revenue) unrealized loss for mark-to-market adjustments on our contingent consideration arrangements for the three months ended March 31, 2017. The fair value of the contingent consideration arrangement connected to the July 3, 2017 acquisition of Hunt is determined using the closing price of our common shares in the active market, while the fair value of the contingent consideration arrangement in connection to the August 31, 2016 acquisition of Tower Cloud is determined using a discounted cash flow model and probability adjusted estimates of the future earnings.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(Benefit) Expense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both"/>
        <w:ind w:right="140"/>
        <w:spacing w:after="0" w:line="283" w:lineRule="auto"/>
        <w:rPr>
          <w:sz w:val="20"/>
          <w:szCs w:val="20"/>
          <w:color w:val="auto"/>
        </w:rPr>
      </w:pPr>
      <w:r>
        <w:rPr>
          <w:rFonts w:ascii="Arial" w:cs="Arial" w:eastAsia="Arial" w:hAnsi="Arial"/>
          <w:sz w:val="17"/>
          <w:szCs w:val="17"/>
          <w:color w:val="auto"/>
        </w:rPr>
        <w:t>We recorded a $1.1 million benefit in income tax benefit for the three months ended March 31, 2018, primarily driven by the income tax benefit we recorded in our Fiber Infrastructure segment.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4" w:lineRule="exact"/>
        <w:rPr>
          <w:sz w:val="20"/>
          <w:szCs w:val="20"/>
          <w:color w:val="auto"/>
        </w:rPr>
      </w:pPr>
    </w:p>
    <w:p>
      <w:pPr>
        <w:jc w:val="both"/>
        <w:ind w:right="140"/>
        <w:spacing w:after="0" w:line="309" w:lineRule="auto"/>
        <w:rPr>
          <w:sz w:val="20"/>
          <w:szCs w:val="20"/>
          <w:color w:val="auto"/>
        </w:rPr>
      </w:pPr>
      <w:r>
        <w:rPr>
          <w:rFonts w:ascii="Arial" w:cs="Arial" w:eastAsia="Arial" w:hAnsi="Arial"/>
          <w:sz w:val="15"/>
          <w:szCs w:val="15"/>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4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(collectively, "transaction related costs"), the write-off of unamortized deferred financing costs, costs incurred as a result of the early repayment of debt, changes in the fair value of contingent consideration and financial instruments, and other similar items (although we may not have had such charges in the periods presented). We believe EBITDA and Adjusted EBITDA are important supplemental measures to net income because they provide additional information to evaluate our operating performance on an unleveraged basis. Since EBITDA and Adjusted EBITDA are not measures calculated in accordance with GAAP, they should not be considered as an alternative to net income determined in accordance with GAAP.</w:t>
      </w:r>
    </w:p>
    <w:p>
      <w:pPr>
        <w:spacing w:after="0" w:line="16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applicable to common shareholders computed in accordance with GAAP, excluding gains or losses from real estate dispositions, plus real estate depreciation and amortization and impairment charges. We compute FFO in accordance with NAREIT's definition.</w:t>
      </w:r>
    </w:p>
    <w:p>
      <w:pPr>
        <w:spacing w:after="0" w:line="183"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We define AFFO as FFO excluding (i) transaction related costs; (ii) certain non-cash revenues and expenses such as stock-based compensation expense, amortization of debt and equity discounts, amortization of deferred financing costs, depreciation and amortization of non-real estate assets, straight-line revenues, non-cash income taxes, and the amortization of other non-cash revenues to the extent that cash has not been received, such as revenue associated with the amortization of TCIs; (iii) the impact, which may be recurring in nature, of the write-off of unamortized deferred financing fees, additional costs incurred as a result of the early repayment of debt, changes in the fair value of contingent consideration and financial instruments and similar items less maintenance capital expenditures.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The reconciliation of our net income to EBITDA and Adjusted EBITDA and of our net income attributable to common shareholders to FFO and AFFO for the three months ended March 31, 2018 and 2017 is as follows: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6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5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60" w:type="dxa"/>
            <w:vAlign w:val="bottom"/>
            <w:tcBorders>
              <w:bottom w:val="single" w:sz="8" w:color="CFF0FC"/>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896"/>
              <w:spacing w:after="0" w:line="148"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95"/>
              <w:spacing w:after="0" w:line="148"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5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income (loss)</w:t>
            </w:r>
          </w:p>
        </w:tc>
        <w:tc>
          <w:tcPr>
            <w:tcW w:w="540" w:type="dxa"/>
            <w:vAlign w:val="bottom"/>
            <w:shd w:val="clear" w:color="auto" w:fill="CFF0FC"/>
          </w:tcPr>
          <w:p>
            <w:pPr>
              <w:jc w:val="right"/>
              <w:ind w:right="35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1,231</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114,721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101,361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Interest expense</w:t>
            </w:r>
          </w:p>
        </w:tc>
        <w:tc>
          <w:tcPr>
            <w:tcW w:w="5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77,607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Income benefit expense</w:t>
            </w:r>
          </w:p>
        </w:tc>
        <w:tc>
          <w:tcPr>
            <w:tcW w:w="54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7"/>
                <w:szCs w:val="17"/>
                <w:color w:val="auto"/>
              </w:rPr>
              <w:t>(1,096)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
        </w:trPr>
        <w:tc>
          <w:tcPr>
            <w:tcW w:w="656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EBITDA</w:t>
            </w: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560" w:type="dxa"/>
            <w:vAlign w:val="bottom"/>
            <w:vMerge w:val="continue"/>
            <w:shd w:val="clear" w:color="auto" w:fill="CFF0FC"/>
          </w:tcPr>
          <w:p>
            <w:pPr>
              <w:spacing w:after="0"/>
              <w:rPr>
                <w:sz w:val="18"/>
                <w:szCs w:val="18"/>
                <w:color w:val="auto"/>
              </w:rPr>
            </w:pPr>
          </w:p>
        </w:tc>
        <w:tc>
          <w:tcPr>
            <w:tcW w:w="540" w:type="dxa"/>
            <w:vAlign w:val="bottom"/>
            <w:shd w:val="clear" w:color="auto" w:fill="CFF0FC"/>
          </w:tcPr>
          <w:p>
            <w:pPr>
              <w:jc w:val="right"/>
              <w:ind w:right="35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192,463</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154,347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Stock based compensation</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2,210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spacing w:after="0"/>
              <w:rPr>
                <w:sz w:val="20"/>
                <w:szCs w:val="20"/>
                <w:color w:val="auto"/>
              </w:rPr>
            </w:pPr>
            <w:r>
              <w:rPr>
                <w:rFonts w:ascii="Arial" w:cs="Arial" w:eastAsia="Arial" w:hAnsi="Arial"/>
                <w:sz w:val="17"/>
                <w:szCs w:val="17"/>
                <w:color w:val="auto"/>
              </w:rPr>
              <w:t>Transaction related costs</w:t>
            </w:r>
          </w:p>
        </w:tc>
        <w:tc>
          <w:tcPr>
            <w:tcW w:w="5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spacing w:after="0"/>
              <w:rPr>
                <w:sz w:val="20"/>
                <w:szCs w:val="20"/>
                <w:color w:val="auto"/>
              </w:rPr>
            </w:pPr>
            <w:r>
              <w:rPr>
                <w:rFonts w:ascii="Arial" w:cs="Arial" w:eastAsia="Arial" w:hAnsi="Arial"/>
                <w:sz w:val="17"/>
                <w:szCs w:val="17"/>
                <w:color w:val="auto"/>
              </w:rPr>
              <w:t>Other (income) expense</w:t>
            </w:r>
          </w:p>
        </w:tc>
        <w:tc>
          <w:tcPr>
            <w:tcW w:w="54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7"/>
                <w:szCs w:val="17"/>
                <w:color w:val="auto"/>
              </w:rPr>
              <w:t>(3,885)</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Adjusted EBITDA</w:t>
            </w: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560" w:type="dxa"/>
            <w:vAlign w:val="bottom"/>
            <w:vMerge w:val="continue"/>
            <w:shd w:val="clear" w:color="auto" w:fill="CFF0FC"/>
          </w:tcPr>
          <w:p>
            <w:pPr>
              <w:spacing w:after="0"/>
              <w:rPr>
                <w:sz w:val="18"/>
                <w:szCs w:val="18"/>
                <w:color w:val="auto"/>
              </w:rPr>
            </w:pPr>
          </w:p>
        </w:tc>
        <w:tc>
          <w:tcPr>
            <w:tcW w:w="540" w:type="dxa"/>
            <w:vAlign w:val="bottom"/>
            <w:shd w:val="clear" w:color="auto" w:fill="CFF0FC"/>
          </w:tcPr>
          <w:p>
            <w:pPr>
              <w:jc w:val="right"/>
              <w:ind w:right="35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196,701</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177,002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6560" w:type="dxa"/>
            <w:vAlign w:val="bottom"/>
            <w:vMerge w:val="restart"/>
          </w:tcPr>
          <w:p>
            <w:pPr>
              <w:spacing w:after="0"/>
              <w:rPr>
                <w:sz w:val="20"/>
                <w:szCs w:val="20"/>
                <w:color w:val="auto"/>
              </w:rPr>
            </w:pPr>
            <w:r>
              <w:rPr>
                <w:rFonts w:ascii="Arial" w:cs="Arial" w:eastAsia="Arial" w:hAnsi="Arial"/>
                <w:sz w:val="14"/>
                <w:szCs w:val="14"/>
                <w:color w:val="auto"/>
              </w:rPr>
              <w:t>(Thousands)</w:t>
            </w:r>
          </w:p>
        </w:tc>
        <w:tc>
          <w:tcPr>
            <w:tcW w:w="5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560" w:type="dxa"/>
            <w:vAlign w:val="bottom"/>
            <w:tcBorders>
              <w:bottom w:val="single" w:sz="8" w:color="CFF0FC"/>
            </w:tcBorders>
            <w:vMerge w:val="continue"/>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896"/>
              <w:spacing w:after="0" w:line="148"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95"/>
              <w:spacing w:after="0" w:line="148"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5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Net loss attributable to common shareholders</w:t>
            </w:r>
          </w:p>
        </w:tc>
        <w:tc>
          <w:tcPr>
            <w:tcW w:w="540" w:type="dxa"/>
            <w:vAlign w:val="bottom"/>
            <w:shd w:val="clear" w:color="auto" w:fill="CFF0FC"/>
          </w:tcPr>
          <w:p>
            <w:pPr>
              <w:jc w:val="right"/>
              <w:ind w:right="354"/>
              <w:spacing w:after="0"/>
              <w:rPr>
                <w:sz w:val="20"/>
                <w:szCs w:val="20"/>
                <w:color w:val="auto"/>
              </w:rPr>
            </w:pPr>
            <w:r>
              <w:rPr>
                <w:rFonts w:ascii="Arial" w:cs="Arial" w:eastAsia="Arial" w:hAnsi="Arial"/>
                <w:sz w:val="17"/>
                <w:szCs w:val="17"/>
                <w:color w:val="auto"/>
                <w:w w:val="84"/>
              </w:rPr>
              <w:t>$</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(870)</w:t>
            </w:r>
          </w:p>
        </w:tc>
        <w:tc>
          <w:tcPr>
            <w:tcW w:w="1000" w:type="dxa"/>
            <w:vAlign w:val="bottom"/>
            <w:gridSpan w:val="2"/>
            <w:shd w:val="clear" w:color="auto" w:fill="CFF0FC"/>
          </w:tcPr>
          <w:p>
            <w:pPr>
              <w:jc w:val="right"/>
              <w:ind w:right="80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(21,788)</w:t>
            </w:r>
          </w:p>
        </w:tc>
        <w:tc>
          <w:tcPr>
            <w:tcW w:w="0" w:type="dxa"/>
            <w:vAlign w:val="bottom"/>
          </w:tcPr>
          <w:p>
            <w:pPr>
              <w:spacing w:after="0"/>
              <w:rPr>
                <w:sz w:val="1"/>
                <w:szCs w:val="1"/>
                <w:color w:val="auto"/>
              </w:rPr>
            </w:pPr>
          </w:p>
        </w:tc>
      </w:tr>
      <w:tr>
        <w:trPr>
          <w:trHeight w:val="220"/>
        </w:trPr>
        <w:tc>
          <w:tcPr>
            <w:tcW w:w="6560" w:type="dxa"/>
            <w:vAlign w:val="bottom"/>
          </w:tcPr>
          <w:p>
            <w:pPr>
              <w:ind w:left="120"/>
              <w:spacing w:after="0"/>
              <w:rPr>
                <w:sz w:val="20"/>
                <w:szCs w:val="20"/>
                <w:color w:val="auto"/>
              </w:rPr>
            </w:pPr>
            <w:r>
              <w:rPr>
                <w:rFonts w:ascii="Arial" w:cs="Arial" w:eastAsia="Arial" w:hAnsi="Arial"/>
                <w:sz w:val="17"/>
                <w:szCs w:val="17"/>
                <w:color w:val="auto"/>
              </w:rPr>
              <w:t>Real estate depreciation and amortization</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95,577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91,014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Participating securities share in earnings</w:t>
            </w:r>
          </w:p>
        </w:tc>
        <w:tc>
          <w:tcPr>
            <w:tcW w:w="5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120"/>
              <w:spacing w:after="0"/>
              <w:rPr>
                <w:sz w:val="20"/>
                <w:szCs w:val="20"/>
                <w:color w:val="auto"/>
              </w:rPr>
            </w:pPr>
            <w:r>
              <w:rPr>
                <w:rFonts w:ascii="Arial" w:cs="Arial" w:eastAsia="Arial" w:hAnsi="Arial"/>
                <w:sz w:val="17"/>
                <w:szCs w:val="17"/>
                <w:color w:val="auto"/>
              </w:rPr>
              <w:t>Participating securities share in FFO</w:t>
            </w:r>
          </w:p>
        </w:tc>
        <w:tc>
          <w:tcPr>
            <w:tcW w:w="54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7"/>
                <w:szCs w:val="17"/>
                <w:color w:val="auto"/>
              </w:rPr>
              <w:t>(679)</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Adjustments for noncontrolling interests</w:t>
            </w:r>
          </w:p>
        </w:tc>
        <w:tc>
          <w:tcPr>
            <w:tcW w:w="5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(2,205)</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7"/>
                <w:szCs w:val="17"/>
                <w:b w:val="1"/>
                <w:bCs w:val="1"/>
                <w:color w:val="auto"/>
              </w:rPr>
              <w:t>FFO attributable to common shareholders</w:t>
            </w: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560" w:type="dxa"/>
            <w:vAlign w:val="bottom"/>
            <w:vMerge w:val="continue"/>
          </w:tcPr>
          <w:p>
            <w:pPr>
              <w:spacing w:after="0"/>
              <w:rPr>
                <w:sz w:val="18"/>
                <w:szCs w:val="18"/>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92,502</w:t>
            </w:r>
          </w:p>
        </w:tc>
        <w:tc>
          <w:tcPr>
            <w:tcW w:w="200" w:type="dxa"/>
            <w:vAlign w:val="bottom"/>
          </w:tcPr>
          <w:p>
            <w:pPr>
              <w:spacing w:after="0"/>
              <w:rPr>
                <w:sz w:val="18"/>
                <w:szCs w:val="18"/>
                <w:color w:val="auto"/>
              </w:rPr>
            </w:pPr>
          </w:p>
        </w:tc>
        <w:tc>
          <w:tcPr>
            <w:tcW w:w="1000" w:type="dxa"/>
            <w:vAlign w:val="bottom"/>
            <w:gridSpan w:val="2"/>
          </w:tcPr>
          <w:p>
            <w:pPr>
              <w:jc w:val="right"/>
              <w:ind w:right="80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69,226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Transaction related costs</w:t>
            </w:r>
          </w:p>
        </w:tc>
        <w:tc>
          <w:tcPr>
            <w:tcW w:w="5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120"/>
              <w:spacing w:after="0"/>
              <w:rPr>
                <w:sz w:val="20"/>
                <w:szCs w:val="20"/>
                <w:color w:val="auto"/>
              </w:rPr>
            </w:pPr>
            <w:r>
              <w:rPr>
                <w:rFonts w:ascii="Arial" w:cs="Arial" w:eastAsia="Arial" w:hAnsi="Arial"/>
                <w:sz w:val="17"/>
                <w:szCs w:val="17"/>
                <w:color w:val="auto"/>
              </w:rPr>
              <w:t>Change in fair value of contingent consideration</w:t>
            </w:r>
          </w:p>
        </w:tc>
        <w:tc>
          <w:tcPr>
            <w:tcW w:w="54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7"/>
                <w:szCs w:val="17"/>
                <w:color w:val="auto"/>
              </w:rPr>
              <w:t>(3,864)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Amortization of deferred financing costs and debt discount</w:t>
            </w:r>
          </w:p>
        </w:tc>
        <w:tc>
          <w:tcPr>
            <w:tcW w:w="5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120"/>
              <w:spacing w:after="0"/>
              <w:rPr>
                <w:sz w:val="20"/>
                <w:szCs w:val="20"/>
                <w:color w:val="auto"/>
              </w:rPr>
            </w:pPr>
            <w:r>
              <w:rPr>
                <w:rFonts w:ascii="Arial" w:cs="Arial" w:eastAsia="Arial" w:hAnsi="Arial"/>
                <w:sz w:val="17"/>
                <w:szCs w:val="17"/>
                <w:color w:val="auto"/>
              </w:rPr>
              <w:t>Stock based compensation</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2,210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Non-real estate depreciation and amortization</w:t>
            </w:r>
          </w:p>
        </w:tc>
        <w:tc>
          <w:tcPr>
            <w:tcW w:w="54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19,144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tcPr>
          <w:p>
            <w:pPr>
              <w:ind w:left="120"/>
              <w:spacing w:after="0"/>
              <w:rPr>
                <w:sz w:val="20"/>
                <w:szCs w:val="20"/>
                <w:color w:val="auto"/>
              </w:rPr>
            </w:pPr>
            <w:r>
              <w:rPr>
                <w:rFonts w:ascii="Arial" w:cs="Arial" w:eastAsia="Arial" w:hAnsi="Arial"/>
                <w:sz w:val="17"/>
                <w:szCs w:val="17"/>
                <w:color w:val="auto"/>
              </w:rPr>
              <w:t>Straight-line revenues</w:t>
            </w:r>
          </w:p>
        </w:tc>
        <w:tc>
          <w:tcPr>
            <w:tcW w:w="54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7"/>
                <w:szCs w:val="17"/>
                <w:color w:val="auto"/>
              </w:rPr>
              <w:t>(4,592)</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7"/>
                <w:szCs w:val="17"/>
                <w:color w:val="auto"/>
              </w:rPr>
              <w:t>(3,629)</w:t>
            </w: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Maintenance capital expenditures</w:t>
            </w:r>
          </w:p>
        </w:tc>
        <w:tc>
          <w:tcPr>
            <w:tcW w:w="5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(1,485)</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20"/>
        </w:trPr>
        <w:tc>
          <w:tcPr>
            <w:tcW w:w="6560" w:type="dxa"/>
            <w:vAlign w:val="bottom"/>
          </w:tcPr>
          <w:p>
            <w:pPr>
              <w:ind w:left="120"/>
              <w:spacing w:after="0"/>
              <w:rPr>
                <w:sz w:val="20"/>
                <w:szCs w:val="20"/>
                <w:color w:val="auto"/>
              </w:rPr>
            </w:pPr>
            <w:r>
              <w:rPr>
                <w:rFonts w:ascii="Arial" w:cs="Arial" w:eastAsia="Arial" w:hAnsi="Arial"/>
                <w:sz w:val="17"/>
                <w:szCs w:val="17"/>
                <w:color w:val="auto"/>
              </w:rPr>
              <w:t>Amortization of discount on convertible preferred stock</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Other non-cash (revenue) expense, net</w:t>
            </w:r>
          </w:p>
        </w:tc>
        <w:tc>
          <w:tcPr>
            <w:tcW w:w="5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(7,582)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(3,328)</w:t>
            </w:r>
          </w:p>
        </w:tc>
        <w:tc>
          <w:tcPr>
            <w:tcW w:w="0" w:type="dxa"/>
            <w:vAlign w:val="bottom"/>
          </w:tcPr>
          <w:p>
            <w:pPr>
              <w:spacing w:after="0"/>
              <w:rPr>
                <w:sz w:val="1"/>
                <w:szCs w:val="1"/>
                <w:color w:val="auto"/>
              </w:rPr>
            </w:pPr>
          </w:p>
        </w:tc>
      </w:tr>
      <w:tr>
        <w:trPr>
          <w:trHeight w:val="220"/>
        </w:trPr>
        <w:tc>
          <w:tcPr>
            <w:tcW w:w="6560" w:type="dxa"/>
            <w:vAlign w:val="bottom"/>
          </w:tcPr>
          <w:p>
            <w:pPr>
              <w:ind w:left="120"/>
              <w:spacing w:after="0"/>
              <w:rPr>
                <w:sz w:val="20"/>
                <w:szCs w:val="20"/>
                <w:color w:val="auto"/>
              </w:rPr>
            </w:pPr>
            <w:r>
              <w:rPr>
                <w:rFonts w:ascii="Arial" w:cs="Arial" w:eastAsia="Arial" w:hAnsi="Arial"/>
                <w:sz w:val="17"/>
                <w:szCs w:val="17"/>
                <w:color w:val="auto"/>
              </w:rPr>
              <w:t>Adjustments for noncontrolling interests</w:t>
            </w:r>
          </w:p>
        </w:tc>
        <w:tc>
          <w:tcPr>
            <w:tcW w:w="540" w:type="dxa"/>
            <w:vAlign w:val="bottom"/>
          </w:tcPr>
          <w:p>
            <w:pPr>
              <w:spacing w:after="0"/>
              <w:rPr>
                <w:sz w:val="19"/>
                <w:szCs w:val="19"/>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7"/>
                <w:szCs w:val="17"/>
                <w:color w:val="auto"/>
              </w:rPr>
              <w:t>(353)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shd w:val="clear" w:color="auto" w:fill="CFF0FC"/>
          </w:tcPr>
          <w:p>
            <w:pPr>
              <w:spacing w:after="0"/>
              <w:rPr>
                <w:sz w:val="20"/>
                <w:szCs w:val="20"/>
                <w:color w:val="auto"/>
              </w:rPr>
            </w:pPr>
            <w:r>
              <w:rPr>
                <w:rFonts w:ascii="Arial" w:cs="Arial" w:eastAsia="Arial" w:hAnsi="Arial"/>
                <w:sz w:val="17"/>
                <w:szCs w:val="17"/>
                <w:b w:val="1"/>
                <w:bCs w:val="1"/>
                <w:color w:val="auto"/>
              </w:rPr>
              <w:t>AFFO attributable to common shareholders</w:t>
            </w:r>
          </w:p>
        </w:tc>
        <w:tc>
          <w:tcPr>
            <w:tcW w:w="5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560" w:type="dxa"/>
            <w:vAlign w:val="bottom"/>
            <w:vMerge w:val="continue"/>
            <w:shd w:val="clear" w:color="auto" w:fill="CFF0FC"/>
          </w:tcPr>
          <w:p>
            <w:pPr>
              <w:spacing w:after="0"/>
              <w:rPr>
                <w:sz w:val="18"/>
                <w:szCs w:val="18"/>
                <w:color w:val="auto"/>
              </w:rPr>
            </w:pPr>
          </w:p>
        </w:tc>
        <w:tc>
          <w:tcPr>
            <w:tcW w:w="540" w:type="dxa"/>
            <w:vAlign w:val="bottom"/>
            <w:shd w:val="clear" w:color="auto" w:fill="CFF0FC"/>
          </w:tcPr>
          <w:p>
            <w:pPr>
              <w:jc w:val="right"/>
              <w:ind w:right="354"/>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108,672</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100,316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2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financial condition.</w:t>
      </w:r>
    </w:p>
    <w:p>
      <w:pPr>
        <w:spacing w:after="0" w:line="177" w:lineRule="exact"/>
        <w:rPr>
          <w:sz w:val="20"/>
          <w:szCs w:val="20"/>
          <w:color w:val="auto"/>
        </w:rPr>
      </w:pPr>
    </w:p>
    <w:p>
      <w:pPr>
        <w:jc w:val="both"/>
        <w:ind w:right="100"/>
        <w:spacing w:after="0" w:line="268" w:lineRule="auto"/>
        <w:rPr>
          <w:sz w:val="20"/>
          <w:szCs w:val="20"/>
          <w:color w:val="auto"/>
        </w:rPr>
      </w:pPr>
      <w:r>
        <w:rPr>
          <w:rFonts w:ascii="Arial" w:cs="Arial" w:eastAsia="Arial" w:hAnsi="Arial"/>
          <w:sz w:val="17"/>
          <w:szCs w:val="17"/>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2017, filed with SEC on March 1, 2018. As of March 31, 2018, there has been no material change to these estimates.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Our principal liquidity needs are to fund operating expenses, meet debt service requirements, fund investment activities, and make dividend distributions. Our primary sources of liquidity and capital resources are cash on hand, cash provided by operating activities (primarily arising under the Master Lease with Windstream), borrowings under our credit agreement by and among the Operating Partnership, CSL Capital, LLC and Uniti Group Finance Inc., the guarantors and lenders party thereto and Bank of America, N.A., as administrative agent and collateral agent (the “Credit Agreement”), and proceeds from the issuance of debt and equity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2018, we had cash and cash equivalents of $56.9 million and $450 million of undrawn borrowing capacity under the Revolving Credit Facility.</w:t>
      </w:r>
    </w:p>
    <w:p>
      <w:pPr>
        <w:spacing w:after="0" w:line="229"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Cash provided by operating activities was $156.9 million and $128.2 million for the three months ended March 31, 2018 and 2017, respectively. Cash provided by operating activities is primarily attributable to our leasing activities.</w:t>
      </w:r>
    </w:p>
    <w:p>
      <w:pPr>
        <w:spacing w:after="0" w:line="159"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Cash used in investing activities was $52.1 million for the three months ended March 31, 2018, which was driven by capital expenditures ($51.1 million), primarily related to our Uniti Fiber and Uniti Towers businesses. Cash used in investing activities was $86.5 million for the three months ended March 31, 2017, which was driven by the acquisition of NMS assets ($64.6 million), ground lease investments ($7.2 million) and capital expenditures ($14.9 million). The increase in capital expenditures is due to network deployments related to our Uniti Fiber and Uniti Towers businesses.</w:t>
      </w:r>
    </w:p>
    <w:p>
      <w:pPr>
        <w:spacing w:after="0" w:line="160"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auto"/>
        </w:rPr>
        <w:t>As of March 31, 2018, under the terms of the purchase agreement with NMS, we acquired 65 of the 105 towers, which were under development at the time of the NMS acquisition, for approximately $6.0 million.</w:t>
      </w:r>
    </w:p>
    <w:p>
      <w:pPr>
        <w:spacing w:after="0" w:line="159"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Cash used in financing activities was $107.9 million for the three months ended March 31, 2018, which primarily represents the dividend payments ($105.9 million), contingent consideration payments ($12.7 million), principal payments related to the Term Loan Facility ($5.3 million), and distributions paid to noncontrolling interests ($2.5 million), partially offset by net borrowings under the Revolving Credit Facility ($20.0 million). Cash used in financing activities was $145.0 million for the three months ended March 31, 2017, which was driven by dividend payments ($94.1 million), deferred financing costs related to the term loan repricing ($24.4 million), contingent consideration payments ($18.8 million), and principal payments related to the Term Loan Facility ($5.3 million).</w:t>
      </w:r>
    </w:p>
    <w:p>
      <w:pPr>
        <w:spacing w:after="0" w:line="16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$250.0 million. During the quarter ended March 31, 2018, no sales were made under the ATM Program. This program provides additional financial flexibility and an alternative mechanism to access the capital markets at an efficient cost as and when we need financing, including for acquisitions. While we have not used the program to date, we currently intend to utilize the program when we believe the price we can obtain for our common stock is attractive.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issued limited partnership interests as part of the acquisition consideration for the recently completed acquisitions of Hunt and Southern Light.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anticipate our cash on hand and borrowing availability under the Revolving Credit Facility, combined with our cash flows provided by operating activities will be sufficient to fund our business operations, debt service and distributions to our shareholders over the next twelve months. However, we may take advantage of opportunities to generate additional liquidity through capital markets transactions. 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we could be subject to a shortfall in liquidity in the future, and this shortfall may occur rapidly and with little or no notice, which would limit our ability to address the shortfall on a timely basis.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7"/>
          <w:szCs w:val="17"/>
          <w:color w:val="auto"/>
        </w:rPr>
        <w:t>o</w:t>
      </w:r>
      <w:r>
        <w:rPr>
          <w:rFonts w:ascii="Arial" w:cs="Arial" w:eastAsia="Arial" w:hAnsi="Arial"/>
          <w:sz w:val="17"/>
          <w:szCs w:val="17"/>
          <w:b w:val="1"/>
          <w:bCs w:val="1"/>
          <w:color w:val="auto"/>
        </w:rPr>
        <w:t>ntractual Obligations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2018, we had contractual obligations and commitments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78"/>
              <w:spacing w:after="0" w:line="126" w:lineRule="exact"/>
              <w:rPr>
                <w:sz w:val="20"/>
                <w:szCs w:val="20"/>
                <w:color w:val="auto"/>
              </w:rPr>
            </w:pPr>
            <w:r>
              <w:rPr>
                <w:rFonts w:ascii="Arial" w:cs="Arial" w:eastAsia="Arial" w:hAnsi="Arial"/>
                <w:sz w:val="14"/>
                <w:szCs w:val="14"/>
                <w:b w:val="1"/>
                <w:bCs w:val="1"/>
                <w:color w:val="auto"/>
                <w:w w:val="85"/>
              </w:rPr>
              <w:t>Less than 1</w:t>
            </w:r>
          </w:p>
        </w:tc>
        <w:tc>
          <w:tcPr>
            <w:tcW w:w="1080" w:type="dxa"/>
            <w:vAlign w:val="bottom"/>
            <w:gridSpan w:val="3"/>
          </w:tcPr>
          <w:p>
            <w:pPr>
              <w:jc w:val="right"/>
              <w:ind w:right="71"/>
              <w:spacing w:after="0" w:line="126" w:lineRule="exact"/>
              <w:rPr>
                <w:sz w:val="20"/>
                <w:szCs w:val="20"/>
                <w:color w:val="auto"/>
              </w:rPr>
            </w:pPr>
            <w:r>
              <w:rPr>
                <w:rFonts w:ascii="Arial" w:cs="Arial" w:eastAsia="Arial" w:hAnsi="Arial"/>
                <w:sz w:val="14"/>
                <w:szCs w:val="14"/>
                <w:b w:val="1"/>
                <w:bCs w:val="1"/>
                <w:color w:val="auto"/>
              </w:rPr>
              <w:t>1-3</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398"/>
              <w:spacing w:after="0" w:line="126" w:lineRule="exact"/>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ind w:left="40"/>
              <w:spacing w:after="0" w:line="126" w:lineRule="exact"/>
              <w:rPr>
                <w:sz w:val="20"/>
                <w:szCs w:val="20"/>
                <w:color w:val="auto"/>
              </w:rPr>
            </w:pPr>
            <w:r>
              <w:rPr>
                <w:rFonts w:ascii="Arial" w:cs="Arial" w:eastAsia="Arial" w:hAnsi="Arial"/>
                <w:sz w:val="14"/>
                <w:szCs w:val="14"/>
                <w:b w:val="1"/>
                <w:bCs w:val="1"/>
                <w:color w:val="auto"/>
              </w:rPr>
              <w:t>More than</w:t>
            </w:r>
          </w:p>
        </w:tc>
        <w:tc>
          <w:tcPr>
            <w:tcW w:w="200" w:type="dxa"/>
            <w:vAlign w:val="bottom"/>
          </w:tcPr>
          <w:p>
            <w:pPr>
              <w:spacing w:after="0"/>
              <w:rPr>
                <w:sz w:val="10"/>
                <w:szCs w:val="10"/>
                <w:color w:val="auto"/>
              </w:rPr>
            </w:pPr>
          </w:p>
        </w:tc>
        <w:tc>
          <w:tcPr>
            <w:tcW w:w="7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(millions)</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Years</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CFF0FC"/>
          </w:tcPr>
          <w:p>
            <w:pPr>
              <w:spacing w:after="0"/>
              <w:rPr>
                <w:sz w:val="20"/>
                <w:szCs w:val="20"/>
                <w:color w:val="auto"/>
              </w:rPr>
            </w:pPr>
            <w:r>
              <w:rPr>
                <w:rFonts w:ascii="Arial" w:cs="Arial" w:eastAsia="Arial" w:hAnsi="Arial"/>
                <w:sz w:val="17"/>
                <w:szCs w:val="17"/>
                <w:color w:val="auto"/>
              </w:rPr>
              <w:t>Long-term debt</w:t>
            </w:r>
            <w:r>
              <w:rPr>
                <w:rFonts w:ascii="Arial" w:cs="Arial" w:eastAsia="Arial" w:hAnsi="Arial"/>
                <w:sz w:val="14"/>
                <w:szCs w:val="14"/>
                <w:color w:val="auto"/>
              </w:rPr>
              <w:t>(a)</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80" w:type="dxa"/>
            <w:vAlign w:val="bottom"/>
            <w:gridSpan w:val="3"/>
            <w:shd w:val="clear" w:color="auto" w:fill="CFF0FC"/>
          </w:tcPr>
          <w:p>
            <w:pPr>
              <w:jc w:val="right"/>
              <w:ind w:right="651"/>
              <w:spacing w:after="0"/>
              <w:rPr>
                <w:sz w:val="20"/>
                <w:szCs w:val="20"/>
                <w:color w:val="auto"/>
              </w:rPr>
            </w:pPr>
            <w:r>
              <w:rPr>
                <w:rFonts w:ascii="Arial" w:cs="Arial" w:eastAsia="Arial" w:hAnsi="Arial"/>
                <w:sz w:val="17"/>
                <w:szCs w:val="17"/>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342</w:t>
            </w:r>
          </w:p>
        </w:tc>
        <w:tc>
          <w:tcPr>
            <w:tcW w:w="520" w:type="dxa"/>
            <w:vAlign w:val="bottom"/>
            <w:gridSpan w:val="3"/>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2,018</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80" w:type="dxa"/>
            <w:vAlign w:val="bottom"/>
            <w:gridSpan w:val="2"/>
          </w:tcPr>
          <w:p>
            <w:pPr>
              <w:spacing w:after="0"/>
              <w:rPr>
                <w:sz w:val="20"/>
                <w:szCs w:val="20"/>
                <w:color w:val="auto"/>
              </w:rPr>
            </w:pPr>
            <w:r>
              <w:rPr>
                <w:rFonts w:ascii="Arial" w:cs="Arial" w:eastAsia="Arial" w:hAnsi="Arial"/>
                <w:sz w:val="17"/>
                <w:szCs w:val="17"/>
                <w:color w:val="auto"/>
              </w:rPr>
              <w:t>Interest payments on long-term debt obligations</w:t>
            </w:r>
            <w:r>
              <w:rPr>
                <w:rFonts w:ascii="Arial" w:cs="Arial" w:eastAsia="Arial" w:hAnsi="Arial"/>
                <w:sz w:val="14"/>
                <w:szCs w:val="14"/>
                <w:color w:val="auto"/>
              </w:rPr>
              <w:t>(b)</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Operating leases</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gridSpan w:val="2"/>
          </w:tcPr>
          <w:p>
            <w:pPr>
              <w:spacing w:after="0"/>
              <w:rPr>
                <w:sz w:val="20"/>
                <w:szCs w:val="20"/>
                <w:color w:val="auto"/>
              </w:rPr>
            </w:pPr>
            <w:r>
              <w:rPr>
                <w:rFonts w:ascii="Arial" w:cs="Arial" w:eastAsia="Arial" w:hAnsi="Arial"/>
                <w:sz w:val="17"/>
                <w:szCs w:val="17"/>
                <w:color w:val="auto"/>
              </w:rPr>
              <w:t>Capital Leases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Network deployment</w:t>
            </w:r>
            <w:r>
              <w:rPr>
                <w:rFonts w:ascii="Arial" w:cs="Arial" w:eastAsia="Arial" w:hAnsi="Arial"/>
                <w:sz w:val="14"/>
                <w:szCs w:val="14"/>
                <w:color w:val="auto"/>
              </w:rPr>
              <w:t>(c)</w:t>
            </w: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spacing w:after="0"/>
              <w:rPr>
                <w:sz w:val="20"/>
                <w:szCs w:val="20"/>
                <w:color w:val="auto"/>
              </w:rPr>
            </w:pPr>
            <w:r>
              <w:rPr>
                <w:rFonts w:ascii="Arial" w:cs="Arial" w:eastAsia="Arial" w:hAnsi="Arial"/>
                <w:sz w:val="17"/>
                <w:szCs w:val="17"/>
                <w:b w:val="1"/>
                <w:bCs w:val="1"/>
                <w:color w:val="auto"/>
              </w:rPr>
              <w:t>Total projected obligations and commitments</w:t>
            </w:r>
            <w:r>
              <w:rPr>
                <w:rFonts w:ascii="Arial" w:cs="Arial" w:eastAsia="Arial" w:hAnsi="Arial"/>
                <w:sz w:val="14"/>
                <w:szCs w:val="14"/>
                <w:b w:val="1"/>
                <w:bCs w:val="1"/>
                <w:color w:val="auto"/>
              </w:rPr>
              <w:t>(d)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348</w:t>
            </w:r>
          </w:p>
        </w:tc>
        <w:tc>
          <w:tcPr>
            <w:tcW w:w="1080" w:type="dxa"/>
            <w:vAlign w:val="bottom"/>
            <w:gridSpan w:val="3"/>
          </w:tcPr>
          <w:p>
            <w:pPr>
              <w:jc w:val="right"/>
              <w:ind w:right="651"/>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871</w:t>
            </w:r>
          </w:p>
        </w:tc>
        <w:tc>
          <w:tcPr>
            <w:tcW w:w="5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2,498</w:t>
            </w:r>
          </w:p>
        </w:tc>
        <w:tc>
          <w:tcPr>
            <w:tcW w:w="10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20" w:hanging="517"/>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Excludes $138.2 million of unamortized discounts on long-term debt and deferred financing costs.</w:t>
      </w:r>
    </w:p>
    <w:p>
      <w:pPr>
        <w:spacing w:after="0" w:line="23" w:lineRule="exact"/>
        <w:rPr>
          <w:rFonts w:ascii="Arial" w:cs="Arial" w:eastAsia="Arial" w:hAnsi="Arial"/>
          <w:sz w:val="17"/>
          <w:szCs w:val="17"/>
          <w:color w:val="auto"/>
        </w:rPr>
      </w:pPr>
    </w:p>
    <w:p>
      <w:pPr>
        <w:ind w:left="520" w:hanging="517"/>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Interest rates on our Term Loan Facility are based on our swap rates.</w:t>
      </w:r>
    </w:p>
    <w:p>
      <w:pPr>
        <w:spacing w:after="0" w:line="11" w:lineRule="exact"/>
        <w:rPr>
          <w:rFonts w:ascii="Arial" w:cs="Arial" w:eastAsia="Arial" w:hAnsi="Arial"/>
          <w:sz w:val="17"/>
          <w:szCs w:val="17"/>
          <w:color w:val="auto"/>
        </w:rPr>
      </w:pPr>
    </w:p>
    <w:p>
      <w:pPr>
        <w:ind w:left="520" w:right="340" w:hanging="517"/>
        <w:spacing w:after="0" w:line="253"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Network deployment purchase commitments are for success-based projects for which we have a signed customer contract before we commit resources to expand our network.</w:t>
      </w:r>
    </w:p>
    <w:p>
      <w:pPr>
        <w:spacing w:after="0" w:line="1" w:lineRule="exact"/>
        <w:rPr>
          <w:rFonts w:ascii="Arial" w:cs="Arial" w:eastAsia="Arial" w:hAnsi="Arial"/>
          <w:sz w:val="17"/>
          <w:szCs w:val="17"/>
          <w:color w:val="auto"/>
        </w:rPr>
      </w:pPr>
    </w:p>
    <w:p>
      <w:pPr>
        <w:ind w:left="520" w:hanging="517"/>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Excludes $42.1 million of derivative asset related to interest rate swaps maturing on October 24, 2022.</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 are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regular quarterly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67"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On April 13, 2018, we paid, to shareholders of record as of the close of business on March 30, 2018, a cash dividend on our common stock of $0.60 per share for the period from January 1, 2018 through March 31, 2018.</w:t>
      </w:r>
    </w:p>
    <w:p>
      <w:pPr>
        <w:spacing w:after="0" w:line="159"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On January 12, 2018, we paid, to shareholders of record as of the close of business on December 29, 2017, a cash dividend on our common stock of $0.60 per share for the period from October 1, 2017 through December 31, 2017.</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categorize our capital expenditures as either (i) success-based, (ii) maintenance, or (iii) corporate and non-network. We define success-based capital expenditures as those which are tied to contractual obligations to customers or are discretionary in nature and are intended to add growth capacity to our existing network. Maintenance capital expenditures are those necessary to keep existing network elements fully operational. We anticipate continuing to invest in our network infrastructure across our Uniti Fiber and Uniti Towers portfolios, and expect that cash on hand, borrowings under our Revolving Credit Facility, and cash flows provided by operating activities will be sufficient to support these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Guidance</w:t>
      </w:r>
    </w:p>
    <w:p>
      <w:pPr>
        <w:spacing w:after="0" w:line="224" w:lineRule="exact"/>
        <w:rPr>
          <w:sz w:val="20"/>
          <w:szCs w:val="20"/>
          <w:color w:val="auto"/>
        </w:rPr>
      </w:pPr>
    </w:p>
    <w:p>
      <w:pPr>
        <w:ind w:right="480"/>
        <w:spacing w:after="0" w:line="283" w:lineRule="auto"/>
        <w:rPr>
          <w:sz w:val="20"/>
          <w:szCs w:val="20"/>
          <w:color w:val="auto"/>
        </w:rPr>
      </w:pPr>
      <w:r>
        <w:rPr>
          <w:rFonts w:ascii="Arial" w:cs="Arial" w:eastAsia="Arial" w:hAnsi="Arial"/>
          <w:sz w:val="17"/>
          <w:szCs w:val="17"/>
          <w:color w:val="auto"/>
        </w:rPr>
        <w:t>New accounting rules and disclosures can impact our reported results and comparability of our financial statements. These matters are described in our Annual Report on Form 10-K for the year ended December 31, 2017, filed with the SEC on March 1, 2018.</w:t>
      </w:r>
    </w:p>
    <w:p>
      <w:pPr>
        <w:spacing w:after="0" w:line="15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August 2017, the FASB issued Accounting Standards Update (“ASU”) No. 2017-12</w:t>
      </w:r>
      <w:r>
        <w:rPr>
          <w:rFonts w:ascii="Arial" w:cs="Arial" w:eastAsia="Arial" w:hAnsi="Arial"/>
          <w:sz w:val="17"/>
          <w:szCs w:val="17"/>
          <w:i w:val="1"/>
          <w:iCs w:val="1"/>
          <w:color w:val="auto"/>
        </w:rPr>
        <w:t>, Derivatives and Hedging (Topic 815): Targeted Improvements to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Hedging Activities </w:t>
      </w:r>
      <w:r>
        <w:rPr>
          <w:rFonts w:ascii="Arial" w:cs="Arial" w:eastAsia="Arial" w:hAnsi="Arial"/>
          <w:sz w:val="17"/>
          <w:szCs w:val="17"/>
          <w:color w:val="auto"/>
        </w:rPr>
        <w:t>(“ASU 2017-12”), which amends and simplifies existing guidance in order to allow companies to more accurately present the economic</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of risk management activities in the financial statements. ASU 2017-12 is effective for annual periods beginning after December 15, 2018 and interim periods within those annual periods, and earlier adoption is permitted. We adopted ASU 2017-12 effective January 1, 2018, and there was no material impact on our financial position.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 - 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Asset Derecognition Guidance and Accounting for Partial Sales of Nonfinancial Assets </w:t>
      </w:r>
      <w:r>
        <w:rPr>
          <w:rFonts w:ascii="Arial" w:cs="Arial" w:eastAsia="Arial" w:hAnsi="Arial"/>
          <w:sz w:val="17"/>
          <w:szCs w:val="17"/>
          <w:color w:val="auto"/>
        </w:rPr>
        <w:t>(“ASU 2017-05”), which provides guidance for</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recognizing gains and losses from the transfer of nonfinancial assets and for partial sales of nonfinancial assets, and is effective for financial statements issued for fiscal years and interim periods beginning after December 15, 2017. We adopted ASU 2017-05 effective January 1, 2018, using the modified retrospective approach and there was no material impact on our financial position.</w:t>
      </w:r>
    </w:p>
    <w:p>
      <w:pPr>
        <w:spacing w:after="0" w:line="177"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Statement of Cash Flows (Topic 230): Classification of Certain Cash Receipts and Cash Payments</w:t>
      </w:r>
      <w:r>
        <w:rPr>
          <w:rFonts w:ascii="Arial" w:cs="Arial" w:eastAsia="Arial" w:hAnsi="Arial"/>
          <w:sz w:val="15"/>
          <w:szCs w:val="15"/>
          <w:color w:val="auto"/>
        </w:rPr>
        <w:t xml:space="preserve"> (“ASU 2016-15”). ASU 2016-15 provides guidance on reducing the diversity in how certain cash receipts and cash payments are presented and classified in the statement of cash flows. In addition to other specific cash flow issues, ASU 2016-15 provides clarification on when an entity should separate cash receipts and cash payments into more than one class of cash flows and when an entity should classify those cash receipts and payments into one class of cash flows on the basis of predominance.</w:t>
      </w:r>
    </w:p>
    <w:p>
      <w:pPr>
        <w:ind w:right="480"/>
        <w:spacing w:after="0" w:line="267" w:lineRule="auto"/>
        <w:rPr>
          <w:sz w:val="20"/>
          <w:szCs w:val="20"/>
          <w:color w:val="auto"/>
        </w:rPr>
      </w:pPr>
      <w:r>
        <w:rPr>
          <w:rFonts w:ascii="Arial" w:cs="Arial" w:eastAsia="Arial" w:hAnsi="Arial"/>
          <w:sz w:val="17"/>
          <w:szCs w:val="17"/>
          <w:color w:val="auto"/>
        </w:rPr>
        <w:t>The new guidance is effective for the fiscal years beginning after December 15, 2017, and interim periods within those fiscal years. We adopted ASU 2016-15 effective January 1, 2018, and there was no material impact on our financial position.</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(“Topic 606”). This update outlines a single comprehensive revenue recognition model for entities to follow in accounting for revenue from contracts with customers and supersedes most current revenue recognition guidance, including industry-specific guidance. The core principle of the revenue model is that an entity should recognize revenue for the transfer of promised goods or services to customers in an amount that reflects the consideration to which the entity expects to be entitled to receive for those goods or services. Topic 606 is effective for annual periods beginning after December 15, 2017 and interim periods within those annual periods. We adopted Topic 606 as of January 1, 2018 using the modified retrospective transition method.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which sets out the principles for the recognition, measurement, presentation and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disclosure of leases for both parties to a contract (i.e. lessees and lessors). The new standard requires lessees to apply a dual approach, classifying leases as either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finance or operating leases based on the principle of whether or not the lease is effectively a financed purchase by the lessee. This classification will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determine whether lease expense is recognized based on an effective interest method or on a straight line basis over the term of the lease, respectively. A lessee is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also required to record a right-of-use asset and a lease liability for all leases with a term of greater than 12 months regardless of their classification. Leases with a</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term of 12 months or less will be accounted for similar to existing guidance for operating leases today. The provisions of this guidance are effective for annual</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periods beginning after December 31, 2018, and for interim periods therein. The Company is currently evaluating this guidance to determine the impact it will have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on our financial statements by reviewing its existing operating lease contracts, where we are the lessee and service contracts that may include embedded leases.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Company expects a gross-up of its Consolidated Balance Sheets as a result of recognizing lease liabilities and right-of-use assets, the extent of the impact of a gross-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up is under evaluation. The Company does not anticipate material changes to the recognition of operating lease expense in its Consolidated Statements of Income.</w:t>
      </w:r>
    </w:p>
    <w:p>
      <w:pPr>
        <w:spacing w:after="0" w:line="33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 xml:space="preserve">In January 2018, the FASB issued ASU 2018-01, </w:t>
      </w:r>
      <w:r>
        <w:rPr>
          <w:rFonts w:ascii="Arial" w:cs="Arial" w:eastAsia="Arial" w:hAnsi="Arial"/>
          <w:sz w:val="17"/>
          <w:szCs w:val="17"/>
          <w:i w:val="1"/>
          <w:iCs w:val="1"/>
          <w:color w:val="auto"/>
        </w:rPr>
        <w:t>Leases (Topic 842) – Land Easement Practical Expedient for Transition to Topic 842</w:t>
      </w:r>
      <w:r>
        <w:rPr>
          <w:rFonts w:ascii="Arial" w:cs="Arial" w:eastAsia="Arial" w:hAnsi="Arial"/>
          <w:sz w:val="17"/>
          <w:szCs w:val="17"/>
          <w:color w:val="auto"/>
        </w:rPr>
        <w:t>. This standard permits an entity to elect an optional transition practical expedient to not evaluate land easements that exist or expire before the Company's adoption of ASC 842 and that were not previously accounted for as leases under ASC 840. The Company intends to elect this transition provision.</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this Quarterly Report on Form 10-Q, we do not have any off-balance sheet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1"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There have been no material changes from the information reported under Item 7A of our Annual Report on Form 10-K for the year ended December 31, 2017, filed with the SEC on March 1, 2018.</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Controls and Procedures</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72" w:lineRule="exact"/>
        <w:rPr>
          <w:sz w:val="20"/>
          <w:szCs w:val="20"/>
          <w:color w:val="auto"/>
        </w:rPr>
      </w:pPr>
    </w:p>
    <w:p>
      <w:pPr>
        <w:jc w:val="both"/>
        <w:ind w:right="120"/>
        <w:spacing w:after="0" w:line="268"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as of March 31, 2018. Based on this evaluation, our principal executive officer and principal financial officer concluded that our disclosure controls and procedures were effective as of March 31, 2018.</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15" w:lineRule="exact"/>
        <w:rPr>
          <w:sz w:val="20"/>
          <w:szCs w:val="20"/>
          <w:color w:val="auto"/>
        </w:rPr>
      </w:pPr>
    </w:p>
    <w:p>
      <w:pPr>
        <w:ind w:right="220"/>
        <w:spacing w:after="0" w:line="315"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 13a-15(f) under the Exchange Act, that occurred during the quarter ended March 31,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II—OTHER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1"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1"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There have been no material changes to the risk factors affecting our business that were discussed in Part I, “Item 1A. Risk Factors” in our Annual Report on Form 10-K for the year ended December 31, 2017 filed with the SEC on March 1, 2018.</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115"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32"/>
        </w:trPr>
        <w:tc>
          <w:tcPr>
            <w:tcW w:w="5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Total Number of Shares</w:t>
            </w:r>
          </w:p>
        </w:tc>
        <w:tc>
          <w:tcPr>
            <w:tcW w:w="100" w:type="dxa"/>
            <w:vAlign w:val="bottom"/>
          </w:tcPr>
          <w:p>
            <w:pPr>
              <w:spacing w:after="0"/>
              <w:rPr>
                <w:sz w:val="11"/>
                <w:szCs w:val="11"/>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Maximum Number of Shares</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7"/>
              </w:rPr>
              <w:t>Average Price Paid per</w:t>
            </w: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Purchased as Part of</w:t>
            </w: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of Shares</w:t>
            </w: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Publicly Announced Plans</w:t>
            </w:r>
          </w:p>
        </w:tc>
        <w:tc>
          <w:tcPr>
            <w:tcW w:w="100" w:type="dxa"/>
            <w:vAlign w:val="bottom"/>
          </w:tcPr>
          <w:p>
            <w:pPr>
              <w:spacing w:after="0"/>
              <w:rPr>
                <w:sz w:val="12"/>
                <w:szCs w:val="12"/>
                <w:color w:val="auto"/>
              </w:rPr>
            </w:pPr>
          </w:p>
        </w:tc>
        <w:tc>
          <w:tcPr>
            <w:tcW w:w="18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that May Yet Be Purchased</w:t>
            </w:r>
          </w:p>
        </w:tc>
        <w:tc>
          <w:tcPr>
            <w:tcW w:w="0" w:type="dxa"/>
            <w:vAlign w:val="bottom"/>
          </w:tcPr>
          <w:p>
            <w:pPr>
              <w:spacing w:after="0"/>
              <w:rPr>
                <w:sz w:val="1"/>
                <w:szCs w:val="1"/>
                <w:color w:val="auto"/>
              </w:rPr>
            </w:pPr>
          </w:p>
        </w:tc>
      </w:tr>
      <w:tr>
        <w:trPr>
          <w:trHeight w:val="165"/>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1"/>
                <w:szCs w:val="11"/>
                <w:b w:val="1"/>
                <w:bCs w:val="1"/>
                <w:color w:val="auto"/>
              </w:rPr>
              <w:t>(1)</w:t>
            </w:r>
          </w:p>
        </w:tc>
        <w:tc>
          <w:tcPr>
            <w:tcW w:w="10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100" w:type="dxa"/>
            <w:vAlign w:val="bottom"/>
            <w:tcBorders>
              <w:bottom w:val="single" w:sz="8" w:color="CFF0FC"/>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Under the Plans or Programs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January 1, 2018 to January 31, 2018</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FF0FC"/>
          </w:tcPr>
          <w:p>
            <w:pPr>
              <w:jc w:val="right"/>
              <w:ind w:right="131"/>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ind w:left="1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ind w:left="1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40" w:type="dxa"/>
            <w:vAlign w:val="bottom"/>
            <w:gridSpan w:val="2"/>
          </w:tcPr>
          <w:p>
            <w:pPr>
              <w:spacing w:after="0"/>
              <w:rPr>
                <w:sz w:val="20"/>
                <w:szCs w:val="20"/>
                <w:color w:val="auto"/>
              </w:rPr>
            </w:pPr>
            <w:r>
              <w:rPr>
                <w:rFonts w:ascii="Arial" w:cs="Arial" w:eastAsia="Arial" w:hAnsi="Arial"/>
                <w:sz w:val="17"/>
                <w:szCs w:val="17"/>
                <w:color w:val="auto"/>
              </w:rPr>
              <w:t>February 1, 2018 to February 28, 2018</w:t>
            </w:r>
          </w:p>
        </w:tc>
        <w:tc>
          <w:tcPr>
            <w:tcW w:w="960" w:type="dxa"/>
            <w:vAlign w:val="bottom"/>
          </w:tcPr>
          <w:p>
            <w:pPr>
              <w:jc w:val="right"/>
              <w:spacing w:after="0"/>
              <w:rPr>
                <w:sz w:val="20"/>
                <w:szCs w:val="20"/>
                <w:color w:val="auto"/>
              </w:rPr>
            </w:pPr>
            <w:r>
              <w:rPr>
                <w:rFonts w:ascii="Arial" w:cs="Arial" w:eastAsia="Arial" w:hAnsi="Arial"/>
                <w:sz w:val="17"/>
                <w:szCs w:val="17"/>
                <w:color w:val="auto"/>
              </w:rPr>
              <w:t>16,947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14.95</w:t>
            </w:r>
          </w:p>
        </w:tc>
        <w:tc>
          <w:tcPr>
            <w:tcW w:w="100" w:type="dxa"/>
            <w:vAlign w:val="bottom"/>
          </w:tcPr>
          <w:p>
            <w:pPr>
              <w:spacing w:after="0"/>
              <w:rPr>
                <w:sz w:val="19"/>
                <w:szCs w:val="19"/>
                <w:color w:val="auto"/>
              </w:rPr>
            </w:pPr>
          </w:p>
        </w:tc>
        <w:tc>
          <w:tcPr>
            <w:tcW w:w="1680" w:type="dxa"/>
            <w:vAlign w:val="bottom"/>
          </w:tcPr>
          <w:p>
            <w:pPr>
              <w:ind w:left="1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80" w:type="dxa"/>
            <w:vAlign w:val="bottom"/>
            <w:gridSpan w:val="2"/>
          </w:tcPr>
          <w:p>
            <w:pPr>
              <w:ind w:left="1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1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March 1, 2018 to March 31, 2018</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29,582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15.89</w:t>
            </w:r>
          </w:p>
        </w:tc>
        <w:tc>
          <w:tcPr>
            <w:tcW w:w="100" w:type="dxa"/>
            <w:vAlign w:val="bottom"/>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ind w:left="14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ind w:left="1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140" w:type="dxa"/>
            <w:vAlign w:val="bottom"/>
            <w:gridSpan w:val="2"/>
          </w:tcPr>
          <w:p>
            <w:pPr>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46,529</w:t>
            </w:r>
          </w:p>
        </w:tc>
        <w:tc>
          <w:tcPr>
            <w:tcW w:w="400" w:type="dxa"/>
            <w:vAlign w:val="bottom"/>
            <w:gridSpan w:val="2"/>
          </w:tcPr>
          <w:p>
            <w:pPr>
              <w:jc w:val="right"/>
              <w:ind w:right="131"/>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15.55</w:t>
            </w:r>
          </w:p>
        </w:tc>
        <w:tc>
          <w:tcPr>
            <w:tcW w:w="100" w:type="dxa"/>
            <w:vAlign w:val="bottom"/>
          </w:tcPr>
          <w:p>
            <w:pPr>
              <w:spacing w:after="0"/>
              <w:rPr>
                <w:sz w:val="18"/>
                <w:szCs w:val="18"/>
                <w:color w:val="auto"/>
              </w:rPr>
            </w:pPr>
          </w:p>
        </w:tc>
        <w:tc>
          <w:tcPr>
            <w:tcW w:w="1680" w:type="dxa"/>
            <w:vAlign w:val="bottom"/>
            <w:tcBorders>
              <w:bottom w:val="single" w:sz="8" w:color="auto"/>
            </w:tcBorders>
          </w:tcPr>
          <w:p>
            <w:pPr>
              <w:ind w:left="1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80" w:type="dxa"/>
            <w:vAlign w:val="bottom"/>
            <w:gridSpan w:val="2"/>
          </w:tcPr>
          <w:p>
            <w:pPr>
              <w:ind w:left="16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40" w:firstLine="3"/>
        <w:spacing w:after="0" w:line="283" w:lineRule="auto"/>
        <w:tabs>
          <w:tab w:leader="none" w:pos="214" w:val="left"/>
        </w:tabs>
        <w:numPr>
          <w:ilvl w:val="0"/>
          <w:numId w:val="12"/>
        </w:numPr>
        <w:rPr>
          <w:rFonts w:ascii="Arial" w:cs="Arial" w:eastAsia="Arial" w:hAnsi="Arial"/>
          <w:sz w:val="15"/>
          <w:szCs w:val="15"/>
          <w:color w:val="auto"/>
        </w:rPr>
      </w:pPr>
      <w:r>
        <w:rPr>
          <w:rFonts w:ascii="Arial" w:cs="Arial" w:eastAsia="Arial" w:hAnsi="Arial"/>
          <w:sz w:val="17"/>
          <w:szCs w:val="17"/>
          <w:color w:val="auto"/>
        </w:rPr>
        <w:t>The average price paid per share is the weighted-average of the fair market prices at which we calculated the number of shares withheld to cover tax withholdings for the employees.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720" w:type="dxa"/>
            <w:vAlign w:val="bottom"/>
            <w:gridSpan w:val="7"/>
          </w:tcPr>
          <w:p>
            <w:pPr>
              <w:ind w:left="460"/>
              <w:spacing w:after="0"/>
              <w:rPr>
                <w:sz w:val="20"/>
                <w:szCs w:val="20"/>
                <w:color w:val="auto"/>
              </w:rPr>
            </w:pPr>
            <w:r>
              <w:rPr>
                <w:rFonts w:ascii="Arial" w:cs="Arial" w:eastAsia="Arial" w:hAnsi="Arial"/>
                <w:sz w:val="14"/>
                <w:szCs w:val="14"/>
                <w:b w:val="1"/>
                <w:bCs w:val="1"/>
                <w:color w:val="auto"/>
              </w:rPr>
              <w:t>Description</w:t>
            </w:r>
          </w:p>
        </w:tc>
      </w:tr>
      <w:tr>
        <w:trPr>
          <w:trHeight w:val="179"/>
        </w:trPr>
        <w:tc>
          <w:tcPr>
            <w:tcW w:w="1220" w:type="dxa"/>
            <w:vAlign w:val="bottom"/>
          </w:tcPr>
          <w:p>
            <w:pPr>
              <w:ind w:left="260"/>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1220" w:type="dxa"/>
            <w:vAlign w:val="bottom"/>
          </w:tcPr>
          <w:p>
            <w:pPr>
              <w:spacing w:after="0"/>
              <w:rPr>
                <w:sz w:val="20"/>
                <w:szCs w:val="20"/>
                <w:color w:val="auto"/>
              </w:rPr>
            </w:pPr>
            <w:r>
              <w:rPr>
                <w:rFonts w:ascii="Arial" w:cs="Arial" w:eastAsia="Arial" w:hAnsi="Arial"/>
                <w:sz w:val="17"/>
                <w:szCs w:val="17"/>
                <w:color w:val="auto"/>
              </w:rPr>
              <w:t>10.1*</w:t>
            </w:r>
          </w:p>
        </w:tc>
        <w:tc>
          <w:tcPr>
            <w:tcW w:w="5120" w:type="dxa"/>
            <w:vAlign w:val="bottom"/>
            <w:tcBorders>
              <w:bottom w:val="single" w:sz="8" w:color="0000EE"/>
            </w:tcBorders>
            <w:gridSpan w:val="5"/>
          </w:tcPr>
          <w:p>
            <w:pPr>
              <w:spacing w:after="0"/>
              <w:rPr>
                <w:rFonts w:ascii="Arial" w:cs="Arial" w:eastAsia="Arial" w:hAnsi="Arial"/>
                <w:sz w:val="17"/>
                <w:szCs w:val="17"/>
                <w:color w:val="0000EE"/>
                <w:w w:val="93"/>
              </w:rPr>
            </w:pPr>
            <w:hyperlink w:anchor="page44">
              <w:r>
                <w:rPr>
                  <w:rFonts w:ascii="Arial" w:cs="Arial" w:eastAsia="Arial" w:hAnsi="Arial"/>
                  <w:sz w:val="17"/>
                  <w:szCs w:val="17"/>
                  <w:color w:val="0000EE"/>
                  <w:w w:val="93"/>
                </w:rPr>
                <w:t>Communications Sales &amp; Leasing, Inc. 2017 Short Term Incentive Plan**</w:t>
              </w:r>
            </w:hyperlink>
          </w:p>
        </w:tc>
        <w:tc>
          <w:tcPr>
            <w:tcW w:w="4740" w:type="dxa"/>
            <w:vAlign w:val="bottom"/>
            <w:gridSpan w:val="6"/>
          </w:tcPr>
          <w:p>
            <w:pPr>
              <w:spacing w:after="0"/>
              <w:rPr>
                <w:sz w:val="21"/>
                <w:szCs w:val="21"/>
                <w:color w:val="auto"/>
              </w:rPr>
            </w:pPr>
          </w:p>
        </w:tc>
      </w:tr>
      <w:tr>
        <w:trPr>
          <w:trHeight w:val="329"/>
        </w:trPr>
        <w:tc>
          <w:tcPr>
            <w:tcW w:w="1220" w:type="dxa"/>
            <w:vAlign w:val="bottom"/>
          </w:tcPr>
          <w:p>
            <w:pPr>
              <w:spacing w:after="0"/>
              <w:rPr>
                <w:sz w:val="20"/>
                <w:szCs w:val="20"/>
                <w:color w:val="auto"/>
              </w:rPr>
            </w:pPr>
            <w:r>
              <w:rPr>
                <w:rFonts w:ascii="Arial" w:cs="Arial" w:eastAsia="Arial" w:hAnsi="Arial"/>
                <w:sz w:val="17"/>
                <w:szCs w:val="17"/>
                <w:color w:val="auto"/>
              </w:rPr>
              <w:t>10.2*</w:t>
            </w:r>
          </w:p>
        </w:tc>
        <w:tc>
          <w:tcPr>
            <w:tcW w:w="9860" w:type="dxa"/>
            <w:vAlign w:val="bottom"/>
            <w:gridSpan w:val="11"/>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Uniti Group Inc. 2018 Short Term Incentive Plan***</w:t>
              </w:r>
            </w:hyperlink>
          </w:p>
        </w:tc>
      </w:tr>
      <w:tr>
        <w:trPr>
          <w:trHeight w:val="20"/>
        </w:trPr>
        <w:tc>
          <w:tcPr>
            <w:tcW w:w="1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1220" w:type="dxa"/>
            <w:vAlign w:val="bottom"/>
          </w:tcPr>
          <w:p>
            <w:pPr>
              <w:spacing w:after="0"/>
              <w:rPr>
                <w:sz w:val="20"/>
                <w:szCs w:val="20"/>
                <w:color w:val="auto"/>
              </w:rPr>
            </w:pPr>
            <w:r>
              <w:rPr>
                <w:rFonts w:ascii="Arial" w:cs="Arial" w:eastAsia="Arial" w:hAnsi="Arial"/>
                <w:sz w:val="17"/>
                <w:szCs w:val="17"/>
                <w:color w:val="auto"/>
              </w:rPr>
              <w:t>10.3</w:t>
            </w:r>
          </w:p>
        </w:tc>
        <w:tc>
          <w:tcPr>
            <w:tcW w:w="9740" w:type="dxa"/>
            <w:vAlign w:val="bottom"/>
            <w:tcBorders>
              <w:bottom w:val="single" w:sz="8" w:color="0000EE"/>
            </w:tcBorders>
            <w:gridSpan w:val="8"/>
          </w:tcPr>
          <w:p>
            <w:pPr>
              <w:spacing w:after="0"/>
              <w:rPr>
                <w:rFonts w:ascii="Arial" w:cs="Arial" w:eastAsia="Arial" w:hAnsi="Arial"/>
                <w:sz w:val="17"/>
                <w:szCs w:val="17"/>
                <w:color w:val="0000EE"/>
                <w:w w:val="92"/>
              </w:rPr>
            </w:pPr>
            <w:hyperlink r:id="rId69">
              <w:r>
                <w:rPr>
                  <w:rFonts w:ascii="Arial" w:cs="Arial" w:eastAsia="Arial" w:hAnsi="Arial"/>
                  <w:sz w:val="17"/>
                  <w:szCs w:val="17"/>
                  <w:color w:val="0000EE"/>
                  <w:w w:val="92"/>
                </w:rPr>
                <w:t>Uniti Group Inc. 2015 Equity Incentive Plan, as amended and restated effective March 28, 2018 (incorporated by reference to Exhibit 10.1 to</w:t>
              </w:r>
            </w:hyperlink>
          </w:p>
        </w:tc>
        <w:tc>
          <w:tcPr>
            <w:tcW w:w="120" w:type="dxa"/>
            <w:vAlign w:val="bottom"/>
            <w:gridSpan w:val="3"/>
          </w:tcPr>
          <w:p>
            <w:pPr>
              <w:spacing w:after="0"/>
              <w:rPr>
                <w:sz w:val="24"/>
                <w:szCs w:val="24"/>
                <w:color w:val="auto"/>
              </w:rPr>
            </w:pPr>
          </w:p>
        </w:tc>
      </w:tr>
      <w:tr>
        <w:trPr>
          <w:trHeight w:val="187"/>
        </w:trPr>
        <w:tc>
          <w:tcPr>
            <w:tcW w:w="1220" w:type="dxa"/>
            <w:vAlign w:val="bottom"/>
          </w:tcPr>
          <w:p>
            <w:pPr>
              <w:spacing w:after="0"/>
              <w:rPr>
                <w:sz w:val="16"/>
                <w:szCs w:val="16"/>
                <w:color w:val="auto"/>
              </w:rPr>
            </w:pPr>
          </w:p>
        </w:tc>
        <w:tc>
          <w:tcPr>
            <w:tcW w:w="9720" w:type="dxa"/>
            <w:vAlign w:val="bottom"/>
            <w:tcBorders>
              <w:bottom w:val="single" w:sz="8" w:color="0000EE"/>
            </w:tcBorders>
            <w:gridSpan w:val="7"/>
          </w:tcPr>
          <w:p>
            <w:pPr>
              <w:spacing w:after="0" w:line="187" w:lineRule="exact"/>
              <w:rPr>
                <w:rFonts w:ascii="Arial" w:cs="Arial" w:eastAsia="Arial" w:hAnsi="Arial"/>
                <w:sz w:val="17"/>
                <w:szCs w:val="17"/>
                <w:color w:val="0000EE"/>
                <w:w w:val="92"/>
              </w:rPr>
            </w:pPr>
            <w:hyperlink r:id="rId69">
              <w:r>
                <w:rPr>
                  <w:rFonts w:ascii="Arial" w:cs="Arial" w:eastAsia="Arial" w:hAnsi="Arial"/>
                  <w:sz w:val="17"/>
                  <w:szCs w:val="17"/>
                  <w:color w:val="0000EE"/>
                  <w:w w:val="92"/>
                </w:rPr>
                <w:t>the Company's Current Report on Form 8-K dated as of March 28, 2018 and filed with the SEC as of March 29. 2018 (File No. 001-36708)).</w:t>
              </w:r>
            </w:hyperlink>
          </w:p>
        </w:tc>
        <w:tc>
          <w:tcPr>
            <w:tcW w:w="140" w:type="dxa"/>
            <w:vAlign w:val="bottom"/>
            <w:gridSpan w:val="4"/>
          </w:tcPr>
          <w:p>
            <w:pPr>
              <w:spacing w:after="0"/>
              <w:rPr>
                <w:sz w:val="16"/>
                <w:szCs w:val="16"/>
                <w:color w:val="auto"/>
              </w:rPr>
            </w:pPr>
          </w:p>
        </w:tc>
      </w:tr>
      <w:tr>
        <w:trPr>
          <w:trHeight w:val="329"/>
        </w:trPr>
        <w:tc>
          <w:tcPr>
            <w:tcW w:w="1220" w:type="dxa"/>
            <w:vAlign w:val="bottom"/>
          </w:tcPr>
          <w:p>
            <w:pPr>
              <w:spacing w:after="0"/>
              <w:rPr>
                <w:sz w:val="20"/>
                <w:szCs w:val="20"/>
                <w:color w:val="auto"/>
              </w:rPr>
            </w:pPr>
            <w:r>
              <w:rPr>
                <w:rFonts w:ascii="Arial" w:cs="Arial" w:eastAsia="Arial" w:hAnsi="Arial"/>
                <w:sz w:val="17"/>
                <w:szCs w:val="17"/>
                <w:color w:val="auto"/>
              </w:rPr>
              <w:t>31.1*</w:t>
            </w:r>
          </w:p>
        </w:tc>
        <w:tc>
          <w:tcPr>
            <w:tcW w:w="9860" w:type="dxa"/>
            <w:vAlign w:val="bottom"/>
            <w:gridSpan w:val="11"/>
          </w:tcPr>
          <w:p>
            <w:pPr>
              <w:spacing w:after="0"/>
              <w:rPr>
                <w:rFonts w:ascii="Arial" w:cs="Arial" w:eastAsia="Arial" w:hAnsi="Arial"/>
                <w:sz w:val="17"/>
                <w:szCs w:val="17"/>
                <w:color w:val="0000EE"/>
                <w:w w:val="92"/>
              </w:rPr>
            </w:pPr>
            <w:hyperlink w:anchor="page60">
              <w:r>
                <w:rPr>
                  <w:rFonts w:ascii="Arial" w:cs="Arial" w:eastAsia="Arial" w:hAnsi="Arial"/>
                  <w:sz w:val="17"/>
                  <w:szCs w:val="17"/>
                  <w:color w:val="0000EE"/>
                  <w:w w:val="92"/>
                </w:rPr>
                <w:t>Certification of Principal Executive Officer Pursuant to Rules 13a-14(a) and 15d-14(a) under the Securities Exchange Act of 1934, as Adopted</w:t>
              </w:r>
            </w:hyperlink>
          </w:p>
        </w:tc>
      </w:tr>
      <w:tr>
        <w:trPr>
          <w:trHeight w:val="187"/>
        </w:trPr>
        <w:tc>
          <w:tcPr>
            <w:tcW w:w="1220" w:type="dxa"/>
            <w:vAlign w:val="bottom"/>
          </w:tcPr>
          <w:p>
            <w:pPr>
              <w:spacing w:after="0"/>
              <w:rPr>
                <w:sz w:val="16"/>
                <w:szCs w:val="16"/>
                <w:color w:val="auto"/>
              </w:rPr>
            </w:pPr>
          </w:p>
        </w:tc>
        <w:tc>
          <w:tcPr>
            <w:tcW w:w="4140" w:type="dxa"/>
            <w:vAlign w:val="bottom"/>
            <w:tcBorders>
              <w:top w:val="single" w:sz="8" w:color="0000EE"/>
              <w:bottom w:val="single" w:sz="8" w:color="0000EE"/>
            </w:tcBorders>
            <w:gridSpan w:val="4"/>
          </w:tcPr>
          <w:p>
            <w:pPr>
              <w:spacing w:after="0" w:line="187" w:lineRule="exact"/>
              <w:rPr>
                <w:rFonts w:ascii="Arial" w:cs="Arial" w:eastAsia="Arial" w:hAnsi="Arial"/>
                <w:sz w:val="17"/>
                <w:szCs w:val="17"/>
                <w:color w:val="0000EE"/>
                <w:w w:val="91"/>
              </w:rPr>
            </w:pPr>
            <w:hyperlink w:anchor="page60">
              <w:r>
                <w:rPr>
                  <w:rFonts w:ascii="Arial" w:cs="Arial" w:eastAsia="Arial" w:hAnsi="Arial"/>
                  <w:sz w:val="17"/>
                  <w:szCs w:val="17"/>
                  <w:color w:val="0000EE"/>
                  <w:w w:val="91"/>
                </w:rPr>
                <w:t>Pursuant to Section 302 of the Sarbanes-Oxley Act of 2002.</w:t>
              </w:r>
            </w:hyperlink>
          </w:p>
        </w:tc>
        <w:tc>
          <w:tcPr>
            <w:tcW w:w="5700" w:type="dxa"/>
            <w:vAlign w:val="bottom"/>
            <w:tcBorders>
              <w:top w:val="single" w:sz="8" w:color="0000EE"/>
            </w:tcBorders>
            <w:gridSpan w:val="6"/>
          </w:tcPr>
          <w:p>
            <w:pPr>
              <w:spacing w:after="0"/>
              <w:rPr>
                <w:sz w:val="16"/>
                <w:szCs w:val="16"/>
                <w:color w:val="auto"/>
              </w:rPr>
            </w:pPr>
          </w:p>
        </w:tc>
        <w:tc>
          <w:tcPr>
            <w:tcW w:w="20" w:type="dxa"/>
            <w:vAlign w:val="bottom"/>
          </w:tcPr>
          <w:p>
            <w:pPr>
              <w:spacing w:after="0"/>
              <w:rPr>
                <w:sz w:val="16"/>
                <w:szCs w:val="16"/>
                <w:color w:val="auto"/>
              </w:rPr>
            </w:pPr>
          </w:p>
        </w:tc>
      </w:tr>
      <w:tr>
        <w:trPr>
          <w:trHeight w:val="303"/>
        </w:trPr>
        <w:tc>
          <w:tcPr>
            <w:tcW w:w="1220" w:type="dxa"/>
            <w:vAlign w:val="bottom"/>
          </w:tcPr>
          <w:p>
            <w:pPr>
              <w:spacing w:after="0"/>
              <w:rPr>
                <w:sz w:val="20"/>
                <w:szCs w:val="20"/>
                <w:color w:val="auto"/>
              </w:rPr>
            </w:pPr>
            <w:r>
              <w:rPr>
                <w:rFonts w:ascii="Arial" w:cs="Arial" w:eastAsia="Arial" w:hAnsi="Arial"/>
                <w:sz w:val="17"/>
                <w:szCs w:val="17"/>
                <w:color w:val="auto"/>
              </w:rPr>
              <w:t>31.2*</w:t>
            </w:r>
          </w:p>
        </w:tc>
        <w:tc>
          <w:tcPr>
            <w:tcW w:w="9800" w:type="dxa"/>
            <w:vAlign w:val="bottom"/>
            <w:tcBorders>
              <w:bottom w:val="single" w:sz="8" w:color="0000EE"/>
            </w:tcBorders>
            <w:gridSpan w:val="9"/>
          </w:tcPr>
          <w:p>
            <w:pPr>
              <w:spacing w:after="0"/>
              <w:rPr>
                <w:rFonts w:ascii="Arial" w:cs="Arial" w:eastAsia="Arial" w:hAnsi="Arial"/>
                <w:sz w:val="17"/>
                <w:szCs w:val="17"/>
                <w:color w:val="0000EE"/>
                <w:w w:val="92"/>
              </w:rPr>
            </w:pPr>
            <w:hyperlink w:anchor="page61">
              <w:r>
                <w:rPr>
                  <w:rFonts w:ascii="Arial" w:cs="Arial" w:eastAsia="Arial" w:hAnsi="Arial"/>
                  <w:sz w:val="17"/>
                  <w:szCs w:val="17"/>
                  <w:color w:val="0000EE"/>
                  <w:w w:val="92"/>
                </w:rPr>
                <w:t>Certification of Principal Financial Officer Pursuant to Rules 13a-14(a) and 15d-14(a) under the Securities Exchange Act of 1934, as Adopted</w:t>
              </w:r>
            </w:hyperlink>
          </w:p>
        </w:tc>
        <w:tc>
          <w:tcPr>
            <w:tcW w:w="60" w:type="dxa"/>
            <w:vAlign w:val="bottom"/>
            <w:gridSpan w:val="2"/>
          </w:tcPr>
          <w:p>
            <w:pPr>
              <w:spacing w:after="0"/>
              <w:rPr>
                <w:sz w:val="24"/>
                <w:szCs w:val="24"/>
                <w:color w:val="auto"/>
              </w:rPr>
            </w:pPr>
          </w:p>
        </w:tc>
      </w:tr>
      <w:tr>
        <w:trPr>
          <w:trHeight w:val="187"/>
        </w:trPr>
        <w:tc>
          <w:tcPr>
            <w:tcW w:w="1220" w:type="dxa"/>
            <w:vAlign w:val="bottom"/>
          </w:tcPr>
          <w:p>
            <w:pPr>
              <w:spacing w:after="0"/>
              <w:rPr>
                <w:sz w:val="16"/>
                <w:szCs w:val="16"/>
                <w:color w:val="auto"/>
              </w:rPr>
            </w:pPr>
          </w:p>
        </w:tc>
        <w:tc>
          <w:tcPr>
            <w:tcW w:w="4140" w:type="dxa"/>
            <w:vAlign w:val="bottom"/>
            <w:tcBorders>
              <w:bottom w:val="single" w:sz="8" w:color="0000EE"/>
            </w:tcBorders>
            <w:gridSpan w:val="4"/>
          </w:tcPr>
          <w:p>
            <w:pPr>
              <w:spacing w:after="0" w:line="187" w:lineRule="exact"/>
              <w:rPr>
                <w:rFonts w:ascii="Arial" w:cs="Arial" w:eastAsia="Arial" w:hAnsi="Arial"/>
                <w:sz w:val="17"/>
                <w:szCs w:val="17"/>
                <w:color w:val="0000EE"/>
                <w:w w:val="91"/>
              </w:rPr>
            </w:pPr>
            <w:hyperlink w:anchor="page61">
              <w:r>
                <w:rPr>
                  <w:rFonts w:ascii="Arial" w:cs="Arial" w:eastAsia="Arial" w:hAnsi="Arial"/>
                  <w:sz w:val="17"/>
                  <w:szCs w:val="17"/>
                  <w:color w:val="0000EE"/>
                  <w:w w:val="91"/>
                </w:rPr>
                <w:t>Pursuant to Section 302 of the Sarbanes-Oxley Act of 2002.</w:t>
              </w:r>
            </w:hyperlink>
          </w:p>
        </w:tc>
        <w:tc>
          <w:tcPr>
            <w:tcW w:w="5720" w:type="dxa"/>
            <w:vAlign w:val="bottom"/>
            <w:gridSpan w:val="7"/>
          </w:tcPr>
          <w:p>
            <w:pPr>
              <w:spacing w:after="0"/>
              <w:rPr>
                <w:sz w:val="16"/>
                <w:szCs w:val="16"/>
                <w:color w:val="auto"/>
              </w:rPr>
            </w:pPr>
          </w:p>
        </w:tc>
      </w:tr>
      <w:tr>
        <w:trPr>
          <w:trHeight w:val="303"/>
        </w:trPr>
        <w:tc>
          <w:tcPr>
            <w:tcW w:w="1220" w:type="dxa"/>
            <w:vAlign w:val="bottom"/>
          </w:tcPr>
          <w:p>
            <w:pPr>
              <w:spacing w:after="0"/>
              <w:rPr>
                <w:sz w:val="20"/>
                <w:szCs w:val="20"/>
                <w:color w:val="auto"/>
              </w:rPr>
            </w:pPr>
            <w:r>
              <w:rPr>
                <w:rFonts w:ascii="Arial" w:cs="Arial" w:eastAsia="Arial" w:hAnsi="Arial"/>
                <w:sz w:val="17"/>
                <w:szCs w:val="17"/>
                <w:color w:val="auto"/>
              </w:rPr>
              <w:t>32.1*</w:t>
            </w:r>
          </w:p>
        </w:tc>
        <w:tc>
          <w:tcPr>
            <w:tcW w:w="962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62">
              <w:r>
                <w:rPr>
                  <w:rFonts w:ascii="Arial" w:cs="Arial" w:eastAsia="Arial" w:hAnsi="Arial"/>
                  <w:sz w:val="17"/>
                  <w:szCs w:val="17"/>
                  <w:color w:val="0000EE"/>
                  <w:w w:val="92"/>
                </w:rPr>
                <w:t>Certification of Principal Executive Officer Pursuant to 18 U.S.C. Section 1350, as Adopted Pursuant to Section 906 of the Sarbanes-Oxley</w:t>
              </w:r>
            </w:hyperlink>
          </w:p>
        </w:tc>
        <w:tc>
          <w:tcPr>
            <w:tcW w:w="240" w:type="dxa"/>
            <w:vAlign w:val="bottom"/>
            <w:gridSpan w:val="5"/>
          </w:tcPr>
          <w:p>
            <w:pPr>
              <w:spacing w:after="0"/>
              <w:rPr>
                <w:sz w:val="24"/>
                <w:szCs w:val="24"/>
                <w:color w:val="auto"/>
              </w:rPr>
            </w:pPr>
          </w:p>
        </w:tc>
      </w:tr>
      <w:tr>
        <w:trPr>
          <w:trHeight w:val="187"/>
        </w:trPr>
        <w:tc>
          <w:tcPr>
            <w:tcW w:w="1220" w:type="dxa"/>
            <w:vAlign w:val="bottom"/>
          </w:tcPr>
          <w:p>
            <w:pPr>
              <w:spacing w:after="0"/>
              <w:rPr>
                <w:sz w:val="16"/>
                <w:szCs w:val="16"/>
                <w:color w:val="auto"/>
              </w:rPr>
            </w:pPr>
          </w:p>
        </w:tc>
        <w:tc>
          <w:tcPr>
            <w:tcW w:w="880" w:type="dxa"/>
            <w:vAlign w:val="bottom"/>
            <w:tcBorders>
              <w:bottom w:val="single" w:sz="8" w:color="0000EE"/>
            </w:tcBorders>
            <w:gridSpan w:val="2"/>
          </w:tcPr>
          <w:p>
            <w:pPr>
              <w:spacing w:after="0" w:line="187" w:lineRule="exact"/>
              <w:rPr>
                <w:rFonts w:ascii="Arial" w:cs="Arial" w:eastAsia="Arial" w:hAnsi="Arial"/>
                <w:sz w:val="17"/>
                <w:szCs w:val="17"/>
                <w:color w:val="0000EE"/>
                <w:w w:val="94"/>
              </w:rPr>
            </w:pPr>
            <w:hyperlink w:anchor="page62">
              <w:r>
                <w:rPr>
                  <w:rFonts w:ascii="Arial" w:cs="Arial" w:eastAsia="Arial" w:hAnsi="Arial"/>
                  <w:sz w:val="17"/>
                  <w:szCs w:val="17"/>
                  <w:color w:val="0000EE"/>
                  <w:w w:val="94"/>
                </w:rPr>
                <w:t>Act of 2002.</w:t>
              </w:r>
            </w:hyperlink>
          </w:p>
        </w:tc>
        <w:tc>
          <w:tcPr>
            <w:tcW w:w="8980" w:type="dxa"/>
            <w:vAlign w:val="bottom"/>
            <w:gridSpan w:val="9"/>
          </w:tcPr>
          <w:p>
            <w:pPr>
              <w:spacing w:after="0"/>
              <w:rPr>
                <w:sz w:val="16"/>
                <w:szCs w:val="16"/>
                <w:color w:val="auto"/>
              </w:rPr>
            </w:pPr>
          </w:p>
        </w:tc>
      </w:tr>
      <w:tr>
        <w:trPr>
          <w:trHeight w:val="303"/>
        </w:trPr>
        <w:tc>
          <w:tcPr>
            <w:tcW w:w="1220" w:type="dxa"/>
            <w:vAlign w:val="bottom"/>
          </w:tcPr>
          <w:p>
            <w:pPr>
              <w:spacing w:after="0"/>
              <w:rPr>
                <w:sz w:val="20"/>
                <w:szCs w:val="20"/>
                <w:color w:val="auto"/>
              </w:rPr>
            </w:pPr>
            <w:r>
              <w:rPr>
                <w:rFonts w:ascii="Arial" w:cs="Arial" w:eastAsia="Arial" w:hAnsi="Arial"/>
                <w:sz w:val="17"/>
                <w:szCs w:val="17"/>
                <w:color w:val="auto"/>
              </w:rPr>
              <w:t>32.2*</w:t>
            </w:r>
          </w:p>
        </w:tc>
        <w:tc>
          <w:tcPr>
            <w:tcW w:w="9860" w:type="dxa"/>
            <w:vAlign w:val="bottom"/>
            <w:tcBorders>
              <w:bottom w:val="single" w:sz="8" w:color="0000EE"/>
            </w:tcBorders>
            <w:gridSpan w:val="11"/>
          </w:tcPr>
          <w:p>
            <w:pPr>
              <w:spacing w:after="0"/>
              <w:rPr>
                <w:rFonts w:ascii="Arial" w:cs="Arial" w:eastAsia="Arial" w:hAnsi="Arial"/>
                <w:sz w:val="17"/>
                <w:szCs w:val="17"/>
                <w:color w:val="0000EE"/>
                <w:w w:val="92"/>
              </w:rPr>
            </w:pPr>
            <w:hyperlink w:anchor="page63">
              <w:r>
                <w:rPr>
                  <w:rFonts w:ascii="Arial" w:cs="Arial" w:eastAsia="Arial" w:hAnsi="Arial"/>
                  <w:sz w:val="17"/>
                  <w:szCs w:val="17"/>
                  <w:color w:val="0000EE"/>
                  <w:w w:val="92"/>
                </w:rPr>
                <w:t>Certification of Principal Financial Officer Pursuant to 18 U.S.C. Section 1350, as Adopted Pursuant to Section 906 of the Sarbanes-Oxley Act</w:t>
              </w:r>
            </w:hyperlink>
          </w:p>
        </w:tc>
      </w:tr>
      <w:tr>
        <w:trPr>
          <w:trHeight w:val="187"/>
        </w:trPr>
        <w:tc>
          <w:tcPr>
            <w:tcW w:w="1220" w:type="dxa"/>
            <w:vAlign w:val="bottom"/>
          </w:tcPr>
          <w:p>
            <w:pPr>
              <w:spacing w:after="0"/>
              <w:rPr>
                <w:sz w:val="16"/>
                <w:szCs w:val="16"/>
                <w:color w:val="auto"/>
              </w:rPr>
            </w:pPr>
          </w:p>
        </w:tc>
        <w:tc>
          <w:tcPr>
            <w:tcW w:w="580" w:type="dxa"/>
            <w:vAlign w:val="bottom"/>
            <w:tcBorders>
              <w:bottom w:val="single" w:sz="8" w:color="0000EE"/>
            </w:tcBorders>
          </w:tcPr>
          <w:p>
            <w:pPr>
              <w:spacing w:after="0" w:line="187" w:lineRule="exact"/>
              <w:rPr>
                <w:rFonts w:ascii="Arial" w:cs="Arial" w:eastAsia="Arial" w:hAnsi="Arial"/>
                <w:sz w:val="17"/>
                <w:szCs w:val="17"/>
                <w:color w:val="0000EE"/>
                <w:w w:val="91"/>
              </w:rPr>
            </w:pPr>
            <w:hyperlink w:anchor="page63">
              <w:r>
                <w:rPr>
                  <w:rFonts w:ascii="Arial" w:cs="Arial" w:eastAsia="Arial" w:hAnsi="Arial"/>
                  <w:sz w:val="17"/>
                  <w:szCs w:val="17"/>
                  <w:color w:val="0000EE"/>
                  <w:w w:val="91"/>
                </w:rPr>
                <w:t>of 2002.</w:t>
              </w:r>
            </w:hyperlink>
          </w:p>
        </w:tc>
        <w:tc>
          <w:tcPr>
            <w:tcW w:w="9280" w:type="dxa"/>
            <w:vAlign w:val="bottom"/>
            <w:gridSpan w:val="10"/>
          </w:tcPr>
          <w:p>
            <w:pPr>
              <w:spacing w:after="0"/>
              <w:rPr>
                <w:sz w:val="16"/>
                <w:szCs w:val="16"/>
                <w:color w:val="auto"/>
              </w:rPr>
            </w:pPr>
          </w:p>
        </w:tc>
      </w:tr>
      <w:tr>
        <w:trPr>
          <w:trHeight w:val="342"/>
        </w:trPr>
        <w:tc>
          <w:tcPr>
            <w:tcW w:w="1220" w:type="dxa"/>
            <w:vAlign w:val="bottom"/>
          </w:tcPr>
          <w:p>
            <w:pPr>
              <w:spacing w:after="0"/>
              <w:rPr>
                <w:sz w:val="20"/>
                <w:szCs w:val="20"/>
                <w:color w:val="auto"/>
              </w:rPr>
            </w:pPr>
            <w:r>
              <w:rPr>
                <w:rFonts w:ascii="Arial" w:cs="Arial" w:eastAsia="Arial" w:hAnsi="Arial"/>
                <w:sz w:val="17"/>
                <w:szCs w:val="17"/>
                <w:color w:val="auto"/>
              </w:rPr>
              <w:t>101.INS</w:t>
            </w:r>
          </w:p>
        </w:tc>
        <w:tc>
          <w:tcPr>
            <w:tcW w:w="9860" w:type="dxa"/>
            <w:vAlign w:val="bottom"/>
            <w:gridSpan w:val="11"/>
          </w:tcPr>
          <w:p>
            <w:pPr>
              <w:spacing w:after="0"/>
              <w:rPr>
                <w:sz w:val="20"/>
                <w:szCs w:val="20"/>
                <w:color w:val="auto"/>
              </w:rPr>
            </w:pPr>
            <w:r>
              <w:rPr>
                <w:rFonts w:ascii="Arial" w:cs="Arial" w:eastAsia="Arial" w:hAnsi="Arial"/>
                <w:sz w:val="17"/>
                <w:szCs w:val="17"/>
                <w:color w:val="auto"/>
              </w:rPr>
              <w:t>XBRL Instance Document</w:t>
            </w:r>
          </w:p>
        </w:tc>
      </w:tr>
      <w:tr>
        <w:trPr>
          <w:trHeight w:val="323"/>
        </w:trPr>
        <w:tc>
          <w:tcPr>
            <w:tcW w:w="1220" w:type="dxa"/>
            <w:vAlign w:val="bottom"/>
          </w:tcPr>
          <w:p>
            <w:pPr>
              <w:spacing w:after="0"/>
              <w:rPr>
                <w:sz w:val="20"/>
                <w:szCs w:val="20"/>
                <w:color w:val="auto"/>
              </w:rPr>
            </w:pPr>
            <w:r>
              <w:rPr>
                <w:rFonts w:ascii="Arial" w:cs="Arial" w:eastAsia="Arial" w:hAnsi="Arial"/>
                <w:sz w:val="17"/>
                <w:szCs w:val="17"/>
                <w:color w:val="auto"/>
              </w:rPr>
              <w:t>101.SCH</w:t>
            </w:r>
          </w:p>
        </w:tc>
        <w:tc>
          <w:tcPr>
            <w:tcW w:w="9860" w:type="dxa"/>
            <w:vAlign w:val="bottom"/>
            <w:gridSpan w:val="11"/>
          </w:tcPr>
          <w:p>
            <w:pPr>
              <w:spacing w:after="0"/>
              <w:rPr>
                <w:sz w:val="20"/>
                <w:szCs w:val="20"/>
                <w:color w:val="auto"/>
              </w:rPr>
            </w:pPr>
            <w:r>
              <w:rPr>
                <w:rFonts w:ascii="Arial" w:cs="Arial" w:eastAsia="Arial" w:hAnsi="Arial"/>
                <w:sz w:val="17"/>
                <w:szCs w:val="17"/>
                <w:color w:val="auto"/>
              </w:rPr>
              <w:t>XBRL Taxonomy Extension Schema Document</w:t>
            </w:r>
          </w:p>
        </w:tc>
      </w:tr>
      <w:tr>
        <w:trPr>
          <w:trHeight w:val="323"/>
        </w:trPr>
        <w:tc>
          <w:tcPr>
            <w:tcW w:w="1220" w:type="dxa"/>
            <w:vAlign w:val="bottom"/>
          </w:tcPr>
          <w:p>
            <w:pPr>
              <w:spacing w:after="0"/>
              <w:rPr>
                <w:sz w:val="20"/>
                <w:szCs w:val="20"/>
                <w:color w:val="auto"/>
              </w:rPr>
            </w:pPr>
            <w:r>
              <w:rPr>
                <w:rFonts w:ascii="Arial" w:cs="Arial" w:eastAsia="Arial" w:hAnsi="Arial"/>
                <w:sz w:val="17"/>
                <w:szCs w:val="17"/>
                <w:color w:val="auto"/>
              </w:rPr>
              <w:t>101.CAL</w:t>
            </w:r>
          </w:p>
        </w:tc>
        <w:tc>
          <w:tcPr>
            <w:tcW w:w="9860" w:type="dxa"/>
            <w:vAlign w:val="bottom"/>
            <w:gridSpan w:val="11"/>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323"/>
        </w:trPr>
        <w:tc>
          <w:tcPr>
            <w:tcW w:w="1220" w:type="dxa"/>
            <w:vAlign w:val="bottom"/>
          </w:tcPr>
          <w:p>
            <w:pPr>
              <w:spacing w:after="0"/>
              <w:rPr>
                <w:sz w:val="20"/>
                <w:szCs w:val="20"/>
                <w:color w:val="auto"/>
              </w:rPr>
            </w:pPr>
            <w:r>
              <w:rPr>
                <w:rFonts w:ascii="Arial" w:cs="Arial" w:eastAsia="Arial" w:hAnsi="Arial"/>
                <w:sz w:val="17"/>
                <w:szCs w:val="17"/>
                <w:color w:val="auto"/>
              </w:rPr>
              <w:t>101.DEF</w:t>
            </w:r>
          </w:p>
        </w:tc>
        <w:tc>
          <w:tcPr>
            <w:tcW w:w="9860" w:type="dxa"/>
            <w:vAlign w:val="bottom"/>
            <w:gridSpan w:val="11"/>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323"/>
        </w:trPr>
        <w:tc>
          <w:tcPr>
            <w:tcW w:w="1220" w:type="dxa"/>
            <w:vAlign w:val="bottom"/>
          </w:tcPr>
          <w:p>
            <w:pPr>
              <w:spacing w:after="0"/>
              <w:rPr>
                <w:sz w:val="20"/>
                <w:szCs w:val="20"/>
                <w:color w:val="auto"/>
              </w:rPr>
            </w:pPr>
            <w:r>
              <w:rPr>
                <w:rFonts w:ascii="Arial" w:cs="Arial" w:eastAsia="Arial" w:hAnsi="Arial"/>
                <w:sz w:val="17"/>
                <w:szCs w:val="17"/>
                <w:color w:val="auto"/>
              </w:rPr>
              <w:t>101.LAB</w:t>
            </w:r>
          </w:p>
        </w:tc>
        <w:tc>
          <w:tcPr>
            <w:tcW w:w="9860" w:type="dxa"/>
            <w:vAlign w:val="bottom"/>
            <w:gridSpan w:val="11"/>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323"/>
        </w:trPr>
        <w:tc>
          <w:tcPr>
            <w:tcW w:w="1220" w:type="dxa"/>
            <w:vAlign w:val="bottom"/>
          </w:tcPr>
          <w:p>
            <w:pPr>
              <w:spacing w:after="0"/>
              <w:rPr>
                <w:sz w:val="20"/>
                <w:szCs w:val="20"/>
                <w:color w:val="auto"/>
              </w:rPr>
            </w:pPr>
            <w:r>
              <w:rPr>
                <w:rFonts w:ascii="Arial" w:cs="Arial" w:eastAsia="Arial" w:hAnsi="Arial"/>
                <w:sz w:val="17"/>
                <w:szCs w:val="17"/>
                <w:color w:val="auto"/>
              </w:rPr>
              <w:t>101.PRE</w:t>
            </w:r>
          </w:p>
        </w:tc>
        <w:tc>
          <w:tcPr>
            <w:tcW w:w="9860" w:type="dxa"/>
            <w:vAlign w:val="bottom"/>
            <w:gridSpan w:val="11"/>
          </w:tcPr>
          <w:p>
            <w:pPr>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81915</wp:posOffset>
            </wp:positionV>
            <wp:extent cx="9683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48" w:lineRule="exact"/>
        <w:rPr>
          <w:sz w:val="20"/>
          <w:szCs w:val="20"/>
          <w:color w:val="auto"/>
        </w:rPr>
      </w:pPr>
    </w:p>
    <w:p>
      <w:pPr>
        <w:ind w:left="520" w:hanging="517"/>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50" w:lineRule="exact"/>
        <w:rPr>
          <w:sz w:val="20"/>
          <w:szCs w:val="20"/>
          <w:color w:val="auto"/>
        </w:rPr>
      </w:pPr>
    </w:p>
    <w:p>
      <w:pPr>
        <w:ind w:left="520" w:right="140" w:hanging="517"/>
        <w:spacing w:after="0" w:line="294"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exhibit was originally included as Exhibit 10.2 to the Quarterly Report on Form 10-Q filed on May 4, 2017 with confidential treatment granted on a portion of the exhibit. The confidential treatment order expired on April 30, 2018, and the full version of the exhibit is filed herewith.</w:t>
      </w:r>
    </w:p>
    <w:p>
      <w:pPr>
        <w:spacing w:after="0" w:line="1" w:lineRule="exact"/>
        <w:rPr>
          <w:rFonts w:ascii="Arial" w:cs="Arial" w:eastAsia="Arial" w:hAnsi="Arial"/>
          <w:sz w:val="16"/>
          <w:szCs w:val="16"/>
          <w:color w:val="auto"/>
        </w:rPr>
      </w:pPr>
    </w:p>
    <w:p>
      <w:pPr>
        <w:ind w:left="520" w:right="240" w:hanging="517"/>
        <w:spacing w:after="0" w:line="283"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Certain portions of this exhibit have been omitted pursuant to a request for confidential treatment and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29424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UNITI GROUP INC.</w:t>
            </w:r>
          </w:p>
        </w:tc>
      </w:tr>
      <w:tr>
        <w:trPr>
          <w:trHeight w:val="452"/>
        </w:trPr>
        <w:tc>
          <w:tcPr>
            <w:tcW w:w="680" w:type="dxa"/>
            <w:vAlign w:val="bottom"/>
          </w:tcPr>
          <w:p>
            <w:pPr>
              <w:spacing w:after="0"/>
              <w:rPr>
                <w:sz w:val="20"/>
                <w:szCs w:val="20"/>
                <w:color w:val="auto"/>
              </w:rPr>
            </w:pPr>
            <w:r>
              <w:rPr>
                <w:rFonts w:ascii="Arial" w:cs="Arial" w:eastAsia="Arial" w:hAnsi="Arial"/>
                <w:sz w:val="17"/>
                <w:szCs w:val="17"/>
                <w:color w:val="auto"/>
              </w:rPr>
              <w:t>Date:</w:t>
            </w:r>
          </w:p>
        </w:tc>
        <w:tc>
          <w:tcPr>
            <w:tcW w:w="4940" w:type="dxa"/>
            <w:vAlign w:val="bottom"/>
          </w:tcPr>
          <w:p>
            <w:pPr>
              <w:ind w:left="300"/>
              <w:spacing w:after="0"/>
              <w:rPr>
                <w:sz w:val="20"/>
                <w:szCs w:val="20"/>
                <w:color w:val="auto"/>
              </w:rPr>
            </w:pPr>
            <w:r>
              <w:rPr>
                <w:rFonts w:ascii="Arial" w:cs="Arial" w:eastAsia="Arial" w:hAnsi="Arial"/>
                <w:sz w:val="17"/>
                <w:szCs w:val="17"/>
                <w:color w:val="auto"/>
              </w:rPr>
              <w:t>May 10, 2018</w:t>
            </w:r>
          </w:p>
        </w:tc>
        <w:tc>
          <w:tcPr>
            <w:tcW w:w="5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A. Wallace</w:t>
            </w:r>
          </w:p>
        </w:tc>
      </w:tr>
      <w:tr>
        <w:trPr>
          <w:trHeight w:val="194"/>
        </w:trPr>
        <w:tc>
          <w:tcPr>
            <w:tcW w:w="6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5800" w:type="dxa"/>
            <w:vAlign w:val="bottom"/>
          </w:tcPr>
          <w:p>
            <w:pPr>
              <w:spacing w:after="0" w:line="194" w:lineRule="exact"/>
              <w:rPr>
                <w:sz w:val="20"/>
                <w:szCs w:val="20"/>
                <w:color w:val="auto"/>
              </w:rPr>
            </w:pPr>
            <w:r>
              <w:rPr>
                <w:rFonts w:ascii="Arial" w:cs="Arial" w:eastAsia="Arial" w:hAnsi="Arial"/>
                <w:sz w:val="17"/>
                <w:szCs w:val="17"/>
                <w:b w:val="1"/>
                <w:bCs w:val="1"/>
                <w:color w:val="auto"/>
              </w:rPr>
              <w:t>Mark A. Wallace</w:t>
            </w:r>
          </w:p>
        </w:tc>
      </w:tr>
      <w:tr>
        <w:trPr>
          <w:trHeight w:val="207"/>
        </w:trPr>
        <w:tc>
          <w:tcPr>
            <w:tcW w:w="6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Executive Vice President – Chief Financial Officer and Treasurer</w:t>
            </w:r>
          </w:p>
        </w:tc>
      </w:tr>
      <w:tr>
        <w:trPr>
          <w:trHeight w:val="225"/>
        </w:trPr>
        <w:tc>
          <w:tcPr>
            <w:tcW w:w="6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(Principal Financial Officer)</w:t>
            </w:r>
          </w:p>
        </w:tc>
      </w:tr>
      <w:tr>
        <w:trPr>
          <w:trHeight w:val="439"/>
        </w:trPr>
        <w:tc>
          <w:tcPr>
            <w:tcW w:w="680" w:type="dxa"/>
            <w:vAlign w:val="bottom"/>
          </w:tcPr>
          <w:p>
            <w:pPr>
              <w:spacing w:after="0"/>
              <w:rPr>
                <w:sz w:val="20"/>
                <w:szCs w:val="20"/>
                <w:color w:val="auto"/>
              </w:rPr>
            </w:pPr>
            <w:r>
              <w:rPr>
                <w:rFonts w:ascii="Arial" w:cs="Arial" w:eastAsia="Arial" w:hAnsi="Arial"/>
                <w:sz w:val="17"/>
                <w:szCs w:val="17"/>
                <w:color w:val="auto"/>
              </w:rPr>
              <w:t>Date:</w:t>
            </w:r>
          </w:p>
        </w:tc>
        <w:tc>
          <w:tcPr>
            <w:tcW w:w="4940" w:type="dxa"/>
            <w:vAlign w:val="bottom"/>
          </w:tcPr>
          <w:p>
            <w:pPr>
              <w:ind w:left="300"/>
              <w:spacing w:after="0"/>
              <w:rPr>
                <w:sz w:val="20"/>
                <w:szCs w:val="20"/>
                <w:color w:val="auto"/>
              </w:rPr>
            </w:pPr>
            <w:r>
              <w:rPr>
                <w:rFonts w:ascii="Arial" w:cs="Arial" w:eastAsia="Arial" w:hAnsi="Arial"/>
                <w:sz w:val="17"/>
                <w:szCs w:val="17"/>
                <w:color w:val="auto"/>
              </w:rPr>
              <w:t>May 10, 2018</w:t>
            </w:r>
          </w:p>
        </w:tc>
        <w:tc>
          <w:tcPr>
            <w:tcW w:w="5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Blake Schuhmacher</w:t>
            </w:r>
          </w:p>
        </w:tc>
      </w:tr>
      <w:tr>
        <w:trPr>
          <w:trHeight w:val="181"/>
        </w:trPr>
        <w:tc>
          <w:tcPr>
            <w:tcW w:w="6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5800" w:type="dxa"/>
            <w:vAlign w:val="bottom"/>
          </w:tcPr>
          <w:p>
            <w:pPr>
              <w:spacing w:after="0" w:line="181" w:lineRule="exact"/>
              <w:rPr>
                <w:sz w:val="20"/>
                <w:szCs w:val="20"/>
                <w:color w:val="auto"/>
              </w:rPr>
            </w:pPr>
            <w:r>
              <w:rPr>
                <w:rFonts w:ascii="Arial" w:cs="Arial" w:eastAsia="Arial" w:hAnsi="Arial"/>
                <w:sz w:val="17"/>
                <w:szCs w:val="17"/>
                <w:b w:val="1"/>
                <w:bCs w:val="1"/>
                <w:color w:val="auto"/>
              </w:rPr>
              <w:t>Blake Schuhmacher</w:t>
            </w:r>
          </w:p>
        </w:tc>
      </w:tr>
      <w:tr>
        <w:trPr>
          <w:trHeight w:val="207"/>
        </w:trPr>
        <w:tc>
          <w:tcPr>
            <w:tcW w:w="6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Vice President – Chief Accounting Officer</w:t>
            </w:r>
          </w:p>
        </w:tc>
      </w:tr>
      <w:tr>
        <w:trPr>
          <w:trHeight w:val="225"/>
        </w:trPr>
        <w:tc>
          <w:tcPr>
            <w:tcW w:w="6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7"/>
                <w:szCs w:val="17"/>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27" w:right="239" w:bottom="1440" w:gutter="0" w:footer="0" w:header="0"/>
        </w:sectPr>
      </w:pPr>
    </w:p>
    <w:bookmarkStart w:id="43" w:name="page44"/>
    <w:bookmarkEnd w:id="43"/>
    <w:p>
      <w:pPr>
        <w:ind w:left="9660"/>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2017 SHORT TERM INCENTIVE PLAN</w:t>
      </w:r>
    </w:p>
    <w:p>
      <w:pPr>
        <w:spacing w:after="0" w:line="200" w:lineRule="exact"/>
        <w:rPr>
          <w:sz w:val="20"/>
          <w:szCs w:val="20"/>
          <w:color w:val="auto"/>
        </w:rPr>
      </w:pPr>
    </w:p>
    <w:p>
      <w:pPr>
        <w:spacing w:after="0" w:line="212"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9"/>
          <w:szCs w:val="19"/>
          <w:color w:val="auto"/>
        </w:rPr>
        <w:t>As of February 14, 2017 (the “</w:t>
      </w:r>
      <w:r>
        <w:rPr>
          <w:rFonts w:ascii="Arial" w:cs="Arial" w:eastAsia="Arial" w:hAnsi="Arial"/>
          <w:sz w:val="19"/>
          <w:szCs w:val="19"/>
          <w:u w:val="single" w:color="auto"/>
          <w:color w:val="auto"/>
        </w:rPr>
        <w:t>Effective Date</w:t>
      </w:r>
      <w:r>
        <w:rPr>
          <w:rFonts w:ascii="Arial" w:cs="Arial" w:eastAsia="Arial" w:hAnsi="Arial"/>
          <w:sz w:val="19"/>
          <w:szCs w:val="19"/>
          <w:color w:val="auto"/>
        </w:rPr>
        <w:t>”), Communications Sales &amp; Leasing, Inc., a Maryland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hereby adopts this 2017 Short Term Plan (this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64"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19"/>
          <w:szCs w:val="19"/>
          <w:color w:val="auto"/>
        </w:rPr>
        <w:t>WHEREAS, the Compensation Committee of the Board of Directors of the Corporation deems it in the best interest of the Corporation that the Corporation reward certain executives of the Corporation with a short-term incentive program (annual cash bonuses) in order to motivate the Corporation’s executive officers to achieve performance goals that reinforce the Corporation’s annual business plan, to assist the Corporation in attracting and retaining qualified executives and to promote the alignment of the executive officers’ interests with those of the Corporation’s stockholders; and</w:t>
      </w:r>
    </w:p>
    <w:p>
      <w:pPr>
        <w:spacing w:after="0" w:line="181"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9"/>
          <w:szCs w:val="19"/>
          <w:color w:val="auto"/>
        </w:rPr>
        <w:t xml:space="preserve">WHEREAS, the Compensation Committee approved on February 14, 2017 the terms of this Plan, including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which is incorporated by reference in its entirety.</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NOW, THEREFORE, BE IT RESOLVED:</w:t>
      </w:r>
    </w:p>
    <w:p>
      <w:pPr>
        <w:spacing w:after="0" w:line="197" w:lineRule="exact"/>
        <w:rPr>
          <w:sz w:val="20"/>
          <w:szCs w:val="20"/>
          <w:color w:val="auto"/>
        </w:rPr>
      </w:pPr>
    </w:p>
    <w:p>
      <w:pPr>
        <w:ind w:right="600" w:firstLine="878"/>
        <w:spacing w:after="0"/>
        <w:rPr>
          <w:sz w:val="20"/>
          <w:szCs w:val="20"/>
          <w:color w:val="auto"/>
        </w:rPr>
      </w:pPr>
      <w:r>
        <w:rPr>
          <w:rFonts w:ascii="Arial" w:cs="Arial" w:eastAsia="Arial" w:hAnsi="Arial"/>
          <w:sz w:val="21"/>
          <w:szCs w:val="21"/>
          <w:b w:val="1"/>
          <w:bCs w:val="1"/>
          <w:color w:val="auto"/>
        </w:rPr>
        <w:t xml:space="preserve">Section 1. </w:t>
      </w:r>
      <w:r>
        <w:rPr>
          <w:rFonts w:ascii="Arial" w:cs="Arial" w:eastAsia="Arial" w:hAnsi="Arial"/>
          <w:sz w:val="18"/>
          <w:szCs w:val="18"/>
          <w:b w:val="1"/>
          <w:bCs w:val="1"/>
          <w:color w:val="auto"/>
        </w:rPr>
        <w:t>Definitions</w:t>
      </w:r>
      <w:r>
        <w:rPr>
          <w:rFonts w:ascii="Arial" w:cs="Arial" w:eastAsia="Arial" w:hAnsi="Arial"/>
          <w:sz w:val="18"/>
          <w:szCs w:val="18"/>
          <w:color w:val="auto"/>
        </w:rPr>
        <w:t>. The following words and phrases shall have the following meanings unless a different meaning is plainly</w:t>
      </w:r>
      <w:r>
        <w:rPr>
          <w:rFonts w:ascii="Arial" w:cs="Arial" w:eastAsia="Arial" w:hAnsi="Arial"/>
          <w:sz w:val="21"/>
          <w:szCs w:val="21"/>
          <w:b w:val="1"/>
          <w:bCs w:val="1"/>
          <w:color w:val="auto"/>
        </w:rPr>
        <w:t xml:space="preserve"> </w:t>
      </w:r>
      <w:r>
        <w:rPr>
          <w:rFonts w:ascii="Arial" w:cs="Arial" w:eastAsia="Arial" w:hAnsi="Arial"/>
          <w:sz w:val="18"/>
          <w:szCs w:val="18"/>
          <w:color w:val="auto"/>
        </w:rPr>
        <w:t>required by the context:</w:t>
      </w:r>
    </w:p>
    <w:p>
      <w:pPr>
        <w:sectPr>
          <w:pgSz w:w="11900" w:h="16838" w:orient="portrait"/>
          <w:cols w:equalWidth="0" w:num="1">
            <w:col w:w="11420"/>
          </w:cols>
          <w:pgMar w:left="240" w:top="336" w:right="239" w:bottom="1440" w:gutter="0" w:footer="0" w:header="0"/>
        </w:sectPr>
      </w:pPr>
    </w:p>
    <w:p>
      <w:pPr>
        <w:spacing w:after="0" w:line="18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Award</w:t>
      </w:r>
      <w:r>
        <w:rPr>
          <w:rFonts w:ascii="Arial" w:cs="Arial" w:eastAsia="Arial" w:hAnsi="Arial"/>
          <w:sz w:val="17"/>
          <w:szCs w:val="17"/>
          <w:color w:val="auto"/>
        </w:rPr>
        <w:t>” means any Short-Term Cash Bonus granted under this Plan.</w:t>
      </w:r>
    </w:p>
    <w:p>
      <w:pPr>
        <w:spacing w:after="0" w:line="200" w:lineRule="exact"/>
        <w:rPr>
          <w:sz w:val="20"/>
          <w:szCs w:val="20"/>
          <w:color w:val="auto"/>
        </w:rPr>
      </w:pPr>
    </w:p>
    <w:p>
      <w:pPr>
        <w:sectPr>
          <w:pgSz w:w="11900" w:h="16838" w:orient="portrait"/>
          <w:cols w:equalWidth="0" w:num="2">
            <w:col w:w="3060" w:space="720"/>
            <w:col w:w="7640"/>
          </w:cols>
          <w:pgMar w:left="240" w:top="336" w:right="239" w:bottom="1440" w:gutter="0" w:footer="0" w:header="0"/>
          <w:type w:val="continuous"/>
        </w:sectPr>
      </w:pPr>
    </w:p>
    <w:p>
      <w:pPr>
        <w:spacing w:after="0" w:line="26"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w:t>
      </w:r>
      <w:r>
        <w:rPr>
          <w:rFonts w:ascii="Arial" w:cs="Arial" w:eastAsia="Arial" w:hAnsi="Arial"/>
          <w:sz w:val="17"/>
          <w:szCs w:val="17"/>
          <w:color w:val="auto"/>
        </w:rPr>
        <w:t>” means the Board of Directors of the Corporation.</w:t>
      </w:r>
    </w:p>
    <w:p>
      <w:pPr>
        <w:spacing w:after="0" w:line="205" w:lineRule="exact"/>
        <w:rPr>
          <w:sz w:val="20"/>
          <w:szCs w:val="20"/>
          <w:color w:val="auto"/>
        </w:rPr>
      </w:pPr>
    </w:p>
    <w:p>
      <w:pPr>
        <w:sectPr>
          <w:pgSz w:w="11900" w:h="16838" w:orient="portrait"/>
          <w:cols w:equalWidth="0" w:num="2">
            <w:col w:w="3120" w:space="720"/>
            <w:col w:w="7580"/>
          </w:cols>
          <w:pgMar w:left="240" w:top="336" w:right="239" w:bottom="1440" w:gutter="0" w:footer="0" w:header="0"/>
          <w:type w:val="continuous"/>
        </w:sectPr>
      </w:pP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w:t>
      </w:r>
    </w:p>
    <w:p>
      <w:pPr>
        <w:spacing w:after="0" w:line="205" w:lineRule="exact"/>
        <w:rPr>
          <w:sz w:val="20"/>
          <w:szCs w:val="20"/>
          <w:color w:val="auto"/>
        </w:rPr>
      </w:pPr>
    </w:p>
    <w:p>
      <w:pPr>
        <w:sectPr>
          <w:pgSz w:w="11900" w:h="16838" w:orient="portrait"/>
          <w:cols w:equalWidth="0" w:num="2">
            <w:col w:w="3060" w:space="720"/>
            <w:col w:w="7640"/>
          </w:cols>
          <w:pgMar w:left="240" w:top="336" w:right="239" w:bottom="1440" w:gutter="0" w:footer="0" w:header="0"/>
          <w:type w:val="continuous"/>
        </w:sectPr>
      </w:pPr>
    </w:p>
    <w:p>
      <w:pPr>
        <w:spacing w:after="0" w:line="32"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(d)</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administer this Plan.</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Committee</w:t>
      </w:r>
      <w:r>
        <w:rPr>
          <w:rFonts w:ascii="Arial" w:cs="Arial" w:eastAsia="Arial" w:hAnsi="Arial"/>
          <w:sz w:val="17"/>
          <w:szCs w:val="17"/>
          <w:color w:val="auto"/>
        </w:rPr>
        <w:t>” means the Compensation Committee of the Board which has been appointed to</w:t>
      </w:r>
    </w:p>
    <w:p>
      <w:pPr>
        <w:spacing w:after="0" w:line="435" w:lineRule="exact"/>
        <w:rPr>
          <w:sz w:val="20"/>
          <w:szCs w:val="20"/>
          <w:color w:val="auto"/>
        </w:rPr>
      </w:pPr>
    </w:p>
    <w:p>
      <w:pPr>
        <w:sectPr>
          <w:pgSz w:w="11900" w:h="16838" w:orient="portrait"/>
          <w:cols w:equalWidth="0" w:num="2">
            <w:col w:w="3080" w:space="720"/>
            <w:col w:w="7620"/>
          </w:cols>
          <w:pgMar w:left="240" w:top="336" w:right="239" w:bottom="1440" w:gutter="0" w:footer="0" w:header="0"/>
          <w:type w:val="continuous"/>
        </w:sectPr>
      </w:pPr>
    </w:p>
    <w:p>
      <w:pPr>
        <w:spacing w:after="0" w:line="10"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(e)</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direct or indirect subsidiary thereof.</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Corporation</w:t>
      </w:r>
      <w:r>
        <w:rPr>
          <w:rFonts w:ascii="Arial" w:cs="Arial" w:eastAsia="Arial" w:hAnsi="Arial"/>
          <w:sz w:val="17"/>
          <w:szCs w:val="17"/>
          <w:color w:val="auto"/>
        </w:rPr>
        <w:t>” means Communications Sales &amp; Leasing, Inc., a Maryland corporation, and any</w:t>
      </w:r>
    </w:p>
    <w:p>
      <w:pPr>
        <w:spacing w:after="0" w:line="435" w:lineRule="exact"/>
        <w:rPr>
          <w:sz w:val="20"/>
          <w:szCs w:val="20"/>
          <w:color w:val="auto"/>
        </w:rPr>
      </w:pPr>
    </w:p>
    <w:p>
      <w:pPr>
        <w:sectPr>
          <w:pgSz w:w="11900" w:h="16838" w:orient="portrait"/>
          <w:cols w:equalWidth="0" w:num="2">
            <w:col w:w="3600" w:space="180"/>
            <w:col w:w="7640"/>
          </w:cols>
          <w:pgMar w:left="240" w:top="336" w:right="239" w:bottom="1440" w:gutter="0" w:footer="0" w:header="0"/>
          <w:type w:val="continuous"/>
        </w:sectPr>
      </w:pPr>
    </w:p>
    <w:p>
      <w:pPr>
        <w:spacing w:after="0" w:line="10" w:lineRule="exact"/>
        <w:rPr>
          <w:sz w:val="20"/>
          <w:szCs w:val="20"/>
          <w:color w:val="auto"/>
        </w:rPr>
      </w:pPr>
    </w:p>
    <w:p>
      <w:pPr>
        <w:jc w:val="center"/>
        <w:ind w:left="560"/>
        <w:spacing w:after="0"/>
        <w:rPr>
          <w:sz w:val="20"/>
          <w:szCs w:val="20"/>
          <w:color w:val="auto"/>
        </w:rPr>
      </w:pPr>
      <w:r>
        <w:rPr>
          <w:rFonts w:ascii="Arial" w:cs="Arial" w:eastAsia="Arial" w:hAnsi="Arial"/>
          <w:sz w:val="21"/>
          <w:szCs w:val="21"/>
          <w:color w:val="auto"/>
        </w:rPr>
        <w:t>(f)</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Eligible Officer</w:t>
      </w:r>
      <w:r>
        <w:rPr>
          <w:rFonts w:ascii="Arial" w:cs="Arial" w:eastAsia="Arial" w:hAnsi="Arial"/>
          <w:sz w:val="17"/>
          <w:szCs w:val="17"/>
          <w:color w:val="auto"/>
        </w:rPr>
        <w:t>” means an officer of the Corporation holding the positions set forth in Section 3 of</w:t>
      </w:r>
    </w:p>
    <w:p>
      <w:pPr>
        <w:spacing w:after="0" w:line="46" w:lineRule="exact"/>
        <w:rPr>
          <w:sz w:val="20"/>
          <w:szCs w:val="20"/>
          <w:color w:val="auto"/>
        </w:rPr>
      </w:pPr>
    </w:p>
    <w:p>
      <w:pPr>
        <w:sectPr>
          <w:pgSz w:w="11900" w:h="16838" w:orient="portrait"/>
          <w:cols w:equalWidth="0" w:num="2">
            <w:col w:w="3040" w:space="720"/>
            <w:col w:w="7660"/>
          </w:cols>
          <w:pgMar w:left="240" w:top="336" w:right="239" w:bottom="1440" w:gutter="0" w:footer="0" w:header="0"/>
          <w:type w:val="continuous"/>
        </w:sectPr>
      </w:pPr>
    </w:p>
    <w:p>
      <w:pPr>
        <w:ind w:left="880"/>
        <w:spacing w:after="0"/>
        <w:rPr>
          <w:sz w:val="20"/>
          <w:szCs w:val="20"/>
          <w:color w:val="auto"/>
        </w:rPr>
      </w:pPr>
      <w:r>
        <w:rPr>
          <w:rFonts w:ascii="Arial" w:cs="Arial" w:eastAsia="Arial" w:hAnsi="Arial"/>
          <w:sz w:val="19"/>
          <w:szCs w:val="19"/>
          <w:color w:val="auto"/>
        </w:rPr>
        <w:t>this Plan.</w:t>
      </w:r>
    </w:p>
    <w:p>
      <w:pPr>
        <w:spacing w:after="0" w:line="181" w:lineRule="exact"/>
        <w:rPr>
          <w:sz w:val="20"/>
          <w:szCs w:val="20"/>
          <w:color w:val="auto"/>
        </w:rPr>
      </w:pPr>
    </w:p>
    <w:p>
      <w:pPr>
        <w:ind w:left="880" w:right="400" w:firstLine="811"/>
        <w:spacing w:after="0" w:line="239" w:lineRule="exact"/>
        <w:rPr>
          <w:sz w:val="20"/>
          <w:szCs w:val="20"/>
          <w:color w:val="auto"/>
        </w:rPr>
      </w:pPr>
      <w:r>
        <w:rPr>
          <w:rFonts w:ascii="Arial" w:cs="Arial" w:eastAsia="Arial" w:hAnsi="Arial"/>
          <w:sz w:val="21"/>
          <w:szCs w:val="21"/>
          <w:color w:val="auto"/>
        </w:rPr>
        <w:t xml:space="preserve">(g) </w:t>
      </w: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means an individual who is an employee of the Corporation who is reported on the</w:t>
      </w:r>
      <w:r>
        <w:rPr>
          <w:rFonts w:ascii="Arial" w:cs="Arial" w:eastAsia="Arial" w:hAnsi="Arial"/>
          <w:sz w:val="21"/>
          <w:szCs w:val="21"/>
          <w:color w:val="auto"/>
        </w:rPr>
        <w:t xml:space="preserve"> </w:t>
      </w:r>
      <w:r>
        <w:rPr>
          <w:rFonts w:ascii="Arial" w:cs="Arial" w:eastAsia="Arial" w:hAnsi="Arial"/>
          <w:sz w:val="18"/>
          <w:szCs w:val="18"/>
          <w:color w:val="auto"/>
        </w:rPr>
        <w:t>payroll records as a common</w:t>
      </w:r>
      <w:r>
        <w:rPr>
          <w:rFonts w:ascii="MS PGothic" w:cs="MS PGothic" w:eastAsia="MS PGothic" w:hAnsi="MS PGothic"/>
          <w:sz w:val="18"/>
          <w:szCs w:val="18"/>
          <w:color w:val="auto"/>
        </w:rPr>
        <w:t>‑</w:t>
      </w:r>
      <w:r>
        <w:rPr>
          <w:rFonts w:ascii="Arial" w:cs="Arial" w:eastAsia="Arial" w:hAnsi="Arial"/>
          <w:sz w:val="18"/>
          <w:szCs w:val="18"/>
          <w:color w:val="auto"/>
        </w:rPr>
        <w:t>law employee.</w:t>
      </w:r>
    </w:p>
    <w:p>
      <w:pPr>
        <w:sectPr>
          <w:pgSz w:w="11900" w:h="16838" w:orient="portrait"/>
          <w:cols w:equalWidth="0" w:num="1">
            <w:col w:w="11420"/>
          </w:cols>
          <w:pgMar w:left="240" w:top="336" w:right="239" w:bottom="1440" w:gutter="0" w:footer="0" w:header="0"/>
          <w:type w:val="continuous"/>
        </w:sectPr>
      </w:pPr>
    </w:p>
    <w:p>
      <w:pPr>
        <w:spacing w:after="0" w:line="182"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Plan</w:t>
      </w:r>
      <w:r>
        <w:rPr>
          <w:rFonts w:ascii="Arial" w:cs="Arial" w:eastAsia="Arial" w:hAnsi="Arial"/>
          <w:sz w:val="17"/>
          <w:szCs w:val="17"/>
          <w:color w:val="auto"/>
        </w:rPr>
        <w:t>” means this 2017 Short Term Plan of the Corporation.</w:t>
      </w:r>
    </w:p>
    <w:p>
      <w:pPr>
        <w:spacing w:after="0" w:line="205" w:lineRule="exact"/>
        <w:rPr>
          <w:sz w:val="20"/>
          <w:szCs w:val="20"/>
          <w:color w:val="auto"/>
        </w:rPr>
      </w:pPr>
    </w:p>
    <w:p>
      <w:pPr>
        <w:sectPr>
          <w:pgSz w:w="11900" w:h="16838" w:orient="portrait"/>
          <w:cols w:equalWidth="0" w:num="2">
            <w:col w:w="3120" w:space="720"/>
            <w:col w:w="7580"/>
          </w:cols>
          <w:pgMar w:left="240" w:top="336" w:right="239" w:bottom="1440" w:gutter="0" w:footer="0" w:header="0"/>
          <w:type w:val="continuous"/>
        </w:sectPr>
      </w:pPr>
    </w:p>
    <w:p>
      <w:pPr>
        <w:spacing w:after="0" w:line="21"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(i)</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pursuant to Section 4 of this Plan.</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Short-Term Incentive Bonus</w:t>
      </w:r>
      <w:r>
        <w:rPr>
          <w:rFonts w:ascii="Arial" w:cs="Arial" w:eastAsia="Arial" w:hAnsi="Arial"/>
          <w:sz w:val="17"/>
          <w:szCs w:val="17"/>
          <w:color w:val="auto"/>
        </w:rPr>
        <w:t>” means the incentive compensation granted to an Eligible Officer</w:t>
      </w:r>
    </w:p>
    <w:p>
      <w:pPr>
        <w:spacing w:after="0" w:line="435" w:lineRule="exact"/>
        <w:rPr>
          <w:sz w:val="20"/>
          <w:szCs w:val="20"/>
          <w:color w:val="auto"/>
        </w:rPr>
      </w:pPr>
    </w:p>
    <w:p>
      <w:pPr>
        <w:sectPr>
          <w:pgSz w:w="11900" w:h="16838" w:orient="portrait"/>
          <w:cols w:equalWidth="0" w:num="2">
            <w:col w:w="3440" w:space="300"/>
            <w:col w:w="7680"/>
          </w:cols>
          <w:pgMar w:left="240" w:top="336" w:right="239" w:bottom="1440" w:gutter="0" w:footer="0" w:header="0"/>
          <w:type w:val="continuous"/>
        </w:sectPr>
      </w:pPr>
    </w:p>
    <w:p>
      <w:pPr>
        <w:spacing w:after="0" w:line="10" w:lineRule="exact"/>
        <w:rPr>
          <w:sz w:val="20"/>
          <w:szCs w:val="20"/>
          <w:color w:val="auto"/>
        </w:rPr>
      </w:pPr>
    </w:p>
    <w:p>
      <w:pPr>
        <w:ind w:left="1700"/>
        <w:spacing w:after="0"/>
        <w:tabs>
          <w:tab w:leader="none" w:pos="3720" w:val="left"/>
        </w:tabs>
        <w:rPr>
          <w:sz w:val="20"/>
          <w:szCs w:val="20"/>
          <w:color w:val="auto"/>
        </w:rPr>
      </w:pPr>
      <w:r>
        <w:rPr>
          <w:rFonts w:ascii="Arial" w:cs="Arial" w:eastAsia="Arial" w:hAnsi="Arial"/>
          <w:sz w:val="19"/>
          <w:szCs w:val="19"/>
          <w:color w:val="auto"/>
        </w:rPr>
        <w:t>(j)</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a corporation at least 50% of the total combined voting power of all classes of</w:t>
      </w:r>
    </w:p>
    <w:p>
      <w:pPr>
        <w:sectPr>
          <w:pgSz w:w="11900" w:h="16838" w:orient="portrait"/>
          <w:cols w:equalWidth="0" w:num="1">
            <w:col w:w="11420"/>
          </w:cols>
          <w:pgMar w:left="240" w:top="336" w:right="239" w:bottom="1440" w:gutter="0" w:footer="0" w:header="0"/>
          <w:type w:val="continuous"/>
        </w:sectPr>
      </w:pPr>
    </w:p>
    <w:p>
      <w:pPr>
        <w:spacing w:after="0" w:line="4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stock which is owned by the Corporation, either directly or through one or more other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332740</wp:posOffset>
            </wp:positionV>
            <wp:extent cx="729424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44" w:name="page45"/>
    <w:bookmarkEnd w:id="44"/>
    <w:p>
      <w:pPr>
        <w:ind w:left="880"/>
        <w:spacing w:after="0"/>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17"/>
          <w:szCs w:val="17"/>
          <w:b w:val="1"/>
          <w:bCs w:val="1"/>
          <w:color w:val="auto"/>
        </w:rPr>
        <w:t>Administration</w:t>
      </w:r>
      <w:r>
        <w:rPr>
          <w:rFonts w:ascii="Arial" w:cs="Arial" w:eastAsia="Arial" w:hAnsi="Arial"/>
          <w:sz w:val="17"/>
          <w:szCs w:val="17"/>
          <w:color w:val="auto"/>
        </w:rPr>
        <w:t>. This Plan will be administered by the Committee. In addition to any other powers granted to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Committee, the Committee will have the following powers:</w:t>
      </w:r>
    </w:p>
    <w:p>
      <w:pPr>
        <w:sectPr>
          <w:pgSz w:w="11900" w:h="16838" w:orient="portrait"/>
          <w:cols w:equalWidth="0" w:num="1">
            <w:col w:w="11380"/>
          </w:cols>
          <w:pgMar w:left="240" w:top="332" w:right="279" w:bottom="1440" w:gutter="0" w:footer="0" w:header="0"/>
        </w:sectPr>
      </w:pPr>
    </w:p>
    <w:p>
      <w:pPr>
        <w:spacing w:after="0" w:line="187" w:lineRule="exact"/>
        <w:rPr>
          <w:sz w:val="20"/>
          <w:szCs w:val="20"/>
          <w:color w:val="auto"/>
        </w:rPr>
      </w:pPr>
    </w:p>
    <w:p>
      <w:pPr>
        <w:jc w:val="center"/>
        <w:ind w:left="560"/>
        <w:spacing w:after="0"/>
        <w:rPr>
          <w:sz w:val="20"/>
          <w:szCs w:val="20"/>
          <w:color w:val="auto"/>
        </w:rPr>
      </w:pPr>
      <w:r>
        <w:rPr>
          <w:rFonts w:ascii="Arial" w:cs="Arial" w:eastAsia="Arial" w:hAnsi="Arial"/>
          <w:sz w:val="21"/>
          <w:szCs w:val="21"/>
          <w:color w:val="auto"/>
        </w:rPr>
        <w:t>(a)</w:t>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Plan to Eligible Officers;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to determine whether and to what extent Short-Term Incentive Bonuses are to be granted under this</w:t>
      </w:r>
    </w:p>
    <w:p>
      <w:pPr>
        <w:spacing w:after="0" w:line="435" w:lineRule="exact"/>
        <w:rPr>
          <w:sz w:val="20"/>
          <w:szCs w:val="20"/>
          <w:color w:val="auto"/>
        </w:rPr>
      </w:pPr>
    </w:p>
    <w:p>
      <w:pPr>
        <w:sectPr>
          <w:pgSz w:w="11900" w:h="16838" w:orient="portrait"/>
          <w:cols w:equalWidth="0" w:num="2">
            <w:col w:w="3060" w:space="720"/>
            <w:col w:w="7600"/>
          </w:cols>
          <w:pgMar w:left="240" w:top="332" w:right="279" w:bottom="1440" w:gutter="0" w:footer="0" w:header="0"/>
          <w:type w:val="continuous"/>
        </w:sectPr>
      </w:pPr>
    </w:p>
    <w:p>
      <w:pPr>
        <w:spacing w:after="0" w:line="10" w:lineRule="exact"/>
        <w:rPr>
          <w:sz w:val="20"/>
          <w:szCs w:val="20"/>
          <w:color w:val="auto"/>
        </w:rPr>
      </w:pPr>
    </w:p>
    <w:p>
      <w:pPr>
        <w:ind w:left="880" w:right="260" w:firstLine="811"/>
        <w:spacing w:after="0" w:line="239" w:lineRule="exact"/>
        <w:rPr>
          <w:sz w:val="20"/>
          <w:szCs w:val="20"/>
          <w:color w:val="auto"/>
        </w:rPr>
      </w:pPr>
      <w:r>
        <w:rPr>
          <w:rFonts w:ascii="Arial" w:cs="Arial" w:eastAsia="Arial" w:hAnsi="Arial"/>
          <w:sz w:val="21"/>
          <w:szCs w:val="21"/>
          <w:color w:val="auto"/>
        </w:rPr>
        <w:t xml:space="preserve">(b) </w:t>
      </w:r>
      <w:r>
        <w:rPr>
          <w:rFonts w:ascii="Arial" w:cs="Arial" w:eastAsia="Arial" w:hAnsi="Arial"/>
          <w:sz w:val="18"/>
          <w:szCs w:val="18"/>
          <w:color w:val="auto"/>
        </w:rPr>
        <w:t>to determine whether the performance metrics required to receive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Bonuses</w:t>
      </w:r>
      <w:r>
        <w:rPr>
          <w:rFonts w:ascii="Arial" w:cs="Arial" w:eastAsia="Arial" w:hAnsi="Arial"/>
          <w:sz w:val="21"/>
          <w:szCs w:val="21"/>
          <w:color w:val="auto"/>
        </w:rPr>
        <w:t xml:space="preserve"> </w:t>
      </w:r>
      <w:r>
        <w:rPr>
          <w:rFonts w:ascii="Arial" w:cs="Arial" w:eastAsia="Arial" w:hAnsi="Arial"/>
          <w:sz w:val="18"/>
          <w:szCs w:val="18"/>
          <w:color w:val="auto"/>
        </w:rPr>
        <w:t>have been satisfied and to what extent they have been satisfied;</w:t>
      </w:r>
    </w:p>
    <w:p>
      <w:pPr>
        <w:sectPr>
          <w:pgSz w:w="11900" w:h="16838" w:orient="portrait"/>
          <w:cols w:equalWidth="0" w:num="1">
            <w:col w:w="11380"/>
          </w:cols>
          <w:pgMar w:left="240" w:top="332" w:right="279" w:bottom="1440" w:gutter="0" w:footer="0" w:header="0"/>
          <w:type w:val="continuous"/>
        </w:sectPr>
      </w:pPr>
    </w:p>
    <w:p>
      <w:pPr>
        <w:spacing w:after="0" w:line="18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construe and interpret this Plan;</w:t>
      </w:r>
    </w:p>
    <w:p>
      <w:pPr>
        <w:spacing w:after="0" w:line="200" w:lineRule="exact"/>
        <w:rPr>
          <w:sz w:val="20"/>
          <w:szCs w:val="20"/>
          <w:color w:val="auto"/>
        </w:rPr>
      </w:pPr>
    </w:p>
    <w:p>
      <w:pPr>
        <w:sectPr>
          <w:pgSz w:w="11900" w:h="16838" w:orient="portrait"/>
          <w:cols w:equalWidth="0" w:num="2">
            <w:col w:w="3060" w:space="720"/>
            <w:col w:w="7600"/>
          </w:cols>
          <w:pgMar w:left="240" w:top="332" w:right="279" w:bottom="1440" w:gutter="0" w:footer="0" w:header="0"/>
          <w:type w:val="continuous"/>
        </w:sectPr>
      </w:pPr>
    </w:p>
    <w:p>
      <w:pPr>
        <w:spacing w:after="0" w:line="26" w:lineRule="exact"/>
        <w:rPr>
          <w:sz w:val="20"/>
          <w:szCs w:val="20"/>
          <w:color w:val="auto"/>
        </w:rPr>
      </w:pPr>
    </w:p>
    <w:p>
      <w:pPr>
        <w:ind w:left="1700"/>
        <w:spacing w:after="0" w:line="219" w:lineRule="exact"/>
        <w:tabs>
          <w:tab w:leader="none" w:pos="3780" w:val="left"/>
        </w:tabs>
        <w:rPr>
          <w:sz w:val="20"/>
          <w:szCs w:val="20"/>
          <w:color w:val="auto"/>
        </w:rPr>
      </w:pPr>
      <w:r>
        <w:rPr>
          <w:rFonts w:ascii="Arial" w:cs="Arial" w:eastAsia="Arial" w:hAnsi="Arial"/>
          <w:sz w:val="19"/>
          <w:szCs w:val="19"/>
          <w:color w:val="auto"/>
        </w:rPr>
        <w:t>(d)</w:t>
      </w:r>
      <w:r>
        <w:rPr>
          <w:sz w:val="20"/>
          <w:szCs w:val="20"/>
          <w:color w:val="auto"/>
        </w:rPr>
        <w:tab/>
      </w:r>
      <w:r>
        <w:rPr>
          <w:rFonts w:ascii="Arial" w:cs="Arial" w:eastAsia="Arial" w:hAnsi="Arial"/>
          <w:sz w:val="17"/>
          <w:szCs w:val="17"/>
          <w:color w:val="auto"/>
        </w:rPr>
        <w:t>to require, at the time Short</w:t>
      </w:r>
      <w:r>
        <w:rPr>
          <w:rFonts w:ascii="MS PGothic" w:cs="MS PGothic" w:eastAsia="MS PGothic" w:hAnsi="MS PGothic"/>
          <w:sz w:val="17"/>
          <w:szCs w:val="17"/>
          <w:color w:val="auto"/>
        </w:rPr>
        <w:t>‑</w:t>
      </w:r>
      <w:r>
        <w:rPr>
          <w:rFonts w:ascii="Arial" w:cs="Arial" w:eastAsia="Arial" w:hAnsi="Arial"/>
          <w:sz w:val="17"/>
          <w:szCs w:val="17"/>
          <w:color w:val="auto"/>
        </w:rPr>
        <w:t>Term Incentive Bonuses are to be paid, the making of any</w:t>
      </w:r>
    </w:p>
    <w:p>
      <w:pPr>
        <w:sectPr>
          <w:pgSz w:w="11900" w:h="16838" w:orient="portrait"/>
          <w:cols w:equalWidth="0" w:num="1">
            <w:col w:w="11380"/>
          </w:cols>
          <w:pgMar w:left="240" w:top="332" w:right="279" w:bottom="1440" w:gutter="0" w:footer="0" w:header="0"/>
          <w:type w:val="continuous"/>
        </w:sectPr>
      </w:pPr>
    </w:p>
    <w:p>
      <w:pPr>
        <w:spacing w:after="0" w:line="46" w:lineRule="exact"/>
        <w:rPr>
          <w:sz w:val="20"/>
          <w:szCs w:val="20"/>
          <w:color w:val="auto"/>
        </w:rPr>
      </w:pPr>
    </w:p>
    <w:p>
      <w:pPr>
        <w:ind w:left="880" w:right="540"/>
        <w:spacing w:after="0" w:line="237" w:lineRule="auto"/>
        <w:rPr>
          <w:sz w:val="20"/>
          <w:szCs w:val="20"/>
          <w:color w:val="auto"/>
        </w:rPr>
      </w:pPr>
      <w:r>
        <w:rPr>
          <w:rFonts w:ascii="Arial" w:cs="Arial" w:eastAsia="Arial" w:hAnsi="Arial"/>
          <w:sz w:val="19"/>
          <w:szCs w:val="19"/>
          <w:color w:val="auto"/>
        </w:rPr>
        <w:t>representations or agreements that the Committee may deem necessary or advisable in order for the Corporation to comply with the securities laws of the United States of America or of any state or any rule or regulation thereunder;</w:t>
      </w:r>
    </w:p>
    <w:p>
      <w:pPr>
        <w:sectPr>
          <w:pgSz w:w="11900" w:h="16838" w:orient="portrait"/>
          <w:cols w:equalWidth="0" w:num="1">
            <w:col w:w="11380"/>
          </w:cols>
          <w:pgMar w:left="240" w:top="332" w:right="279" w:bottom="1440" w:gutter="0" w:footer="0" w:header="0"/>
          <w:type w:val="continuous"/>
        </w:sectPr>
      </w:pPr>
    </w:p>
    <w:p>
      <w:pPr>
        <w:spacing w:after="0" w:line="18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to provide for satisfaction of an Eligible Officer’s tax liabilities arising in connection with this Plan;</w:t>
      </w:r>
    </w:p>
    <w:p>
      <w:pPr>
        <w:spacing w:after="0" w:line="51" w:lineRule="exact"/>
        <w:rPr>
          <w:sz w:val="20"/>
          <w:szCs w:val="20"/>
          <w:color w:val="auto"/>
        </w:rPr>
      </w:pPr>
    </w:p>
    <w:p>
      <w:pPr>
        <w:sectPr>
          <w:pgSz w:w="11900" w:h="16838" w:orient="portrait"/>
          <w:cols w:equalWidth="0" w:num="2">
            <w:col w:w="3060" w:space="720"/>
            <w:col w:w="7600"/>
          </w:cols>
          <w:pgMar w:left="240" w:top="332" w:right="279" w:bottom="1440" w:gutter="0" w:footer="0" w:header="0"/>
          <w:type w:val="continuous"/>
        </w:sectPr>
      </w:pPr>
    </w:p>
    <w:p>
      <w:pPr>
        <w:ind w:left="880"/>
        <w:spacing w:after="0"/>
        <w:rPr>
          <w:sz w:val="20"/>
          <w:szCs w:val="20"/>
          <w:color w:val="auto"/>
        </w:rPr>
      </w:pPr>
      <w:r>
        <w:rPr>
          <w:rFonts w:ascii="Arial" w:cs="Arial" w:eastAsia="Arial" w:hAnsi="Arial"/>
          <w:sz w:val="16"/>
          <w:szCs w:val="16"/>
          <w:color w:val="auto"/>
        </w:rPr>
        <w:t>and</w:t>
      </w:r>
    </w:p>
    <w:p>
      <w:pPr>
        <w:sectPr>
          <w:pgSz w:w="11900" w:h="16838" w:orient="portrait"/>
          <w:cols w:equalWidth="0" w:num="1">
            <w:col w:w="11380"/>
          </w:cols>
          <w:pgMar w:left="240" w:top="332" w:right="279" w:bottom="1440" w:gutter="0" w:footer="0" w:header="0"/>
          <w:type w:val="continuous"/>
        </w:sectPr>
      </w:pPr>
    </w:p>
    <w:p>
      <w:pPr>
        <w:spacing w:after="0" w:line="211" w:lineRule="exact"/>
        <w:rPr>
          <w:sz w:val="20"/>
          <w:szCs w:val="20"/>
          <w:color w:val="auto"/>
        </w:rPr>
      </w:pPr>
    </w:p>
    <w:p>
      <w:pPr>
        <w:ind w:left="1700"/>
        <w:spacing w:after="0"/>
        <w:rPr>
          <w:sz w:val="20"/>
          <w:szCs w:val="20"/>
          <w:color w:val="auto"/>
        </w:rPr>
      </w:pPr>
      <w:r>
        <w:rPr>
          <w:rFonts w:ascii="Arial" w:cs="Arial" w:eastAsia="Arial" w:hAnsi="Arial"/>
          <w:sz w:val="21"/>
          <w:szCs w:val="21"/>
          <w:color w:val="auto"/>
        </w:rPr>
        <w:t>(f)</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administration of this Plan.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to make all other determinations and take all other actions necessary or advisable for the</w:t>
      </w:r>
    </w:p>
    <w:p>
      <w:pPr>
        <w:spacing w:after="0" w:line="435" w:lineRule="exact"/>
        <w:rPr>
          <w:sz w:val="20"/>
          <w:szCs w:val="20"/>
          <w:color w:val="auto"/>
        </w:rPr>
      </w:pPr>
    </w:p>
    <w:p>
      <w:pPr>
        <w:sectPr>
          <w:pgSz w:w="11900" w:h="16838" w:orient="portrait"/>
          <w:cols w:equalWidth="0" w:num="2">
            <w:col w:w="3040" w:space="720"/>
            <w:col w:w="7620"/>
          </w:cols>
          <w:pgMar w:left="240" w:top="332" w:right="279" w:bottom="1440" w:gutter="0" w:footer="0" w:header="0"/>
          <w:type w:val="continuous"/>
        </w:sectPr>
      </w:pPr>
    </w:p>
    <w:p>
      <w:pPr>
        <w:spacing w:after="0" w:line="1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Any determinations or actions made or taken by the Committee pursuant to this Section 2 will be binding and final.</w:t>
      </w:r>
    </w:p>
    <w:p>
      <w:pPr>
        <w:spacing w:after="0" w:line="197" w:lineRule="exact"/>
        <w:rPr>
          <w:sz w:val="20"/>
          <w:szCs w:val="20"/>
          <w:color w:val="auto"/>
        </w:rPr>
      </w:pPr>
    </w:p>
    <w:p>
      <w:pPr>
        <w:ind w:right="180" w:firstLine="878"/>
        <w:spacing w:after="0" w:line="242" w:lineRule="exact"/>
        <w:rPr>
          <w:sz w:val="20"/>
          <w:szCs w:val="20"/>
          <w:color w:val="auto"/>
        </w:rPr>
      </w:pPr>
      <w:r>
        <w:rPr>
          <w:rFonts w:ascii="Arial" w:cs="Arial" w:eastAsia="Arial" w:hAnsi="Arial"/>
          <w:sz w:val="21"/>
          <w:szCs w:val="21"/>
          <w:b w:val="1"/>
          <w:bCs w:val="1"/>
          <w:color w:val="auto"/>
        </w:rPr>
        <w:t xml:space="preserve">Section 3. </w:t>
      </w:r>
      <w:r>
        <w:rPr>
          <w:rFonts w:ascii="Arial" w:cs="Arial" w:eastAsia="Arial" w:hAnsi="Arial"/>
          <w:sz w:val="18"/>
          <w:szCs w:val="18"/>
          <w:b w:val="1"/>
          <w:bCs w:val="1"/>
          <w:color w:val="auto"/>
        </w:rPr>
        <w:t>Eligibility</w:t>
      </w:r>
      <w:r>
        <w:rPr>
          <w:rFonts w:ascii="Arial" w:cs="Arial" w:eastAsia="Arial" w:hAnsi="Arial"/>
          <w:sz w:val="18"/>
          <w:szCs w:val="18"/>
          <w:color w:val="auto"/>
        </w:rPr>
        <w:t>. The individuals holding the following executive officer positions of the Corporation on the Effective Date shall</w:t>
      </w:r>
      <w:r>
        <w:rPr>
          <w:rFonts w:ascii="Arial" w:cs="Arial" w:eastAsia="Arial" w:hAnsi="Arial"/>
          <w:sz w:val="21"/>
          <w:szCs w:val="21"/>
          <w:b w:val="1"/>
          <w:bCs w:val="1"/>
          <w:color w:val="auto"/>
        </w:rPr>
        <w:t xml:space="preserve"> </w:t>
      </w:r>
      <w:r>
        <w:rPr>
          <w:rFonts w:ascii="Arial" w:cs="Arial" w:eastAsia="Arial" w:hAnsi="Arial"/>
          <w:sz w:val="18"/>
          <w:szCs w:val="18"/>
          <w:color w:val="auto"/>
        </w:rPr>
        <w:t>be eligible to receive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Bonuses under this Plan:</w:t>
      </w:r>
    </w:p>
    <w:p>
      <w:pPr>
        <w:sectPr>
          <w:pgSz w:w="11900" w:h="16838" w:orient="portrait"/>
          <w:cols w:equalWidth="0" w:num="1">
            <w:col w:w="11380"/>
          </w:cols>
          <w:pgMar w:left="240" w:top="332" w:right="279" w:bottom="1440" w:gutter="0" w:footer="0" w:header="0"/>
          <w:type w:val="continuous"/>
        </w:sectPr>
      </w:pPr>
    </w:p>
    <w:p>
      <w:pPr>
        <w:spacing w:after="0" w:line="18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ectPr>
          <w:pgSz w:w="11900" w:h="16838" w:orient="portrait"/>
          <w:cols w:equalWidth="0" w:num="2">
            <w:col w:w="3060" w:space="720"/>
            <w:col w:w="7600"/>
          </w:cols>
          <w:pgMar w:left="240" w:top="332" w:right="279" w:bottom="1440" w:gutter="0" w:footer="0" w:header="0"/>
          <w:type w:val="continuous"/>
        </w:sectPr>
      </w:pPr>
    </w:p>
    <w:p>
      <w:pPr>
        <w:spacing w:after="0" w:line="26" w:lineRule="exact"/>
        <w:rPr>
          <w:sz w:val="20"/>
          <w:szCs w:val="20"/>
          <w:color w:val="auto"/>
        </w:rPr>
      </w:pPr>
    </w:p>
    <w:p>
      <w:pPr>
        <w:jc w:val="center"/>
        <w:ind w:left="56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 Chief Financial Officer;</w:t>
      </w:r>
    </w:p>
    <w:p>
      <w:pPr>
        <w:spacing w:after="0" w:line="205" w:lineRule="exact"/>
        <w:rPr>
          <w:sz w:val="20"/>
          <w:szCs w:val="20"/>
          <w:color w:val="auto"/>
        </w:rPr>
      </w:pPr>
    </w:p>
    <w:p>
      <w:pPr>
        <w:sectPr>
          <w:pgSz w:w="11900" w:h="16838" w:orient="portrait"/>
          <w:cols w:equalWidth="0" w:num="2">
            <w:col w:w="3080" w:space="720"/>
            <w:col w:w="7580"/>
          </w:cols>
          <w:pgMar w:left="240" w:top="332" w:right="279" w:bottom="1440" w:gutter="0" w:footer="0" w:header="0"/>
          <w:type w:val="continuous"/>
        </w:sectPr>
      </w:pP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and General Counsel;</w:t>
      </w:r>
    </w:p>
    <w:p>
      <w:pPr>
        <w:spacing w:after="0" w:line="200" w:lineRule="exact"/>
        <w:rPr>
          <w:sz w:val="20"/>
          <w:szCs w:val="20"/>
          <w:color w:val="auto"/>
        </w:rPr>
      </w:pPr>
    </w:p>
    <w:p>
      <w:pPr>
        <w:sectPr>
          <w:pgSz w:w="11900" w:h="16838" w:orient="portrait"/>
          <w:cols w:equalWidth="0" w:num="2">
            <w:col w:w="3060" w:space="720"/>
            <w:col w:w="7600"/>
          </w:cols>
          <w:pgMar w:left="240" w:top="332" w:right="279" w:bottom="1440" w:gutter="0" w:footer="0" w:header="0"/>
          <w:type w:val="continuous"/>
        </w:sectPr>
      </w:pPr>
    </w:p>
    <w:p>
      <w:pPr>
        <w:spacing w:after="0" w:line="26" w:lineRule="exact"/>
        <w:rPr>
          <w:sz w:val="20"/>
          <w:szCs w:val="20"/>
          <w:color w:val="auto"/>
        </w:rPr>
      </w:pPr>
    </w:p>
    <w:p>
      <w:pPr>
        <w:jc w:val="center"/>
        <w:ind w:left="560"/>
        <w:spacing w:after="0"/>
        <w:rPr>
          <w:sz w:val="20"/>
          <w:szCs w:val="20"/>
          <w:color w:val="auto"/>
        </w:rPr>
      </w:pPr>
      <w:r>
        <w:rPr>
          <w:rFonts w:ascii="Arial" w:cs="Arial" w:eastAsia="Arial" w:hAnsi="Arial"/>
          <w:sz w:val="19"/>
          <w:szCs w:val="19"/>
          <w:color w:val="auto"/>
        </w:rPr>
        <w:t>(d)</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 President of Fiber Operations;</w:t>
      </w:r>
    </w:p>
    <w:p>
      <w:pPr>
        <w:spacing w:after="0" w:line="205" w:lineRule="exact"/>
        <w:rPr>
          <w:sz w:val="20"/>
          <w:szCs w:val="20"/>
          <w:color w:val="auto"/>
        </w:rPr>
      </w:pPr>
    </w:p>
    <w:p>
      <w:pPr>
        <w:sectPr>
          <w:pgSz w:w="11900" w:h="16838" w:orient="portrait"/>
          <w:cols w:equalWidth="0" w:num="2">
            <w:col w:w="3080" w:space="720"/>
            <w:col w:w="7580"/>
          </w:cols>
          <w:pgMar w:left="240" w:top="332" w:right="279" w:bottom="1440" w:gutter="0" w:footer="0" w:header="0"/>
          <w:type w:val="continuous"/>
        </w:sectPr>
      </w:pP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 President of Tower Operations; and</w:t>
      </w:r>
    </w:p>
    <w:p>
      <w:pPr>
        <w:spacing w:after="0" w:line="200" w:lineRule="exact"/>
        <w:rPr>
          <w:sz w:val="20"/>
          <w:szCs w:val="20"/>
          <w:color w:val="auto"/>
        </w:rPr>
      </w:pPr>
    </w:p>
    <w:p>
      <w:pPr>
        <w:sectPr>
          <w:pgSz w:w="11900" w:h="16838" w:orient="portrait"/>
          <w:cols w:equalWidth="0" w:num="2">
            <w:col w:w="3060" w:space="720"/>
            <w:col w:w="7600"/>
          </w:cols>
          <w:pgMar w:left="240" w:top="332" w:right="279" w:bottom="1440" w:gutter="0" w:footer="0" w:header="0"/>
          <w:type w:val="continuous"/>
        </w:sectPr>
      </w:pPr>
    </w:p>
    <w:p>
      <w:pPr>
        <w:spacing w:after="0" w:line="26" w:lineRule="exact"/>
        <w:rPr>
          <w:sz w:val="20"/>
          <w:szCs w:val="20"/>
          <w:color w:val="auto"/>
        </w:rPr>
      </w:pPr>
    </w:p>
    <w:p>
      <w:pPr>
        <w:jc w:val="center"/>
        <w:ind w:left="560"/>
        <w:spacing w:after="0"/>
        <w:rPr>
          <w:sz w:val="20"/>
          <w:szCs w:val="20"/>
          <w:color w:val="auto"/>
        </w:rPr>
      </w:pPr>
      <w:r>
        <w:rPr>
          <w:rFonts w:ascii="Arial" w:cs="Arial" w:eastAsia="Arial" w:hAnsi="Arial"/>
          <w:sz w:val="21"/>
          <w:szCs w:val="21"/>
          <w:color w:val="auto"/>
        </w:rPr>
        <w:t>(f)</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 Chief Technology Officer.</w:t>
      </w:r>
    </w:p>
    <w:p>
      <w:pPr>
        <w:spacing w:after="0" w:line="220" w:lineRule="exact"/>
        <w:rPr>
          <w:sz w:val="20"/>
          <w:szCs w:val="20"/>
          <w:color w:val="auto"/>
        </w:rPr>
      </w:pPr>
    </w:p>
    <w:p>
      <w:pPr>
        <w:sectPr>
          <w:pgSz w:w="11900" w:h="16838" w:orient="portrait"/>
          <w:cols w:equalWidth="0" w:num="2">
            <w:col w:w="3040" w:space="720"/>
            <w:col w:w="7620"/>
          </w:cols>
          <w:pgMar w:left="240" w:top="332" w:right="279" w:bottom="1440" w:gutter="0" w:footer="0" w:header="0"/>
          <w:type w:val="continuous"/>
        </w:sectPr>
      </w:pPr>
    </w:p>
    <w:p>
      <w:pPr>
        <w:ind w:right="40" w:firstLine="878"/>
        <w:spacing w:after="0" w:line="234" w:lineRule="exact"/>
        <w:rPr>
          <w:sz w:val="20"/>
          <w:szCs w:val="20"/>
          <w:color w:val="auto"/>
        </w:rPr>
      </w:pPr>
      <w:r>
        <w:rPr>
          <w:rFonts w:ascii="Arial" w:cs="Arial" w:eastAsia="Arial" w:hAnsi="Arial"/>
          <w:sz w:val="21"/>
          <w:szCs w:val="21"/>
          <w:b w:val="1"/>
          <w:bCs w:val="1"/>
          <w:color w:val="auto"/>
        </w:rPr>
        <w:t xml:space="preserve">Section 4. </w:t>
      </w:r>
      <w:r>
        <w:rPr>
          <w:rFonts w:ascii="Arial" w:cs="Arial" w:eastAsia="Arial" w:hAnsi="Arial"/>
          <w:sz w:val="18"/>
          <w:szCs w:val="18"/>
          <w:b w:val="1"/>
          <w:bCs w:val="1"/>
          <w:color w:val="auto"/>
        </w:rPr>
        <w:t>Short</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Incentive Bonuses</w:t>
      </w:r>
      <w:r>
        <w:rPr>
          <w:rFonts w:ascii="Arial" w:cs="Arial" w:eastAsia="Arial" w:hAnsi="Arial"/>
          <w:sz w:val="18"/>
          <w:szCs w:val="18"/>
          <w:color w:val="auto"/>
        </w:rPr>
        <w:t>.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Bonuses shall be awarded to the Eligible Officers as set forth in this</w:t>
      </w:r>
      <w:r>
        <w:rPr>
          <w:rFonts w:ascii="Arial" w:cs="Arial" w:eastAsia="Arial" w:hAnsi="Arial"/>
          <w:sz w:val="21"/>
          <w:szCs w:val="21"/>
          <w:b w:val="1"/>
          <w:bCs w:val="1"/>
          <w:color w:val="auto"/>
        </w:rPr>
        <w:t xml:space="preserve"> </w:t>
      </w:r>
      <w:r>
        <w:rPr>
          <w:rFonts w:ascii="Arial" w:cs="Arial" w:eastAsia="Arial" w:hAnsi="Arial"/>
          <w:sz w:val="18"/>
          <w:szCs w:val="18"/>
          <w:color w:val="auto"/>
        </w:rPr>
        <w:t xml:space="preserve">Section 4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Plan. Short-Term Incentive Bonuses shall be payable in cash upon the attainment of the criteria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the Committee shall determine, in its sole discretion.</w:t>
      </w:r>
    </w:p>
    <w:p>
      <w:pPr>
        <w:spacing w:after="0" w:line="177"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The Board may amend or terminate this Plan in any respect at any time. Board approval must</w:t>
      </w:r>
      <w:r>
        <w:rPr>
          <w:rFonts w:ascii="Arial" w:cs="Arial" w:eastAsia="Arial" w:hAnsi="Arial"/>
          <w:sz w:val="20"/>
          <w:szCs w:val="20"/>
          <w:b w:val="1"/>
          <w:bCs w:val="1"/>
          <w:color w:val="auto"/>
        </w:rPr>
        <w:t xml:space="preserve"> </w:t>
      </w:r>
      <w:r>
        <w:rPr>
          <w:rFonts w:ascii="Arial" w:cs="Arial" w:eastAsia="Arial" w:hAnsi="Arial"/>
          <w:sz w:val="17"/>
          <w:szCs w:val="17"/>
          <w:color w:val="auto"/>
        </w:rPr>
        <w:t>be accompanied by (a) stockholder approval in those cases in which amendment requires stockholder approval under applicable law or regulations or the requirements of the principal exchange or interdealer quotation system on which the shares of common stock of the</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29424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80"/>
          </w:cols>
          <w:pgMar w:left="240" w:top="332" w:right="279" w:bottom="1440" w:gutter="0" w:footer="0" w:header="0"/>
          <w:type w:val="continuous"/>
        </w:sectPr>
      </w:pPr>
    </w:p>
    <w:bookmarkStart w:id="45" w:name="page46"/>
    <w:bookmarkEnd w:id="45"/>
    <w:p>
      <w:pPr>
        <w:ind w:right="80"/>
        <w:spacing w:after="0" w:line="224" w:lineRule="exact"/>
        <w:rPr>
          <w:sz w:val="20"/>
          <w:szCs w:val="20"/>
          <w:color w:val="auto"/>
        </w:rPr>
      </w:pPr>
      <w:r>
        <w:rPr>
          <w:rFonts w:ascii="Arial" w:cs="Arial" w:eastAsia="Arial" w:hAnsi="Arial"/>
          <w:sz w:val="19"/>
          <w:szCs w:val="19"/>
          <w:color w:val="auto"/>
        </w:rPr>
        <w:t>Corporation are listed or quoted, and (b) affected Eligible Officer approval if the amendment or termination would adversely affect the holder’s rights under any outstanding grants or Awards. The Short</w:t>
      </w:r>
      <w:r>
        <w:rPr>
          <w:rFonts w:ascii="MS PGothic" w:cs="MS PGothic" w:eastAsia="MS PGothic" w:hAnsi="MS PGothic"/>
          <w:sz w:val="19"/>
          <w:szCs w:val="19"/>
          <w:color w:val="auto"/>
        </w:rPr>
        <w:t>‑</w:t>
      </w:r>
      <w:r>
        <w:rPr>
          <w:rFonts w:ascii="Arial" w:cs="Arial" w:eastAsia="Arial" w:hAnsi="Arial"/>
          <w:sz w:val="19"/>
          <w:szCs w:val="19"/>
          <w:color w:val="auto"/>
        </w:rPr>
        <w:t>Term Incentive Bonus provisions may be wholly or partially amended or otherwise modified, suspended or terminated at any time or from time to time by the Committee or the Board. To the extent required by Section 162(m) of the Code with respect to bonus Awards that the Committee determines should qualify as performance</w:t>
      </w:r>
      <w:r>
        <w:rPr>
          <w:rFonts w:ascii="MS PGothic" w:cs="MS PGothic" w:eastAsia="MS PGothic" w:hAnsi="MS PGothic"/>
          <w:sz w:val="19"/>
          <w:szCs w:val="19"/>
          <w:color w:val="auto"/>
        </w:rPr>
        <w:t>‑</w:t>
      </w:r>
      <w:r>
        <w:rPr>
          <w:rFonts w:ascii="Arial" w:cs="Arial" w:eastAsia="Arial" w:hAnsi="Arial"/>
          <w:sz w:val="19"/>
          <w:szCs w:val="19"/>
          <w:color w:val="auto"/>
        </w:rPr>
        <w:t>based compensation as described in Section 162(m)(4)(C), no action may modify the performance criteria or bonus potentials after the commencement of the measurement period with respect to which such bonus Awards relate.</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17"/>
          <w:szCs w:val="17"/>
          <w:b w:val="1"/>
          <w:bCs w:val="1"/>
          <w:color w:val="auto"/>
        </w:rPr>
        <w:t>Effectiveness of this Plan</w:t>
      </w:r>
      <w:r>
        <w:rPr>
          <w:rFonts w:ascii="Arial" w:cs="Arial" w:eastAsia="Arial" w:hAnsi="Arial"/>
          <w:sz w:val="17"/>
          <w:szCs w:val="17"/>
          <w:color w:val="auto"/>
        </w:rPr>
        <w:t>. This Plan is effective as of the Effective Date which is the date of adoption of this Plan by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Board.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 xml:space="preserve">Section 7. </w:t>
      </w:r>
      <w:r>
        <w:rPr>
          <w:rFonts w:ascii="Arial" w:cs="Arial" w:eastAsia="Arial" w:hAnsi="Arial"/>
          <w:sz w:val="18"/>
          <w:szCs w:val="18"/>
          <w:b w:val="1"/>
          <w:bCs w:val="1"/>
          <w:color w:val="auto"/>
        </w:rPr>
        <w:t>Term of this Plan</w:t>
      </w:r>
      <w:r>
        <w:rPr>
          <w:rFonts w:ascii="Arial" w:cs="Arial" w:eastAsia="Arial" w:hAnsi="Arial"/>
          <w:sz w:val="18"/>
          <w:szCs w:val="18"/>
          <w:color w:val="auto"/>
        </w:rPr>
        <w:t>. This Plan will terminate on the date all benefits anticipated by this Plan have been paid.</w:t>
      </w:r>
    </w:p>
    <w:p>
      <w:pPr>
        <w:spacing w:after="0" w:line="198" w:lineRule="exact"/>
        <w:rPr>
          <w:sz w:val="20"/>
          <w:szCs w:val="20"/>
          <w:color w:val="auto"/>
        </w:rPr>
      </w:pPr>
    </w:p>
    <w:p>
      <w:pPr>
        <w:ind w:right="40" w:firstLine="878"/>
        <w:spacing w:after="0" w:line="251" w:lineRule="auto"/>
        <w:rPr>
          <w:sz w:val="20"/>
          <w:szCs w:val="20"/>
          <w:color w:val="auto"/>
        </w:rPr>
      </w:pPr>
      <w:r>
        <w:rPr>
          <w:rFonts w:ascii="Arial" w:cs="Arial" w:eastAsia="Arial" w:hAnsi="Arial"/>
          <w:sz w:val="21"/>
          <w:szCs w:val="21"/>
          <w:b w:val="1"/>
          <w:bCs w:val="1"/>
          <w:color w:val="auto"/>
        </w:rPr>
        <w:t xml:space="preserve">Section 8. </w:t>
      </w:r>
      <w:r>
        <w:rPr>
          <w:rFonts w:ascii="Arial" w:cs="Arial" w:eastAsia="Arial" w:hAnsi="Arial"/>
          <w:sz w:val="18"/>
          <w:szCs w:val="18"/>
          <w:b w:val="1"/>
          <w:bCs w:val="1"/>
          <w:color w:val="auto"/>
        </w:rPr>
        <w:t>Indemnification of Committee</w:t>
      </w:r>
      <w:r>
        <w:rPr>
          <w:rFonts w:ascii="Arial" w:cs="Arial" w:eastAsia="Arial" w:hAnsi="Arial"/>
          <w:sz w:val="18"/>
          <w:szCs w:val="18"/>
          <w:color w:val="auto"/>
        </w:rPr>
        <w:t>. In addition to such other rights of indemnification as they may have as directors of the</w:t>
      </w:r>
      <w:r>
        <w:rPr>
          <w:rFonts w:ascii="Arial" w:cs="Arial" w:eastAsia="Arial" w:hAnsi="Arial"/>
          <w:sz w:val="21"/>
          <w:szCs w:val="21"/>
          <w:b w:val="1"/>
          <w:bCs w:val="1"/>
          <w:color w:val="auto"/>
        </w:rPr>
        <w:t xml:space="preserve"> </w:t>
      </w:r>
      <w:r>
        <w:rPr>
          <w:rFonts w:ascii="Arial" w:cs="Arial" w:eastAsia="Arial" w:hAnsi="Arial"/>
          <w:sz w:val="18"/>
          <w:szCs w:val="18"/>
          <w:color w:val="auto"/>
        </w:rPr>
        <w:t>Corporation or as members of the Committee, the members of the Committee will be indemnified by the Corporation against the reasonable expenses, including attorneys’ fees, actually and reasonably incurred in connection with the defense of any action, suit or proceeding, or in connection with any appeal therein, to which they or any of them may be a party by reason of any action taken or failure to act under or in connection with this Plan or any grant or Award hereunder, and against all amounts reasonably paid by them in settlement thereof or paid by them in satisfaction of a judgment in any such action, suit or proceeding, if such members acted in good faith and in a manner that they believed to be in, and not opposed to, the best interests of the Corporation.</w:t>
      </w:r>
    </w:p>
    <w:p>
      <w:pPr>
        <w:sectPr>
          <w:pgSz w:w="11900" w:h="16838" w:orient="portrait"/>
          <w:cols w:equalWidth="0" w:num="1">
            <w:col w:w="11420"/>
          </w:cols>
          <w:pgMar w:left="240" w:top="342" w:right="239" w:bottom="1440" w:gutter="0" w:footer="0" w:header="0"/>
        </w:sectPr>
      </w:pP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Section 9.</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Provisions</w:t>
      </w:r>
      <w:r>
        <w:rPr>
          <w:rFonts w:ascii="Arial" w:cs="Arial" w:eastAsia="Arial" w:hAnsi="Arial"/>
          <w:sz w:val="16"/>
          <w:szCs w:val="16"/>
          <w:color w:val="auto"/>
        </w:rPr>
        <w:t>.</w:t>
      </w:r>
    </w:p>
    <w:p>
      <w:pPr>
        <w:spacing w:after="0" w:line="205" w:lineRule="exact"/>
        <w:rPr>
          <w:sz w:val="20"/>
          <w:szCs w:val="20"/>
          <w:color w:val="auto"/>
        </w:rPr>
      </w:pPr>
    </w:p>
    <w:p>
      <w:pPr>
        <w:sectPr>
          <w:pgSz w:w="11900" w:h="16838" w:orient="portrait"/>
          <w:cols w:equalWidth="0" w:num="2">
            <w:col w:w="1740" w:space="100"/>
            <w:col w:w="9580"/>
          </w:cols>
          <w:pgMar w:left="240" w:top="342" w:right="239" w:bottom="1440" w:gutter="0" w:footer="0" w:header="0"/>
          <w:type w:val="continuous"/>
        </w:sectPr>
      </w:pPr>
    </w:p>
    <w:p>
      <w:pPr>
        <w:spacing w:after="0" w:line="38" w:lineRule="exact"/>
        <w:rPr>
          <w:sz w:val="20"/>
          <w:szCs w:val="20"/>
          <w:color w:val="auto"/>
        </w:rPr>
      </w:pPr>
    </w:p>
    <w:p>
      <w:pPr>
        <w:ind w:left="1700"/>
        <w:spacing w:after="0"/>
        <w:tabs>
          <w:tab w:leader="none" w:pos="376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7"/>
          <w:szCs w:val="17"/>
          <w:color w:val="auto"/>
        </w:rPr>
        <w:t>The establishment of this Plan will not confer upon any Eligible Officer or Employee, any legal or</w:t>
      </w:r>
    </w:p>
    <w:p>
      <w:pPr>
        <w:sectPr>
          <w:pgSz w:w="11900" w:h="16838" w:orient="portrait"/>
          <w:cols w:equalWidth="0" w:num="1">
            <w:col w:w="11420"/>
          </w:cols>
          <w:pgMar w:left="240" w:top="342" w:right="239" w:bottom="1440" w:gutter="0" w:footer="0" w:header="0"/>
          <w:type w:val="continuous"/>
        </w:sectPr>
      </w:pPr>
    </w:p>
    <w:p>
      <w:pPr>
        <w:spacing w:after="0" w:line="46" w:lineRule="exact"/>
        <w:rPr>
          <w:sz w:val="20"/>
          <w:szCs w:val="20"/>
          <w:color w:val="auto"/>
        </w:rPr>
      </w:pPr>
    </w:p>
    <w:p>
      <w:pPr>
        <w:ind w:left="880" w:right="640"/>
        <w:spacing w:after="0" w:line="237" w:lineRule="auto"/>
        <w:rPr>
          <w:sz w:val="20"/>
          <w:szCs w:val="20"/>
          <w:color w:val="auto"/>
        </w:rPr>
      </w:pPr>
      <w:r>
        <w:rPr>
          <w:rFonts w:ascii="Arial" w:cs="Arial" w:eastAsia="Arial" w:hAnsi="Arial"/>
          <w:sz w:val="19"/>
          <w:szCs w:val="19"/>
          <w:color w:val="auto"/>
        </w:rPr>
        <w:t>equitable right against the Corporation, any Subsidiary or the Committee, except as expressly provided in this Plan or employment agreement of the Eligible Officer, if any.</w:t>
      </w:r>
    </w:p>
    <w:p>
      <w:pPr>
        <w:spacing w:after="0" w:line="183" w:lineRule="exact"/>
        <w:rPr>
          <w:sz w:val="20"/>
          <w:szCs w:val="20"/>
          <w:color w:val="auto"/>
        </w:rPr>
      </w:pPr>
    </w:p>
    <w:p>
      <w:pPr>
        <w:jc w:val="both"/>
        <w:ind w:left="880" w:firstLine="811"/>
        <w:spacing w:after="0" w:line="262" w:lineRule="auto"/>
        <w:rPr>
          <w:sz w:val="20"/>
          <w:szCs w:val="20"/>
          <w:color w:val="auto"/>
        </w:rPr>
      </w:pPr>
      <w:r>
        <w:rPr>
          <w:rFonts w:ascii="Arial" w:cs="Arial" w:eastAsia="Arial" w:hAnsi="Arial"/>
          <w:sz w:val="21"/>
          <w:szCs w:val="21"/>
          <w:color w:val="auto"/>
        </w:rPr>
        <w:t xml:space="preserve">(b) </w:t>
      </w:r>
      <w:r>
        <w:rPr>
          <w:rFonts w:ascii="Arial" w:cs="Arial" w:eastAsia="Arial" w:hAnsi="Arial"/>
          <w:sz w:val="18"/>
          <w:szCs w:val="18"/>
          <w:color w:val="auto"/>
        </w:rPr>
        <w:t>This Plan does not constitute inducement or consideration for the employment of any Employee, nor</w:t>
      </w:r>
      <w:r>
        <w:rPr>
          <w:rFonts w:ascii="Arial" w:cs="Arial" w:eastAsia="Arial" w:hAnsi="Arial"/>
          <w:sz w:val="21"/>
          <w:szCs w:val="21"/>
          <w:color w:val="auto"/>
        </w:rPr>
        <w:t xml:space="preserve"> </w:t>
      </w:r>
      <w:r>
        <w:rPr>
          <w:rFonts w:ascii="Arial" w:cs="Arial" w:eastAsia="Arial" w:hAnsi="Arial"/>
          <w:sz w:val="18"/>
          <w:szCs w:val="18"/>
          <w:color w:val="auto"/>
        </w:rPr>
        <w:t>is it a contract of employment between the Corporation or any Subsidiary and any Employee. Participation in this Plan, or the receipt of a grant or Award hereunder, will not give an Employee any right to be retained in the service of the Corporation or any Subsidiary.</w:t>
      </w:r>
    </w:p>
    <w:p>
      <w:pPr>
        <w:spacing w:after="0" w:line="163" w:lineRule="exact"/>
        <w:rPr>
          <w:sz w:val="20"/>
          <w:szCs w:val="20"/>
          <w:color w:val="auto"/>
        </w:rPr>
      </w:pPr>
    </w:p>
    <w:p>
      <w:pPr>
        <w:ind w:left="880" w:right="20" w:firstLine="811"/>
        <w:spacing w:after="0" w:line="274" w:lineRule="auto"/>
        <w:rPr>
          <w:sz w:val="20"/>
          <w:szCs w:val="20"/>
          <w:color w:val="auto"/>
        </w:rPr>
      </w:pPr>
      <w:r>
        <w:rPr>
          <w:rFonts w:ascii="Arial" w:cs="Arial" w:eastAsia="Arial" w:hAnsi="Arial"/>
          <w:sz w:val="21"/>
          <w:szCs w:val="21"/>
          <w:color w:val="auto"/>
        </w:rPr>
        <w:t xml:space="preserve">(c) </w:t>
      </w:r>
      <w:r>
        <w:rPr>
          <w:rFonts w:ascii="Arial" w:cs="Arial" w:eastAsia="Arial" w:hAnsi="Arial"/>
          <w:sz w:val="18"/>
          <w:szCs w:val="18"/>
          <w:color w:val="auto"/>
        </w:rPr>
        <w:t>The interests of any Employee under this Plan are not subject to the claims of creditors and may not,</w:t>
      </w:r>
      <w:r>
        <w:rPr>
          <w:rFonts w:ascii="Arial" w:cs="Arial" w:eastAsia="Arial" w:hAnsi="Arial"/>
          <w:sz w:val="21"/>
          <w:szCs w:val="21"/>
          <w:color w:val="auto"/>
        </w:rPr>
        <w:t xml:space="preserve"> </w:t>
      </w:r>
      <w:r>
        <w:rPr>
          <w:rFonts w:ascii="Arial" w:cs="Arial" w:eastAsia="Arial" w:hAnsi="Arial"/>
          <w:sz w:val="18"/>
          <w:szCs w:val="18"/>
          <w:color w:val="auto"/>
        </w:rPr>
        <w:t>in any way, be assigned, alienated or encumbered except as otherwise provided herein.</w:t>
      </w:r>
    </w:p>
    <w:p>
      <w:pPr>
        <w:spacing w:after="0" w:line="141" w:lineRule="exact"/>
        <w:rPr>
          <w:sz w:val="20"/>
          <w:szCs w:val="20"/>
          <w:color w:val="auto"/>
        </w:rPr>
      </w:pPr>
    </w:p>
    <w:p>
      <w:pPr>
        <w:ind w:left="1700"/>
        <w:spacing w:after="0"/>
        <w:tabs>
          <w:tab w:leader="none" w:pos="378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19"/>
          <w:szCs w:val="19"/>
          <w:color w:val="auto"/>
        </w:rPr>
        <w:t>The Corporation may withhold any federal, state or local taxes required with respect to any</w:t>
      </w:r>
    </w:p>
    <w:p>
      <w:pPr>
        <w:spacing w:after="0" w:line="17" w:lineRule="exact"/>
        <w:rPr>
          <w:sz w:val="20"/>
          <w:szCs w:val="20"/>
          <w:color w:val="auto"/>
        </w:rPr>
      </w:pPr>
    </w:p>
    <w:p>
      <w:pPr>
        <w:ind w:left="880" w:right="100"/>
        <w:spacing w:after="0" w:line="244" w:lineRule="auto"/>
        <w:rPr>
          <w:sz w:val="20"/>
          <w:szCs w:val="20"/>
          <w:color w:val="auto"/>
        </w:rPr>
      </w:pPr>
      <w:r>
        <w:rPr>
          <w:rFonts w:ascii="Arial" w:cs="Arial" w:eastAsia="Arial" w:hAnsi="Arial"/>
          <w:sz w:val="19"/>
          <w:szCs w:val="19"/>
          <w:color w:val="auto"/>
        </w:rPr>
        <w:t>distribution under this Plan. The Employee shall take whatever action the Committee deems appropriate with respect to withholding of taxes, including, but not limited to, the Employee remitting to the Corporation any taxes required to be withheld by the Corporation under federal, state or local law as a result of the distribution.</w:t>
      </w:r>
    </w:p>
    <w:p>
      <w:pPr>
        <w:spacing w:after="0" w:line="179" w:lineRule="exact"/>
        <w:rPr>
          <w:sz w:val="20"/>
          <w:szCs w:val="20"/>
          <w:color w:val="auto"/>
        </w:rPr>
      </w:pPr>
    </w:p>
    <w:p>
      <w:pPr>
        <w:ind w:left="880" w:right="500" w:firstLine="811"/>
        <w:spacing w:after="0" w:line="262" w:lineRule="auto"/>
        <w:rPr>
          <w:sz w:val="20"/>
          <w:szCs w:val="20"/>
          <w:color w:val="auto"/>
        </w:rPr>
      </w:pPr>
      <w:r>
        <w:rPr>
          <w:rFonts w:ascii="Arial" w:cs="Arial" w:eastAsia="Arial" w:hAnsi="Arial"/>
          <w:sz w:val="21"/>
          <w:szCs w:val="21"/>
          <w:color w:val="auto"/>
        </w:rPr>
        <w:t xml:space="preserve">(e) </w:t>
      </w:r>
      <w:r>
        <w:rPr>
          <w:rFonts w:ascii="Arial" w:cs="Arial" w:eastAsia="Arial" w:hAnsi="Arial"/>
          <w:sz w:val="18"/>
          <w:szCs w:val="18"/>
          <w:color w:val="auto"/>
        </w:rPr>
        <w:t>Notwithstanding anything contained herein to the contrary, this Plan shall be administered and</w:t>
      </w:r>
      <w:r>
        <w:rPr>
          <w:rFonts w:ascii="Arial" w:cs="Arial" w:eastAsia="Arial" w:hAnsi="Arial"/>
          <w:sz w:val="21"/>
          <w:szCs w:val="21"/>
          <w:color w:val="auto"/>
        </w:rPr>
        <w:t xml:space="preserve"> </w:t>
      </w:r>
      <w:r>
        <w:rPr>
          <w:rFonts w:ascii="Arial" w:cs="Arial" w:eastAsia="Arial" w:hAnsi="Arial"/>
          <w:sz w:val="18"/>
          <w:szCs w:val="18"/>
          <w:color w:val="auto"/>
        </w:rPr>
        <w:t>operated in accordance with any applicable laws and regulations, including, but not limited to, Section 409A of the Code. The Corporation reserves the right to amend this Plan at any time in order for this Plan to comply with any such laws and regulations.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29424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type w:val="continuous"/>
        </w:sectPr>
      </w:pPr>
    </w:p>
    <w:bookmarkStart w:id="46" w:name="page47"/>
    <w:bookmarkEnd w:id="46"/>
    <w:p>
      <w:pPr>
        <w:jc w:val="center"/>
        <w:ind w:left="560"/>
        <w:spacing w:after="0"/>
        <w:rPr>
          <w:sz w:val="20"/>
          <w:szCs w:val="20"/>
          <w:color w:val="auto"/>
        </w:rPr>
      </w:pPr>
      <w:r>
        <w:rPr>
          <w:rFonts w:ascii="Arial" w:cs="Arial" w:eastAsia="Arial" w:hAnsi="Arial"/>
          <w:sz w:val="21"/>
          <w:szCs w:val="21"/>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This Plan will be governed, construed and administered in accordance with the laws of Delaware.</w:t>
      </w:r>
    </w:p>
    <w:p>
      <w:pPr>
        <w:spacing w:after="0" w:line="226" w:lineRule="exact"/>
        <w:rPr>
          <w:sz w:val="20"/>
          <w:szCs w:val="20"/>
          <w:color w:val="auto"/>
        </w:rPr>
      </w:pPr>
    </w:p>
    <w:p>
      <w:pPr>
        <w:sectPr>
          <w:pgSz w:w="11900" w:h="16838" w:orient="portrait"/>
          <w:cols w:equalWidth="0" w:num="2">
            <w:col w:w="3040" w:space="720"/>
            <w:col w:w="7760"/>
          </w:cols>
          <w:pgMar w:left="240" w:top="338" w:right="139" w:bottom="1440" w:gutter="0" w:footer="0" w:header="0"/>
        </w:sectPr>
      </w:pPr>
    </w:p>
    <w:p>
      <w:pPr>
        <w:ind w:left="1700"/>
        <w:spacing w:after="0"/>
        <w:tabs>
          <w:tab w:leader="none" w:pos="3780" w:val="left"/>
        </w:tabs>
        <w:rPr>
          <w:sz w:val="20"/>
          <w:szCs w:val="20"/>
          <w:color w:val="auto"/>
        </w:rPr>
      </w:pPr>
      <w:r>
        <w:rPr>
          <w:rFonts w:ascii="Arial" w:cs="Arial" w:eastAsia="Arial" w:hAnsi="Arial"/>
          <w:sz w:val="19"/>
          <w:szCs w:val="19"/>
          <w:color w:val="auto"/>
        </w:rPr>
        <w:t>(g)</w:t>
      </w:r>
      <w:r>
        <w:rPr>
          <w:sz w:val="20"/>
          <w:szCs w:val="20"/>
          <w:color w:val="auto"/>
        </w:rPr>
        <w:tab/>
      </w:r>
      <w:r>
        <w:rPr>
          <w:rFonts w:ascii="Arial" w:cs="Arial" w:eastAsia="Arial" w:hAnsi="Arial"/>
          <w:sz w:val="17"/>
          <w:szCs w:val="17"/>
          <w:color w:val="auto"/>
        </w:rPr>
        <w:t>If any provision of this Plan is held invalid or unenforceable, its invalidity or unenforceability shall</w:t>
      </w:r>
    </w:p>
    <w:p>
      <w:pPr>
        <w:sectPr>
          <w:pgSz w:w="11900" w:h="16838" w:orient="portrait"/>
          <w:cols w:equalWidth="0" w:num="1">
            <w:col w:w="11520"/>
          </w:cols>
          <w:pgMar w:left="240" w:top="338" w:right="139" w:bottom="1440" w:gutter="0" w:footer="0" w:header="0"/>
          <w:type w:val="continuous"/>
        </w:sectPr>
      </w:pP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affect any other provisions of this Plan, and this Plan shall be construed and enforced as if such provision had not been included.</w:t>
      </w:r>
    </w:p>
    <w:p>
      <w:pPr>
        <w:spacing w:after="0" w:line="192" w:lineRule="exact"/>
        <w:rPr>
          <w:sz w:val="20"/>
          <w:szCs w:val="20"/>
          <w:color w:val="auto"/>
        </w:rPr>
      </w:pPr>
    </w:p>
    <w:p>
      <w:pPr>
        <w:ind w:right="100" w:firstLine="878"/>
        <w:spacing w:after="0" w:line="265" w:lineRule="auto"/>
        <w:rPr>
          <w:sz w:val="20"/>
          <w:szCs w:val="20"/>
          <w:color w:val="auto"/>
        </w:rPr>
      </w:pPr>
      <w:r>
        <w:rPr>
          <w:rFonts w:ascii="Arial" w:cs="Arial" w:eastAsia="Arial" w:hAnsi="Arial"/>
          <w:sz w:val="19"/>
          <w:szCs w:val="19"/>
          <w:color w:val="auto"/>
        </w:rPr>
        <w:t>IN WITNESS WHEREOF, the Corporation, by its duly authorized officer, has executed this Plan on the Effective Date as first set forth above and as duly authorized by the Board.</w:t>
      </w:r>
    </w:p>
    <w:p>
      <w:pPr>
        <w:spacing w:after="0" w:line="200" w:lineRule="exact"/>
        <w:rPr>
          <w:sz w:val="20"/>
          <w:szCs w:val="20"/>
          <w:color w:val="auto"/>
        </w:rPr>
      </w:pPr>
    </w:p>
    <w:p>
      <w:pPr>
        <w:spacing w:after="0" w:line="390"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COMMUNICATIONS SALES &amp; LEASING, INC.</w:t>
      </w:r>
    </w:p>
    <w:p>
      <w:pPr>
        <w:spacing w:after="0" w:line="200" w:lineRule="exact"/>
        <w:rPr>
          <w:sz w:val="20"/>
          <w:szCs w:val="20"/>
          <w:color w:val="auto"/>
        </w:rPr>
      </w:pPr>
    </w:p>
    <w:p>
      <w:pPr>
        <w:spacing w:after="0" w:line="220" w:lineRule="exact"/>
        <w:rPr>
          <w:sz w:val="20"/>
          <w:szCs w:val="20"/>
          <w:color w:val="auto"/>
        </w:rPr>
      </w:pPr>
    </w:p>
    <w:tbl>
      <w:tblPr>
        <w:tblLayout w:type="fixed"/>
        <w:tblInd w:w="5720" w:type="dxa"/>
        <w:tblCellMar>
          <w:top w:w="0" w:type="dxa"/>
          <w:left w:w="0" w:type="dxa"/>
          <w:bottom w:w="0" w:type="dxa"/>
          <w:right w:w="0" w:type="dxa"/>
        </w:tblCellMar>
      </w:tblPr>
      <w:tr>
        <w:trPr>
          <w:trHeight w:val="218"/>
        </w:trPr>
        <w:tc>
          <w:tcPr>
            <w:tcW w:w="1060" w:type="dxa"/>
            <w:vAlign w:val="bottom"/>
            <w:gridSpan w:val="3"/>
          </w:tcPr>
          <w:p>
            <w:pPr>
              <w:spacing w:after="0"/>
              <w:rPr>
                <w:sz w:val="20"/>
                <w:szCs w:val="20"/>
                <w:color w:val="auto"/>
              </w:rPr>
            </w:pPr>
            <w:r>
              <w:rPr>
                <w:rFonts w:ascii="Arial" w:cs="Arial" w:eastAsia="Arial" w:hAnsi="Arial"/>
                <w:sz w:val="19"/>
                <w:szCs w:val="19"/>
                <w:color w:val="auto"/>
              </w:rPr>
              <w:t>By:</w:t>
            </w:r>
          </w:p>
        </w:tc>
        <w:tc>
          <w:tcPr>
            <w:tcW w:w="4740" w:type="dxa"/>
            <w:vAlign w:val="bottom"/>
            <w:gridSpan w:val="3"/>
          </w:tcPr>
          <w:p>
            <w:pPr>
              <w:ind w:left="4220"/>
              <w:spacing w:after="0"/>
              <w:rPr>
                <w:sz w:val="20"/>
                <w:szCs w:val="20"/>
                <w:color w:val="auto"/>
              </w:rPr>
            </w:pPr>
            <w:r>
              <w:rPr>
                <w:rFonts w:ascii="Arial" w:cs="Arial" w:eastAsia="Arial" w:hAnsi="Arial"/>
                <w:sz w:val="19"/>
                <w:szCs w:val="19"/>
                <w:i w:val="1"/>
                <w:iCs w:val="1"/>
                <w:color w:val="auto"/>
              </w:rPr>
              <w:t>/s/</w:t>
            </w:r>
          </w:p>
        </w:tc>
      </w:tr>
      <w:tr>
        <w:trPr>
          <w:trHeight w:val="200"/>
        </w:trPr>
        <w:tc>
          <w:tcPr>
            <w:tcW w:w="1060" w:type="dxa"/>
            <w:vAlign w:val="bottom"/>
            <w:gridSpan w:val="3"/>
          </w:tcPr>
          <w:p>
            <w:pPr>
              <w:spacing w:after="0" w:line="200" w:lineRule="exact"/>
              <w:rPr>
                <w:sz w:val="20"/>
                <w:szCs w:val="20"/>
                <w:color w:val="auto"/>
              </w:rPr>
            </w:pPr>
            <w:r>
              <w:rPr>
                <w:rFonts w:ascii="Arial" w:cs="Arial" w:eastAsia="Arial" w:hAnsi="Arial"/>
                <w:sz w:val="19"/>
                <w:szCs w:val="19"/>
                <w:color w:val="auto"/>
              </w:rPr>
              <w:t>Kenneth A.</w:t>
            </w:r>
          </w:p>
        </w:tc>
        <w:tc>
          <w:tcPr>
            <w:tcW w:w="4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0"/>
        </w:trPr>
        <w:tc>
          <w:tcPr>
            <w:tcW w:w="1060" w:type="dxa"/>
            <w:vAlign w:val="bottom"/>
            <w:gridSpan w:val="3"/>
          </w:tcPr>
          <w:p>
            <w:pPr>
              <w:spacing w:after="0" w:line="200" w:lineRule="exact"/>
              <w:rPr>
                <w:sz w:val="20"/>
                <w:szCs w:val="20"/>
                <w:color w:val="auto"/>
              </w:rPr>
            </w:pPr>
            <w:r>
              <w:rPr>
                <w:rFonts w:ascii="Arial" w:cs="Arial" w:eastAsia="Arial" w:hAnsi="Arial"/>
                <w:sz w:val="19"/>
                <w:szCs w:val="19"/>
                <w:color w:val="auto"/>
              </w:rPr>
              <w:t>Gunderman</w:t>
            </w:r>
          </w:p>
        </w:tc>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22"/>
        </w:trPr>
        <w:tc>
          <w:tcPr>
            <w:tcW w:w="88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Name:</w:t>
            </w:r>
          </w:p>
        </w:tc>
        <w:tc>
          <w:tcPr>
            <w:tcW w:w="180" w:type="dxa"/>
            <w:vAlign w:val="bottom"/>
          </w:tcPr>
          <w:p>
            <w:pPr>
              <w:spacing w:after="0"/>
              <w:rPr>
                <w:sz w:val="19"/>
                <w:szCs w:val="19"/>
                <w:color w:val="auto"/>
              </w:rPr>
            </w:pPr>
          </w:p>
        </w:tc>
        <w:tc>
          <w:tcPr>
            <w:tcW w:w="4740" w:type="dxa"/>
            <w:vAlign w:val="bottom"/>
            <w:gridSpan w:val="3"/>
          </w:tcPr>
          <w:p>
            <w:pPr>
              <w:ind w:left="160"/>
              <w:spacing w:after="0"/>
              <w:rPr>
                <w:sz w:val="20"/>
                <w:szCs w:val="20"/>
                <w:color w:val="auto"/>
              </w:rPr>
            </w:pPr>
            <w:r>
              <w:rPr>
                <w:rFonts w:ascii="Arial" w:cs="Arial" w:eastAsia="Arial" w:hAnsi="Arial"/>
                <w:sz w:val="19"/>
                <w:szCs w:val="19"/>
                <w:color w:val="auto"/>
              </w:rPr>
              <w:t>Kenneth A. Gunderman</w:t>
            </w:r>
          </w:p>
        </w:tc>
      </w:tr>
      <w:tr>
        <w:trPr>
          <w:trHeight w:val="236"/>
        </w:trPr>
        <w:tc>
          <w:tcPr>
            <w:tcW w:w="1060" w:type="dxa"/>
            <w:vAlign w:val="bottom"/>
            <w:gridSpan w:val="3"/>
          </w:tcPr>
          <w:p>
            <w:pPr>
              <w:spacing w:after="0"/>
              <w:rPr>
                <w:sz w:val="20"/>
                <w:szCs w:val="20"/>
                <w:color w:val="auto"/>
              </w:rPr>
            </w:pPr>
            <w:r>
              <w:rPr>
                <w:rFonts w:ascii="Arial" w:cs="Arial" w:eastAsia="Arial" w:hAnsi="Arial"/>
                <w:sz w:val="19"/>
                <w:szCs w:val="19"/>
                <w:color w:val="auto"/>
              </w:rPr>
              <w:t>Title:</w:t>
            </w:r>
          </w:p>
        </w:tc>
        <w:tc>
          <w:tcPr>
            <w:tcW w:w="4220" w:type="dxa"/>
            <w:vAlign w:val="bottom"/>
          </w:tcPr>
          <w:p>
            <w:pPr>
              <w:spacing w:after="0"/>
              <w:rPr>
                <w:sz w:val="20"/>
                <w:szCs w:val="20"/>
                <w:color w:val="auto"/>
              </w:rPr>
            </w:pPr>
          </w:p>
        </w:tc>
        <w:tc>
          <w:tcPr>
            <w:tcW w:w="520" w:type="dxa"/>
            <w:vAlign w:val="bottom"/>
            <w:gridSpan w:val="2"/>
          </w:tcPr>
          <w:p>
            <w:pPr>
              <w:ind w:left="80"/>
              <w:spacing w:after="0"/>
              <w:rPr>
                <w:sz w:val="20"/>
                <w:szCs w:val="20"/>
                <w:color w:val="auto"/>
              </w:rPr>
            </w:pPr>
            <w:r>
              <w:rPr>
                <w:rFonts w:ascii="Arial" w:cs="Arial" w:eastAsia="Arial" w:hAnsi="Arial"/>
                <w:sz w:val="19"/>
                <w:szCs w:val="19"/>
                <w:color w:val="auto"/>
                <w:w w:val="77"/>
              </w:rPr>
              <w:t>Presid</w:t>
            </w:r>
          </w:p>
        </w:tc>
      </w:tr>
    </w:tbl>
    <w:p>
      <w:pPr>
        <w:ind w:left="5720"/>
        <w:spacing w:after="0"/>
        <w:rPr>
          <w:sz w:val="20"/>
          <w:szCs w:val="20"/>
          <w:color w:val="auto"/>
        </w:rPr>
      </w:pPr>
      <w:r>
        <w:rPr>
          <w:rFonts w:ascii="Arial" w:cs="Arial" w:eastAsia="Arial" w:hAnsi="Arial"/>
          <w:sz w:val="19"/>
          <w:szCs w:val="19"/>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60960</wp:posOffset>
            </wp:positionV>
            <wp:extent cx="729424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520"/>
          </w:cols>
          <w:pgMar w:left="240" w:top="338" w:right="139" w:bottom="1440" w:gutter="0" w:footer="0" w:header="0"/>
          <w:type w:val="continuous"/>
        </w:sectPr>
      </w:pPr>
    </w:p>
    <w:bookmarkStart w:id="47" w:name="page48"/>
    <w:bookmarkEnd w:id="47"/>
    <w:p>
      <w:pPr>
        <w:ind w:left="10640"/>
        <w:spacing w:after="0"/>
        <w:rPr>
          <w:sz w:val="20"/>
          <w:szCs w:val="20"/>
          <w:color w:val="auto"/>
        </w:rPr>
      </w:pPr>
      <w:r>
        <w:rPr>
          <w:rFonts w:ascii="Arial" w:cs="Arial" w:eastAsia="Arial" w:hAnsi="Arial"/>
          <w:sz w:val="17"/>
          <w:szCs w:val="17"/>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COMMUNICATIONS SALES &amp; LEASING,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2017 SHORT TERM INCENTIVE PLAN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40" w:hanging="1137"/>
        <w:spacing w:after="0"/>
        <w:tabs>
          <w:tab w:leader="none" w:pos="114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CS&amp;L STIP</w:t>
      </w:r>
      <w:r>
        <w:rPr>
          <w:rFonts w:ascii="Arial" w:cs="Arial" w:eastAsia="Arial" w:hAnsi="Arial"/>
          <w:sz w:val="19"/>
          <w:szCs w:val="19"/>
          <w:color w:val="auto"/>
        </w:rPr>
        <w:t>. Vesting based on the following:</w:t>
      </w:r>
    </w:p>
    <w:p>
      <w:pPr>
        <w:spacing w:after="0" w:line="221" w:lineRule="exact"/>
        <w:rPr>
          <w:sz w:val="20"/>
          <w:szCs w:val="20"/>
          <w:color w:val="auto"/>
        </w:rPr>
      </w:pPr>
    </w:p>
    <w:p>
      <w:pPr>
        <w:ind w:left="1120" w:hanging="1117"/>
        <w:spacing w:after="0"/>
        <w:tabs>
          <w:tab w:leader="none" w:pos="112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Consolidated Normalized AFFO per diluted share</w:t>
      </w:r>
      <w:r>
        <w:rPr>
          <w:rFonts w:ascii="Arial" w:cs="Arial" w:eastAsia="Arial" w:hAnsi="Arial"/>
          <w:sz w:val="16"/>
          <w:szCs w:val="16"/>
          <w:color w:val="auto"/>
        </w:rPr>
        <w:t>(1)</w:t>
      </w:r>
      <w:r>
        <w:rPr>
          <w:rFonts w:ascii="Arial" w:cs="Arial" w:eastAsia="Arial" w:hAnsi="Arial"/>
          <w:sz w:val="19"/>
          <w:szCs w:val="19"/>
          <w:color w:val="auto"/>
        </w:rPr>
        <w:t xml:space="preserve"> for 2017 (25% weight):</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640" w:type="dxa"/>
            <w:vAlign w:val="bottom"/>
            <w:tcBorders>
              <w:top w:val="single" w:sz="8" w:color="auto"/>
              <w:left w:val="single" w:sz="8" w:color="auto"/>
            </w:tcBorders>
            <w:shd w:val="clear" w:color="auto" w:fill="1F3864"/>
          </w:tcPr>
          <w:p>
            <w:pPr>
              <w:spacing w:after="0"/>
              <w:rPr>
                <w:sz w:val="20"/>
                <w:szCs w:val="20"/>
                <w:color w:val="auto"/>
              </w:rPr>
            </w:pPr>
          </w:p>
        </w:tc>
        <w:tc>
          <w:tcPr>
            <w:tcW w:w="4200" w:type="dxa"/>
            <w:vAlign w:val="bottom"/>
            <w:tcBorders>
              <w:top w:val="single" w:sz="8" w:color="auto"/>
            </w:tcBorders>
            <w:gridSpan w:val="2"/>
            <w:shd w:val="clear" w:color="auto" w:fill="1F3864"/>
          </w:tcPr>
          <w:p>
            <w:pPr>
              <w:jc w:val="center"/>
              <w:ind w:right="1680"/>
              <w:spacing w:after="0"/>
              <w:rPr>
                <w:sz w:val="20"/>
                <w:szCs w:val="20"/>
                <w:color w:val="auto"/>
              </w:rPr>
            </w:pPr>
            <w:r>
              <w:rPr>
                <w:rFonts w:ascii="Arial" w:cs="Arial" w:eastAsia="Arial" w:hAnsi="Arial"/>
                <w:sz w:val="19"/>
                <w:szCs w:val="19"/>
                <w:color w:val="auto"/>
                <w:w w:val="89"/>
              </w:rPr>
              <w:t>Threshold</w:t>
            </w:r>
          </w:p>
        </w:tc>
        <w:tc>
          <w:tcPr>
            <w:tcW w:w="3560" w:type="dxa"/>
            <w:vAlign w:val="bottom"/>
            <w:tcBorders>
              <w:top w:val="single" w:sz="8" w:color="auto"/>
            </w:tcBorders>
            <w:gridSpan w:val="2"/>
            <w:shd w:val="clear" w:color="auto" w:fill="1F3864"/>
          </w:tcPr>
          <w:p>
            <w:pPr>
              <w:jc w:val="center"/>
              <w:ind w:right="1840"/>
              <w:spacing w:after="0"/>
              <w:rPr>
                <w:sz w:val="20"/>
                <w:szCs w:val="20"/>
                <w:color w:val="auto"/>
              </w:rPr>
            </w:pPr>
            <w:r>
              <w:rPr>
                <w:rFonts w:ascii="Arial" w:cs="Arial" w:eastAsia="Arial" w:hAnsi="Arial"/>
                <w:sz w:val="19"/>
                <w:szCs w:val="19"/>
                <w:color w:val="auto"/>
                <w:w w:val="87"/>
              </w:rPr>
              <w:t>Target</w:t>
            </w:r>
          </w:p>
        </w:tc>
        <w:tc>
          <w:tcPr>
            <w:tcW w:w="3040" w:type="dxa"/>
            <w:vAlign w:val="bottom"/>
            <w:tcBorders>
              <w:top w:val="single" w:sz="8" w:color="auto"/>
              <w:right w:val="single" w:sz="8" w:color="auto"/>
            </w:tcBorders>
            <w:shd w:val="clear" w:color="auto" w:fill="1F3864"/>
          </w:tcPr>
          <w:p>
            <w:pPr>
              <w:jc w:val="center"/>
              <w:ind w:right="725"/>
              <w:spacing w:after="0"/>
              <w:rPr>
                <w:sz w:val="20"/>
                <w:szCs w:val="20"/>
                <w:color w:val="auto"/>
              </w:rPr>
            </w:pPr>
            <w:r>
              <w:rPr>
                <w:rFonts w:ascii="Arial" w:cs="Arial" w:eastAsia="Arial" w:hAnsi="Arial"/>
                <w:sz w:val="19"/>
                <w:szCs w:val="19"/>
                <w:color w:val="auto"/>
                <w:w w:val="91"/>
              </w:rPr>
              <w:t>Superior</w:t>
            </w:r>
          </w:p>
        </w:tc>
      </w:tr>
      <w:tr>
        <w:trPr>
          <w:trHeight w:val="116"/>
        </w:trPr>
        <w:tc>
          <w:tcPr>
            <w:tcW w:w="640" w:type="dxa"/>
            <w:vAlign w:val="bottom"/>
            <w:tcBorders>
              <w:left w:val="single" w:sz="8" w:color="auto"/>
              <w:bottom w:val="single" w:sz="8" w:color="auto"/>
            </w:tcBorders>
            <w:shd w:val="clear" w:color="auto" w:fill="1F3864"/>
          </w:tcPr>
          <w:p>
            <w:pPr>
              <w:spacing w:after="0"/>
              <w:rPr>
                <w:sz w:val="10"/>
                <w:szCs w:val="10"/>
                <w:color w:val="auto"/>
              </w:rPr>
            </w:pPr>
          </w:p>
        </w:tc>
        <w:tc>
          <w:tcPr>
            <w:tcW w:w="3160" w:type="dxa"/>
            <w:vAlign w:val="bottom"/>
            <w:tcBorders>
              <w:bottom w:val="single" w:sz="8" w:color="auto"/>
              <w:right w:val="single" w:sz="8" w:color="1F3864"/>
            </w:tcBorders>
            <w:shd w:val="clear" w:color="auto" w:fill="1F3864"/>
          </w:tcPr>
          <w:p>
            <w:pPr>
              <w:spacing w:after="0"/>
              <w:rPr>
                <w:sz w:val="10"/>
                <w:szCs w:val="10"/>
                <w:color w:val="auto"/>
              </w:rPr>
            </w:pPr>
          </w:p>
        </w:tc>
        <w:tc>
          <w:tcPr>
            <w:tcW w:w="1040" w:type="dxa"/>
            <w:vAlign w:val="bottom"/>
            <w:tcBorders>
              <w:bottom w:val="single" w:sz="8" w:color="auto"/>
            </w:tcBorders>
            <w:shd w:val="clear" w:color="auto" w:fill="1F3864"/>
          </w:tcPr>
          <w:p>
            <w:pPr>
              <w:spacing w:after="0"/>
              <w:rPr>
                <w:sz w:val="10"/>
                <w:szCs w:val="10"/>
                <w:color w:val="auto"/>
              </w:rPr>
            </w:pPr>
          </w:p>
        </w:tc>
        <w:tc>
          <w:tcPr>
            <w:tcW w:w="2780" w:type="dxa"/>
            <w:vAlign w:val="bottom"/>
            <w:tcBorders>
              <w:bottom w:val="single" w:sz="8" w:color="auto"/>
              <w:right w:val="single" w:sz="8" w:color="1F3864"/>
            </w:tcBorders>
            <w:shd w:val="clear" w:color="auto" w:fill="1F3864"/>
          </w:tcPr>
          <w:p>
            <w:pPr>
              <w:spacing w:after="0"/>
              <w:rPr>
                <w:sz w:val="10"/>
                <w:szCs w:val="10"/>
                <w:color w:val="auto"/>
              </w:rPr>
            </w:pPr>
          </w:p>
        </w:tc>
        <w:tc>
          <w:tcPr>
            <w:tcW w:w="780" w:type="dxa"/>
            <w:vAlign w:val="bottom"/>
            <w:tcBorders>
              <w:bottom w:val="single" w:sz="8" w:color="auto"/>
            </w:tcBorders>
            <w:shd w:val="clear" w:color="auto" w:fill="1F3864"/>
          </w:tcPr>
          <w:p>
            <w:pPr>
              <w:spacing w:after="0"/>
              <w:rPr>
                <w:sz w:val="10"/>
                <w:szCs w:val="10"/>
                <w:color w:val="auto"/>
              </w:rPr>
            </w:pPr>
          </w:p>
        </w:tc>
        <w:tc>
          <w:tcPr>
            <w:tcW w:w="3040" w:type="dxa"/>
            <w:vAlign w:val="bottom"/>
            <w:tcBorders>
              <w:bottom w:val="single" w:sz="8" w:color="auto"/>
              <w:right w:val="single" w:sz="8" w:color="auto"/>
            </w:tcBorders>
            <w:shd w:val="clear" w:color="auto" w:fill="1F3864"/>
          </w:tcPr>
          <w:p>
            <w:pPr>
              <w:spacing w:after="0"/>
              <w:rPr>
                <w:sz w:val="10"/>
                <w:szCs w:val="10"/>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160" w:type="dxa"/>
            <w:vAlign w:val="bottom"/>
            <w:tcBorders>
              <w:right w:val="single" w:sz="8" w:color="auto"/>
            </w:tcBorders>
          </w:tcPr>
          <w:p>
            <w:pPr>
              <w:jc w:val="center"/>
              <w:ind w:right="545"/>
              <w:spacing w:after="0"/>
              <w:rPr>
                <w:sz w:val="20"/>
                <w:szCs w:val="20"/>
                <w:color w:val="auto"/>
              </w:rPr>
            </w:pPr>
            <w:r>
              <w:rPr>
                <w:rFonts w:ascii="Arial" w:cs="Arial" w:eastAsia="Arial" w:hAnsi="Arial"/>
                <w:sz w:val="19"/>
                <w:szCs w:val="19"/>
                <w:color w:val="auto"/>
                <w:w w:val="92"/>
              </w:rPr>
              <w:t>$2.59</w:t>
            </w:r>
          </w:p>
        </w:tc>
        <w:tc>
          <w:tcPr>
            <w:tcW w:w="1040" w:type="dxa"/>
            <w:vAlign w:val="bottom"/>
          </w:tcPr>
          <w:p>
            <w:pPr>
              <w:spacing w:after="0"/>
              <w:rPr>
                <w:sz w:val="20"/>
                <w:szCs w:val="20"/>
                <w:color w:val="auto"/>
              </w:rPr>
            </w:pPr>
          </w:p>
        </w:tc>
        <w:tc>
          <w:tcPr>
            <w:tcW w:w="2780" w:type="dxa"/>
            <w:vAlign w:val="bottom"/>
            <w:tcBorders>
              <w:right w:val="single" w:sz="8" w:color="auto"/>
            </w:tcBorders>
          </w:tcPr>
          <w:p>
            <w:pPr>
              <w:jc w:val="center"/>
              <w:ind w:right="965"/>
              <w:spacing w:after="0"/>
              <w:rPr>
                <w:sz w:val="20"/>
                <w:szCs w:val="20"/>
                <w:color w:val="auto"/>
              </w:rPr>
            </w:pPr>
            <w:r>
              <w:rPr>
                <w:rFonts w:ascii="Arial" w:cs="Arial" w:eastAsia="Arial" w:hAnsi="Arial"/>
                <w:sz w:val="19"/>
                <w:szCs w:val="19"/>
                <w:color w:val="auto"/>
                <w:w w:val="92"/>
              </w:rPr>
              <w:t>$2.61</w:t>
            </w:r>
          </w:p>
        </w:tc>
        <w:tc>
          <w:tcPr>
            <w:tcW w:w="780" w:type="dxa"/>
            <w:vAlign w:val="bottom"/>
          </w:tcPr>
          <w:p>
            <w:pPr>
              <w:spacing w:after="0"/>
              <w:rPr>
                <w:sz w:val="20"/>
                <w:szCs w:val="20"/>
                <w:color w:val="auto"/>
              </w:rPr>
            </w:pPr>
          </w:p>
        </w:tc>
        <w:tc>
          <w:tcPr>
            <w:tcW w:w="3040" w:type="dxa"/>
            <w:vAlign w:val="bottom"/>
            <w:tcBorders>
              <w:right w:val="single" w:sz="8" w:color="auto"/>
            </w:tcBorders>
          </w:tcPr>
          <w:p>
            <w:pPr>
              <w:jc w:val="center"/>
              <w:ind w:right="725"/>
              <w:spacing w:after="0"/>
              <w:rPr>
                <w:sz w:val="20"/>
                <w:szCs w:val="20"/>
                <w:color w:val="auto"/>
              </w:rPr>
            </w:pPr>
            <w:r>
              <w:rPr>
                <w:rFonts w:ascii="Arial" w:cs="Arial" w:eastAsia="Arial" w:hAnsi="Arial"/>
                <w:sz w:val="19"/>
                <w:szCs w:val="19"/>
                <w:color w:val="auto"/>
                <w:w w:val="88"/>
              </w:rPr>
              <w:t>$2.65</w:t>
            </w:r>
          </w:p>
        </w:tc>
      </w:tr>
      <w:tr>
        <w:trPr>
          <w:trHeight w:val="121"/>
        </w:trPr>
        <w:tc>
          <w:tcPr>
            <w:tcW w:w="640" w:type="dxa"/>
            <w:vAlign w:val="bottom"/>
            <w:tcBorders>
              <w:left w:val="single" w:sz="8" w:color="auto"/>
              <w:bottom w:val="single" w:sz="8" w:color="auto"/>
            </w:tcBorders>
          </w:tcPr>
          <w:p>
            <w:pPr>
              <w:spacing w:after="0"/>
              <w:rPr>
                <w:sz w:val="10"/>
                <w:szCs w:val="10"/>
                <w:color w:val="auto"/>
              </w:rPr>
            </w:pPr>
          </w:p>
        </w:tc>
        <w:tc>
          <w:tcPr>
            <w:tcW w:w="3160" w:type="dxa"/>
            <w:vAlign w:val="bottom"/>
            <w:tcBorders>
              <w:bottom w:val="single" w:sz="8" w:color="auto"/>
              <w:right w:val="single" w:sz="8" w:color="auto"/>
            </w:tcBorders>
          </w:tcPr>
          <w:p>
            <w:pPr>
              <w:spacing w:after="0"/>
              <w:rPr>
                <w:sz w:val="10"/>
                <w:szCs w:val="10"/>
                <w:color w:val="auto"/>
              </w:rPr>
            </w:pPr>
          </w:p>
        </w:tc>
        <w:tc>
          <w:tcPr>
            <w:tcW w:w="3820" w:type="dxa"/>
            <w:vAlign w:val="bottom"/>
            <w:tcBorders>
              <w:bottom w:val="single" w:sz="8" w:color="auto"/>
              <w:right w:val="single" w:sz="8" w:color="auto"/>
            </w:tcBorders>
            <w:gridSpan w:val="2"/>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040" w:type="dxa"/>
            <w:vAlign w:val="bottom"/>
            <w:tcBorders>
              <w:bottom w:val="single" w:sz="8" w:color="auto"/>
              <w:right w:val="single" w:sz="8" w:color="auto"/>
            </w:tcBorders>
          </w:tcPr>
          <w:p>
            <w:pPr>
              <w:spacing w:after="0"/>
              <w:rPr>
                <w:sz w:val="10"/>
                <w:szCs w:val="10"/>
                <w:color w:val="auto"/>
              </w:rPr>
            </w:pPr>
          </w:p>
        </w:tc>
      </w:tr>
      <w:tr>
        <w:trPr>
          <w:trHeight w:val="432"/>
        </w:trPr>
        <w:tc>
          <w:tcPr>
            <w:tcW w:w="6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B.</w:t>
            </w:r>
          </w:p>
        </w:tc>
        <w:tc>
          <w:tcPr>
            <w:tcW w:w="7760" w:type="dxa"/>
            <w:vAlign w:val="bottom"/>
            <w:tcBorders>
              <w:bottom w:val="single" w:sz="8" w:color="auto"/>
            </w:tcBorders>
            <w:gridSpan w:val="4"/>
          </w:tcPr>
          <w:p>
            <w:pPr>
              <w:ind w:left="460"/>
              <w:spacing w:after="0"/>
              <w:rPr>
                <w:sz w:val="20"/>
                <w:szCs w:val="20"/>
                <w:color w:val="auto"/>
              </w:rPr>
            </w:pPr>
            <w:r>
              <w:rPr>
                <w:rFonts w:ascii="Arial" w:cs="Arial" w:eastAsia="Arial" w:hAnsi="Arial"/>
                <w:sz w:val="19"/>
                <w:szCs w:val="19"/>
                <w:color w:val="auto"/>
              </w:rPr>
              <w:t>Consolidated 4Q17 Annualized Adjusted EBITDA</w:t>
            </w:r>
            <w:r>
              <w:rPr>
                <w:rFonts w:ascii="Arial" w:cs="Arial" w:eastAsia="Arial" w:hAnsi="Arial"/>
                <w:sz w:val="16"/>
                <w:szCs w:val="16"/>
                <w:color w:val="auto"/>
              </w:rPr>
              <w:t>(2)</w:t>
            </w:r>
            <w:r>
              <w:rPr>
                <w:rFonts w:ascii="Arial" w:cs="Arial" w:eastAsia="Arial" w:hAnsi="Arial"/>
                <w:sz w:val="19"/>
                <w:szCs w:val="19"/>
                <w:color w:val="auto"/>
              </w:rPr>
              <w:t xml:space="preserve"> (25% weight):</w:t>
            </w:r>
          </w:p>
        </w:tc>
        <w:tc>
          <w:tcPr>
            <w:tcW w:w="3040" w:type="dxa"/>
            <w:vAlign w:val="bottom"/>
            <w:tcBorders>
              <w:bottom w:val="single" w:sz="8" w:color="auto"/>
            </w:tcBorders>
          </w:tcPr>
          <w:p>
            <w:pPr>
              <w:spacing w:after="0"/>
              <w:rPr>
                <w:sz w:val="24"/>
                <w:szCs w:val="24"/>
                <w:color w:val="auto"/>
              </w:rPr>
            </w:pPr>
          </w:p>
        </w:tc>
      </w:tr>
      <w:tr>
        <w:trPr>
          <w:trHeight w:val="234"/>
        </w:trPr>
        <w:tc>
          <w:tcPr>
            <w:tcW w:w="640" w:type="dxa"/>
            <w:vAlign w:val="bottom"/>
            <w:tcBorders>
              <w:left w:val="single" w:sz="8" w:color="auto"/>
            </w:tcBorders>
            <w:shd w:val="clear" w:color="auto" w:fill="1F3864"/>
          </w:tcPr>
          <w:p>
            <w:pPr>
              <w:spacing w:after="0"/>
              <w:rPr>
                <w:sz w:val="20"/>
                <w:szCs w:val="20"/>
                <w:color w:val="auto"/>
              </w:rPr>
            </w:pPr>
          </w:p>
        </w:tc>
        <w:tc>
          <w:tcPr>
            <w:tcW w:w="4200" w:type="dxa"/>
            <w:vAlign w:val="bottom"/>
            <w:gridSpan w:val="2"/>
            <w:shd w:val="clear" w:color="auto" w:fill="1F3864"/>
          </w:tcPr>
          <w:p>
            <w:pPr>
              <w:jc w:val="center"/>
              <w:ind w:right="1680"/>
              <w:spacing w:after="0"/>
              <w:rPr>
                <w:sz w:val="20"/>
                <w:szCs w:val="20"/>
                <w:color w:val="auto"/>
              </w:rPr>
            </w:pPr>
            <w:r>
              <w:rPr>
                <w:rFonts w:ascii="Arial" w:cs="Arial" w:eastAsia="Arial" w:hAnsi="Arial"/>
                <w:sz w:val="19"/>
                <w:szCs w:val="19"/>
                <w:color w:val="auto"/>
                <w:w w:val="89"/>
              </w:rPr>
              <w:t>Threshold</w:t>
            </w:r>
          </w:p>
        </w:tc>
        <w:tc>
          <w:tcPr>
            <w:tcW w:w="3560" w:type="dxa"/>
            <w:vAlign w:val="bottom"/>
            <w:gridSpan w:val="2"/>
            <w:shd w:val="clear" w:color="auto" w:fill="1F3864"/>
          </w:tcPr>
          <w:p>
            <w:pPr>
              <w:jc w:val="center"/>
              <w:ind w:right="1840"/>
              <w:spacing w:after="0"/>
              <w:rPr>
                <w:sz w:val="20"/>
                <w:szCs w:val="20"/>
                <w:color w:val="auto"/>
              </w:rPr>
            </w:pPr>
            <w:r>
              <w:rPr>
                <w:rFonts w:ascii="Arial" w:cs="Arial" w:eastAsia="Arial" w:hAnsi="Arial"/>
                <w:sz w:val="19"/>
                <w:szCs w:val="19"/>
                <w:color w:val="auto"/>
                <w:w w:val="87"/>
              </w:rPr>
              <w:t>Target</w:t>
            </w:r>
          </w:p>
        </w:tc>
        <w:tc>
          <w:tcPr>
            <w:tcW w:w="3040" w:type="dxa"/>
            <w:vAlign w:val="bottom"/>
            <w:tcBorders>
              <w:right w:val="single" w:sz="8" w:color="auto"/>
            </w:tcBorders>
            <w:shd w:val="clear" w:color="auto" w:fill="1F3864"/>
          </w:tcPr>
          <w:p>
            <w:pPr>
              <w:jc w:val="center"/>
              <w:ind w:right="725"/>
              <w:spacing w:after="0"/>
              <w:rPr>
                <w:sz w:val="20"/>
                <w:szCs w:val="20"/>
                <w:color w:val="auto"/>
              </w:rPr>
            </w:pPr>
            <w:r>
              <w:rPr>
                <w:rFonts w:ascii="Arial" w:cs="Arial" w:eastAsia="Arial" w:hAnsi="Arial"/>
                <w:sz w:val="19"/>
                <w:szCs w:val="19"/>
                <w:color w:val="auto"/>
                <w:w w:val="91"/>
              </w:rPr>
              <w:t>Superior</w:t>
            </w:r>
          </w:p>
        </w:tc>
      </w:tr>
      <w:tr>
        <w:trPr>
          <w:trHeight w:val="121"/>
        </w:trPr>
        <w:tc>
          <w:tcPr>
            <w:tcW w:w="640" w:type="dxa"/>
            <w:vAlign w:val="bottom"/>
            <w:tcBorders>
              <w:left w:val="single" w:sz="8" w:color="auto"/>
              <w:bottom w:val="single" w:sz="8" w:color="auto"/>
            </w:tcBorders>
            <w:shd w:val="clear" w:color="auto" w:fill="1F3864"/>
          </w:tcPr>
          <w:p>
            <w:pPr>
              <w:spacing w:after="0"/>
              <w:rPr>
                <w:sz w:val="10"/>
                <w:szCs w:val="10"/>
                <w:color w:val="auto"/>
              </w:rPr>
            </w:pPr>
          </w:p>
        </w:tc>
        <w:tc>
          <w:tcPr>
            <w:tcW w:w="4200" w:type="dxa"/>
            <w:vAlign w:val="bottom"/>
            <w:tcBorders>
              <w:bottom w:val="single" w:sz="8" w:color="auto"/>
            </w:tcBorders>
            <w:gridSpan w:val="2"/>
            <w:shd w:val="clear" w:color="auto" w:fill="1F3864"/>
          </w:tcPr>
          <w:p>
            <w:pPr>
              <w:spacing w:after="0"/>
              <w:rPr>
                <w:sz w:val="10"/>
                <w:szCs w:val="10"/>
                <w:color w:val="auto"/>
              </w:rPr>
            </w:pPr>
          </w:p>
        </w:tc>
        <w:tc>
          <w:tcPr>
            <w:tcW w:w="3560" w:type="dxa"/>
            <w:vAlign w:val="bottom"/>
            <w:tcBorders>
              <w:bottom w:val="single" w:sz="8" w:color="auto"/>
            </w:tcBorders>
            <w:gridSpan w:val="2"/>
            <w:shd w:val="clear" w:color="auto" w:fill="1F3864"/>
          </w:tcPr>
          <w:p>
            <w:pPr>
              <w:spacing w:after="0"/>
              <w:rPr>
                <w:sz w:val="10"/>
                <w:szCs w:val="10"/>
                <w:color w:val="auto"/>
              </w:rPr>
            </w:pPr>
          </w:p>
        </w:tc>
        <w:tc>
          <w:tcPr>
            <w:tcW w:w="3040" w:type="dxa"/>
            <w:vAlign w:val="bottom"/>
            <w:tcBorders>
              <w:bottom w:val="single" w:sz="8" w:color="auto"/>
              <w:right w:val="single" w:sz="8" w:color="auto"/>
            </w:tcBorders>
            <w:shd w:val="clear" w:color="auto" w:fill="1F3864"/>
          </w:tcPr>
          <w:p>
            <w:pPr>
              <w:spacing w:after="0"/>
              <w:rPr>
                <w:sz w:val="10"/>
                <w:szCs w:val="10"/>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160" w:type="dxa"/>
            <w:vAlign w:val="bottom"/>
            <w:tcBorders>
              <w:right w:val="single" w:sz="8" w:color="auto"/>
            </w:tcBorders>
          </w:tcPr>
          <w:p>
            <w:pPr>
              <w:jc w:val="center"/>
              <w:ind w:right="545"/>
              <w:spacing w:after="0"/>
              <w:rPr>
                <w:sz w:val="20"/>
                <w:szCs w:val="20"/>
                <w:color w:val="auto"/>
              </w:rPr>
            </w:pPr>
            <w:r>
              <w:rPr>
                <w:rFonts w:ascii="Arial" w:cs="Arial" w:eastAsia="Arial" w:hAnsi="Arial"/>
                <w:sz w:val="19"/>
                <w:szCs w:val="19"/>
                <w:color w:val="auto"/>
                <w:w w:val="94"/>
              </w:rPr>
              <w:t>$710 million</w:t>
            </w:r>
          </w:p>
        </w:tc>
        <w:tc>
          <w:tcPr>
            <w:tcW w:w="1040" w:type="dxa"/>
            <w:vAlign w:val="bottom"/>
          </w:tcPr>
          <w:p>
            <w:pPr>
              <w:spacing w:after="0"/>
              <w:rPr>
                <w:sz w:val="20"/>
                <w:szCs w:val="20"/>
                <w:color w:val="auto"/>
              </w:rPr>
            </w:pPr>
          </w:p>
        </w:tc>
        <w:tc>
          <w:tcPr>
            <w:tcW w:w="2780" w:type="dxa"/>
            <w:vAlign w:val="bottom"/>
            <w:tcBorders>
              <w:right w:val="single" w:sz="8" w:color="auto"/>
            </w:tcBorders>
          </w:tcPr>
          <w:p>
            <w:pPr>
              <w:jc w:val="center"/>
              <w:ind w:right="965"/>
              <w:spacing w:after="0"/>
              <w:rPr>
                <w:sz w:val="20"/>
                <w:szCs w:val="20"/>
                <w:color w:val="auto"/>
              </w:rPr>
            </w:pPr>
            <w:r>
              <w:rPr>
                <w:rFonts w:ascii="Arial" w:cs="Arial" w:eastAsia="Arial" w:hAnsi="Arial"/>
                <w:sz w:val="19"/>
                <w:szCs w:val="19"/>
                <w:color w:val="auto"/>
                <w:w w:val="94"/>
              </w:rPr>
              <w:t>$745 million</w:t>
            </w:r>
          </w:p>
        </w:tc>
        <w:tc>
          <w:tcPr>
            <w:tcW w:w="780" w:type="dxa"/>
            <w:vAlign w:val="bottom"/>
          </w:tcPr>
          <w:p>
            <w:pPr>
              <w:spacing w:after="0"/>
              <w:rPr>
                <w:sz w:val="20"/>
                <w:szCs w:val="20"/>
                <w:color w:val="auto"/>
              </w:rPr>
            </w:pPr>
          </w:p>
        </w:tc>
        <w:tc>
          <w:tcPr>
            <w:tcW w:w="3040" w:type="dxa"/>
            <w:vAlign w:val="bottom"/>
            <w:tcBorders>
              <w:right w:val="single" w:sz="8" w:color="auto"/>
            </w:tcBorders>
          </w:tcPr>
          <w:p>
            <w:pPr>
              <w:jc w:val="center"/>
              <w:ind w:right="725"/>
              <w:spacing w:after="0"/>
              <w:rPr>
                <w:sz w:val="20"/>
                <w:szCs w:val="20"/>
                <w:color w:val="auto"/>
              </w:rPr>
            </w:pPr>
            <w:r>
              <w:rPr>
                <w:rFonts w:ascii="Arial" w:cs="Arial" w:eastAsia="Arial" w:hAnsi="Arial"/>
                <w:sz w:val="19"/>
                <w:szCs w:val="19"/>
                <w:color w:val="auto"/>
                <w:w w:val="96"/>
              </w:rPr>
              <w:t>$780 million</w:t>
            </w:r>
          </w:p>
        </w:tc>
      </w:tr>
      <w:tr>
        <w:trPr>
          <w:trHeight w:val="345"/>
        </w:trPr>
        <w:tc>
          <w:tcPr>
            <w:tcW w:w="640" w:type="dxa"/>
            <w:vAlign w:val="bottom"/>
            <w:tcBorders>
              <w:left w:val="single" w:sz="8" w:color="auto"/>
            </w:tcBorders>
          </w:tcPr>
          <w:p>
            <w:pPr>
              <w:spacing w:after="0"/>
              <w:rPr>
                <w:sz w:val="24"/>
                <w:szCs w:val="24"/>
                <w:color w:val="auto"/>
              </w:rPr>
            </w:pPr>
          </w:p>
        </w:tc>
        <w:tc>
          <w:tcPr>
            <w:tcW w:w="3160" w:type="dxa"/>
            <w:vAlign w:val="bottom"/>
            <w:tcBorders>
              <w:right w:val="single" w:sz="8" w:color="auto"/>
            </w:tcBorders>
          </w:tcPr>
          <w:p>
            <w:pPr>
              <w:jc w:val="center"/>
              <w:ind w:right="545"/>
              <w:spacing w:after="0"/>
              <w:rPr>
                <w:sz w:val="20"/>
                <w:szCs w:val="20"/>
                <w:color w:val="auto"/>
              </w:rPr>
            </w:pPr>
            <w:r>
              <w:rPr>
                <w:rFonts w:ascii="Arial" w:cs="Arial" w:eastAsia="Arial" w:hAnsi="Arial"/>
                <w:sz w:val="19"/>
                <w:szCs w:val="19"/>
                <w:color w:val="auto"/>
                <w:w w:val="94"/>
              </w:rPr>
              <w:t>(2.9%/--)</w:t>
            </w:r>
            <w:r>
              <w:rPr>
                <w:rFonts w:ascii="Arial" w:cs="Arial" w:eastAsia="Arial" w:hAnsi="Arial"/>
                <w:sz w:val="16"/>
                <w:szCs w:val="16"/>
                <w:color w:val="auto"/>
                <w:w w:val="94"/>
              </w:rPr>
              <w:t>(3)</w:t>
            </w:r>
          </w:p>
        </w:tc>
        <w:tc>
          <w:tcPr>
            <w:tcW w:w="1040" w:type="dxa"/>
            <w:vAlign w:val="bottom"/>
          </w:tcPr>
          <w:p>
            <w:pPr>
              <w:spacing w:after="0"/>
              <w:rPr>
                <w:sz w:val="24"/>
                <w:szCs w:val="24"/>
                <w:color w:val="auto"/>
              </w:rPr>
            </w:pPr>
          </w:p>
        </w:tc>
        <w:tc>
          <w:tcPr>
            <w:tcW w:w="2780" w:type="dxa"/>
            <w:vAlign w:val="bottom"/>
            <w:tcBorders>
              <w:right w:val="single" w:sz="8" w:color="auto"/>
            </w:tcBorders>
          </w:tcPr>
          <w:p>
            <w:pPr>
              <w:jc w:val="center"/>
              <w:ind w:right="965"/>
              <w:spacing w:after="0"/>
              <w:rPr>
                <w:sz w:val="20"/>
                <w:szCs w:val="20"/>
                <w:color w:val="auto"/>
              </w:rPr>
            </w:pPr>
            <w:r>
              <w:rPr>
                <w:rFonts w:ascii="Arial" w:cs="Arial" w:eastAsia="Arial" w:hAnsi="Arial"/>
                <w:sz w:val="19"/>
                <w:szCs w:val="19"/>
                <w:color w:val="auto"/>
                <w:w w:val="93"/>
              </w:rPr>
              <w:t>(7.9%/4.9%)</w:t>
            </w:r>
            <w:r>
              <w:rPr>
                <w:rFonts w:ascii="Arial" w:cs="Arial" w:eastAsia="Arial" w:hAnsi="Arial"/>
                <w:sz w:val="16"/>
                <w:szCs w:val="16"/>
                <w:color w:val="auto"/>
                <w:w w:val="93"/>
              </w:rPr>
              <w:t>(3)</w:t>
            </w:r>
          </w:p>
        </w:tc>
        <w:tc>
          <w:tcPr>
            <w:tcW w:w="780" w:type="dxa"/>
            <w:vAlign w:val="bottom"/>
          </w:tcPr>
          <w:p>
            <w:pPr>
              <w:spacing w:after="0"/>
              <w:rPr>
                <w:sz w:val="24"/>
                <w:szCs w:val="24"/>
                <w:color w:val="auto"/>
              </w:rPr>
            </w:pPr>
          </w:p>
        </w:tc>
        <w:tc>
          <w:tcPr>
            <w:tcW w:w="3040" w:type="dxa"/>
            <w:vAlign w:val="bottom"/>
            <w:tcBorders>
              <w:right w:val="single" w:sz="8" w:color="auto"/>
            </w:tcBorders>
          </w:tcPr>
          <w:p>
            <w:pPr>
              <w:jc w:val="center"/>
              <w:ind w:right="725"/>
              <w:spacing w:after="0"/>
              <w:rPr>
                <w:sz w:val="20"/>
                <w:szCs w:val="20"/>
                <w:color w:val="auto"/>
              </w:rPr>
            </w:pPr>
            <w:r>
              <w:rPr>
                <w:rFonts w:ascii="Arial" w:cs="Arial" w:eastAsia="Arial" w:hAnsi="Arial"/>
                <w:sz w:val="19"/>
                <w:szCs w:val="19"/>
                <w:color w:val="auto"/>
                <w:w w:val="93"/>
              </w:rPr>
              <w:t>(13.0%/9.9%)</w:t>
            </w:r>
            <w:r>
              <w:rPr>
                <w:rFonts w:ascii="Arial" w:cs="Arial" w:eastAsia="Arial" w:hAnsi="Arial"/>
                <w:sz w:val="16"/>
                <w:szCs w:val="16"/>
                <w:color w:val="auto"/>
                <w:w w:val="93"/>
              </w:rPr>
              <w:t>(3)</w:t>
            </w:r>
          </w:p>
        </w:tc>
      </w:tr>
      <w:tr>
        <w:trPr>
          <w:trHeight w:val="125"/>
        </w:trPr>
        <w:tc>
          <w:tcPr>
            <w:tcW w:w="640" w:type="dxa"/>
            <w:vAlign w:val="bottom"/>
            <w:tcBorders>
              <w:left w:val="single" w:sz="8" w:color="auto"/>
              <w:bottom w:val="single" w:sz="8" w:color="auto"/>
            </w:tcBorders>
          </w:tcPr>
          <w:p>
            <w:pPr>
              <w:spacing w:after="0"/>
              <w:rPr>
                <w:sz w:val="10"/>
                <w:szCs w:val="10"/>
                <w:color w:val="auto"/>
              </w:rPr>
            </w:pPr>
          </w:p>
        </w:tc>
        <w:tc>
          <w:tcPr>
            <w:tcW w:w="316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040" w:type="dxa"/>
            <w:vAlign w:val="bottom"/>
            <w:tcBorders>
              <w:bottom w:val="single" w:sz="8" w:color="auto"/>
              <w:right w:val="single" w:sz="8" w:color="auto"/>
            </w:tcBorders>
          </w:tcPr>
          <w:p>
            <w:pPr>
              <w:spacing w:after="0"/>
              <w:rPr>
                <w:sz w:val="10"/>
                <w:szCs w:val="10"/>
                <w:color w:val="auto"/>
              </w:rPr>
            </w:pPr>
          </w:p>
        </w:tc>
      </w:tr>
      <w:tr>
        <w:trPr>
          <w:trHeight w:val="432"/>
        </w:trPr>
        <w:tc>
          <w:tcPr>
            <w:tcW w:w="6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C.</w:t>
            </w:r>
          </w:p>
        </w:tc>
        <w:tc>
          <w:tcPr>
            <w:tcW w:w="4200" w:type="dxa"/>
            <w:vAlign w:val="bottom"/>
            <w:tcBorders>
              <w:bottom w:val="single" w:sz="8" w:color="auto"/>
            </w:tcBorders>
            <w:gridSpan w:val="2"/>
          </w:tcPr>
          <w:p>
            <w:pPr>
              <w:ind w:left="460"/>
              <w:spacing w:after="0"/>
              <w:rPr>
                <w:sz w:val="20"/>
                <w:szCs w:val="20"/>
                <w:color w:val="auto"/>
              </w:rPr>
            </w:pPr>
            <w:r>
              <w:rPr>
                <w:rFonts w:ascii="Arial" w:cs="Arial" w:eastAsia="Arial" w:hAnsi="Arial"/>
                <w:sz w:val="19"/>
                <w:szCs w:val="19"/>
                <w:color w:val="auto"/>
                <w:w w:val="97"/>
              </w:rPr>
              <w:t>Capital markets transactions</w:t>
            </w:r>
            <w:r>
              <w:rPr>
                <w:rFonts w:ascii="Arial" w:cs="Arial" w:eastAsia="Arial" w:hAnsi="Arial"/>
                <w:sz w:val="16"/>
                <w:szCs w:val="16"/>
                <w:color w:val="auto"/>
                <w:w w:val="97"/>
              </w:rPr>
              <w:t>(4)</w:t>
            </w:r>
            <w:r>
              <w:rPr>
                <w:rFonts w:ascii="Arial" w:cs="Arial" w:eastAsia="Arial" w:hAnsi="Arial"/>
                <w:sz w:val="19"/>
                <w:szCs w:val="19"/>
                <w:color w:val="auto"/>
                <w:w w:val="97"/>
              </w:rPr>
              <w:t xml:space="preserve"> (20% weight):</w:t>
            </w:r>
          </w:p>
        </w:tc>
        <w:tc>
          <w:tcPr>
            <w:tcW w:w="2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r>
        <w:trPr>
          <w:trHeight w:val="234"/>
        </w:trPr>
        <w:tc>
          <w:tcPr>
            <w:tcW w:w="640" w:type="dxa"/>
            <w:vAlign w:val="bottom"/>
            <w:tcBorders>
              <w:left w:val="single" w:sz="8" w:color="auto"/>
            </w:tcBorders>
            <w:shd w:val="clear" w:color="auto" w:fill="1F3864"/>
          </w:tcPr>
          <w:p>
            <w:pPr>
              <w:spacing w:after="0"/>
              <w:rPr>
                <w:sz w:val="20"/>
                <w:szCs w:val="20"/>
                <w:color w:val="auto"/>
              </w:rPr>
            </w:pPr>
          </w:p>
        </w:tc>
        <w:tc>
          <w:tcPr>
            <w:tcW w:w="4200" w:type="dxa"/>
            <w:vAlign w:val="bottom"/>
            <w:gridSpan w:val="2"/>
            <w:shd w:val="clear" w:color="auto" w:fill="1F3864"/>
          </w:tcPr>
          <w:p>
            <w:pPr>
              <w:jc w:val="center"/>
              <w:ind w:right="1680"/>
              <w:spacing w:after="0"/>
              <w:rPr>
                <w:sz w:val="20"/>
                <w:szCs w:val="20"/>
                <w:color w:val="auto"/>
              </w:rPr>
            </w:pPr>
            <w:r>
              <w:rPr>
                <w:rFonts w:ascii="Arial" w:cs="Arial" w:eastAsia="Arial" w:hAnsi="Arial"/>
                <w:sz w:val="19"/>
                <w:szCs w:val="19"/>
                <w:color w:val="auto"/>
                <w:w w:val="89"/>
              </w:rPr>
              <w:t>Threshold</w:t>
            </w:r>
          </w:p>
        </w:tc>
        <w:tc>
          <w:tcPr>
            <w:tcW w:w="3560" w:type="dxa"/>
            <w:vAlign w:val="bottom"/>
            <w:gridSpan w:val="2"/>
            <w:shd w:val="clear" w:color="auto" w:fill="1F3864"/>
          </w:tcPr>
          <w:p>
            <w:pPr>
              <w:jc w:val="center"/>
              <w:ind w:right="1840"/>
              <w:spacing w:after="0"/>
              <w:rPr>
                <w:sz w:val="20"/>
                <w:szCs w:val="20"/>
                <w:color w:val="auto"/>
              </w:rPr>
            </w:pPr>
            <w:r>
              <w:rPr>
                <w:rFonts w:ascii="Arial" w:cs="Arial" w:eastAsia="Arial" w:hAnsi="Arial"/>
                <w:sz w:val="19"/>
                <w:szCs w:val="19"/>
                <w:color w:val="auto"/>
                <w:w w:val="87"/>
              </w:rPr>
              <w:t>Target</w:t>
            </w:r>
          </w:p>
        </w:tc>
        <w:tc>
          <w:tcPr>
            <w:tcW w:w="3040" w:type="dxa"/>
            <w:vAlign w:val="bottom"/>
            <w:tcBorders>
              <w:right w:val="single" w:sz="8" w:color="auto"/>
            </w:tcBorders>
            <w:shd w:val="clear" w:color="auto" w:fill="1F3864"/>
          </w:tcPr>
          <w:p>
            <w:pPr>
              <w:jc w:val="center"/>
              <w:ind w:right="725"/>
              <w:spacing w:after="0"/>
              <w:rPr>
                <w:sz w:val="20"/>
                <w:szCs w:val="20"/>
                <w:color w:val="auto"/>
              </w:rPr>
            </w:pPr>
            <w:r>
              <w:rPr>
                <w:rFonts w:ascii="Arial" w:cs="Arial" w:eastAsia="Arial" w:hAnsi="Arial"/>
                <w:sz w:val="19"/>
                <w:szCs w:val="19"/>
                <w:color w:val="auto"/>
                <w:w w:val="91"/>
              </w:rPr>
              <w:t>Superior</w:t>
            </w:r>
          </w:p>
        </w:tc>
      </w:tr>
      <w:tr>
        <w:trPr>
          <w:trHeight w:val="121"/>
        </w:trPr>
        <w:tc>
          <w:tcPr>
            <w:tcW w:w="640" w:type="dxa"/>
            <w:vAlign w:val="bottom"/>
            <w:tcBorders>
              <w:left w:val="single" w:sz="8" w:color="auto"/>
              <w:bottom w:val="single" w:sz="8" w:color="auto"/>
            </w:tcBorders>
            <w:shd w:val="clear" w:color="auto" w:fill="1F3864"/>
          </w:tcPr>
          <w:p>
            <w:pPr>
              <w:spacing w:after="0"/>
              <w:rPr>
                <w:sz w:val="10"/>
                <w:szCs w:val="10"/>
                <w:color w:val="auto"/>
              </w:rPr>
            </w:pPr>
          </w:p>
        </w:tc>
        <w:tc>
          <w:tcPr>
            <w:tcW w:w="4200" w:type="dxa"/>
            <w:vAlign w:val="bottom"/>
            <w:tcBorders>
              <w:bottom w:val="single" w:sz="8" w:color="auto"/>
            </w:tcBorders>
            <w:gridSpan w:val="2"/>
            <w:shd w:val="clear" w:color="auto" w:fill="1F3864"/>
          </w:tcPr>
          <w:p>
            <w:pPr>
              <w:spacing w:after="0"/>
              <w:rPr>
                <w:sz w:val="10"/>
                <w:szCs w:val="10"/>
                <w:color w:val="auto"/>
              </w:rPr>
            </w:pPr>
          </w:p>
        </w:tc>
        <w:tc>
          <w:tcPr>
            <w:tcW w:w="3560" w:type="dxa"/>
            <w:vAlign w:val="bottom"/>
            <w:tcBorders>
              <w:bottom w:val="single" w:sz="8" w:color="auto"/>
            </w:tcBorders>
            <w:gridSpan w:val="2"/>
            <w:shd w:val="clear" w:color="auto" w:fill="1F3864"/>
          </w:tcPr>
          <w:p>
            <w:pPr>
              <w:spacing w:after="0"/>
              <w:rPr>
                <w:sz w:val="10"/>
                <w:szCs w:val="10"/>
                <w:color w:val="auto"/>
              </w:rPr>
            </w:pPr>
          </w:p>
        </w:tc>
        <w:tc>
          <w:tcPr>
            <w:tcW w:w="3040" w:type="dxa"/>
            <w:vAlign w:val="bottom"/>
            <w:tcBorders>
              <w:bottom w:val="single" w:sz="8" w:color="auto"/>
              <w:right w:val="single" w:sz="8" w:color="auto"/>
            </w:tcBorders>
            <w:shd w:val="clear" w:color="auto" w:fill="1F3864"/>
          </w:tcPr>
          <w:p>
            <w:pPr>
              <w:spacing w:after="0"/>
              <w:rPr>
                <w:sz w:val="10"/>
                <w:szCs w:val="10"/>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160" w:type="dxa"/>
            <w:vAlign w:val="bottom"/>
            <w:tcBorders>
              <w:right w:val="single" w:sz="8" w:color="auto"/>
            </w:tcBorders>
          </w:tcPr>
          <w:p>
            <w:pPr>
              <w:jc w:val="center"/>
              <w:ind w:right="545"/>
              <w:spacing w:after="0"/>
              <w:rPr>
                <w:sz w:val="20"/>
                <w:szCs w:val="20"/>
                <w:color w:val="auto"/>
              </w:rPr>
            </w:pPr>
            <w:r>
              <w:rPr>
                <w:rFonts w:ascii="Arial" w:cs="Arial" w:eastAsia="Arial" w:hAnsi="Arial"/>
                <w:sz w:val="19"/>
                <w:szCs w:val="19"/>
                <w:color w:val="auto"/>
                <w:w w:val="94"/>
              </w:rPr>
              <w:t>$250 million</w:t>
            </w:r>
          </w:p>
        </w:tc>
        <w:tc>
          <w:tcPr>
            <w:tcW w:w="1040" w:type="dxa"/>
            <w:vAlign w:val="bottom"/>
          </w:tcPr>
          <w:p>
            <w:pPr>
              <w:spacing w:after="0"/>
              <w:rPr>
                <w:sz w:val="20"/>
                <w:szCs w:val="20"/>
                <w:color w:val="auto"/>
              </w:rPr>
            </w:pPr>
          </w:p>
        </w:tc>
        <w:tc>
          <w:tcPr>
            <w:tcW w:w="2780" w:type="dxa"/>
            <w:vAlign w:val="bottom"/>
            <w:tcBorders>
              <w:right w:val="single" w:sz="8" w:color="auto"/>
            </w:tcBorders>
          </w:tcPr>
          <w:p>
            <w:pPr>
              <w:jc w:val="center"/>
              <w:ind w:right="965"/>
              <w:spacing w:after="0"/>
              <w:rPr>
                <w:sz w:val="20"/>
                <w:szCs w:val="20"/>
                <w:color w:val="auto"/>
              </w:rPr>
            </w:pPr>
            <w:r>
              <w:rPr>
                <w:rFonts w:ascii="Arial" w:cs="Arial" w:eastAsia="Arial" w:hAnsi="Arial"/>
                <w:sz w:val="19"/>
                <w:szCs w:val="19"/>
                <w:color w:val="auto"/>
                <w:w w:val="94"/>
              </w:rPr>
              <w:t>$500 million</w:t>
            </w:r>
          </w:p>
        </w:tc>
        <w:tc>
          <w:tcPr>
            <w:tcW w:w="780" w:type="dxa"/>
            <w:vAlign w:val="bottom"/>
          </w:tcPr>
          <w:p>
            <w:pPr>
              <w:spacing w:after="0"/>
              <w:rPr>
                <w:sz w:val="20"/>
                <w:szCs w:val="20"/>
                <w:color w:val="auto"/>
              </w:rPr>
            </w:pPr>
          </w:p>
        </w:tc>
        <w:tc>
          <w:tcPr>
            <w:tcW w:w="3040" w:type="dxa"/>
            <w:vAlign w:val="bottom"/>
            <w:tcBorders>
              <w:right w:val="single" w:sz="8" w:color="auto"/>
            </w:tcBorders>
          </w:tcPr>
          <w:p>
            <w:pPr>
              <w:jc w:val="center"/>
              <w:ind w:right="725"/>
              <w:spacing w:after="0"/>
              <w:rPr>
                <w:sz w:val="20"/>
                <w:szCs w:val="20"/>
                <w:color w:val="auto"/>
              </w:rPr>
            </w:pPr>
            <w:r>
              <w:rPr>
                <w:rFonts w:ascii="Arial" w:cs="Arial" w:eastAsia="Arial" w:hAnsi="Arial"/>
                <w:sz w:val="19"/>
                <w:szCs w:val="19"/>
                <w:color w:val="auto"/>
                <w:w w:val="96"/>
              </w:rPr>
              <w:t>$750 million</w:t>
            </w:r>
          </w:p>
        </w:tc>
      </w:tr>
      <w:tr>
        <w:trPr>
          <w:trHeight w:val="121"/>
        </w:trPr>
        <w:tc>
          <w:tcPr>
            <w:tcW w:w="640" w:type="dxa"/>
            <w:vAlign w:val="bottom"/>
            <w:tcBorders>
              <w:left w:val="single" w:sz="8" w:color="auto"/>
              <w:bottom w:val="single" w:sz="8" w:color="auto"/>
            </w:tcBorders>
          </w:tcPr>
          <w:p>
            <w:pPr>
              <w:spacing w:after="0"/>
              <w:rPr>
                <w:sz w:val="10"/>
                <w:szCs w:val="10"/>
                <w:color w:val="auto"/>
              </w:rPr>
            </w:pPr>
          </w:p>
        </w:tc>
        <w:tc>
          <w:tcPr>
            <w:tcW w:w="3160" w:type="dxa"/>
            <w:vAlign w:val="bottom"/>
            <w:tcBorders>
              <w:bottom w:val="single" w:sz="8" w:color="auto"/>
              <w:right w:val="single" w:sz="8" w:color="auto"/>
            </w:tcBorders>
          </w:tcPr>
          <w:p>
            <w:pPr>
              <w:spacing w:after="0"/>
              <w:rPr>
                <w:sz w:val="10"/>
                <w:szCs w:val="10"/>
                <w:color w:val="auto"/>
              </w:rPr>
            </w:pPr>
          </w:p>
        </w:tc>
        <w:tc>
          <w:tcPr>
            <w:tcW w:w="3820" w:type="dxa"/>
            <w:vAlign w:val="bottom"/>
            <w:tcBorders>
              <w:bottom w:val="single" w:sz="8" w:color="auto"/>
              <w:right w:val="single" w:sz="8" w:color="auto"/>
            </w:tcBorders>
            <w:gridSpan w:val="2"/>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040" w:type="dxa"/>
            <w:vAlign w:val="bottom"/>
            <w:tcBorders>
              <w:bottom w:val="single" w:sz="8" w:color="auto"/>
              <w:right w:val="single" w:sz="8" w:color="auto"/>
            </w:tcBorders>
          </w:tcPr>
          <w:p>
            <w:pPr>
              <w:spacing w:after="0"/>
              <w:rPr>
                <w:sz w:val="10"/>
                <w:szCs w:val="10"/>
                <w:color w:val="auto"/>
              </w:rPr>
            </w:pPr>
          </w:p>
        </w:tc>
      </w:tr>
      <w:tr>
        <w:trPr>
          <w:trHeight w:val="432"/>
        </w:trPr>
        <w:tc>
          <w:tcPr>
            <w:tcW w:w="6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D.</w:t>
            </w:r>
          </w:p>
        </w:tc>
        <w:tc>
          <w:tcPr>
            <w:tcW w:w="7760" w:type="dxa"/>
            <w:vAlign w:val="bottom"/>
            <w:tcBorders>
              <w:bottom w:val="single" w:sz="8" w:color="auto"/>
            </w:tcBorders>
            <w:gridSpan w:val="4"/>
          </w:tcPr>
          <w:p>
            <w:pPr>
              <w:ind w:left="480"/>
              <w:spacing w:after="0"/>
              <w:rPr>
                <w:sz w:val="20"/>
                <w:szCs w:val="20"/>
                <w:color w:val="auto"/>
              </w:rPr>
            </w:pPr>
            <w:r>
              <w:rPr>
                <w:rFonts w:ascii="Arial" w:cs="Arial" w:eastAsia="Arial" w:hAnsi="Arial"/>
                <w:sz w:val="19"/>
                <w:szCs w:val="19"/>
                <w:color w:val="auto"/>
                <w:w w:val="97"/>
              </w:rPr>
              <w:t>Cumulative revenue diversification based on 4Q17 Annualized Revenue</w:t>
            </w:r>
            <w:r>
              <w:rPr>
                <w:rFonts w:ascii="Arial" w:cs="Arial" w:eastAsia="Arial" w:hAnsi="Arial"/>
                <w:sz w:val="16"/>
                <w:szCs w:val="16"/>
                <w:color w:val="auto"/>
                <w:w w:val="97"/>
              </w:rPr>
              <w:t>(5)</w:t>
            </w:r>
            <w:r>
              <w:rPr>
                <w:rFonts w:ascii="Arial" w:cs="Arial" w:eastAsia="Arial" w:hAnsi="Arial"/>
                <w:sz w:val="19"/>
                <w:szCs w:val="19"/>
                <w:color w:val="auto"/>
                <w:w w:val="97"/>
              </w:rPr>
              <w:t xml:space="preserve"> (30% weight):</w:t>
            </w:r>
          </w:p>
        </w:tc>
        <w:tc>
          <w:tcPr>
            <w:tcW w:w="3040" w:type="dxa"/>
            <w:vAlign w:val="bottom"/>
            <w:tcBorders>
              <w:bottom w:val="single" w:sz="8" w:color="auto"/>
            </w:tcBorders>
          </w:tcPr>
          <w:p>
            <w:pPr>
              <w:spacing w:after="0"/>
              <w:rPr>
                <w:sz w:val="24"/>
                <w:szCs w:val="24"/>
                <w:color w:val="auto"/>
              </w:rPr>
            </w:pPr>
          </w:p>
        </w:tc>
      </w:tr>
      <w:tr>
        <w:trPr>
          <w:trHeight w:val="234"/>
        </w:trPr>
        <w:tc>
          <w:tcPr>
            <w:tcW w:w="640" w:type="dxa"/>
            <w:vAlign w:val="bottom"/>
            <w:tcBorders>
              <w:left w:val="single" w:sz="8" w:color="auto"/>
            </w:tcBorders>
            <w:shd w:val="clear" w:color="auto" w:fill="1F3864"/>
          </w:tcPr>
          <w:p>
            <w:pPr>
              <w:spacing w:after="0"/>
              <w:rPr>
                <w:sz w:val="20"/>
                <w:szCs w:val="20"/>
                <w:color w:val="auto"/>
              </w:rPr>
            </w:pPr>
          </w:p>
        </w:tc>
        <w:tc>
          <w:tcPr>
            <w:tcW w:w="4200" w:type="dxa"/>
            <w:vAlign w:val="bottom"/>
            <w:gridSpan w:val="2"/>
            <w:shd w:val="clear" w:color="auto" w:fill="1F3864"/>
          </w:tcPr>
          <w:p>
            <w:pPr>
              <w:jc w:val="center"/>
              <w:ind w:right="1680"/>
              <w:spacing w:after="0"/>
              <w:rPr>
                <w:sz w:val="20"/>
                <w:szCs w:val="20"/>
                <w:color w:val="auto"/>
              </w:rPr>
            </w:pPr>
            <w:r>
              <w:rPr>
                <w:rFonts w:ascii="Arial" w:cs="Arial" w:eastAsia="Arial" w:hAnsi="Arial"/>
                <w:sz w:val="19"/>
                <w:szCs w:val="19"/>
                <w:color w:val="auto"/>
                <w:w w:val="89"/>
              </w:rPr>
              <w:t>Threshold</w:t>
            </w:r>
          </w:p>
        </w:tc>
        <w:tc>
          <w:tcPr>
            <w:tcW w:w="3560" w:type="dxa"/>
            <w:vAlign w:val="bottom"/>
            <w:gridSpan w:val="2"/>
            <w:shd w:val="clear" w:color="auto" w:fill="1F3864"/>
          </w:tcPr>
          <w:p>
            <w:pPr>
              <w:jc w:val="center"/>
              <w:ind w:right="1840"/>
              <w:spacing w:after="0"/>
              <w:rPr>
                <w:sz w:val="20"/>
                <w:szCs w:val="20"/>
                <w:color w:val="auto"/>
              </w:rPr>
            </w:pPr>
            <w:r>
              <w:rPr>
                <w:rFonts w:ascii="Arial" w:cs="Arial" w:eastAsia="Arial" w:hAnsi="Arial"/>
                <w:sz w:val="19"/>
                <w:szCs w:val="19"/>
                <w:color w:val="auto"/>
                <w:w w:val="87"/>
              </w:rPr>
              <w:t>Target</w:t>
            </w:r>
          </w:p>
        </w:tc>
        <w:tc>
          <w:tcPr>
            <w:tcW w:w="3040" w:type="dxa"/>
            <w:vAlign w:val="bottom"/>
            <w:tcBorders>
              <w:right w:val="single" w:sz="8" w:color="auto"/>
            </w:tcBorders>
            <w:shd w:val="clear" w:color="auto" w:fill="1F3864"/>
          </w:tcPr>
          <w:p>
            <w:pPr>
              <w:jc w:val="center"/>
              <w:ind w:right="725"/>
              <w:spacing w:after="0"/>
              <w:rPr>
                <w:sz w:val="20"/>
                <w:szCs w:val="20"/>
                <w:color w:val="auto"/>
              </w:rPr>
            </w:pPr>
            <w:r>
              <w:rPr>
                <w:rFonts w:ascii="Arial" w:cs="Arial" w:eastAsia="Arial" w:hAnsi="Arial"/>
                <w:sz w:val="19"/>
                <w:szCs w:val="19"/>
                <w:color w:val="auto"/>
                <w:w w:val="91"/>
              </w:rPr>
              <w:t>Superior</w:t>
            </w:r>
          </w:p>
        </w:tc>
      </w:tr>
      <w:tr>
        <w:trPr>
          <w:trHeight w:val="121"/>
        </w:trPr>
        <w:tc>
          <w:tcPr>
            <w:tcW w:w="640" w:type="dxa"/>
            <w:vAlign w:val="bottom"/>
            <w:tcBorders>
              <w:left w:val="single" w:sz="8" w:color="auto"/>
              <w:bottom w:val="single" w:sz="8" w:color="auto"/>
            </w:tcBorders>
            <w:shd w:val="clear" w:color="auto" w:fill="1F3864"/>
          </w:tcPr>
          <w:p>
            <w:pPr>
              <w:spacing w:after="0"/>
              <w:rPr>
                <w:sz w:val="10"/>
                <w:szCs w:val="10"/>
                <w:color w:val="auto"/>
              </w:rPr>
            </w:pPr>
          </w:p>
        </w:tc>
        <w:tc>
          <w:tcPr>
            <w:tcW w:w="3160" w:type="dxa"/>
            <w:vAlign w:val="bottom"/>
            <w:tcBorders>
              <w:bottom w:val="single" w:sz="8" w:color="auto"/>
              <w:right w:val="single" w:sz="8" w:color="1F3864"/>
            </w:tcBorders>
            <w:shd w:val="clear" w:color="auto" w:fill="1F3864"/>
          </w:tcPr>
          <w:p>
            <w:pPr>
              <w:spacing w:after="0"/>
              <w:rPr>
                <w:sz w:val="10"/>
                <w:szCs w:val="10"/>
                <w:color w:val="auto"/>
              </w:rPr>
            </w:pPr>
          </w:p>
        </w:tc>
        <w:tc>
          <w:tcPr>
            <w:tcW w:w="1040" w:type="dxa"/>
            <w:vAlign w:val="bottom"/>
            <w:tcBorders>
              <w:bottom w:val="single" w:sz="8" w:color="auto"/>
            </w:tcBorders>
            <w:shd w:val="clear" w:color="auto" w:fill="1F3864"/>
          </w:tcPr>
          <w:p>
            <w:pPr>
              <w:spacing w:after="0"/>
              <w:rPr>
                <w:sz w:val="10"/>
                <w:szCs w:val="10"/>
                <w:color w:val="auto"/>
              </w:rPr>
            </w:pPr>
          </w:p>
        </w:tc>
        <w:tc>
          <w:tcPr>
            <w:tcW w:w="2780" w:type="dxa"/>
            <w:vAlign w:val="bottom"/>
            <w:tcBorders>
              <w:bottom w:val="single" w:sz="8" w:color="auto"/>
              <w:right w:val="single" w:sz="8" w:color="1F3864"/>
            </w:tcBorders>
            <w:shd w:val="clear" w:color="auto" w:fill="1F3864"/>
          </w:tcPr>
          <w:p>
            <w:pPr>
              <w:spacing w:after="0"/>
              <w:rPr>
                <w:sz w:val="10"/>
                <w:szCs w:val="10"/>
                <w:color w:val="auto"/>
              </w:rPr>
            </w:pPr>
          </w:p>
        </w:tc>
        <w:tc>
          <w:tcPr>
            <w:tcW w:w="780" w:type="dxa"/>
            <w:vAlign w:val="bottom"/>
            <w:tcBorders>
              <w:bottom w:val="single" w:sz="8" w:color="auto"/>
            </w:tcBorders>
            <w:shd w:val="clear" w:color="auto" w:fill="1F3864"/>
          </w:tcPr>
          <w:p>
            <w:pPr>
              <w:spacing w:after="0"/>
              <w:rPr>
                <w:sz w:val="10"/>
                <w:szCs w:val="10"/>
                <w:color w:val="auto"/>
              </w:rPr>
            </w:pPr>
          </w:p>
        </w:tc>
        <w:tc>
          <w:tcPr>
            <w:tcW w:w="3040" w:type="dxa"/>
            <w:vAlign w:val="bottom"/>
            <w:tcBorders>
              <w:bottom w:val="single" w:sz="8" w:color="auto"/>
              <w:right w:val="single" w:sz="8" w:color="auto"/>
            </w:tcBorders>
            <w:shd w:val="clear" w:color="auto" w:fill="1F3864"/>
          </w:tcPr>
          <w:p>
            <w:pPr>
              <w:spacing w:after="0"/>
              <w:rPr>
                <w:sz w:val="10"/>
                <w:szCs w:val="10"/>
                <w:color w:val="auto"/>
              </w:rPr>
            </w:pPr>
          </w:p>
        </w:tc>
      </w:tr>
      <w:tr>
        <w:trPr>
          <w:trHeight w:val="234"/>
        </w:trPr>
        <w:tc>
          <w:tcPr>
            <w:tcW w:w="640" w:type="dxa"/>
            <w:vAlign w:val="bottom"/>
            <w:tcBorders>
              <w:left w:val="single" w:sz="8" w:color="auto"/>
            </w:tcBorders>
          </w:tcPr>
          <w:p>
            <w:pPr>
              <w:spacing w:after="0"/>
              <w:rPr>
                <w:sz w:val="20"/>
                <w:szCs w:val="20"/>
                <w:color w:val="auto"/>
              </w:rPr>
            </w:pPr>
          </w:p>
        </w:tc>
        <w:tc>
          <w:tcPr>
            <w:tcW w:w="3160" w:type="dxa"/>
            <w:vAlign w:val="bottom"/>
            <w:tcBorders>
              <w:right w:val="single" w:sz="8" w:color="auto"/>
            </w:tcBorders>
          </w:tcPr>
          <w:p>
            <w:pPr>
              <w:jc w:val="center"/>
              <w:ind w:right="545"/>
              <w:spacing w:after="0"/>
              <w:rPr>
                <w:sz w:val="20"/>
                <w:szCs w:val="20"/>
                <w:color w:val="auto"/>
              </w:rPr>
            </w:pPr>
            <w:r>
              <w:rPr>
                <w:rFonts w:ascii="Arial" w:cs="Arial" w:eastAsia="Arial" w:hAnsi="Arial"/>
                <w:sz w:val="19"/>
                <w:szCs w:val="19"/>
                <w:color w:val="auto"/>
                <w:w w:val="94"/>
              </w:rPr>
              <w:t>25%</w:t>
            </w:r>
          </w:p>
        </w:tc>
        <w:tc>
          <w:tcPr>
            <w:tcW w:w="1040" w:type="dxa"/>
            <w:vAlign w:val="bottom"/>
          </w:tcPr>
          <w:p>
            <w:pPr>
              <w:spacing w:after="0"/>
              <w:rPr>
                <w:sz w:val="20"/>
                <w:szCs w:val="20"/>
                <w:color w:val="auto"/>
              </w:rPr>
            </w:pPr>
          </w:p>
        </w:tc>
        <w:tc>
          <w:tcPr>
            <w:tcW w:w="2780" w:type="dxa"/>
            <w:vAlign w:val="bottom"/>
            <w:tcBorders>
              <w:right w:val="single" w:sz="8" w:color="auto"/>
            </w:tcBorders>
          </w:tcPr>
          <w:p>
            <w:pPr>
              <w:jc w:val="center"/>
              <w:ind w:right="965"/>
              <w:spacing w:after="0"/>
              <w:rPr>
                <w:sz w:val="20"/>
                <w:szCs w:val="20"/>
                <w:color w:val="auto"/>
              </w:rPr>
            </w:pPr>
            <w:r>
              <w:rPr>
                <w:rFonts w:ascii="Arial" w:cs="Arial" w:eastAsia="Arial" w:hAnsi="Arial"/>
                <w:sz w:val="19"/>
                <w:szCs w:val="19"/>
                <w:color w:val="auto"/>
                <w:w w:val="89"/>
              </w:rPr>
              <w:t>27.5%</w:t>
            </w:r>
          </w:p>
        </w:tc>
        <w:tc>
          <w:tcPr>
            <w:tcW w:w="780" w:type="dxa"/>
            <w:vAlign w:val="bottom"/>
          </w:tcPr>
          <w:p>
            <w:pPr>
              <w:spacing w:after="0"/>
              <w:rPr>
                <w:sz w:val="20"/>
                <w:szCs w:val="20"/>
                <w:color w:val="auto"/>
              </w:rPr>
            </w:pPr>
          </w:p>
        </w:tc>
        <w:tc>
          <w:tcPr>
            <w:tcW w:w="3040" w:type="dxa"/>
            <w:vAlign w:val="bottom"/>
            <w:tcBorders>
              <w:right w:val="single" w:sz="8" w:color="auto"/>
            </w:tcBorders>
          </w:tcPr>
          <w:p>
            <w:pPr>
              <w:jc w:val="center"/>
              <w:ind w:right="725"/>
              <w:spacing w:after="0"/>
              <w:rPr>
                <w:sz w:val="20"/>
                <w:szCs w:val="20"/>
                <w:color w:val="auto"/>
              </w:rPr>
            </w:pPr>
            <w:r>
              <w:rPr>
                <w:rFonts w:ascii="Arial" w:cs="Arial" w:eastAsia="Arial" w:hAnsi="Arial"/>
                <w:sz w:val="19"/>
                <w:szCs w:val="19"/>
                <w:color w:val="auto"/>
                <w:w w:val="89"/>
              </w:rPr>
              <w:t>30%</w:t>
            </w:r>
          </w:p>
        </w:tc>
      </w:tr>
      <w:tr>
        <w:trPr>
          <w:trHeight w:val="121"/>
        </w:trPr>
        <w:tc>
          <w:tcPr>
            <w:tcW w:w="640" w:type="dxa"/>
            <w:vAlign w:val="bottom"/>
            <w:tcBorders>
              <w:left w:val="single" w:sz="8" w:color="auto"/>
              <w:bottom w:val="single" w:sz="8" w:color="auto"/>
            </w:tcBorders>
          </w:tcPr>
          <w:p>
            <w:pPr>
              <w:spacing w:after="0"/>
              <w:rPr>
                <w:sz w:val="10"/>
                <w:szCs w:val="10"/>
                <w:color w:val="auto"/>
              </w:rPr>
            </w:pPr>
          </w:p>
        </w:tc>
        <w:tc>
          <w:tcPr>
            <w:tcW w:w="316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040" w:type="dxa"/>
            <w:vAlign w:val="bottom"/>
            <w:tcBorders>
              <w:bottom w:val="single" w:sz="8" w:color="auto"/>
              <w:right w:val="single" w:sz="8" w:color="auto"/>
            </w:tcBorders>
          </w:tcPr>
          <w:p>
            <w:pPr>
              <w:spacing w:after="0"/>
              <w:rPr>
                <w:sz w:val="10"/>
                <w:szCs w:val="10"/>
                <w:color w:val="auto"/>
              </w:rPr>
            </w:pPr>
          </w:p>
        </w:tc>
      </w:tr>
    </w:tbl>
    <w:p>
      <w:pPr>
        <w:spacing w:after="0" w:line="203" w:lineRule="exact"/>
        <w:rPr>
          <w:sz w:val="20"/>
          <w:szCs w:val="20"/>
          <w:color w:val="auto"/>
        </w:rPr>
      </w:pPr>
    </w:p>
    <w:p>
      <w:pPr>
        <w:ind w:left="860" w:hanging="857"/>
        <w:spacing w:after="0"/>
        <w:tabs>
          <w:tab w:leader="none" w:pos="8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Payouts for each component will be interpolated between levels. Potential Payouts at each level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1536065</wp:posOffset>
            </wp:positionH>
            <wp:positionV relativeFrom="paragraph">
              <wp:posOffset>11430</wp:posOffset>
            </wp:positionV>
            <wp:extent cx="5718175" cy="5003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718175" cy="5003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6"/>
        </w:trPr>
        <w:tc>
          <w:tcPr>
            <w:tcW w:w="2440" w:type="dxa"/>
            <w:vAlign w:val="bottom"/>
            <w:tcBorders>
              <w:top w:val="single" w:sz="8" w:color="auto"/>
              <w:left w:val="single" w:sz="8" w:color="auto"/>
              <w:right w:val="single" w:sz="8" w:color="1F3864"/>
            </w:tcBorders>
            <w:shd w:val="clear" w:color="auto" w:fill="1F3864"/>
          </w:tcPr>
          <w:p>
            <w:pPr>
              <w:jc w:val="center"/>
              <w:spacing w:after="0" w:line="196" w:lineRule="exact"/>
              <w:rPr>
                <w:sz w:val="20"/>
                <w:szCs w:val="20"/>
                <w:color w:val="auto"/>
              </w:rPr>
            </w:pPr>
            <w:r>
              <w:rPr>
                <w:rFonts w:ascii="Arial" w:cs="Arial" w:eastAsia="Arial" w:hAnsi="Arial"/>
                <w:sz w:val="19"/>
                <w:szCs w:val="19"/>
                <w:color w:val="auto"/>
                <w:w w:val="90"/>
              </w:rPr>
              <w:t>Performance Achievement</w:t>
            </w:r>
          </w:p>
        </w:tc>
        <w:tc>
          <w:tcPr>
            <w:tcW w:w="1680" w:type="dxa"/>
            <w:vAlign w:val="bottom"/>
            <w:tcBorders>
              <w:top w:val="single" w:sz="8" w:color="auto"/>
            </w:tcBorders>
            <w:shd w:val="clear" w:color="auto" w:fill="1F3864"/>
          </w:tcPr>
          <w:p>
            <w:pPr>
              <w:spacing w:after="0"/>
              <w:rPr>
                <w:sz w:val="17"/>
                <w:szCs w:val="17"/>
                <w:color w:val="auto"/>
              </w:rPr>
            </w:pPr>
          </w:p>
        </w:tc>
        <w:tc>
          <w:tcPr>
            <w:tcW w:w="3380" w:type="dxa"/>
            <w:vAlign w:val="bottom"/>
            <w:tcBorders>
              <w:top w:val="single" w:sz="8" w:color="auto"/>
            </w:tcBorders>
            <w:gridSpan w:val="3"/>
            <w:shd w:val="clear" w:color="auto" w:fill="1F3864"/>
          </w:tcPr>
          <w:p>
            <w:pPr>
              <w:ind w:left="400"/>
              <w:spacing w:after="0" w:line="196" w:lineRule="exact"/>
              <w:rPr>
                <w:sz w:val="20"/>
                <w:szCs w:val="20"/>
                <w:color w:val="auto"/>
              </w:rPr>
            </w:pPr>
            <w:r>
              <w:rPr>
                <w:rFonts w:ascii="Arial" w:cs="Arial" w:eastAsia="Arial" w:hAnsi="Arial"/>
                <w:sz w:val="19"/>
                <w:szCs w:val="19"/>
                <w:color w:val="FFFFFF"/>
                <w:w w:val="99"/>
              </w:rPr>
              <w:t>Potential as Percent of Base Salary</w:t>
            </w:r>
          </w:p>
        </w:tc>
        <w:tc>
          <w:tcPr>
            <w:tcW w:w="1760" w:type="dxa"/>
            <w:vAlign w:val="bottom"/>
            <w:tcBorders>
              <w:top w:val="single" w:sz="8" w:color="auto"/>
              <w:right w:val="single" w:sz="8" w:color="auto"/>
            </w:tcBorders>
            <w:shd w:val="clear" w:color="auto" w:fill="1F3864"/>
          </w:tcPr>
          <w:p>
            <w:pPr>
              <w:spacing w:after="0"/>
              <w:rPr>
                <w:sz w:val="17"/>
                <w:szCs w:val="17"/>
                <w:color w:val="auto"/>
              </w:rPr>
            </w:pPr>
          </w:p>
        </w:tc>
        <w:tc>
          <w:tcPr>
            <w:tcW w:w="2180" w:type="dxa"/>
            <w:vAlign w:val="bottom"/>
            <w:tcBorders>
              <w:top w:val="single" w:sz="8" w:color="auto"/>
              <w:right w:val="single" w:sz="8" w:color="auto"/>
            </w:tcBorders>
            <w:shd w:val="clear" w:color="auto" w:fill="1F3864"/>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40" w:type="dxa"/>
            <w:vAlign w:val="bottom"/>
            <w:tcBorders>
              <w:left w:val="single" w:sz="8" w:color="auto"/>
              <w:right w:val="single" w:sz="8" w:color="1F3864"/>
            </w:tcBorders>
            <w:shd w:val="clear" w:color="auto" w:fill="1F3864"/>
          </w:tcPr>
          <w:p>
            <w:pPr>
              <w:jc w:val="center"/>
              <w:spacing w:after="0"/>
              <w:rPr>
                <w:sz w:val="20"/>
                <w:szCs w:val="20"/>
                <w:color w:val="auto"/>
              </w:rPr>
            </w:pPr>
            <w:r>
              <w:rPr>
                <w:rFonts w:ascii="Arial" w:cs="Arial" w:eastAsia="Arial" w:hAnsi="Arial"/>
                <w:sz w:val="19"/>
                <w:szCs w:val="19"/>
                <w:color w:val="auto"/>
                <w:w w:val="96"/>
              </w:rPr>
              <w:t>Level</w:t>
            </w:r>
          </w:p>
        </w:tc>
        <w:tc>
          <w:tcPr>
            <w:tcW w:w="1680" w:type="dxa"/>
            <w:vAlign w:val="bottom"/>
            <w:vMerge w:val="restart"/>
            <w:shd w:val="clear" w:color="auto" w:fill="1F3864"/>
          </w:tcPr>
          <w:p>
            <w:pPr>
              <w:ind w:left="860"/>
              <w:spacing w:after="0"/>
              <w:rPr>
                <w:sz w:val="20"/>
                <w:szCs w:val="20"/>
                <w:color w:val="auto"/>
              </w:rPr>
            </w:pPr>
            <w:r>
              <w:rPr>
                <w:rFonts w:ascii="Arial" w:cs="Arial" w:eastAsia="Arial" w:hAnsi="Arial"/>
                <w:sz w:val="19"/>
                <w:szCs w:val="19"/>
                <w:color w:val="FFFFFF"/>
              </w:rPr>
              <w:t>CEO</w:t>
            </w:r>
          </w:p>
        </w:tc>
        <w:tc>
          <w:tcPr>
            <w:tcW w:w="460" w:type="dxa"/>
            <w:vAlign w:val="bottom"/>
            <w:tcBorders>
              <w:right w:val="single" w:sz="8" w:color="1F3864"/>
            </w:tcBorders>
            <w:shd w:val="clear" w:color="auto" w:fill="1F3864"/>
          </w:tcPr>
          <w:p>
            <w:pPr>
              <w:spacing w:after="0"/>
              <w:rPr>
                <w:sz w:val="20"/>
                <w:szCs w:val="20"/>
                <w:color w:val="auto"/>
              </w:rPr>
            </w:pPr>
          </w:p>
        </w:tc>
        <w:tc>
          <w:tcPr>
            <w:tcW w:w="2920" w:type="dxa"/>
            <w:vAlign w:val="bottom"/>
            <w:gridSpan w:val="2"/>
            <w:vMerge w:val="restart"/>
            <w:shd w:val="clear" w:color="auto" w:fill="1F3864"/>
          </w:tcPr>
          <w:p>
            <w:pPr>
              <w:ind w:left="960"/>
              <w:spacing w:after="0"/>
              <w:rPr>
                <w:sz w:val="20"/>
                <w:szCs w:val="20"/>
                <w:color w:val="auto"/>
              </w:rPr>
            </w:pPr>
            <w:r>
              <w:rPr>
                <w:rFonts w:ascii="Arial" w:cs="Arial" w:eastAsia="Arial" w:hAnsi="Arial"/>
                <w:sz w:val="19"/>
                <w:szCs w:val="19"/>
                <w:color w:val="FFFFFF"/>
              </w:rPr>
              <w:t>CFO</w:t>
            </w:r>
          </w:p>
        </w:tc>
        <w:tc>
          <w:tcPr>
            <w:tcW w:w="1760" w:type="dxa"/>
            <w:vAlign w:val="bottom"/>
            <w:tcBorders>
              <w:right w:val="single" w:sz="8" w:color="auto"/>
            </w:tcBorders>
            <w:vMerge w:val="restart"/>
            <w:shd w:val="clear" w:color="auto" w:fill="1F3864"/>
          </w:tcPr>
          <w:p>
            <w:pPr>
              <w:ind w:left="440"/>
              <w:spacing w:after="0"/>
              <w:rPr>
                <w:sz w:val="20"/>
                <w:szCs w:val="20"/>
                <w:color w:val="auto"/>
              </w:rPr>
            </w:pPr>
            <w:r>
              <w:rPr>
                <w:rFonts w:ascii="Arial" w:cs="Arial" w:eastAsia="Arial" w:hAnsi="Arial"/>
                <w:sz w:val="19"/>
                <w:szCs w:val="19"/>
                <w:color w:val="FFFFFF"/>
              </w:rPr>
              <w:t>GC</w:t>
            </w:r>
          </w:p>
        </w:tc>
        <w:tc>
          <w:tcPr>
            <w:tcW w:w="2180" w:type="dxa"/>
            <w:vAlign w:val="bottom"/>
            <w:tcBorders>
              <w:right w:val="single" w:sz="8" w:color="auto"/>
            </w:tcBorders>
            <w:vMerge w:val="restart"/>
            <w:shd w:val="clear" w:color="auto" w:fill="1F3864"/>
          </w:tcPr>
          <w:p>
            <w:pPr>
              <w:ind w:left="880"/>
              <w:spacing w:after="0"/>
              <w:rPr>
                <w:sz w:val="20"/>
                <w:szCs w:val="20"/>
                <w:color w:val="auto"/>
              </w:rPr>
            </w:pPr>
            <w:r>
              <w:rPr>
                <w:rFonts w:ascii="Arial" w:cs="Arial" w:eastAsia="Arial" w:hAnsi="Arial"/>
                <w:sz w:val="19"/>
                <w:szCs w:val="19"/>
                <w:color w:val="FFFFFF"/>
              </w:rPr>
              <w:t>CTO</w:t>
            </w:r>
          </w:p>
        </w:tc>
        <w:tc>
          <w:tcPr>
            <w:tcW w:w="0" w:type="dxa"/>
            <w:vAlign w:val="bottom"/>
          </w:tcPr>
          <w:p>
            <w:pPr>
              <w:spacing w:after="0"/>
              <w:rPr>
                <w:sz w:val="1"/>
                <w:szCs w:val="1"/>
                <w:color w:val="auto"/>
              </w:rPr>
            </w:pPr>
          </w:p>
        </w:tc>
      </w:tr>
      <w:tr>
        <w:trPr>
          <w:trHeight w:val="168"/>
        </w:trPr>
        <w:tc>
          <w:tcPr>
            <w:tcW w:w="2440" w:type="dxa"/>
            <w:vAlign w:val="bottom"/>
            <w:tcBorders>
              <w:left w:val="single" w:sz="8" w:color="auto"/>
              <w:right w:val="single" w:sz="8" w:color="1F3864"/>
            </w:tcBorders>
            <w:shd w:val="clear" w:color="auto" w:fill="1F3864"/>
          </w:tcPr>
          <w:p>
            <w:pPr>
              <w:spacing w:after="0"/>
              <w:rPr>
                <w:sz w:val="14"/>
                <w:szCs w:val="14"/>
                <w:color w:val="auto"/>
              </w:rPr>
            </w:pPr>
          </w:p>
        </w:tc>
        <w:tc>
          <w:tcPr>
            <w:tcW w:w="1680" w:type="dxa"/>
            <w:vAlign w:val="bottom"/>
            <w:vMerge w:val="continue"/>
            <w:shd w:val="clear" w:color="auto" w:fill="1F3864"/>
          </w:tcPr>
          <w:p>
            <w:pPr>
              <w:spacing w:after="0"/>
              <w:rPr>
                <w:sz w:val="14"/>
                <w:szCs w:val="14"/>
                <w:color w:val="auto"/>
              </w:rPr>
            </w:pPr>
          </w:p>
        </w:tc>
        <w:tc>
          <w:tcPr>
            <w:tcW w:w="460" w:type="dxa"/>
            <w:vAlign w:val="bottom"/>
            <w:tcBorders>
              <w:right w:val="single" w:sz="8" w:color="1F3864"/>
            </w:tcBorders>
            <w:shd w:val="clear" w:color="auto" w:fill="1F3864"/>
          </w:tcPr>
          <w:p>
            <w:pPr>
              <w:spacing w:after="0"/>
              <w:rPr>
                <w:sz w:val="14"/>
                <w:szCs w:val="14"/>
                <w:color w:val="auto"/>
              </w:rPr>
            </w:pPr>
          </w:p>
        </w:tc>
        <w:tc>
          <w:tcPr>
            <w:tcW w:w="2920" w:type="dxa"/>
            <w:vAlign w:val="bottom"/>
            <w:gridSpan w:val="2"/>
            <w:vMerge w:val="continue"/>
            <w:shd w:val="clear" w:color="auto" w:fill="1F3864"/>
          </w:tcPr>
          <w:p>
            <w:pPr>
              <w:spacing w:after="0"/>
              <w:rPr>
                <w:sz w:val="14"/>
                <w:szCs w:val="14"/>
                <w:color w:val="auto"/>
              </w:rPr>
            </w:pPr>
          </w:p>
        </w:tc>
        <w:tc>
          <w:tcPr>
            <w:tcW w:w="1760" w:type="dxa"/>
            <w:vAlign w:val="bottom"/>
            <w:tcBorders>
              <w:right w:val="single" w:sz="8" w:color="auto"/>
            </w:tcBorders>
            <w:vMerge w:val="continue"/>
            <w:shd w:val="clear" w:color="auto" w:fill="1F3864"/>
          </w:tcPr>
          <w:p>
            <w:pPr>
              <w:spacing w:after="0"/>
              <w:rPr>
                <w:sz w:val="14"/>
                <w:szCs w:val="14"/>
                <w:color w:val="auto"/>
              </w:rPr>
            </w:pPr>
          </w:p>
        </w:tc>
        <w:tc>
          <w:tcPr>
            <w:tcW w:w="2180" w:type="dxa"/>
            <w:vAlign w:val="bottom"/>
            <w:tcBorders>
              <w:right w:val="single" w:sz="8" w:color="auto"/>
            </w:tcBorders>
            <w:vMerge w:val="continue"/>
            <w:shd w:val="clear" w:color="auto" w:fill="1F3864"/>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440" w:type="dxa"/>
            <w:vAlign w:val="bottom"/>
            <w:tcBorders>
              <w:left w:val="single" w:sz="8" w:color="auto"/>
              <w:bottom w:val="single" w:sz="8" w:color="auto"/>
              <w:right w:val="single" w:sz="8" w:color="1F3864"/>
            </w:tcBorders>
            <w:shd w:val="clear" w:color="auto" w:fill="1F3864"/>
          </w:tcPr>
          <w:p>
            <w:pPr>
              <w:spacing w:after="0"/>
              <w:rPr>
                <w:sz w:val="13"/>
                <w:szCs w:val="13"/>
                <w:color w:val="auto"/>
              </w:rPr>
            </w:pPr>
          </w:p>
        </w:tc>
        <w:tc>
          <w:tcPr>
            <w:tcW w:w="1680" w:type="dxa"/>
            <w:vAlign w:val="bottom"/>
            <w:tcBorders>
              <w:bottom w:val="single" w:sz="8" w:color="auto"/>
            </w:tcBorders>
            <w:shd w:val="clear" w:color="auto" w:fill="1F3864"/>
          </w:tcPr>
          <w:p>
            <w:pPr>
              <w:spacing w:after="0"/>
              <w:rPr>
                <w:sz w:val="13"/>
                <w:szCs w:val="13"/>
                <w:color w:val="auto"/>
              </w:rPr>
            </w:pPr>
          </w:p>
        </w:tc>
        <w:tc>
          <w:tcPr>
            <w:tcW w:w="460" w:type="dxa"/>
            <w:vAlign w:val="bottom"/>
            <w:tcBorders>
              <w:bottom w:val="single" w:sz="8" w:color="auto"/>
              <w:right w:val="single" w:sz="8" w:color="1F3864"/>
            </w:tcBorders>
            <w:shd w:val="clear" w:color="auto" w:fill="1F3864"/>
          </w:tcPr>
          <w:p>
            <w:pPr>
              <w:spacing w:after="0"/>
              <w:rPr>
                <w:sz w:val="13"/>
                <w:szCs w:val="13"/>
                <w:color w:val="auto"/>
              </w:rPr>
            </w:pPr>
          </w:p>
        </w:tc>
        <w:tc>
          <w:tcPr>
            <w:tcW w:w="2320" w:type="dxa"/>
            <w:vAlign w:val="bottom"/>
            <w:tcBorders>
              <w:bottom w:val="single" w:sz="8" w:color="auto"/>
              <w:right w:val="single" w:sz="8" w:color="1F3864"/>
            </w:tcBorders>
            <w:shd w:val="clear" w:color="auto" w:fill="1F3864"/>
          </w:tcPr>
          <w:p>
            <w:pPr>
              <w:spacing w:after="0"/>
              <w:rPr>
                <w:sz w:val="13"/>
                <w:szCs w:val="13"/>
                <w:color w:val="auto"/>
              </w:rPr>
            </w:pPr>
          </w:p>
        </w:tc>
        <w:tc>
          <w:tcPr>
            <w:tcW w:w="600" w:type="dxa"/>
            <w:vAlign w:val="bottom"/>
            <w:tcBorders>
              <w:bottom w:val="single" w:sz="8" w:color="auto"/>
            </w:tcBorders>
            <w:shd w:val="clear" w:color="auto" w:fill="1F3864"/>
          </w:tcPr>
          <w:p>
            <w:pPr>
              <w:spacing w:after="0"/>
              <w:rPr>
                <w:sz w:val="13"/>
                <w:szCs w:val="13"/>
                <w:color w:val="auto"/>
              </w:rPr>
            </w:pPr>
          </w:p>
        </w:tc>
        <w:tc>
          <w:tcPr>
            <w:tcW w:w="1760" w:type="dxa"/>
            <w:vAlign w:val="bottom"/>
            <w:tcBorders>
              <w:bottom w:val="single" w:sz="8" w:color="auto"/>
              <w:right w:val="single" w:sz="8" w:color="auto"/>
            </w:tcBorders>
            <w:shd w:val="clear" w:color="auto" w:fill="1F3864"/>
          </w:tcPr>
          <w:p>
            <w:pPr>
              <w:spacing w:after="0"/>
              <w:rPr>
                <w:sz w:val="13"/>
                <w:szCs w:val="13"/>
                <w:color w:val="auto"/>
              </w:rPr>
            </w:pPr>
          </w:p>
        </w:tc>
        <w:tc>
          <w:tcPr>
            <w:tcW w:w="2180" w:type="dxa"/>
            <w:vAlign w:val="bottom"/>
            <w:tcBorders>
              <w:bottom w:val="single" w:sz="8" w:color="auto"/>
              <w:right w:val="single" w:sz="8" w:color="auto"/>
            </w:tcBorders>
            <w:shd w:val="clear" w:color="auto" w:fill="1F3864"/>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Threshold</w:t>
            </w:r>
          </w:p>
        </w:tc>
        <w:tc>
          <w:tcPr>
            <w:tcW w:w="1680" w:type="dxa"/>
            <w:vAlign w:val="bottom"/>
          </w:tcPr>
          <w:p>
            <w:pPr>
              <w:jc w:val="center"/>
              <w:ind w:left="345"/>
              <w:spacing w:after="0"/>
              <w:rPr>
                <w:sz w:val="20"/>
                <w:szCs w:val="20"/>
                <w:color w:val="auto"/>
              </w:rPr>
            </w:pPr>
            <w:r>
              <w:rPr>
                <w:rFonts w:ascii="Arial" w:cs="Arial" w:eastAsia="Arial" w:hAnsi="Arial"/>
                <w:sz w:val="19"/>
                <w:szCs w:val="19"/>
                <w:color w:val="auto"/>
                <w:w w:val="94"/>
              </w:rPr>
              <w:t>75%</w:t>
            </w:r>
          </w:p>
        </w:tc>
        <w:tc>
          <w:tcPr>
            <w:tcW w:w="46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50%</w:t>
            </w:r>
          </w:p>
        </w:tc>
        <w:tc>
          <w:tcPr>
            <w:tcW w:w="600" w:type="dxa"/>
            <w:vAlign w:val="bottom"/>
          </w:tcPr>
          <w:p>
            <w:pPr>
              <w:spacing w:after="0"/>
              <w:rPr>
                <w:sz w:val="20"/>
                <w:szCs w:val="20"/>
                <w:color w:val="auto"/>
              </w:rPr>
            </w:pPr>
          </w:p>
        </w:tc>
        <w:tc>
          <w:tcPr>
            <w:tcW w:w="1760" w:type="dxa"/>
            <w:vAlign w:val="bottom"/>
            <w:tcBorders>
              <w:right w:val="single" w:sz="8" w:color="auto"/>
            </w:tcBorders>
          </w:tcPr>
          <w:p>
            <w:pPr>
              <w:jc w:val="center"/>
              <w:ind w:right="525"/>
              <w:spacing w:after="0"/>
              <w:rPr>
                <w:sz w:val="20"/>
                <w:szCs w:val="20"/>
                <w:color w:val="auto"/>
              </w:rPr>
            </w:pPr>
            <w:r>
              <w:rPr>
                <w:rFonts w:ascii="Arial" w:cs="Arial" w:eastAsia="Arial" w:hAnsi="Arial"/>
                <w:sz w:val="19"/>
                <w:szCs w:val="19"/>
                <w:color w:val="auto"/>
                <w:w w:val="89"/>
              </w:rPr>
              <w:t>50%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35%</w:t>
            </w:r>
          </w:p>
        </w:tc>
        <w:tc>
          <w:tcPr>
            <w:tcW w:w="0" w:type="dxa"/>
            <w:vAlign w:val="bottom"/>
          </w:tcPr>
          <w:p>
            <w:pPr>
              <w:spacing w:after="0"/>
              <w:rPr>
                <w:sz w:val="1"/>
                <w:szCs w:val="1"/>
                <w:color w:val="auto"/>
              </w:rPr>
            </w:pPr>
          </w:p>
        </w:tc>
      </w:tr>
      <w:tr>
        <w:trPr>
          <w:trHeight w:val="345"/>
        </w:trPr>
        <w:tc>
          <w:tcPr>
            <w:tcW w:w="2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Target</w:t>
            </w:r>
          </w:p>
        </w:tc>
        <w:tc>
          <w:tcPr>
            <w:tcW w:w="1680" w:type="dxa"/>
            <w:vAlign w:val="bottom"/>
          </w:tcPr>
          <w:p>
            <w:pPr>
              <w:jc w:val="center"/>
              <w:ind w:left="345"/>
              <w:spacing w:after="0"/>
              <w:rPr>
                <w:sz w:val="20"/>
                <w:szCs w:val="20"/>
                <w:color w:val="auto"/>
              </w:rPr>
            </w:pPr>
            <w:r>
              <w:rPr>
                <w:rFonts w:ascii="Arial" w:cs="Arial" w:eastAsia="Arial" w:hAnsi="Arial"/>
                <w:sz w:val="19"/>
                <w:szCs w:val="19"/>
                <w:color w:val="auto"/>
                <w:w w:val="90"/>
              </w:rPr>
              <w:t>150%</w:t>
            </w:r>
          </w:p>
        </w:tc>
        <w:tc>
          <w:tcPr>
            <w:tcW w:w="46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100%</w:t>
            </w:r>
          </w:p>
        </w:tc>
        <w:tc>
          <w:tcPr>
            <w:tcW w:w="600" w:type="dxa"/>
            <w:vAlign w:val="bottom"/>
          </w:tcPr>
          <w:p>
            <w:pPr>
              <w:spacing w:after="0"/>
              <w:rPr>
                <w:sz w:val="24"/>
                <w:szCs w:val="24"/>
                <w:color w:val="auto"/>
              </w:rPr>
            </w:pPr>
          </w:p>
        </w:tc>
        <w:tc>
          <w:tcPr>
            <w:tcW w:w="1760" w:type="dxa"/>
            <w:vAlign w:val="bottom"/>
            <w:tcBorders>
              <w:right w:val="single" w:sz="8" w:color="auto"/>
            </w:tcBorders>
          </w:tcPr>
          <w:p>
            <w:pPr>
              <w:jc w:val="center"/>
              <w:ind w:right="505"/>
              <w:spacing w:after="0"/>
              <w:rPr>
                <w:sz w:val="20"/>
                <w:szCs w:val="20"/>
                <w:color w:val="auto"/>
              </w:rPr>
            </w:pPr>
            <w:r>
              <w:rPr>
                <w:rFonts w:ascii="Arial" w:cs="Arial" w:eastAsia="Arial" w:hAnsi="Arial"/>
                <w:sz w:val="19"/>
                <w:szCs w:val="19"/>
                <w:color w:val="auto"/>
                <w:w w:val="90"/>
              </w:rPr>
              <w:t>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70%</w:t>
            </w:r>
          </w:p>
        </w:tc>
        <w:tc>
          <w:tcPr>
            <w:tcW w:w="0" w:type="dxa"/>
            <w:vAlign w:val="bottom"/>
          </w:tcPr>
          <w:p>
            <w:pPr>
              <w:spacing w:after="0"/>
              <w:rPr>
                <w:sz w:val="1"/>
                <w:szCs w:val="1"/>
                <w:color w:val="auto"/>
              </w:rPr>
            </w:pPr>
          </w:p>
        </w:tc>
      </w:tr>
      <w:tr>
        <w:trPr>
          <w:trHeight w:val="349"/>
        </w:trPr>
        <w:tc>
          <w:tcPr>
            <w:tcW w:w="2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Superior</w:t>
            </w:r>
          </w:p>
        </w:tc>
        <w:tc>
          <w:tcPr>
            <w:tcW w:w="1680" w:type="dxa"/>
            <w:vAlign w:val="bottom"/>
          </w:tcPr>
          <w:p>
            <w:pPr>
              <w:jc w:val="center"/>
              <w:ind w:left="345"/>
              <w:spacing w:after="0"/>
              <w:rPr>
                <w:sz w:val="20"/>
                <w:szCs w:val="20"/>
                <w:color w:val="auto"/>
              </w:rPr>
            </w:pPr>
            <w:r>
              <w:rPr>
                <w:rFonts w:ascii="Arial" w:cs="Arial" w:eastAsia="Arial" w:hAnsi="Arial"/>
                <w:sz w:val="19"/>
                <w:szCs w:val="19"/>
                <w:color w:val="auto"/>
                <w:w w:val="90"/>
              </w:rPr>
              <w:t>225%</w:t>
            </w:r>
          </w:p>
        </w:tc>
        <w:tc>
          <w:tcPr>
            <w:tcW w:w="46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150%</w:t>
            </w:r>
          </w:p>
        </w:tc>
        <w:tc>
          <w:tcPr>
            <w:tcW w:w="600" w:type="dxa"/>
            <w:vAlign w:val="bottom"/>
          </w:tcPr>
          <w:p>
            <w:pPr>
              <w:spacing w:after="0"/>
              <w:rPr>
                <w:sz w:val="24"/>
                <w:szCs w:val="24"/>
                <w:color w:val="auto"/>
              </w:rPr>
            </w:pPr>
          </w:p>
        </w:tc>
        <w:tc>
          <w:tcPr>
            <w:tcW w:w="1760" w:type="dxa"/>
            <w:vAlign w:val="bottom"/>
            <w:tcBorders>
              <w:right w:val="single" w:sz="8" w:color="auto"/>
            </w:tcBorders>
          </w:tcPr>
          <w:p>
            <w:pPr>
              <w:jc w:val="center"/>
              <w:ind w:right="505"/>
              <w:spacing w:after="0"/>
              <w:rPr>
                <w:sz w:val="20"/>
                <w:szCs w:val="20"/>
                <w:color w:val="auto"/>
              </w:rPr>
            </w:pPr>
            <w:r>
              <w:rPr>
                <w:rFonts w:ascii="Arial" w:cs="Arial" w:eastAsia="Arial" w:hAnsi="Arial"/>
                <w:sz w:val="19"/>
                <w:szCs w:val="19"/>
                <w:color w:val="auto"/>
                <w:w w:val="90"/>
              </w:rPr>
              <w:t>150%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105%</w:t>
            </w:r>
          </w:p>
        </w:tc>
        <w:tc>
          <w:tcPr>
            <w:tcW w:w="0" w:type="dxa"/>
            <w:vAlign w:val="bottom"/>
          </w:tcPr>
          <w:p>
            <w:pPr>
              <w:spacing w:after="0"/>
              <w:rPr>
                <w:sz w:val="1"/>
                <w:szCs w:val="1"/>
                <w:color w:val="auto"/>
              </w:rPr>
            </w:pPr>
          </w:p>
        </w:tc>
      </w:tr>
      <w:tr>
        <w:trPr>
          <w:trHeight w:val="144"/>
        </w:trPr>
        <w:tc>
          <w:tcPr>
            <w:tcW w:w="244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6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29424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48" w:name="page49"/>
    <w:bookmarkEnd w:id="48"/>
    <w:p>
      <w:pPr>
        <w:ind w:left="440" w:hanging="437"/>
        <w:spacing w:after="0"/>
        <w:tabs>
          <w:tab w:leader="none" w:pos="440" w:val="left"/>
        </w:tabs>
        <w:numPr>
          <w:ilvl w:val="0"/>
          <w:numId w:val="19"/>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154305</wp:posOffset>
            </wp:positionH>
            <wp:positionV relativeFrom="page">
              <wp:posOffset>228600</wp:posOffset>
            </wp:positionV>
            <wp:extent cx="72523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52335" cy="8255"/>
                    </a:xfrm>
                    <a:prstGeom prst="rect">
                      <a:avLst/>
                    </a:prstGeom>
                    <a:noFill/>
                  </pic:spPr>
                </pic:pic>
              </a:graphicData>
            </a:graphic>
          </wp:anchor>
        </w:drawing>
        <w:t>Excludes future M&amp;A and capital markets transactions consistent with guidance.</w:t>
      </w:r>
    </w:p>
    <w:p>
      <w:pPr>
        <w:spacing w:after="0" w:line="26" w:lineRule="exact"/>
        <w:rPr>
          <w:rFonts w:ascii="Arial" w:cs="Arial" w:eastAsia="Arial" w:hAnsi="Arial"/>
          <w:sz w:val="19"/>
          <w:szCs w:val="19"/>
          <w:color w:val="auto"/>
        </w:rPr>
      </w:pPr>
    </w:p>
    <w:p>
      <w:pPr>
        <w:ind w:left="860" w:hanging="857"/>
        <w:spacing w:after="0" w:line="255" w:lineRule="auto"/>
        <w:tabs>
          <w:tab w:leader="none" w:pos="8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Definition to be consistent with public reporting. Target includes signed transactions pending close with pro forma final run rate synergies, adjusted for purchase price allocation effect.*</w:t>
      </w:r>
    </w:p>
    <w:p>
      <w:pPr>
        <w:ind w:left="860" w:hanging="857"/>
        <w:spacing w:after="0"/>
        <w:tabs>
          <w:tab w:leader="none" w:pos="8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Percentage growth over 2016 Adjusted EBITDA of $690 million / % growth over threshold level of $710 million.</w:t>
      </w:r>
    </w:p>
    <w:p>
      <w:pPr>
        <w:spacing w:after="0" w:line="26" w:lineRule="exact"/>
        <w:rPr>
          <w:rFonts w:ascii="Arial" w:cs="Arial" w:eastAsia="Arial" w:hAnsi="Arial"/>
          <w:sz w:val="19"/>
          <w:szCs w:val="19"/>
          <w:color w:val="auto"/>
        </w:rPr>
      </w:pPr>
    </w:p>
    <w:p>
      <w:pPr>
        <w:ind w:left="860" w:right="160" w:hanging="857"/>
        <w:spacing w:after="0" w:line="250" w:lineRule="auto"/>
        <w:tabs>
          <w:tab w:leader="none" w:pos="8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Capital market transactions include activities after February 4, 2017 and include: the expansion of revolving credit facilities, equity and debt offerings, structured financings and 33% of the transaction value of loan repricings. Excludes the initial placement of equity directly with selling counterparties and assumed debt.</w:t>
      </w:r>
    </w:p>
    <w:p>
      <w:pPr>
        <w:spacing w:after="0" w:line="1" w:lineRule="exact"/>
        <w:rPr>
          <w:rFonts w:ascii="Arial" w:cs="Arial" w:eastAsia="Arial" w:hAnsi="Arial"/>
          <w:sz w:val="19"/>
          <w:szCs w:val="19"/>
          <w:color w:val="auto"/>
        </w:rPr>
      </w:pPr>
    </w:p>
    <w:p>
      <w:pPr>
        <w:ind w:left="860" w:right="80" w:hanging="857"/>
        <w:spacing w:after="0" w:line="265" w:lineRule="auto"/>
        <w:tabs>
          <w:tab w:leader="none" w:pos="8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Diversification target includes signed transactions pending close. Transactions with Windstream will be excluded from the numerator and 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-1197610</wp:posOffset>
            </wp:positionV>
            <wp:extent cx="72523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-902335</wp:posOffset>
            </wp:positionV>
            <wp:extent cx="72523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-746125</wp:posOffset>
            </wp:positionV>
            <wp:extent cx="72523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-311785</wp:posOffset>
            </wp:positionV>
            <wp:extent cx="72523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2523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4580"/>
        <w:spacing w:after="0"/>
        <w:rPr>
          <w:sz w:val="20"/>
          <w:szCs w:val="20"/>
          <w:color w:val="auto"/>
        </w:rPr>
      </w:pPr>
      <w:r>
        <w:rPr>
          <w:rFonts w:ascii="Arial" w:cs="Arial" w:eastAsia="Arial" w:hAnsi="Arial"/>
          <w:sz w:val="17"/>
          <w:szCs w:val="17"/>
          <w:color w:val="FFFFFF"/>
        </w:rPr>
        <w:t>Performance Achievement Level</w:t>
      </w:r>
    </w:p>
    <w:p>
      <w:pPr>
        <w:spacing w:after="0" w:line="166" w:lineRule="exact"/>
        <w:rPr>
          <w:sz w:val="20"/>
          <w:szCs w:val="20"/>
          <w:color w:val="auto"/>
        </w:rPr>
      </w:pPr>
    </w:p>
    <w:p>
      <w:pPr>
        <w:ind w:left="4840"/>
        <w:spacing w:after="0"/>
        <w:rPr>
          <w:sz w:val="20"/>
          <w:szCs w:val="20"/>
          <w:color w:val="auto"/>
        </w:rPr>
      </w:pPr>
      <w:r>
        <w:rPr>
          <w:rFonts w:ascii="Arial" w:cs="Arial" w:eastAsia="Arial" w:hAnsi="Arial"/>
          <w:sz w:val="17"/>
          <w:szCs w:val="17"/>
          <w:color w:val="FFFFFF"/>
        </w:rPr>
        <w:t>Sales Bookings ($MRR +</w:t>
      </w:r>
    </w:p>
    <w:p>
      <w:pPr>
        <w:spacing w:after="0" w:line="102" w:lineRule="exact"/>
        <w:rPr>
          <w:sz w:val="20"/>
          <w:szCs w:val="20"/>
          <w:color w:val="auto"/>
        </w:rPr>
      </w:pPr>
    </w:p>
    <w:p>
      <w:pPr>
        <w:ind w:left="5440"/>
        <w:spacing w:after="0"/>
        <w:rPr>
          <w:sz w:val="20"/>
          <w:szCs w:val="20"/>
          <w:color w:val="auto"/>
        </w:rPr>
      </w:pPr>
      <w:r>
        <w:rPr>
          <w:rFonts w:ascii="Arial" w:cs="Arial" w:eastAsia="Arial" w:hAnsi="Arial"/>
          <w:sz w:val="17"/>
          <w:szCs w:val="17"/>
          <w:color w:val="FFFFFF"/>
        </w:rPr>
        <w:t>$MAR)</w:t>
      </w:r>
    </w:p>
    <w:p>
      <w:pPr>
        <w:spacing w:after="0" w:line="89" w:lineRule="exact"/>
        <w:rPr>
          <w:sz w:val="20"/>
          <w:szCs w:val="20"/>
          <w:color w:val="auto"/>
        </w:rPr>
      </w:pPr>
    </w:p>
    <w:p>
      <w:pPr>
        <w:ind w:left="5500"/>
        <w:spacing w:after="0"/>
        <w:rPr>
          <w:sz w:val="20"/>
          <w:szCs w:val="20"/>
          <w:color w:val="auto"/>
        </w:rPr>
      </w:pPr>
      <w:r>
        <w:rPr>
          <w:rFonts w:ascii="Arial" w:cs="Arial" w:eastAsia="Arial" w:hAnsi="Arial"/>
          <w:sz w:val="17"/>
          <w:szCs w:val="17"/>
          <w:color w:val="FFFFFF"/>
        </w:rPr>
        <w:t>(40%)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FFFFFF"/>
        </w:rPr>
        <w:t>Normalized Adjusted EBITDA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FFFFFF"/>
        </w:rPr>
        <w:t>(40%)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FFFFFF"/>
        </w:rPr>
        <w:t>Normalized Revenue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FFFFFF"/>
        </w:rPr>
        <w:t>(20%)</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Threshold</w:t>
      </w:r>
    </w:p>
    <w:p>
      <w:pPr>
        <w:spacing w:after="0" w:line="76"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$ 1.5 million</w:t>
      </w:r>
    </w:p>
    <w:p>
      <w:pPr>
        <w:spacing w:after="0" w:line="76"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$ 50.0 million</w:t>
      </w:r>
    </w:p>
    <w:p>
      <w:pPr>
        <w:spacing w:after="0" w:line="89"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$ 132.0 million</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Target</w:t>
      </w:r>
    </w:p>
    <w:p>
      <w:pPr>
        <w:spacing w:after="0" w:line="76"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$ 2.0 million</w:t>
      </w:r>
    </w:p>
    <w:p>
      <w:pPr>
        <w:spacing w:after="0" w:line="89"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$ 52.0 million</w:t>
      </w:r>
    </w:p>
    <w:p>
      <w:pPr>
        <w:spacing w:after="0" w:line="76"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$ 136.0 million</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Superior</w:t>
      </w:r>
    </w:p>
    <w:p>
      <w:pPr>
        <w:spacing w:after="0" w:line="89"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$ 2.5 million</w:t>
      </w:r>
    </w:p>
    <w:p>
      <w:pPr>
        <w:spacing w:after="0" w:line="76"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$ 54.0 million</w:t>
      </w:r>
    </w:p>
    <w:p>
      <w:pPr>
        <w:spacing w:after="0" w:line="76"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$ 140.0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20" w:hanging="817"/>
        <w:spacing w:after="0"/>
        <w:tabs>
          <w:tab w:leader="none" w:pos="820" w:val="left"/>
        </w:tabs>
        <w:numPr>
          <w:ilvl w:val="0"/>
          <w:numId w:val="20"/>
        </w:numPr>
        <w:rPr>
          <w:rFonts w:ascii="Arial" w:cs="Arial" w:eastAsia="Arial" w:hAnsi="Arial"/>
          <w:sz w:val="21"/>
          <w:szCs w:val="21"/>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Uniti Fiber STIP</w:t>
      </w:r>
      <w:r>
        <w:rPr>
          <w:rFonts w:ascii="Arial" w:cs="Arial" w:eastAsia="Arial" w:hAnsi="Arial"/>
          <w:sz w:val="19"/>
          <w:szCs w:val="19"/>
          <w:color w:val="auto"/>
        </w:rPr>
        <w:t>. Vesting based on the following:</w:t>
      </w:r>
    </w:p>
    <w:p>
      <w:pPr>
        <w:sectPr>
          <w:pgSz w:w="11900" w:h="16838" w:orient="portrait"/>
          <w:cols w:equalWidth="0" w:num="1">
            <w:col w:w="11420"/>
          </w:cols>
          <w:pgMar w:left="240" w:top="368" w:right="239" w:bottom="0" w:gutter="0" w:footer="0" w:header="0"/>
        </w:sectPr>
      </w:pPr>
    </w:p>
    <w:bookmarkStart w:id="49" w:name="page50"/>
    <w:bookmarkEnd w:id="49"/>
    <w:p>
      <w:pPr>
        <w:ind w:left="1740" w:hanging="871"/>
        <w:spacing w:after="0" w:line="265" w:lineRule="auto"/>
        <w:tabs>
          <w:tab w:leader="none" w:pos="1740" w:val="left"/>
        </w:tabs>
        <w:numPr>
          <w:ilvl w:val="1"/>
          <w:numId w:val="21"/>
        </w:numPr>
        <w:rPr>
          <w:rFonts w:ascii="Arial" w:cs="Arial" w:eastAsia="Arial" w:hAnsi="Arial"/>
          <w:sz w:val="19"/>
          <w:szCs w:val="19"/>
          <w:color w:val="auto"/>
        </w:rPr>
      </w:pPr>
      <w:r>
        <w:rPr>
          <w:rFonts w:ascii="Arial" w:cs="Arial" w:eastAsia="Arial" w:hAnsi="Arial"/>
          <w:sz w:val="19"/>
          <w:szCs w:val="19"/>
          <w:color w:val="auto"/>
        </w:rPr>
        <w:t>Payout for the Uniti Fiber President will be as follows (expressed as a percentage of base salary): Threshold – 50%, Target – 100%, and Superior – 150%.</w:t>
      </w:r>
    </w:p>
    <w:p>
      <w:pPr>
        <w:spacing w:after="0" w:line="176" w:lineRule="exact"/>
        <w:rPr>
          <w:rFonts w:ascii="Arial" w:cs="Arial" w:eastAsia="Arial" w:hAnsi="Arial"/>
          <w:sz w:val="19"/>
          <w:szCs w:val="19"/>
          <w:color w:val="auto"/>
        </w:rPr>
      </w:pPr>
    </w:p>
    <w:p>
      <w:pPr>
        <w:ind w:left="860" w:hanging="857"/>
        <w:spacing w:after="0"/>
        <w:tabs>
          <w:tab w:leader="none" w:pos="8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w:t>
      </w:r>
      <w:r>
        <w:rPr>
          <w:rFonts w:ascii="Arial" w:cs="Arial" w:eastAsia="Arial" w:hAnsi="Arial"/>
          <w:sz w:val="19"/>
          <w:szCs w:val="19"/>
          <w:u w:val="single" w:color="auto"/>
          <w:color w:val="auto"/>
        </w:rPr>
        <w:t>Uniti Towers STIP</w:t>
      </w:r>
      <w:r>
        <w:rPr>
          <w:rFonts w:ascii="Arial" w:cs="Arial" w:eastAsia="Arial" w:hAnsi="Arial"/>
          <w:sz w:val="19"/>
          <w:szCs w:val="19"/>
          <w:color w:val="auto"/>
        </w:rPr>
        <w:t>. Vesting based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101600</wp:posOffset>
            </wp:positionV>
            <wp:extent cx="8255" cy="894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8255" cy="894080"/>
                    </a:xfrm>
                    <a:prstGeom prst="rect">
                      <a:avLst/>
                    </a:prstGeom>
                    <a:noFill/>
                  </pic:spPr>
                </pic:pic>
              </a:graphicData>
            </a:graphic>
          </wp:anchor>
        </w:drawing>
        <w:drawing>
          <wp:anchor simplePos="0" relativeHeight="251657728" behindDoc="1" locked="0" layoutInCell="0" allowOverlap="1">
            <wp:simplePos x="0" y="0"/>
            <wp:positionH relativeFrom="column">
              <wp:posOffset>2693035</wp:posOffset>
            </wp:positionH>
            <wp:positionV relativeFrom="paragraph">
              <wp:posOffset>101600</wp:posOffset>
            </wp:positionV>
            <wp:extent cx="8255" cy="894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8255" cy="894080"/>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101600</wp:posOffset>
            </wp:positionV>
            <wp:extent cx="8255" cy="894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8255" cy="894080"/>
                    </a:xfrm>
                    <a:prstGeom prst="rect">
                      <a:avLst/>
                    </a:prstGeom>
                    <a:noFill/>
                  </pic:spPr>
                </pic:pic>
              </a:graphicData>
            </a:graphic>
          </wp:anchor>
        </w:drawing>
      </w:r>
    </w:p>
    <w:p>
      <w:pPr>
        <w:spacing w:after="0" w:line="120" w:lineRule="exact"/>
        <w:rPr>
          <w:sz w:val="20"/>
          <w:szCs w:val="20"/>
          <w:color w:val="auto"/>
        </w:rPr>
      </w:pPr>
    </w:p>
    <w:tbl>
      <w:tblPr>
        <w:tblLayout w:type="fixed"/>
        <w:tblInd w:w="430" w:type="dxa"/>
        <w:tblCellMar>
          <w:top w:w="0" w:type="dxa"/>
          <w:left w:w="0" w:type="dxa"/>
          <w:bottom w:w="0" w:type="dxa"/>
          <w:right w:w="0" w:type="dxa"/>
        </w:tblCellMar>
      </w:tblPr>
      <w:tr>
        <w:trPr>
          <w:trHeight w:val="491"/>
        </w:trPr>
        <w:tc>
          <w:tcPr>
            <w:tcW w:w="1960" w:type="dxa"/>
            <w:vAlign w:val="bottom"/>
            <w:tcBorders>
              <w:top w:val="single" w:sz="8" w:color="auto"/>
              <w:left w:val="single" w:sz="8" w:color="auto"/>
              <w:right w:val="single" w:sz="8" w:color="091F5B"/>
            </w:tcBorders>
            <w:shd w:val="clear" w:color="auto" w:fill="091F5B"/>
          </w:tcPr>
          <w:p>
            <w:pPr>
              <w:jc w:val="center"/>
              <w:ind w:left="74"/>
              <w:spacing w:after="0"/>
              <w:rPr>
                <w:sz w:val="20"/>
                <w:szCs w:val="20"/>
                <w:color w:val="auto"/>
              </w:rPr>
            </w:pPr>
            <w:r>
              <w:rPr>
                <w:rFonts w:ascii="Arial" w:cs="Arial" w:eastAsia="Arial" w:hAnsi="Arial"/>
                <w:sz w:val="17"/>
                <w:szCs w:val="17"/>
                <w:color w:val="FFFFFF"/>
                <w:w w:val="90"/>
              </w:rPr>
              <w:t>Performance</w:t>
            </w:r>
          </w:p>
        </w:tc>
        <w:tc>
          <w:tcPr>
            <w:tcW w:w="1880" w:type="dxa"/>
            <w:vAlign w:val="bottom"/>
            <w:tcBorders>
              <w:top w:val="single" w:sz="8" w:color="auto"/>
              <w:right w:val="single" w:sz="8" w:color="091F5B"/>
            </w:tcBorders>
            <w:shd w:val="clear" w:color="auto" w:fill="091F5B"/>
          </w:tcPr>
          <w:p>
            <w:pPr>
              <w:jc w:val="center"/>
              <w:ind w:left="54"/>
              <w:spacing w:after="0"/>
              <w:rPr>
                <w:sz w:val="20"/>
                <w:szCs w:val="20"/>
                <w:color w:val="auto"/>
              </w:rPr>
            </w:pPr>
            <w:r>
              <w:rPr>
                <w:rFonts w:ascii="Arial" w:cs="Arial" w:eastAsia="Arial" w:hAnsi="Arial"/>
                <w:sz w:val="17"/>
                <w:szCs w:val="17"/>
                <w:color w:val="FFFFFF"/>
                <w:w w:val="95"/>
              </w:rPr>
              <w:t>Uniti Towers</w:t>
            </w:r>
          </w:p>
        </w:tc>
        <w:tc>
          <w:tcPr>
            <w:tcW w:w="1440" w:type="dxa"/>
            <w:vAlign w:val="bottom"/>
            <w:tcBorders>
              <w:top w:val="single" w:sz="8" w:color="auto"/>
              <w:right w:val="single" w:sz="8" w:color="091F5B"/>
            </w:tcBorders>
            <w:shd w:val="clear" w:color="auto" w:fill="091F5B"/>
          </w:tcPr>
          <w:p>
            <w:pPr>
              <w:jc w:val="center"/>
              <w:spacing w:after="0"/>
              <w:rPr>
                <w:sz w:val="20"/>
                <w:szCs w:val="20"/>
                <w:color w:val="auto"/>
              </w:rPr>
            </w:pPr>
            <w:r>
              <w:rPr>
                <w:rFonts w:ascii="Arial" w:cs="Arial" w:eastAsia="Arial" w:hAnsi="Arial"/>
                <w:sz w:val="17"/>
                <w:szCs w:val="17"/>
                <w:color w:val="FFFFFF"/>
                <w:w w:val="95"/>
              </w:rPr>
              <w:t>Uniti Towers</w:t>
            </w:r>
          </w:p>
        </w:tc>
        <w:tc>
          <w:tcPr>
            <w:tcW w:w="2180" w:type="dxa"/>
            <w:vAlign w:val="bottom"/>
            <w:tcBorders>
              <w:top w:val="single" w:sz="8" w:color="auto"/>
            </w:tcBorders>
            <w:shd w:val="clear" w:color="auto" w:fill="091F5B"/>
          </w:tcPr>
          <w:p>
            <w:pPr>
              <w:jc w:val="center"/>
              <w:ind w:left="34"/>
              <w:spacing w:after="0"/>
              <w:rPr>
                <w:sz w:val="20"/>
                <w:szCs w:val="20"/>
                <w:color w:val="auto"/>
              </w:rPr>
            </w:pPr>
            <w:r>
              <w:rPr>
                <w:rFonts w:ascii="Arial" w:cs="Arial" w:eastAsia="Arial" w:hAnsi="Arial"/>
                <w:sz w:val="17"/>
                <w:szCs w:val="17"/>
                <w:color w:val="FFFFFF"/>
                <w:w w:val="91"/>
              </w:rPr>
              <w:t>Towers Under Construction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960" w:type="dxa"/>
            <w:vAlign w:val="bottom"/>
            <w:tcBorders>
              <w:left w:val="single" w:sz="8" w:color="auto"/>
              <w:right w:val="single" w:sz="8" w:color="091F5B"/>
            </w:tcBorders>
            <w:shd w:val="clear" w:color="auto" w:fill="091F5B"/>
          </w:tcPr>
          <w:p>
            <w:pPr>
              <w:jc w:val="center"/>
              <w:ind w:left="74"/>
              <w:spacing w:after="0"/>
              <w:rPr>
                <w:sz w:val="20"/>
                <w:szCs w:val="20"/>
                <w:color w:val="auto"/>
              </w:rPr>
            </w:pPr>
            <w:r>
              <w:rPr>
                <w:rFonts w:ascii="Arial" w:cs="Arial" w:eastAsia="Arial" w:hAnsi="Arial"/>
                <w:sz w:val="17"/>
                <w:szCs w:val="17"/>
                <w:color w:val="FFFFFF"/>
                <w:w w:val="94"/>
              </w:rPr>
              <w:t>Achievement Level</w:t>
            </w:r>
          </w:p>
        </w:tc>
        <w:tc>
          <w:tcPr>
            <w:tcW w:w="1880" w:type="dxa"/>
            <w:vAlign w:val="bottom"/>
            <w:tcBorders>
              <w:right w:val="single" w:sz="8" w:color="091F5B"/>
            </w:tcBorders>
            <w:shd w:val="clear" w:color="auto" w:fill="091F5B"/>
          </w:tcPr>
          <w:p>
            <w:pPr>
              <w:jc w:val="center"/>
              <w:ind w:left="74"/>
              <w:spacing w:after="0"/>
              <w:rPr>
                <w:sz w:val="20"/>
                <w:szCs w:val="20"/>
                <w:color w:val="auto"/>
              </w:rPr>
            </w:pPr>
            <w:r>
              <w:rPr>
                <w:rFonts w:ascii="Arial" w:cs="Arial" w:eastAsia="Arial" w:hAnsi="Arial"/>
                <w:sz w:val="17"/>
                <w:szCs w:val="17"/>
                <w:color w:val="FFFFFF"/>
                <w:w w:val="92"/>
              </w:rPr>
              <w:t>Revenue(1) (30%)</w:t>
            </w:r>
          </w:p>
        </w:tc>
        <w:tc>
          <w:tcPr>
            <w:tcW w:w="1440" w:type="dxa"/>
            <w:vAlign w:val="bottom"/>
            <w:tcBorders>
              <w:right w:val="single" w:sz="8" w:color="091F5B"/>
            </w:tcBorders>
            <w:vMerge w:val="restart"/>
            <w:shd w:val="clear" w:color="auto" w:fill="091F5B"/>
          </w:tcPr>
          <w:p>
            <w:pPr>
              <w:jc w:val="center"/>
              <w:spacing w:after="0"/>
              <w:rPr>
                <w:sz w:val="20"/>
                <w:szCs w:val="20"/>
                <w:color w:val="auto"/>
              </w:rPr>
            </w:pPr>
            <w:r>
              <w:rPr>
                <w:rFonts w:ascii="Arial" w:cs="Arial" w:eastAsia="Arial" w:hAnsi="Arial"/>
                <w:sz w:val="17"/>
                <w:szCs w:val="17"/>
                <w:color w:val="FFFFFF"/>
                <w:w w:val="98"/>
              </w:rPr>
              <w:t>Adjusted EBITDA</w:t>
            </w:r>
          </w:p>
        </w:tc>
        <w:tc>
          <w:tcPr>
            <w:tcW w:w="2180" w:type="dxa"/>
            <w:vAlign w:val="bottom"/>
            <w:shd w:val="clear" w:color="auto" w:fill="091F5B"/>
          </w:tcPr>
          <w:p>
            <w:pPr>
              <w:jc w:val="right"/>
              <w:ind w:right="614"/>
              <w:spacing w:after="0"/>
              <w:rPr>
                <w:sz w:val="20"/>
                <w:szCs w:val="20"/>
                <w:color w:val="auto"/>
              </w:rPr>
            </w:pPr>
            <w:r>
              <w:rPr>
                <w:rFonts w:ascii="Arial" w:cs="Arial" w:eastAsia="Arial" w:hAnsi="Arial"/>
                <w:sz w:val="17"/>
                <w:szCs w:val="17"/>
                <w:color w:val="FFFFFF"/>
              </w:rPr>
              <w:t>(2) (40%)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1960" w:type="dxa"/>
            <w:vAlign w:val="bottom"/>
            <w:tcBorders>
              <w:left w:val="single" w:sz="8" w:color="auto"/>
              <w:right w:val="single" w:sz="8" w:color="091F5B"/>
            </w:tcBorders>
            <w:shd w:val="clear" w:color="auto" w:fill="091F5B"/>
          </w:tcPr>
          <w:p>
            <w:pPr>
              <w:spacing w:after="0"/>
              <w:rPr>
                <w:sz w:val="6"/>
                <w:szCs w:val="6"/>
                <w:color w:val="auto"/>
              </w:rPr>
            </w:pPr>
          </w:p>
        </w:tc>
        <w:tc>
          <w:tcPr>
            <w:tcW w:w="1880" w:type="dxa"/>
            <w:vAlign w:val="bottom"/>
            <w:tcBorders>
              <w:right w:val="single" w:sz="8" w:color="091F5B"/>
            </w:tcBorders>
            <w:shd w:val="clear" w:color="auto" w:fill="091F5B"/>
          </w:tcPr>
          <w:p>
            <w:pPr>
              <w:spacing w:after="0"/>
              <w:rPr>
                <w:sz w:val="6"/>
                <w:szCs w:val="6"/>
                <w:color w:val="auto"/>
              </w:rPr>
            </w:pPr>
          </w:p>
        </w:tc>
        <w:tc>
          <w:tcPr>
            <w:tcW w:w="1440" w:type="dxa"/>
            <w:vAlign w:val="bottom"/>
            <w:tcBorders>
              <w:right w:val="single" w:sz="8" w:color="091F5B"/>
            </w:tcBorders>
            <w:vMerge w:val="continue"/>
            <w:shd w:val="clear" w:color="auto" w:fill="091F5B"/>
          </w:tcPr>
          <w:p>
            <w:pPr>
              <w:spacing w:after="0"/>
              <w:rPr>
                <w:sz w:val="6"/>
                <w:szCs w:val="6"/>
                <w:color w:val="auto"/>
              </w:rPr>
            </w:pPr>
          </w:p>
        </w:tc>
        <w:tc>
          <w:tcPr>
            <w:tcW w:w="2180" w:type="dxa"/>
            <w:vAlign w:val="bottom"/>
            <w:shd w:val="clear" w:color="auto" w:fill="091F5B"/>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960" w:type="dxa"/>
            <w:vAlign w:val="bottom"/>
            <w:tcBorders>
              <w:left w:val="single" w:sz="8" w:color="auto"/>
              <w:right w:val="single" w:sz="8" w:color="091F5B"/>
            </w:tcBorders>
            <w:shd w:val="clear" w:color="auto" w:fill="091F5B"/>
          </w:tcPr>
          <w:p>
            <w:pPr>
              <w:spacing w:after="0"/>
              <w:rPr>
                <w:sz w:val="19"/>
                <w:szCs w:val="19"/>
                <w:color w:val="auto"/>
              </w:rPr>
            </w:pPr>
          </w:p>
        </w:tc>
        <w:tc>
          <w:tcPr>
            <w:tcW w:w="1880" w:type="dxa"/>
            <w:vAlign w:val="bottom"/>
            <w:tcBorders>
              <w:right w:val="single" w:sz="8" w:color="091F5B"/>
            </w:tcBorders>
            <w:shd w:val="clear" w:color="auto" w:fill="091F5B"/>
          </w:tcPr>
          <w:p>
            <w:pPr>
              <w:spacing w:after="0"/>
              <w:rPr>
                <w:sz w:val="19"/>
                <w:szCs w:val="19"/>
                <w:color w:val="auto"/>
              </w:rPr>
            </w:pPr>
          </w:p>
        </w:tc>
        <w:tc>
          <w:tcPr>
            <w:tcW w:w="1440" w:type="dxa"/>
            <w:vAlign w:val="bottom"/>
            <w:tcBorders>
              <w:right w:val="single" w:sz="8" w:color="091F5B"/>
            </w:tcBorders>
            <w:shd w:val="clear" w:color="auto" w:fill="091F5B"/>
          </w:tcPr>
          <w:p>
            <w:pPr>
              <w:jc w:val="center"/>
              <w:spacing w:after="0"/>
              <w:rPr>
                <w:sz w:val="20"/>
                <w:szCs w:val="20"/>
                <w:color w:val="auto"/>
              </w:rPr>
            </w:pPr>
            <w:r>
              <w:rPr>
                <w:rFonts w:ascii="Arial" w:cs="Arial" w:eastAsia="Arial" w:hAnsi="Arial"/>
                <w:sz w:val="17"/>
                <w:szCs w:val="17"/>
                <w:color w:val="FFFFFF"/>
                <w:w w:val="96"/>
              </w:rPr>
              <w:t>(30%)</w:t>
            </w:r>
          </w:p>
        </w:tc>
        <w:tc>
          <w:tcPr>
            <w:tcW w:w="2180" w:type="dxa"/>
            <w:vAlign w:val="bottom"/>
            <w:shd w:val="clear" w:color="auto" w:fill="091F5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1960" w:type="dxa"/>
            <w:vAlign w:val="bottom"/>
            <w:tcBorders>
              <w:left w:val="single" w:sz="8" w:color="auto"/>
              <w:bottom w:val="single" w:sz="8" w:color="auto"/>
              <w:right w:val="single" w:sz="8" w:color="091F5B"/>
            </w:tcBorders>
            <w:shd w:val="clear" w:color="auto" w:fill="091F5B"/>
          </w:tcPr>
          <w:p>
            <w:pPr>
              <w:spacing w:after="0"/>
              <w:rPr>
                <w:sz w:val="24"/>
                <w:szCs w:val="24"/>
                <w:color w:val="auto"/>
              </w:rPr>
            </w:pPr>
          </w:p>
        </w:tc>
        <w:tc>
          <w:tcPr>
            <w:tcW w:w="1880" w:type="dxa"/>
            <w:vAlign w:val="bottom"/>
            <w:tcBorders>
              <w:right w:val="single" w:sz="8" w:color="091F5B"/>
            </w:tcBorders>
            <w:shd w:val="clear" w:color="auto" w:fill="091F5B"/>
          </w:tcPr>
          <w:p>
            <w:pPr>
              <w:spacing w:after="0"/>
              <w:rPr>
                <w:sz w:val="24"/>
                <w:szCs w:val="24"/>
                <w:color w:val="auto"/>
              </w:rPr>
            </w:pPr>
          </w:p>
        </w:tc>
        <w:tc>
          <w:tcPr>
            <w:tcW w:w="1440" w:type="dxa"/>
            <w:vAlign w:val="bottom"/>
            <w:tcBorders>
              <w:right w:val="single" w:sz="8" w:color="091F5B"/>
            </w:tcBorders>
            <w:shd w:val="clear" w:color="auto" w:fill="091F5B"/>
          </w:tcPr>
          <w:p>
            <w:pPr>
              <w:spacing w:after="0"/>
              <w:rPr>
                <w:sz w:val="24"/>
                <w:szCs w:val="24"/>
                <w:color w:val="auto"/>
              </w:rPr>
            </w:pPr>
          </w:p>
        </w:tc>
        <w:tc>
          <w:tcPr>
            <w:tcW w:w="2180" w:type="dxa"/>
            <w:vAlign w:val="bottom"/>
            <w:shd w:val="clear" w:color="auto" w:fill="091F5B"/>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Threshold</w:t>
            </w:r>
          </w:p>
        </w:tc>
        <w:tc>
          <w:tcPr>
            <w:tcW w:w="1880" w:type="dxa"/>
            <w:vAlign w:val="bottom"/>
            <w:tcBorders>
              <w:right w:val="single" w:sz="8" w:color="auto"/>
            </w:tcBorders>
          </w:tcPr>
          <w:p>
            <w:pPr>
              <w:ind w:left="960"/>
              <w:spacing w:after="0"/>
              <w:rPr>
                <w:sz w:val="20"/>
                <w:szCs w:val="20"/>
                <w:color w:val="auto"/>
              </w:rPr>
            </w:pPr>
            <w:r>
              <w:rPr>
                <w:rFonts w:ascii="Arial" w:cs="Arial" w:eastAsia="Arial" w:hAnsi="Arial"/>
                <w:sz w:val="17"/>
                <w:szCs w:val="17"/>
                <w:color w:val="auto"/>
                <w:w w:val="96"/>
              </w:rPr>
              <w:t>$ 6.6 million</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 (2.0) million</w:t>
            </w:r>
          </w:p>
        </w:tc>
        <w:tc>
          <w:tcPr>
            <w:tcW w:w="2180" w:type="dxa"/>
            <w:vAlign w:val="bottom"/>
          </w:tcPr>
          <w:p>
            <w:pPr>
              <w:ind w:left="1360"/>
              <w:spacing w:after="0"/>
              <w:rPr>
                <w:sz w:val="20"/>
                <w:szCs w:val="20"/>
                <w:color w:val="auto"/>
              </w:rPr>
            </w:pPr>
            <w:r>
              <w:rPr>
                <w:rFonts w:ascii="Arial" w:cs="Arial" w:eastAsia="Arial" w:hAnsi="Arial"/>
                <w:sz w:val="17"/>
                <w:szCs w:val="17"/>
                <w:color w:val="auto"/>
                <w:w w:val="90"/>
              </w:rPr>
              <w:t>200 awards</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349"/>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Target</w:t>
            </w:r>
          </w:p>
        </w:tc>
        <w:tc>
          <w:tcPr>
            <w:tcW w:w="1880" w:type="dxa"/>
            <w:vAlign w:val="bottom"/>
            <w:tcBorders>
              <w:right w:val="single" w:sz="8" w:color="auto"/>
            </w:tcBorders>
          </w:tcPr>
          <w:p>
            <w:pPr>
              <w:ind w:left="960"/>
              <w:spacing w:after="0"/>
              <w:rPr>
                <w:sz w:val="20"/>
                <w:szCs w:val="20"/>
                <w:color w:val="auto"/>
              </w:rPr>
            </w:pPr>
            <w:r>
              <w:rPr>
                <w:rFonts w:ascii="Arial" w:cs="Arial" w:eastAsia="Arial" w:hAnsi="Arial"/>
                <w:sz w:val="17"/>
                <w:szCs w:val="17"/>
                <w:color w:val="auto"/>
                <w:w w:val="96"/>
              </w:rPr>
              <w:t>$ 7.6 million</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 (1.0) million</w:t>
            </w:r>
          </w:p>
        </w:tc>
        <w:tc>
          <w:tcPr>
            <w:tcW w:w="2180" w:type="dxa"/>
            <w:vAlign w:val="bottom"/>
          </w:tcPr>
          <w:p>
            <w:pPr>
              <w:ind w:left="1360"/>
              <w:spacing w:after="0"/>
              <w:rPr>
                <w:sz w:val="20"/>
                <w:szCs w:val="20"/>
                <w:color w:val="auto"/>
              </w:rPr>
            </w:pPr>
            <w:r>
              <w:rPr>
                <w:rFonts w:ascii="Arial" w:cs="Arial" w:eastAsia="Arial" w:hAnsi="Arial"/>
                <w:sz w:val="17"/>
                <w:szCs w:val="17"/>
                <w:color w:val="auto"/>
                <w:w w:val="90"/>
              </w:rPr>
              <w:t>300 awards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9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Superior</w:t>
            </w:r>
          </w:p>
        </w:tc>
        <w:tc>
          <w:tcPr>
            <w:tcW w:w="1880" w:type="dxa"/>
            <w:vAlign w:val="bottom"/>
            <w:tcBorders>
              <w:right w:val="single" w:sz="8" w:color="auto"/>
            </w:tcBorders>
          </w:tcPr>
          <w:p>
            <w:pPr>
              <w:ind w:left="960"/>
              <w:spacing w:after="0"/>
              <w:rPr>
                <w:sz w:val="20"/>
                <w:szCs w:val="20"/>
                <w:color w:val="auto"/>
              </w:rPr>
            </w:pPr>
            <w:r>
              <w:rPr>
                <w:rFonts w:ascii="Arial" w:cs="Arial" w:eastAsia="Arial" w:hAnsi="Arial"/>
                <w:sz w:val="17"/>
                <w:szCs w:val="17"/>
                <w:color w:val="auto"/>
                <w:w w:val="96"/>
              </w:rPr>
              <w:t>$ 8.6 million</w:t>
            </w:r>
          </w:p>
        </w:tc>
        <w:tc>
          <w:tcPr>
            <w:tcW w:w="144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$ 0.0 million</w:t>
            </w:r>
          </w:p>
        </w:tc>
        <w:tc>
          <w:tcPr>
            <w:tcW w:w="2180" w:type="dxa"/>
            <w:vAlign w:val="bottom"/>
          </w:tcPr>
          <w:p>
            <w:pPr>
              <w:ind w:left="1360"/>
              <w:spacing w:after="0"/>
              <w:rPr>
                <w:sz w:val="20"/>
                <w:szCs w:val="20"/>
                <w:color w:val="auto"/>
              </w:rPr>
            </w:pPr>
            <w:r>
              <w:rPr>
                <w:rFonts w:ascii="Arial" w:cs="Arial" w:eastAsia="Arial" w:hAnsi="Arial"/>
                <w:sz w:val="17"/>
                <w:szCs w:val="17"/>
                <w:color w:val="auto"/>
                <w:w w:val="90"/>
              </w:rPr>
              <w:t>400 awards</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960" w:type="dxa"/>
            <w:vAlign w:val="bottom"/>
            <w:tcBorders>
              <w:left w:val="single" w:sz="8" w:color="auto"/>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740" w:hanging="871"/>
        <w:spacing w:after="0" w:line="250" w:lineRule="auto"/>
        <w:tabs>
          <w:tab w:leader="none" w:pos="17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Payout for the Uniti Towers President will be as follows (expressed as a percentage of base salary): Threshold – 50%, Target – 100%, and Superior – 150%.</w:t>
      </w:r>
    </w:p>
    <w:p>
      <w:pPr>
        <w:ind w:left="1020"/>
        <w:spacing w:after="0"/>
        <w:rPr>
          <w:sz w:val="20"/>
          <w:szCs w:val="20"/>
          <w:color w:val="auto"/>
        </w:rPr>
      </w:pPr>
      <w:r>
        <w:rPr>
          <w:rFonts w:ascii="Arial" w:cs="Arial" w:eastAsia="Arial" w:hAnsi="Arial"/>
          <w:sz w:val="19"/>
          <w:szCs w:val="19"/>
          <w:color w:val="auto"/>
        </w:rPr>
        <w:t>____________________________________________________________________________</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729424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0" w:name="page51"/>
    <w:bookmarkEnd w:id="50"/>
    <w:p>
      <w:pPr>
        <w:ind w:left="980" w:hanging="432"/>
        <w:spacing w:after="0" w:line="265" w:lineRule="auto"/>
        <w:tabs>
          <w:tab w:leader="none" w:pos="9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Includes impact of NMS acquisition from close date to year-end. Calculation will be FX neutral, based on budgeted FX rates.</w:t>
      </w:r>
    </w:p>
    <w:p>
      <w:pPr>
        <w:spacing w:after="0" w:line="176" w:lineRule="exact"/>
        <w:rPr>
          <w:rFonts w:ascii="Arial" w:cs="Arial" w:eastAsia="Arial" w:hAnsi="Arial"/>
          <w:sz w:val="19"/>
          <w:szCs w:val="19"/>
          <w:color w:val="auto"/>
        </w:rPr>
      </w:pPr>
    </w:p>
    <w:p>
      <w:pPr>
        <w:ind w:left="980" w:hanging="432"/>
        <w:spacing w:after="0"/>
        <w:tabs>
          <w:tab w:leader="none" w:pos="9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Represents sites (macro or rooftop) under executed site development plan with AT&amp;T.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0220"/>
          </w:cols>
          <w:pgMar w:left="1440" w:top="342" w:right="239" w:bottom="1440" w:gutter="0" w:footer="0" w:header="0"/>
        </w:sectPr>
      </w:pPr>
    </w:p>
    <w:bookmarkStart w:id="51" w:name="page52"/>
    <w:bookmarkEnd w:id="51"/>
    <w:p>
      <w:pPr>
        <w:jc w:val="both"/>
        <w:spacing w:after="0" w:line="247" w:lineRule="auto"/>
        <w:rPr>
          <w:sz w:val="20"/>
          <w:szCs w:val="20"/>
          <w:color w:val="auto"/>
        </w:rPr>
      </w:pPr>
      <w:r>
        <w:rPr>
          <w:rFonts w:ascii="Arial" w:cs="Arial" w:eastAsia="Arial" w:hAnsi="Arial"/>
          <w:sz w:val="19"/>
          <w:szCs w:val="19"/>
          <w:color w:val="auto"/>
        </w:rPr>
        <w:t>Portions of this document have been redacted pursuant to a Confidential Treatment Request filed with the Securities and Exchange Commission pursuant to Rule 406 under the Securities Act of 1933, as amended, and Rule 24b-2 under the Securities Exchange Act of 1934, as amended. Redacted portions are indicated with the notation “[**]”.</w:t>
      </w:r>
    </w:p>
    <w:p>
      <w:pPr>
        <w:ind w:left="9660"/>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UNITI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2018 SHORT TERM INCENTIVE PLAN</w:t>
      </w:r>
    </w:p>
    <w:p>
      <w:pPr>
        <w:spacing w:after="0" w:line="205" w:lineRule="exact"/>
        <w:rPr>
          <w:sz w:val="20"/>
          <w:szCs w:val="20"/>
          <w:color w:val="auto"/>
        </w:rPr>
      </w:pPr>
    </w:p>
    <w:p>
      <w:pPr>
        <w:ind w:right="200" w:firstLine="878"/>
        <w:spacing w:after="0" w:line="265" w:lineRule="auto"/>
        <w:rPr>
          <w:sz w:val="20"/>
          <w:szCs w:val="20"/>
          <w:color w:val="auto"/>
        </w:rPr>
      </w:pPr>
      <w:r>
        <w:rPr>
          <w:rFonts w:ascii="Arial" w:cs="Arial" w:eastAsia="Arial" w:hAnsi="Arial"/>
          <w:sz w:val="19"/>
          <w:szCs w:val="19"/>
          <w:color w:val="auto"/>
        </w:rPr>
        <w:t>This 2018 Short Term Incentive Plan (this “</w:t>
      </w:r>
      <w:r>
        <w:rPr>
          <w:rFonts w:ascii="Arial" w:cs="Arial" w:eastAsia="Arial" w:hAnsi="Arial"/>
          <w:sz w:val="19"/>
          <w:szCs w:val="19"/>
          <w:u w:val="single" w:color="auto"/>
          <w:color w:val="auto"/>
        </w:rPr>
        <w:t>Plan</w:t>
      </w:r>
      <w:r>
        <w:rPr>
          <w:rFonts w:ascii="Arial" w:cs="Arial" w:eastAsia="Arial" w:hAnsi="Arial"/>
          <w:sz w:val="19"/>
          <w:szCs w:val="19"/>
          <w:color w:val="auto"/>
        </w:rPr>
        <w:t>”) of Uniti Group Inc., a Maryland corporation (the “</w:t>
      </w:r>
      <w:r>
        <w:rPr>
          <w:rFonts w:ascii="Arial" w:cs="Arial" w:eastAsia="Arial" w:hAnsi="Arial"/>
          <w:sz w:val="19"/>
          <w:szCs w:val="19"/>
          <w:u w:val="single" w:color="auto"/>
          <w:color w:val="auto"/>
        </w:rPr>
        <w:t>Corporation</w:t>
      </w:r>
      <w:r>
        <w:rPr>
          <w:rFonts w:ascii="Arial" w:cs="Arial" w:eastAsia="Arial" w:hAnsi="Arial"/>
          <w:sz w:val="19"/>
          <w:szCs w:val="19"/>
          <w:color w:val="auto"/>
        </w:rPr>
        <w:t>”), became effective on February 6, 2018 (the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166" w:lineRule="exact"/>
        <w:rPr>
          <w:sz w:val="20"/>
          <w:szCs w:val="20"/>
          <w:color w:val="auto"/>
        </w:rPr>
      </w:pPr>
    </w:p>
    <w:p>
      <w:pPr>
        <w:ind w:right="500" w:firstLine="878"/>
        <w:spacing w:after="0"/>
        <w:rPr>
          <w:sz w:val="20"/>
          <w:szCs w:val="20"/>
          <w:color w:val="auto"/>
        </w:rPr>
      </w:pPr>
      <w:r>
        <w:rPr>
          <w:rFonts w:ascii="Arial" w:cs="Arial" w:eastAsia="Arial" w:hAnsi="Arial"/>
          <w:sz w:val="21"/>
          <w:szCs w:val="21"/>
          <w:b w:val="1"/>
          <w:bCs w:val="1"/>
          <w:color w:val="auto"/>
        </w:rPr>
        <w:t xml:space="preserve">Section 1. </w:t>
      </w:r>
      <w:r>
        <w:rPr>
          <w:rFonts w:ascii="Arial" w:cs="Arial" w:eastAsia="Arial" w:hAnsi="Arial"/>
          <w:sz w:val="18"/>
          <w:szCs w:val="18"/>
          <w:b w:val="1"/>
          <w:bCs w:val="1"/>
          <w:color w:val="auto"/>
        </w:rPr>
        <w:t>Definitions</w:t>
      </w:r>
      <w:r>
        <w:rPr>
          <w:rFonts w:ascii="Arial" w:cs="Arial" w:eastAsia="Arial" w:hAnsi="Arial"/>
          <w:sz w:val="18"/>
          <w:szCs w:val="18"/>
          <w:color w:val="auto"/>
        </w:rPr>
        <w:t>. The following words and phrases shall have the following meanings unless a different meaning is plainly</w:t>
      </w:r>
      <w:r>
        <w:rPr>
          <w:rFonts w:ascii="Arial" w:cs="Arial" w:eastAsia="Arial" w:hAnsi="Arial"/>
          <w:sz w:val="21"/>
          <w:szCs w:val="21"/>
          <w:b w:val="1"/>
          <w:bCs w:val="1"/>
          <w:color w:val="auto"/>
        </w:rPr>
        <w:t xml:space="preserve"> </w:t>
      </w:r>
      <w:r>
        <w:rPr>
          <w:rFonts w:ascii="Arial" w:cs="Arial" w:eastAsia="Arial" w:hAnsi="Arial"/>
          <w:sz w:val="18"/>
          <w:szCs w:val="18"/>
          <w:color w:val="auto"/>
        </w:rPr>
        <w:t>required by the context:</w:t>
      </w:r>
    </w:p>
    <w:p>
      <w:pPr>
        <w:spacing w:after="0" w:line="186"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Award</w:t>
      </w:r>
      <w:r>
        <w:rPr>
          <w:rFonts w:ascii="Arial" w:cs="Arial" w:eastAsia="Arial" w:hAnsi="Arial"/>
          <w:sz w:val="19"/>
          <w:szCs w:val="19"/>
          <w:color w:val="auto"/>
        </w:rPr>
        <w:t>” means any Short-Term Incentive Bonus granted under this Plan.</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Board</w:t>
      </w:r>
      <w:r>
        <w:rPr>
          <w:rFonts w:ascii="Arial" w:cs="Arial" w:eastAsia="Arial" w:hAnsi="Arial"/>
          <w:sz w:val="19"/>
          <w:szCs w:val="19"/>
          <w:color w:val="auto"/>
        </w:rPr>
        <w:t>” means the Board of Directors of the Corporation.</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Code</w:t>
      </w:r>
      <w:r>
        <w:rPr>
          <w:rFonts w:ascii="Arial" w:cs="Arial" w:eastAsia="Arial" w:hAnsi="Arial"/>
          <w:sz w:val="19"/>
          <w:szCs w:val="19"/>
          <w:color w:val="auto"/>
        </w:rPr>
        <w:t>” means the Internal Revenue Code of 1986, as amended.</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Committee</w:t>
      </w:r>
      <w:r>
        <w:rPr>
          <w:rFonts w:ascii="Arial" w:cs="Arial" w:eastAsia="Arial" w:hAnsi="Arial"/>
          <w:sz w:val="19"/>
          <w:szCs w:val="19"/>
          <w:color w:val="auto"/>
        </w:rPr>
        <w:t>” means the Compensation Committee of the Board which has been appointed to administer this Plan.</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Corporation</w:t>
      </w:r>
      <w:r>
        <w:rPr>
          <w:rFonts w:ascii="Arial" w:cs="Arial" w:eastAsia="Arial" w:hAnsi="Arial"/>
          <w:sz w:val="19"/>
          <w:szCs w:val="19"/>
          <w:color w:val="auto"/>
        </w:rPr>
        <w:t>” means Uniti Group Inc., a Maryland corporation, and any direct or indirect subsidiary thereof.</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Eligible Officer</w:t>
      </w:r>
      <w:r>
        <w:rPr>
          <w:rFonts w:ascii="Arial" w:cs="Arial" w:eastAsia="Arial" w:hAnsi="Arial"/>
          <w:sz w:val="19"/>
          <w:szCs w:val="19"/>
          <w:color w:val="auto"/>
        </w:rPr>
        <w:t>” means an officer of the Corporation holding the positions set forth in Section 3 of this Plan.</w:t>
      </w:r>
    </w:p>
    <w:p>
      <w:pPr>
        <w:spacing w:after="0" w:line="208" w:lineRule="exact"/>
        <w:rPr>
          <w:sz w:val="20"/>
          <w:szCs w:val="20"/>
          <w:color w:val="auto"/>
        </w:rPr>
      </w:pPr>
    </w:p>
    <w:p>
      <w:pPr>
        <w:ind w:left="880" w:right="980" w:firstLine="811"/>
        <w:spacing w:after="0" w:line="230" w:lineRule="exact"/>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Employee</w:t>
      </w:r>
      <w:r>
        <w:rPr>
          <w:rFonts w:ascii="Arial" w:cs="Arial" w:eastAsia="Arial" w:hAnsi="Arial"/>
          <w:sz w:val="19"/>
          <w:szCs w:val="19"/>
          <w:color w:val="auto"/>
        </w:rPr>
        <w:t>” means an individual who is an employee of the Corporation who is reported on the payroll records as a common</w:t>
      </w:r>
      <w:r>
        <w:rPr>
          <w:rFonts w:ascii="MS PGothic" w:cs="MS PGothic" w:eastAsia="MS PGothic" w:hAnsi="MS PGothic"/>
          <w:sz w:val="19"/>
          <w:szCs w:val="19"/>
          <w:color w:val="auto"/>
        </w:rPr>
        <w:t>‑</w:t>
      </w:r>
      <w:r>
        <w:rPr>
          <w:rFonts w:ascii="Arial" w:cs="Arial" w:eastAsia="Arial" w:hAnsi="Arial"/>
          <w:sz w:val="19"/>
          <w:szCs w:val="19"/>
          <w:color w:val="auto"/>
        </w:rPr>
        <w:t>law employee.</w:t>
      </w:r>
    </w:p>
    <w:p>
      <w:pPr>
        <w:spacing w:after="0" w:line="187"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Plan</w:t>
      </w:r>
      <w:r>
        <w:rPr>
          <w:rFonts w:ascii="Arial" w:cs="Arial" w:eastAsia="Arial" w:hAnsi="Arial"/>
          <w:sz w:val="19"/>
          <w:szCs w:val="19"/>
          <w:color w:val="auto"/>
        </w:rPr>
        <w:t>” means this 2018 Short Term Incentive Plan of the Corporation.</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Short-Term Incentive Bonus</w:t>
      </w:r>
      <w:r>
        <w:rPr>
          <w:rFonts w:ascii="Arial" w:cs="Arial" w:eastAsia="Arial" w:hAnsi="Arial"/>
          <w:sz w:val="17"/>
          <w:szCs w:val="17"/>
          <w:color w:val="auto"/>
        </w:rPr>
        <w:t>” means the incentive compensation granted to an Eligible Officer pursuant to Section 4 of this</w:t>
      </w:r>
    </w:p>
    <w:p>
      <w:pPr>
        <w:spacing w:after="0" w:line="4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Plan.</w:t>
      </w:r>
    </w:p>
    <w:p>
      <w:pPr>
        <w:spacing w:after="0" w:line="192" w:lineRule="exact"/>
        <w:rPr>
          <w:sz w:val="20"/>
          <w:szCs w:val="20"/>
          <w:color w:val="auto"/>
        </w:rPr>
      </w:pPr>
    </w:p>
    <w:p>
      <w:pPr>
        <w:ind w:left="880" w:right="60" w:firstLine="811"/>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Subsidiary</w:t>
      </w:r>
      <w:r>
        <w:rPr>
          <w:rFonts w:ascii="Arial" w:cs="Arial" w:eastAsia="Arial" w:hAnsi="Arial"/>
          <w:sz w:val="19"/>
          <w:szCs w:val="19"/>
          <w:color w:val="auto"/>
        </w:rPr>
        <w:t>” means a corporation at least 50% of the total combined voting power of all classes of stock which is owned by the Corporation, either directly or through one or more other Subsidiaries.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This Plan will be administered by the Committee. In addition to any other powers granted to the Committee, the</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color w:val="auto"/>
        </w:rPr>
        <w:t>Committee will have the following powers:</w:t>
      </w:r>
    </w:p>
    <w:p>
      <w:pPr>
        <w:spacing w:after="0" w:line="192"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to determine whether and to what extent Short-Term Incentive Bonuses are to be granted under this Plan to Eligible Officers;</w:t>
      </w:r>
    </w:p>
    <w:p>
      <w:pPr>
        <w:spacing w:after="0" w:line="231" w:lineRule="exact"/>
        <w:rPr>
          <w:sz w:val="20"/>
          <w:szCs w:val="20"/>
          <w:color w:val="auto"/>
        </w:rPr>
      </w:pPr>
    </w:p>
    <w:p>
      <w:pPr>
        <w:ind w:left="880" w:right="400" w:firstLine="811"/>
        <w:spacing w:after="0" w:line="230" w:lineRule="exact"/>
        <w:rPr>
          <w:sz w:val="20"/>
          <w:szCs w:val="20"/>
          <w:color w:val="auto"/>
        </w:rPr>
      </w:pPr>
      <w:r>
        <w:rPr>
          <w:rFonts w:ascii="Arial" w:cs="Arial" w:eastAsia="Arial" w:hAnsi="Arial"/>
          <w:sz w:val="19"/>
          <w:szCs w:val="19"/>
          <w:color w:val="auto"/>
        </w:rPr>
        <w:t>to determine whether the performance metrics required to receive Short</w:t>
      </w:r>
      <w:r>
        <w:rPr>
          <w:rFonts w:ascii="MS PGothic" w:cs="MS PGothic" w:eastAsia="MS PGothic" w:hAnsi="MS PGothic"/>
          <w:sz w:val="19"/>
          <w:szCs w:val="19"/>
          <w:color w:val="auto"/>
        </w:rPr>
        <w:t>‑</w:t>
      </w:r>
      <w:r>
        <w:rPr>
          <w:rFonts w:ascii="Arial" w:cs="Arial" w:eastAsia="Arial" w:hAnsi="Arial"/>
          <w:sz w:val="19"/>
          <w:szCs w:val="19"/>
          <w:color w:val="auto"/>
        </w:rPr>
        <w:t>Term Incentive Bonuses have been satisfied and to what extent they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321945</wp:posOffset>
            </wp:positionV>
            <wp:extent cx="729424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2" w:name="page53"/>
    <w:bookmarkEnd w:id="52"/>
    <w:p>
      <w:pPr>
        <w:ind w:left="1700"/>
        <w:spacing w:after="0"/>
        <w:rPr>
          <w:sz w:val="20"/>
          <w:szCs w:val="20"/>
          <w:color w:val="auto"/>
        </w:rPr>
      </w:pPr>
      <w:r>
        <w:rPr>
          <w:rFonts w:ascii="Arial" w:cs="Arial" w:eastAsia="Arial" w:hAnsi="Arial"/>
          <w:sz w:val="19"/>
          <w:szCs w:val="19"/>
          <w:color w:val="auto"/>
        </w:rPr>
        <w:t>to construe and interpret this Plan;</w:t>
      </w:r>
    </w:p>
    <w:p>
      <w:pPr>
        <w:spacing w:after="0" w:line="208" w:lineRule="exact"/>
        <w:rPr>
          <w:sz w:val="20"/>
          <w:szCs w:val="20"/>
          <w:color w:val="auto"/>
        </w:rPr>
      </w:pPr>
    </w:p>
    <w:p>
      <w:pPr>
        <w:ind w:left="880" w:right="240" w:firstLine="811"/>
        <w:spacing w:after="0" w:line="227" w:lineRule="exact"/>
        <w:rPr>
          <w:sz w:val="20"/>
          <w:szCs w:val="20"/>
          <w:color w:val="auto"/>
        </w:rPr>
      </w:pPr>
      <w:r>
        <w:rPr>
          <w:rFonts w:ascii="Arial" w:cs="Arial" w:eastAsia="Arial" w:hAnsi="Arial"/>
          <w:sz w:val="19"/>
          <w:szCs w:val="19"/>
          <w:color w:val="auto"/>
        </w:rPr>
        <w:t>to require, at the time Short</w:t>
      </w:r>
      <w:r>
        <w:rPr>
          <w:rFonts w:ascii="MS PGothic" w:cs="MS PGothic" w:eastAsia="MS PGothic" w:hAnsi="MS PGothic"/>
          <w:sz w:val="19"/>
          <w:szCs w:val="19"/>
          <w:color w:val="auto"/>
        </w:rPr>
        <w:t>‑</w:t>
      </w:r>
      <w:r>
        <w:rPr>
          <w:rFonts w:ascii="Arial" w:cs="Arial" w:eastAsia="Arial" w:hAnsi="Arial"/>
          <w:sz w:val="19"/>
          <w:szCs w:val="19"/>
          <w:color w:val="auto"/>
        </w:rPr>
        <w:t>Term Incentive Bonuses are to be paid, the making of any representations or agreements that the Committee may deem necessary or advisable in order for the Corporation to comply with the securities laws of the United States of America or of any state or any rule or regulation thereunder;</w:t>
      </w:r>
    </w:p>
    <w:p>
      <w:pPr>
        <w:spacing w:after="0" w:line="186"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to provide for satisfaction of an Eligible Officer’s tax liabilities arising in connection with this Plan; and</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to make all other determinations and take all other actions necessary or advisable for the administration of this Plan.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Any determinations or actions made or taken by the Committee pursuant to this Section 2 will be binding and final.</w:t>
      </w:r>
    </w:p>
    <w:p>
      <w:pPr>
        <w:spacing w:after="0" w:line="215" w:lineRule="exact"/>
        <w:rPr>
          <w:sz w:val="20"/>
          <w:szCs w:val="20"/>
          <w:color w:val="auto"/>
        </w:rPr>
      </w:pPr>
    </w:p>
    <w:p>
      <w:pPr>
        <w:ind w:firstLine="973"/>
        <w:spacing w:after="0" w:line="234" w:lineRule="exact"/>
        <w:rPr>
          <w:sz w:val="20"/>
          <w:szCs w:val="20"/>
          <w:color w:val="auto"/>
        </w:rPr>
      </w:pPr>
      <w:r>
        <w:rPr>
          <w:rFonts w:ascii="Arial" w:cs="Arial" w:eastAsia="Arial" w:hAnsi="Arial"/>
          <w:sz w:val="19"/>
          <w:szCs w:val="19"/>
          <w:b w:val="1"/>
          <w:bCs w:val="1"/>
          <w:color w:val="auto"/>
        </w:rPr>
        <w:t>Eligibility</w:t>
      </w:r>
      <w:r>
        <w:rPr>
          <w:rFonts w:ascii="Arial" w:cs="Arial" w:eastAsia="Arial" w:hAnsi="Arial"/>
          <w:sz w:val="19"/>
          <w:szCs w:val="19"/>
          <w:color w:val="auto"/>
        </w:rPr>
        <w:t>. The individuals holding the following executive officer positions of the Corporation on the Effective Date shall be eligible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Short</w:t>
      </w:r>
      <w:r>
        <w:rPr>
          <w:rFonts w:ascii="MS PGothic" w:cs="MS PGothic" w:eastAsia="MS PGothic" w:hAnsi="MS PGothic"/>
          <w:sz w:val="19"/>
          <w:szCs w:val="19"/>
          <w:color w:val="auto"/>
        </w:rPr>
        <w:t>‑</w:t>
      </w:r>
      <w:r>
        <w:rPr>
          <w:rFonts w:ascii="Arial" w:cs="Arial" w:eastAsia="Arial" w:hAnsi="Arial"/>
          <w:sz w:val="19"/>
          <w:szCs w:val="19"/>
          <w:color w:val="auto"/>
        </w:rPr>
        <w:t>Term Incentive Bonuses under this Plan:</w:t>
      </w:r>
    </w:p>
    <w:p>
      <w:pPr>
        <w:spacing w:after="0" w:line="186"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President and Chief Executive Officer;</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Executive Vice President and Chief Financial Officer;</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Executive Vice President and General Counsel;</w:t>
      </w:r>
    </w:p>
    <w:p>
      <w:pPr>
        <w:spacing w:after="0" w:line="202" w:lineRule="exact"/>
        <w:rPr>
          <w:sz w:val="20"/>
          <w:szCs w:val="20"/>
          <w:color w:val="auto"/>
        </w:rPr>
      </w:pPr>
    </w:p>
    <w:p>
      <w:pPr>
        <w:ind w:left="170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 and</w:t>
      </w:r>
    </w:p>
    <w:p>
      <w:pPr>
        <w:spacing w:after="0" w:line="208" w:lineRule="exact"/>
        <w:rPr>
          <w:sz w:val="20"/>
          <w:szCs w:val="20"/>
          <w:color w:val="auto"/>
        </w:rPr>
      </w:pPr>
    </w:p>
    <w:p>
      <w:pPr>
        <w:ind w:left="170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208" w:lineRule="exact"/>
        <w:rPr>
          <w:sz w:val="20"/>
          <w:szCs w:val="20"/>
          <w:color w:val="auto"/>
        </w:rPr>
      </w:pPr>
    </w:p>
    <w:p>
      <w:pPr>
        <w:jc w:val="both"/>
        <w:ind w:right="240" w:firstLine="973"/>
        <w:spacing w:after="0" w:line="229" w:lineRule="exact"/>
        <w:rPr>
          <w:sz w:val="20"/>
          <w:szCs w:val="20"/>
          <w:color w:val="auto"/>
        </w:rPr>
      </w:pPr>
      <w:r>
        <w:rPr>
          <w:rFonts w:ascii="Arial" w:cs="Arial" w:eastAsia="Arial" w:hAnsi="Arial"/>
          <w:sz w:val="19"/>
          <w:szCs w:val="19"/>
          <w:b w:val="1"/>
          <w:bCs w:val="1"/>
          <w:color w:val="auto"/>
        </w:rPr>
        <w:t>Short</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Term Incentive Bonuses</w:t>
      </w:r>
      <w:r>
        <w:rPr>
          <w:rFonts w:ascii="Arial" w:cs="Arial" w:eastAsia="Arial" w:hAnsi="Arial"/>
          <w:sz w:val="19"/>
          <w:szCs w:val="19"/>
          <w:color w:val="auto"/>
        </w:rPr>
        <w:t>. Short</w:t>
      </w:r>
      <w:r>
        <w:rPr>
          <w:rFonts w:ascii="MS PGothic" w:cs="MS PGothic" w:eastAsia="MS PGothic" w:hAnsi="MS PGothic"/>
          <w:sz w:val="19"/>
          <w:szCs w:val="19"/>
          <w:color w:val="auto"/>
        </w:rPr>
        <w:t>‑</w:t>
      </w:r>
      <w:r>
        <w:rPr>
          <w:rFonts w:ascii="Arial" w:cs="Arial" w:eastAsia="Arial" w:hAnsi="Arial"/>
          <w:sz w:val="19"/>
          <w:szCs w:val="19"/>
          <w:color w:val="auto"/>
        </w:rPr>
        <w:t>Term Incentive Bonuses shall be awarded to the Eligible Officers as set forth in this Section 4</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Plan. Short-Term Incentive Bonuses shall be payable in cash upon the attainment of the criteria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as the Committee shall determine, in its sole discretion.</w:t>
      </w:r>
    </w:p>
    <w:p>
      <w:pPr>
        <w:spacing w:after="0" w:line="180" w:lineRule="exact"/>
        <w:rPr>
          <w:sz w:val="20"/>
          <w:szCs w:val="20"/>
          <w:color w:val="auto"/>
        </w:rPr>
      </w:pPr>
    </w:p>
    <w:p>
      <w:pPr>
        <w:ind w:right="40" w:firstLine="969"/>
        <w:spacing w:after="0" w:line="224" w:lineRule="exact"/>
        <w:rPr>
          <w:sz w:val="20"/>
          <w:szCs w:val="20"/>
          <w:color w:val="auto"/>
        </w:rPr>
      </w:pPr>
      <w:r>
        <w:rPr>
          <w:rFonts w:ascii="Arial" w:cs="Arial" w:eastAsia="Arial" w:hAnsi="Arial"/>
          <w:sz w:val="18"/>
          <w:szCs w:val="18"/>
          <w:b w:val="1"/>
          <w:bCs w:val="1"/>
          <w:color w:val="auto"/>
        </w:rPr>
        <w:t>Termination or Amendment</w:t>
      </w:r>
      <w:r>
        <w:rPr>
          <w:rFonts w:ascii="Arial" w:cs="Arial" w:eastAsia="Arial" w:hAnsi="Arial"/>
          <w:sz w:val="18"/>
          <w:szCs w:val="18"/>
          <w:color w:val="auto"/>
        </w:rPr>
        <w:t>. The Committee or Board may amend or terminate this Plan in any respect at any time.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Board approval must be accompanied by (a) stockholder approval in those cases in which amendment requires stockholder approval under applicable law or regulations or the requirements of the principal exchange or interdealer quotation system on which the shares of common stock of the Corporation are listed or quoted, and (b) affected Eligible Officer approval if the amendment or termination would adversely affect the holder’s rights under any outstanding grants or Awards. The Short</w:t>
      </w:r>
      <w:r>
        <w:rPr>
          <w:rFonts w:ascii="MS PGothic" w:cs="MS PGothic" w:eastAsia="MS PGothic" w:hAnsi="MS PGothic"/>
          <w:sz w:val="18"/>
          <w:szCs w:val="18"/>
          <w:color w:val="auto"/>
        </w:rPr>
        <w:t>‑</w:t>
      </w:r>
      <w:r>
        <w:rPr>
          <w:rFonts w:ascii="Arial" w:cs="Arial" w:eastAsia="Arial" w:hAnsi="Arial"/>
          <w:sz w:val="18"/>
          <w:szCs w:val="18"/>
          <w:color w:val="auto"/>
        </w:rPr>
        <w:t>Term Incentive Bonus provisions may be wholly or partially amended or otherwise modified, suspended or terminated at any time or from time to time by the Committee or the Board.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Effectiveness of this Plan</w:t>
      </w:r>
      <w:r>
        <w:rPr>
          <w:rFonts w:ascii="Arial" w:cs="Arial" w:eastAsia="Arial" w:hAnsi="Arial"/>
          <w:sz w:val="17"/>
          <w:szCs w:val="17"/>
          <w:color w:val="auto"/>
        </w:rPr>
        <w:t>. This Plan is effective as of the Effective Date which is the date of adoption of this Plan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353695</wp:posOffset>
            </wp:positionV>
            <wp:extent cx="729424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53" w:name="page54"/>
    <w:bookmarkEnd w:id="53"/>
    <w:p>
      <w:pPr>
        <w:ind w:left="980"/>
        <w:spacing w:after="0"/>
        <w:rPr>
          <w:sz w:val="20"/>
          <w:szCs w:val="20"/>
          <w:color w:val="auto"/>
        </w:rPr>
      </w:pPr>
      <w:r>
        <w:rPr>
          <w:rFonts w:ascii="Arial" w:cs="Arial" w:eastAsia="Arial" w:hAnsi="Arial"/>
          <w:sz w:val="19"/>
          <w:szCs w:val="19"/>
          <w:b w:val="1"/>
          <w:bCs w:val="1"/>
          <w:color w:val="auto"/>
        </w:rPr>
        <w:t>Term of this Plan</w:t>
      </w:r>
      <w:r>
        <w:rPr>
          <w:rFonts w:ascii="Arial" w:cs="Arial" w:eastAsia="Arial" w:hAnsi="Arial"/>
          <w:sz w:val="19"/>
          <w:szCs w:val="19"/>
          <w:color w:val="auto"/>
        </w:rPr>
        <w:t>. This Plan will terminate on the date all benefits anticipated by this Plan have been paid.</w:t>
      </w:r>
    </w:p>
    <w:p>
      <w:pPr>
        <w:spacing w:after="0" w:line="208" w:lineRule="exact"/>
        <w:rPr>
          <w:sz w:val="20"/>
          <w:szCs w:val="20"/>
          <w:color w:val="auto"/>
        </w:rPr>
      </w:pPr>
    </w:p>
    <w:p>
      <w:pPr>
        <w:ind w:firstLine="973"/>
        <w:spacing w:after="0" w:line="246" w:lineRule="auto"/>
        <w:rPr>
          <w:sz w:val="20"/>
          <w:szCs w:val="20"/>
          <w:color w:val="auto"/>
        </w:rPr>
      </w:pPr>
      <w:r>
        <w:rPr>
          <w:rFonts w:ascii="Arial" w:cs="Arial" w:eastAsia="Arial" w:hAnsi="Arial"/>
          <w:sz w:val="19"/>
          <w:szCs w:val="19"/>
          <w:b w:val="1"/>
          <w:bCs w:val="1"/>
          <w:color w:val="auto"/>
        </w:rPr>
        <w:t>Indemnification of Committee</w:t>
      </w:r>
      <w:r>
        <w:rPr>
          <w:rFonts w:ascii="Arial" w:cs="Arial" w:eastAsia="Arial" w:hAnsi="Arial"/>
          <w:sz w:val="19"/>
          <w:szCs w:val="19"/>
          <w:color w:val="auto"/>
        </w:rPr>
        <w:t>. In addition to such other rights of indemnification as they may have as directors of the Corporation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as members of the Committee, the members of the Committee will be indemnified by the Corporation against the reasonable expenses, including attorneys’ fees, actually and reasonably incurred in connection with the defense of any action, suit or proceeding, or in connection with any appeal therein, to which they or any of them may be a party by reason of any action taken or failure to act under or in connection with this Plan or any grant or Award hereunder, and against all amounts reasonably paid by them in settlement thereof or paid by them in satisfaction of a judgment in any such action, suit or proceeding, if such members acted in good faith and in a manner that they believed to be in, and not opposed to, the best interests of the Corporation.</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auto"/>
        </w:rPr>
        <w:t>General Provisions</w:t>
      </w:r>
      <w:r>
        <w:rPr>
          <w:rFonts w:ascii="Arial" w:cs="Arial" w:eastAsia="Arial" w:hAnsi="Arial"/>
          <w:sz w:val="19"/>
          <w:szCs w:val="19"/>
          <w:color w:val="auto"/>
        </w:rPr>
        <w:t>.</w:t>
      </w:r>
    </w:p>
    <w:p>
      <w:pPr>
        <w:spacing w:after="0" w:line="214" w:lineRule="exact"/>
        <w:rPr>
          <w:sz w:val="20"/>
          <w:szCs w:val="20"/>
          <w:color w:val="auto"/>
        </w:rPr>
      </w:pPr>
    </w:p>
    <w:p>
      <w:pPr>
        <w:ind w:left="880" w:right="20" w:firstLine="811"/>
        <w:spacing w:after="0" w:line="253" w:lineRule="auto"/>
        <w:rPr>
          <w:sz w:val="20"/>
          <w:szCs w:val="20"/>
          <w:color w:val="auto"/>
        </w:rPr>
      </w:pPr>
      <w:r>
        <w:rPr>
          <w:rFonts w:ascii="Arial" w:cs="Arial" w:eastAsia="Arial" w:hAnsi="Arial"/>
          <w:sz w:val="19"/>
          <w:szCs w:val="19"/>
          <w:color w:val="auto"/>
        </w:rPr>
        <w:t>The establishment of this Plan will not confer upon any Eligible Officer or Employee, any legal or equitable right against the Corporation, any Subsidiary or the Committee, except as expressly provided in this Plan or employment agreement of the Eligible Officer, if any.</w:t>
      </w:r>
    </w:p>
    <w:p>
      <w:pPr>
        <w:spacing w:after="0" w:line="175" w:lineRule="exact"/>
        <w:rPr>
          <w:sz w:val="20"/>
          <w:szCs w:val="20"/>
          <w:color w:val="auto"/>
        </w:rPr>
      </w:pPr>
    </w:p>
    <w:p>
      <w:pPr>
        <w:ind w:left="880" w:right="160" w:firstLine="811"/>
        <w:spacing w:after="0" w:line="274" w:lineRule="auto"/>
        <w:rPr>
          <w:sz w:val="20"/>
          <w:szCs w:val="20"/>
          <w:color w:val="auto"/>
        </w:rPr>
      </w:pPr>
      <w:r>
        <w:rPr>
          <w:rFonts w:ascii="Arial" w:cs="Arial" w:eastAsia="Arial" w:hAnsi="Arial"/>
          <w:sz w:val="18"/>
          <w:szCs w:val="18"/>
          <w:color w:val="auto"/>
        </w:rPr>
        <w:t>This Plan does not constitute inducement or consideration for the employment of any Employee, nor is it a contract of employment between the Corporation or any Subsidiary and any Employee. Participation in this Plan, or the receipt of a grant or Award hereunder, will not give an Employee any right to be retained in the service of the Corporation or any Subsidiary.</w:t>
      </w:r>
    </w:p>
    <w:p>
      <w:pPr>
        <w:spacing w:after="0" w:line="157" w:lineRule="exact"/>
        <w:rPr>
          <w:sz w:val="20"/>
          <w:szCs w:val="20"/>
          <w:color w:val="auto"/>
        </w:rPr>
      </w:pPr>
    </w:p>
    <w:p>
      <w:pPr>
        <w:ind w:left="880" w:right="200" w:firstLine="811"/>
        <w:spacing w:after="0" w:line="265" w:lineRule="auto"/>
        <w:rPr>
          <w:sz w:val="20"/>
          <w:szCs w:val="20"/>
          <w:color w:val="auto"/>
        </w:rPr>
      </w:pPr>
      <w:r>
        <w:rPr>
          <w:rFonts w:ascii="Arial" w:cs="Arial" w:eastAsia="Arial" w:hAnsi="Arial"/>
          <w:sz w:val="19"/>
          <w:szCs w:val="19"/>
          <w:color w:val="auto"/>
        </w:rPr>
        <w:t>The interests of any Employee under this Plan are not subject to the claims of creditors and may not, in any way, be assigned, alienated or encumbered except as otherwise provided herein.</w:t>
      </w:r>
    </w:p>
    <w:p>
      <w:pPr>
        <w:spacing w:after="0" w:line="164" w:lineRule="exact"/>
        <w:rPr>
          <w:sz w:val="20"/>
          <w:szCs w:val="20"/>
          <w:color w:val="auto"/>
        </w:rPr>
      </w:pPr>
    </w:p>
    <w:p>
      <w:pPr>
        <w:ind w:left="880" w:firstLine="811"/>
        <w:spacing w:after="0" w:line="249" w:lineRule="auto"/>
        <w:rPr>
          <w:sz w:val="20"/>
          <w:szCs w:val="20"/>
          <w:color w:val="auto"/>
        </w:rPr>
      </w:pPr>
      <w:r>
        <w:rPr>
          <w:rFonts w:ascii="Arial" w:cs="Arial" w:eastAsia="Arial" w:hAnsi="Arial"/>
          <w:sz w:val="19"/>
          <w:szCs w:val="19"/>
          <w:color w:val="auto"/>
        </w:rPr>
        <w:t>The Corporation may withhold any federal, state or local taxes required with respect to any distribution under this Plan. The Employee shall take whatever action the Committee deems appropriate with respect to withholding of taxes, including, but not limited to, the Employee remitting to the Corporation any taxes required to be withheld by the Corporation under federal, state or local law as a result of the distribution.</w:t>
      </w:r>
    </w:p>
    <w:p>
      <w:pPr>
        <w:spacing w:after="0" w:line="179" w:lineRule="exact"/>
        <w:rPr>
          <w:sz w:val="20"/>
          <w:szCs w:val="20"/>
          <w:color w:val="auto"/>
        </w:rPr>
      </w:pPr>
    </w:p>
    <w:p>
      <w:pPr>
        <w:jc w:val="both"/>
        <w:ind w:left="880" w:right="20" w:firstLine="811"/>
        <w:spacing w:after="0" w:line="274" w:lineRule="auto"/>
        <w:rPr>
          <w:sz w:val="20"/>
          <w:szCs w:val="20"/>
          <w:color w:val="auto"/>
        </w:rPr>
      </w:pPr>
      <w:r>
        <w:rPr>
          <w:rFonts w:ascii="Arial" w:cs="Arial" w:eastAsia="Arial" w:hAnsi="Arial"/>
          <w:sz w:val="18"/>
          <w:szCs w:val="18"/>
          <w:color w:val="auto"/>
        </w:rPr>
        <w:t>Notwithstanding anything contained herein to the contrary, this Plan shall be administered and operated in accordance with any applicable laws and regulations, including, but not limited to, Section 409A of the Code. The Corporation reserves the right to amend this Plan at any time in order for this Plan to comply with any such laws and regulations.</w:t>
      </w:r>
    </w:p>
    <w:p>
      <w:pPr>
        <w:spacing w:after="0" w:line="157"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This Plan will be governed, construed and administered in accordance with the laws of Maryland.</w:t>
      </w:r>
    </w:p>
    <w:p>
      <w:pPr>
        <w:spacing w:after="0" w:line="208" w:lineRule="exact"/>
        <w:rPr>
          <w:sz w:val="20"/>
          <w:szCs w:val="20"/>
          <w:color w:val="auto"/>
        </w:rPr>
      </w:pPr>
    </w:p>
    <w:p>
      <w:pPr>
        <w:ind w:left="880" w:right="660" w:firstLine="811"/>
        <w:spacing w:after="0" w:line="293" w:lineRule="auto"/>
        <w:rPr>
          <w:sz w:val="20"/>
          <w:szCs w:val="20"/>
          <w:color w:val="auto"/>
        </w:rPr>
      </w:pPr>
      <w:r>
        <w:rPr>
          <w:rFonts w:ascii="Arial" w:cs="Arial" w:eastAsia="Arial" w:hAnsi="Arial"/>
          <w:sz w:val="18"/>
          <w:szCs w:val="18"/>
          <w:color w:val="auto"/>
        </w:rPr>
        <w:t>If any provision of this Plan is held invalid or unenforceable, its invalidity or unenforceability shall not affect any other provisions of this Plan, and this Plan shall be construed and enforced as if such provision had not been included.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left blank</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835660</wp:posOffset>
            </wp:positionV>
            <wp:extent cx="729424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54" w:name="page55"/>
    <w:bookmarkEnd w:id="54"/>
    <w:p>
      <w:pPr>
        <w:ind w:right="400" w:firstLine="878"/>
        <w:spacing w:after="0" w:line="265" w:lineRule="auto"/>
        <w:rPr>
          <w:sz w:val="20"/>
          <w:szCs w:val="20"/>
          <w:color w:val="auto"/>
        </w:rPr>
      </w:pPr>
      <w:r>
        <w:rPr>
          <w:rFonts w:ascii="Arial" w:cs="Arial" w:eastAsia="Arial" w:hAnsi="Arial"/>
          <w:sz w:val="19"/>
          <w:szCs w:val="19"/>
          <w:color w:val="auto"/>
        </w:rPr>
        <w:t>IN WITNESS WHEREOF, the Corporation, by its duly authorized officer, has executed this Plan on the Effective Date as first set forth above and as duly authorized by the Committee.</w:t>
      </w:r>
    </w:p>
    <w:p>
      <w:pPr>
        <w:spacing w:after="0" w:line="200" w:lineRule="exact"/>
        <w:rPr>
          <w:sz w:val="20"/>
          <w:szCs w:val="20"/>
          <w:color w:val="auto"/>
        </w:rPr>
      </w:pPr>
    </w:p>
    <w:p>
      <w:pPr>
        <w:spacing w:after="0" w:line="338" w:lineRule="exact"/>
        <w:rPr>
          <w:sz w:val="20"/>
          <w:szCs w:val="20"/>
          <w:color w:val="auto"/>
        </w:rPr>
      </w:pPr>
    </w:p>
    <w:p>
      <w:pPr>
        <w:ind w:left="5720"/>
        <w:spacing w:after="0"/>
        <w:rPr>
          <w:sz w:val="20"/>
          <w:szCs w:val="20"/>
          <w:color w:val="auto"/>
        </w:rPr>
      </w:pPr>
      <w:r>
        <w:rPr>
          <w:rFonts w:ascii="Arial" w:cs="Arial" w:eastAsia="Arial" w:hAnsi="Arial"/>
          <w:sz w:val="19"/>
          <w:szCs w:val="19"/>
          <w:color w:val="auto"/>
        </w:rPr>
        <w:t>UNITI GROUP INC.</w:t>
      </w:r>
    </w:p>
    <w:p>
      <w:pPr>
        <w:spacing w:after="0" w:line="329" w:lineRule="exact"/>
        <w:rPr>
          <w:sz w:val="20"/>
          <w:szCs w:val="20"/>
          <w:color w:val="auto"/>
        </w:rPr>
      </w:pPr>
    </w:p>
    <w:tbl>
      <w:tblPr>
        <w:tblLayout w:type="fixed"/>
        <w:tblInd w:w="5720" w:type="dxa"/>
        <w:tblCellMar>
          <w:top w:w="0" w:type="dxa"/>
          <w:left w:w="0" w:type="dxa"/>
          <w:bottom w:w="0" w:type="dxa"/>
          <w:right w:w="0" w:type="dxa"/>
        </w:tblCellMar>
      </w:tblPr>
      <w:tr>
        <w:trPr>
          <w:trHeight w:val="218"/>
        </w:trPr>
        <w:tc>
          <w:tcPr>
            <w:tcW w:w="1060" w:type="dxa"/>
            <w:vAlign w:val="bottom"/>
            <w:gridSpan w:val="3"/>
          </w:tcPr>
          <w:p>
            <w:pPr>
              <w:spacing w:after="0"/>
              <w:rPr>
                <w:sz w:val="20"/>
                <w:szCs w:val="20"/>
                <w:color w:val="auto"/>
              </w:rPr>
            </w:pPr>
            <w:r>
              <w:rPr>
                <w:rFonts w:ascii="Arial" w:cs="Arial" w:eastAsia="Arial" w:hAnsi="Arial"/>
                <w:sz w:val="19"/>
                <w:szCs w:val="19"/>
                <w:color w:val="auto"/>
              </w:rPr>
              <w:t>By:</w:t>
            </w:r>
          </w:p>
        </w:tc>
        <w:tc>
          <w:tcPr>
            <w:tcW w:w="4740" w:type="dxa"/>
            <w:vAlign w:val="bottom"/>
            <w:gridSpan w:val="3"/>
          </w:tcPr>
          <w:p>
            <w:pPr>
              <w:ind w:left="4220"/>
              <w:spacing w:after="0"/>
              <w:rPr>
                <w:sz w:val="20"/>
                <w:szCs w:val="20"/>
                <w:color w:val="auto"/>
              </w:rPr>
            </w:pPr>
            <w:r>
              <w:rPr>
                <w:rFonts w:ascii="Arial" w:cs="Arial" w:eastAsia="Arial" w:hAnsi="Arial"/>
                <w:sz w:val="19"/>
                <w:szCs w:val="19"/>
                <w:color w:val="auto"/>
              </w:rPr>
              <w:t>/s/</w:t>
            </w:r>
          </w:p>
        </w:tc>
      </w:tr>
      <w:tr>
        <w:trPr>
          <w:trHeight w:val="200"/>
        </w:trPr>
        <w:tc>
          <w:tcPr>
            <w:tcW w:w="1060" w:type="dxa"/>
            <w:vAlign w:val="bottom"/>
            <w:gridSpan w:val="3"/>
          </w:tcPr>
          <w:p>
            <w:pPr>
              <w:spacing w:after="0" w:line="200" w:lineRule="exact"/>
              <w:rPr>
                <w:sz w:val="20"/>
                <w:szCs w:val="20"/>
                <w:color w:val="auto"/>
              </w:rPr>
            </w:pPr>
            <w:r>
              <w:rPr>
                <w:rFonts w:ascii="Arial" w:cs="Arial" w:eastAsia="Arial" w:hAnsi="Arial"/>
                <w:sz w:val="19"/>
                <w:szCs w:val="19"/>
                <w:color w:val="auto"/>
              </w:rPr>
              <w:t>Kenneth A.</w:t>
            </w:r>
          </w:p>
        </w:tc>
        <w:tc>
          <w:tcPr>
            <w:tcW w:w="4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0"/>
        </w:trPr>
        <w:tc>
          <w:tcPr>
            <w:tcW w:w="1060" w:type="dxa"/>
            <w:vAlign w:val="bottom"/>
            <w:gridSpan w:val="3"/>
          </w:tcPr>
          <w:p>
            <w:pPr>
              <w:spacing w:after="0" w:line="200" w:lineRule="exact"/>
              <w:rPr>
                <w:sz w:val="20"/>
                <w:szCs w:val="20"/>
                <w:color w:val="auto"/>
              </w:rPr>
            </w:pPr>
            <w:r>
              <w:rPr>
                <w:rFonts w:ascii="Arial" w:cs="Arial" w:eastAsia="Arial" w:hAnsi="Arial"/>
                <w:sz w:val="19"/>
                <w:szCs w:val="19"/>
                <w:color w:val="auto"/>
              </w:rPr>
              <w:t>Gunderman</w:t>
            </w:r>
          </w:p>
        </w:tc>
        <w:tc>
          <w:tcPr>
            <w:tcW w:w="4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22"/>
        </w:trPr>
        <w:tc>
          <w:tcPr>
            <w:tcW w:w="880" w:type="dxa"/>
            <w:vAlign w:val="bottom"/>
            <w:tcBorders>
              <w:top w:val="single" w:sz="8" w:color="auto"/>
            </w:tcBorders>
            <w:gridSpan w:val="2"/>
          </w:tcPr>
          <w:p>
            <w:pPr>
              <w:spacing w:after="0"/>
              <w:rPr>
                <w:sz w:val="20"/>
                <w:szCs w:val="20"/>
                <w:color w:val="auto"/>
              </w:rPr>
            </w:pPr>
            <w:r>
              <w:rPr>
                <w:rFonts w:ascii="Arial" w:cs="Arial" w:eastAsia="Arial" w:hAnsi="Arial"/>
                <w:sz w:val="19"/>
                <w:szCs w:val="19"/>
                <w:color w:val="auto"/>
              </w:rPr>
              <w:t>Name:</w:t>
            </w:r>
          </w:p>
        </w:tc>
        <w:tc>
          <w:tcPr>
            <w:tcW w:w="180" w:type="dxa"/>
            <w:vAlign w:val="bottom"/>
          </w:tcPr>
          <w:p>
            <w:pPr>
              <w:spacing w:after="0"/>
              <w:rPr>
                <w:sz w:val="19"/>
                <w:szCs w:val="19"/>
                <w:color w:val="auto"/>
              </w:rPr>
            </w:pPr>
          </w:p>
        </w:tc>
        <w:tc>
          <w:tcPr>
            <w:tcW w:w="4740" w:type="dxa"/>
            <w:vAlign w:val="bottom"/>
            <w:gridSpan w:val="3"/>
          </w:tcPr>
          <w:p>
            <w:pPr>
              <w:ind w:left="160"/>
              <w:spacing w:after="0"/>
              <w:rPr>
                <w:sz w:val="20"/>
                <w:szCs w:val="20"/>
                <w:color w:val="auto"/>
              </w:rPr>
            </w:pPr>
            <w:r>
              <w:rPr>
                <w:rFonts w:ascii="Arial" w:cs="Arial" w:eastAsia="Arial" w:hAnsi="Arial"/>
                <w:sz w:val="19"/>
                <w:szCs w:val="19"/>
                <w:color w:val="auto"/>
              </w:rPr>
              <w:t>Kenneth A. Gunderman</w:t>
            </w:r>
          </w:p>
        </w:tc>
      </w:tr>
      <w:tr>
        <w:trPr>
          <w:trHeight w:val="236"/>
        </w:trPr>
        <w:tc>
          <w:tcPr>
            <w:tcW w:w="1060" w:type="dxa"/>
            <w:vAlign w:val="bottom"/>
            <w:gridSpan w:val="3"/>
          </w:tcPr>
          <w:p>
            <w:pPr>
              <w:spacing w:after="0"/>
              <w:rPr>
                <w:sz w:val="20"/>
                <w:szCs w:val="20"/>
                <w:color w:val="auto"/>
              </w:rPr>
            </w:pPr>
            <w:r>
              <w:rPr>
                <w:rFonts w:ascii="Arial" w:cs="Arial" w:eastAsia="Arial" w:hAnsi="Arial"/>
                <w:sz w:val="19"/>
                <w:szCs w:val="19"/>
                <w:color w:val="auto"/>
              </w:rPr>
              <w:t>Title:</w:t>
            </w:r>
          </w:p>
        </w:tc>
        <w:tc>
          <w:tcPr>
            <w:tcW w:w="4220" w:type="dxa"/>
            <w:vAlign w:val="bottom"/>
          </w:tcPr>
          <w:p>
            <w:pPr>
              <w:spacing w:after="0"/>
              <w:rPr>
                <w:sz w:val="20"/>
                <w:szCs w:val="20"/>
                <w:color w:val="auto"/>
              </w:rPr>
            </w:pPr>
          </w:p>
        </w:tc>
        <w:tc>
          <w:tcPr>
            <w:tcW w:w="520" w:type="dxa"/>
            <w:vAlign w:val="bottom"/>
            <w:gridSpan w:val="2"/>
          </w:tcPr>
          <w:p>
            <w:pPr>
              <w:ind w:left="80"/>
              <w:spacing w:after="0"/>
              <w:rPr>
                <w:sz w:val="20"/>
                <w:szCs w:val="20"/>
                <w:color w:val="auto"/>
              </w:rPr>
            </w:pPr>
            <w:r>
              <w:rPr>
                <w:rFonts w:ascii="Arial" w:cs="Arial" w:eastAsia="Arial" w:hAnsi="Arial"/>
                <w:sz w:val="19"/>
                <w:szCs w:val="19"/>
                <w:color w:val="auto"/>
                <w:w w:val="77"/>
              </w:rPr>
              <w:t>Presid</w:t>
            </w:r>
          </w:p>
        </w:tc>
      </w:tr>
    </w:tbl>
    <w:p>
      <w:pPr>
        <w:ind w:left="5720"/>
        <w:spacing w:after="0"/>
        <w:rPr>
          <w:sz w:val="20"/>
          <w:szCs w:val="20"/>
          <w:color w:val="auto"/>
        </w:rPr>
      </w:pPr>
      <w:r>
        <w:rPr>
          <w:rFonts w:ascii="Arial" w:cs="Arial" w:eastAsia="Arial" w:hAnsi="Arial"/>
          <w:sz w:val="19"/>
          <w:szCs w:val="19"/>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464185</wp:posOffset>
            </wp:positionV>
            <wp:extent cx="729424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520"/>
          </w:cols>
          <w:pgMar w:left="240" w:top="342" w:right="139" w:bottom="1440" w:gutter="0" w:footer="0" w:header="0"/>
        </w:sectPr>
      </w:pPr>
    </w:p>
    <w:bookmarkStart w:id="55" w:name="page56"/>
    <w:bookmarkEnd w:id="55"/>
    <w:p>
      <w:pPr>
        <w:jc w:val="right"/>
        <w:spacing w:after="0"/>
        <w:rPr>
          <w:sz w:val="20"/>
          <w:szCs w:val="20"/>
          <w:color w:val="auto"/>
        </w:rPr>
      </w:pPr>
      <w:r>
        <w:rPr>
          <w:rFonts w:ascii="Arial" w:cs="Arial" w:eastAsia="Arial" w:hAnsi="Arial"/>
          <w:sz w:val="19"/>
          <w:szCs w:val="19"/>
          <w:b w:val="1"/>
          <w:bCs w:val="1"/>
          <w:u w:val="single" w:color="auto"/>
          <w:color w:val="auto"/>
        </w:rPr>
        <w:t>Exhibit A-1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b w:val="1"/>
          <w:bCs w:val="1"/>
          <w:u w:val="single" w:color="auto"/>
          <w:color w:val="auto"/>
        </w:rPr>
        <w:t>2018 Short Term Incentive Plan</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Metrics applicable to Uniti Group Inc. CEO, CFO, GC and </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227" w:lineRule="exact"/>
        <w:rPr>
          <w:sz w:val="20"/>
          <w:szCs w:val="20"/>
          <w:color w:val="auto"/>
        </w:rPr>
      </w:pPr>
    </w:p>
    <w:p>
      <w:pPr>
        <w:ind w:left="500" w:hanging="497"/>
        <w:spacing w:after="0"/>
        <w:tabs>
          <w:tab w:leader="none" w:pos="5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Consolidated 4Q18 Annualized AFFO</w:t>
      </w:r>
      <w:r>
        <w:rPr>
          <w:rFonts w:ascii="Arial" w:cs="Arial" w:eastAsia="Arial" w:hAnsi="Arial"/>
          <w:sz w:val="16"/>
          <w:szCs w:val="16"/>
          <w:color w:val="auto"/>
        </w:rPr>
        <w:t>(1)</w:t>
      </w:r>
      <w:r>
        <w:rPr>
          <w:rFonts w:ascii="Arial" w:cs="Arial" w:eastAsia="Arial" w:hAnsi="Arial"/>
          <w:sz w:val="19"/>
          <w:szCs w:val="19"/>
          <w:color w:val="auto"/>
        </w:rPr>
        <w:t xml:space="preserve"> (25% weight):</w:t>
      </w:r>
    </w:p>
    <w:p>
      <w:pPr>
        <w:spacing w:after="0" w:line="1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40" w:type="dxa"/>
            <w:vAlign w:val="bottom"/>
            <w:tcBorders>
              <w:top w:val="single" w:sz="8" w:color="auto"/>
              <w:left w:val="single" w:sz="8" w:color="auto"/>
              <w:bottom w:val="single" w:sz="8" w:color="auto"/>
            </w:tcBorders>
            <w:shd w:val="clear" w:color="auto" w:fill="1F3864"/>
          </w:tcPr>
          <w:p>
            <w:pPr>
              <w:spacing w:after="0"/>
              <w:rPr>
                <w:sz w:val="18"/>
                <w:szCs w:val="18"/>
                <w:color w:val="auto"/>
              </w:rPr>
            </w:pPr>
          </w:p>
        </w:tc>
        <w:tc>
          <w:tcPr>
            <w:tcW w:w="3460" w:type="dxa"/>
            <w:vAlign w:val="bottom"/>
            <w:tcBorders>
              <w:top w:val="single" w:sz="8" w:color="auto"/>
              <w:bottom w:val="single" w:sz="8" w:color="auto"/>
              <w:right w:val="single" w:sz="8" w:color="1F3864"/>
            </w:tcBorders>
            <w:shd w:val="clear" w:color="auto" w:fill="1F3864"/>
          </w:tcPr>
          <w:p>
            <w:pPr>
              <w:jc w:val="center"/>
              <w:ind w:right="245"/>
              <w:spacing w:after="0" w:line="214" w:lineRule="exact"/>
              <w:rPr>
                <w:sz w:val="20"/>
                <w:szCs w:val="20"/>
                <w:color w:val="auto"/>
              </w:rPr>
            </w:pPr>
            <w:r>
              <w:rPr>
                <w:rFonts w:ascii="Arial" w:cs="Arial" w:eastAsia="Arial" w:hAnsi="Arial"/>
                <w:sz w:val="19"/>
                <w:szCs w:val="19"/>
                <w:color w:val="FFFFFF"/>
                <w:w w:val="89"/>
              </w:rPr>
              <w:t>Threshold</w:t>
            </w:r>
          </w:p>
        </w:tc>
        <w:tc>
          <w:tcPr>
            <w:tcW w:w="3820" w:type="dxa"/>
            <w:vAlign w:val="bottom"/>
            <w:tcBorders>
              <w:top w:val="single" w:sz="8" w:color="auto"/>
              <w:bottom w:val="single" w:sz="8" w:color="auto"/>
              <w:right w:val="single" w:sz="8" w:color="1F3864"/>
            </w:tcBorders>
            <w:shd w:val="clear" w:color="auto" w:fill="1F3864"/>
          </w:tcPr>
          <w:p>
            <w:pPr>
              <w:jc w:val="center"/>
              <w:spacing w:after="0" w:line="214" w:lineRule="exact"/>
              <w:rPr>
                <w:sz w:val="20"/>
                <w:szCs w:val="20"/>
                <w:color w:val="auto"/>
              </w:rPr>
            </w:pPr>
            <w:r>
              <w:rPr>
                <w:rFonts w:ascii="Arial" w:cs="Arial" w:eastAsia="Arial" w:hAnsi="Arial"/>
                <w:sz w:val="19"/>
                <w:szCs w:val="19"/>
                <w:color w:val="FFFFFF"/>
                <w:w w:val="87"/>
              </w:rPr>
              <w:t>Target</w:t>
            </w:r>
          </w:p>
        </w:tc>
        <w:tc>
          <w:tcPr>
            <w:tcW w:w="3820" w:type="dxa"/>
            <w:vAlign w:val="bottom"/>
            <w:tcBorders>
              <w:top w:val="single" w:sz="8" w:color="auto"/>
              <w:bottom w:val="single" w:sz="8" w:color="auto"/>
              <w:right w:val="single" w:sz="8" w:color="auto"/>
            </w:tcBorders>
            <w:shd w:val="clear" w:color="auto" w:fill="1F3864"/>
          </w:tcPr>
          <w:p>
            <w:pPr>
              <w:jc w:val="center"/>
              <w:spacing w:after="0" w:line="214" w:lineRule="exact"/>
              <w:rPr>
                <w:sz w:val="20"/>
                <w:szCs w:val="20"/>
                <w:color w:val="auto"/>
              </w:rPr>
            </w:pPr>
            <w:r>
              <w:rPr>
                <w:rFonts w:ascii="Arial" w:cs="Arial" w:eastAsia="Arial" w:hAnsi="Arial"/>
                <w:sz w:val="19"/>
                <w:szCs w:val="19"/>
                <w:color w:val="FFFFFF"/>
                <w:w w:val="91"/>
              </w:rPr>
              <w:t>Superior</w:t>
            </w:r>
          </w:p>
        </w:tc>
      </w:tr>
      <w:tr>
        <w:trPr>
          <w:trHeight w:val="213"/>
        </w:trPr>
        <w:tc>
          <w:tcPr>
            <w:tcW w:w="340" w:type="dxa"/>
            <w:vAlign w:val="bottom"/>
            <w:tcBorders>
              <w:left w:val="single" w:sz="8" w:color="auto"/>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jc w:val="center"/>
              <w:ind w:right="245"/>
              <w:spacing w:after="0" w:line="213" w:lineRule="exact"/>
              <w:rPr>
                <w:sz w:val="20"/>
                <w:szCs w:val="20"/>
                <w:color w:val="auto"/>
              </w:rPr>
            </w:pPr>
            <w:r>
              <w:rPr>
                <w:rFonts w:ascii="Arial" w:cs="Arial" w:eastAsia="Arial" w:hAnsi="Arial"/>
                <w:sz w:val="19"/>
                <w:szCs w:val="19"/>
                <w:b w:val="1"/>
                <w:bCs w:val="1"/>
                <w:color w:val="auto"/>
              </w:rPr>
              <w:t>[**]</w:t>
            </w:r>
          </w:p>
        </w:tc>
        <w:tc>
          <w:tcPr>
            <w:tcW w:w="38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rPr>
              <w:t>[**]</w:t>
            </w:r>
          </w:p>
        </w:tc>
        <w:tc>
          <w:tcPr>
            <w:tcW w:w="38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rPr>
              <w:t>[**]</w:t>
            </w:r>
          </w:p>
        </w:tc>
      </w:tr>
      <w:tr>
        <w:trPr>
          <w:trHeight w:val="432"/>
        </w:trPr>
        <w:tc>
          <w:tcPr>
            <w:tcW w:w="3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B.</w:t>
            </w:r>
          </w:p>
        </w:tc>
        <w:tc>
          <w:tcPr>
            <w:tcW w:w="7280" w:type="dxa"/>
            <w:vAlign w:val="bottom"/>
            <w:tcBorders>
              <w:bottom w:val="single" w:sz="8" w:color="auto"/>
            </w:tcBorders>
            <w:gridSpan w:val="2"/>
          </w:tcPr>
          <w:p>
            <w:pPr>
              <w:ind w:left="140"/>
              <w:spacing w:after="0"/>
              <w:rPr>
                <w:sz w:val="20"/>
                <w:szCs w:val="20"/>
                <w:color w:val="auto"/>
              </w:rPr>
            </w:pPr>
            <w:r>
              <w:rPr>
                <w:rFonts w:ascii="Arial" w:cs="Arial" w:eastAsia="Arial" w:hAnsi="Arial"/>
                <w:sz w:val="19"/>
                <w:szCs w:val="19"/>
                <w:color w:val="auto"/>
              </w:rPr>
              <w:t>Consolidated 4Q18 Annualized Adjusted EBITDA</w:t>
            </w:r>
            <w:r>
              <w:rPr>
                <w:rFonts w:ascii="Arial" w:cs="Arial" w:eastAsia="Arial" w:hAnsi="Arial"/>
                <w:sz w:val="16"/>
                <w:szCs w:val="16"/>
                <w:color w:val="auto"/>
              </w:rPr>
              <w:t>(1)</w:t>
            </w:r>
            <w:r>
              <w:rPr>
                <w:rFonts w:ascii="Arial" w:cs="Arial" w:eastAsia="Arial" w:hAnsi="Arial"/>
                <w:sz w:val="19"/>
                <w:szCs w:val="19"/>
                <w:color w:val="auto"/>
              </w:rPr>
              <w:t xml:space="preserve"> (25% weight):</w:t>
            </w:r>
          </w:p>
        </w:tc>
        <w:tc>
          <w:tcPr>
            <w:tcW w:w="3820" w:type="dxa"/>
            <w:vAlign w:val="bottom"/>
            <w:tcBorders>
              <w:bottom w:val="single" w:sz="8" w:color="auto"/>
            </w:tcBorders>
          </w:tcPr>
          <w:p>
            <w:pPr>
              <w:spacing w:after="0"/>
              <w:rPr>
                <w:sz w:val="24"/>
                <w:szCs w:val="24"/>
                <w:color w:val="auto"/>
              </w:rPr>
            </w:pPr>
          </w:p>
        </w:tc>
      </w:tr>
      <w:tr>
        <w:trPr>
          <w:trHeight w:val="213"/>
        </w:trPr>
        <w:tc>
          <w:tcPr>
            <w:tcW w:w="340" w:type="dxa"/>
            <w:vAlign w:val="bottom"/>
            <w:tcBorders>
              <w:left w:val="single" w:sz="8" w:color="auto"/>
              <w:bottom w:val="single" w:sz="8" w:color="auto"/>
            </w:tcBorders>
            <w:shd w:val="clear" w:color="auto" w:fill="1F3864"/>
          </w:tcPr>
          <w:p>
            <w:pPr>
              <w:spacing w:after="0"/>
              <w:rPr>
                <w:sz w:val="18"/>
                <w:szCs w:val="18"/>
                <w:color w:val="auto"/>
              </w:rPr>
            </w:pPr>
          </w:p>
        </w:tc>
        <w:tc>
          <w:tcPr>
            <w:tcW w:w="3460" w:type="dxa"/>
            <w:vAlign w:val="bottom"/>
            <w:tcBorders>
              <w:bottom w:val="single" w:sz="8" w:color="auto"/>
              <w:right w:val="single" w:sz="8" w:color="1F3864"/>
            </w:tcBorders>
            <w:shd w:val="clear" w:color="auto" w:fill="1F3864"/>
          </w:tcPr>
          <w:p>
            <w:pPr>
              <w:jc w:val="center"/>
              <w:ind w:right="245"/>
              <w:spacing w:after="0" w:line="213" w:lineRule="exact"/>
              <w:rPr>
                <w:sz w:val="20"/>
                <w:szCs w:val="20"/>
                <w:color w:val="auto"/>
              </w:rPr>
            </w:pPr>
            <w:r>
              <w:rPr>
                <w:rFonts w:ascii="Arial" w:cs="Arial" w:eastAsia="Arial" w:hAnsi="Arial"/>
                <w:sz w:val="19"/>
                <w:szCs w:val="19"/>
                <w:color w:val="FFFFFF"/>
                <w:w w:val="89"/>
              </w:rPr>
              <w:t>Threshold</w:t>
            </w:r>
          </w:p>
        </w:tc>
        <w:tc>
          <w:tcPr>
            <w:tcW w:w="3820" w:type="dxa"/>
            <w:vAlign w:val="bottom"/>
            <w:tcBorders>
              <w:bottom w:val="single" w:sz="8" w:color="auto"/>
              <w:right w:val="single" w:sz="8" w:color="1F3864"/>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87"/>
              </w:rPr>
              <w:t>Target</w:t>
            </w:r>
          </w:p>
        </w:tc>
        <w:tc>
          <w:tcPr>
            <w:tcW w:w="3820" w:type="dxa"/>
            <w:vAlign w:val="bottom"/>
            <w:tcBorders>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1"/>
              </w:rPr>
              <w:t>Superior</w:t>
            </w:r>
          </w:p>
        </w:tc>
      </w:tr>
      <w:tr>
        <w:trPr>
          <w:trHeight w:val="213"/>
        </w:trPr>
        <w:tc>
          <w:tcPr>
            <w:tcW w:w="340" w:type="dxa"/>
            <w:vAlign w:val="bottom"/>
            <w:tcBorders>
              <w:left w:val="single" w:sz="8" w:color="auto"/>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jc w:val="center"/>
              <w:ind w:right="245"/>
              <w:spacing w:after="0" w:line="213" w:lineRule="exact"/>
              <w:rPr>
                <w:sz w:val="20"/>
                <w:szCs w:val="20"/>
                <w:color w:val="auto"/>
              </w:rPr>
            </w:pPr>
            <w:r>
              <w:rPr>
                <w:rFonts w:ascii="Arial" w:cs="Arial" w:eastAsia="Arial" w:hAnsi="Arial"/>
                <w:sz w:val="19"/>
                <w:szCs w:val="19"/>
                <w:b w:val="1"/>
                <w:bCs w:val="1"/>
                <w:color w:val="auto"/>
              </w:rPr>
              <w:t>[**]</w:t>
            </w:r>
          </w:p>
        </w:tc>
        <w:tc>
          <w:tcPr>
            <w:tcW w:w="38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rPr>
              <w:t>[**]</w:t>
            </w:r>
          </w:p>
        </w:tc>
        <w:tc>
          <w:tcPr>
            <w:tcW w:w="38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rPr>
              <w:t>[**]</w:t>
            </w:r>
          </w:p>
        </w:tc>
      </w:tr>
      <w:tr>
        <w:trPr>
          <w:trHeight w:val="432"/>
        </w:trPr>
        <w:tc>
          <w:tcPr>
            <w:tcW w:w="3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C.</w:t>
            </w:r>
          </w:p>
        </w:tc>
        <w:tc>
          <w:tcPr>
            <w:tcW w:w="7280" w:type="dxa"/>
            <w:vAlign w:val="bottom"/>
            <w:tcBorders>
              <w:bottom w:val="single" w:sz="8" w:color="auto"/>
            </w:tcBorders>
            <w:gridSpan w:val="2"/>
          </w:tcPr>
          <w:p>
            <w:pPr>
              <w:ind w:left="140"/>
              <w:spacing w:after="0"/>
              <w:rPr>
                <w:sz w:val="20"/>
                <w:szCs w:val="20"/>
                <w:color w:val="auto"/>
              </w:rPr>
            </w:pPr>
            <w:r>
              <w:rPr>
                <w:rFonts w:ascii="Arial" w:cs="Arial" w:eastAsia="Arial" w:hAnsi="Arial"/>
                <w:sz w:val="19"/>
                <w:szCs w:val="19"/>
                <w:color w:val="auto"/>
              </w:rPr>
              <w:t xml:space="preserve">Cumulative revenue </w:t>
            </w:r>
            <w:r>
              <w:rPr>
                <w:rFonts w:ascii="Arial" w:cs="Arial" w:eastAsia="Arial" w:hAnsi="Arial"/>
                <w:sz w:val="19"/>
                <w:szCs w:val="19"/>
                <w:b w:val="1"/>
                <w:bCs w:val="1"/>
                <w:color w:val="auto"/>
              </w:rPr>
              <w:t>[**]</w:t>
            </w:r>
            <w:r>
              <w:rPr>
                <w:rFonts w:ascii="Arial" w:cs="Arial" w:eastAsia="Arial" w:hAnsi="Arial"/>
                <w:sz w:val="16"/>
                <w:szCs w:val="16"/>
                <w:color w:val="auto"/>
              </w:rPr>
              <w:t>(2)</w:t>
            </w:r>
            <w:r>
              <w:rPr>
                <w:rFonts w:ascii="Arial" w:cs="Arial" w:eastAsia="Arial" w:hAnsi="Arial"/>
                <w:sz w:val="19"/>
                <w:szCs w:val="19"/>
                <w:color w:val="auto"/>
              </w:rPr>
              <w:t xml:space="preserve"> based on 4Q18 Annualized Revenue (30% weight):</w:t>
            </w:r>
          </w:p>
        </w:tc>
        <w:tc>
          <w:tcPr>
            <w:tcW w:w="3820" w:type="dxa"/>
            <w:vAlign w:val="bottom"/>
            <w:tcBorders>
              <w:bottom w:val="single" w:sz="8" w:color="auto"/>
            </w:tcBorders>
          </w:tcPr>
          <w:p>
            <w:pPr>
              <w:spacing w:after="0"/>
              <w:rPr>
                <w:sz w:val="24"/>
                <w:szCs w:val="24"/>
                <w:color w:val="auto"/>
              </w:rPr>
            </w:pPr>
          </w:p>
        </w:tc>
      </w:tr>
      <w:tr>
        <w:trPr>
          <w:trHeight w:val="213"/>
        </w:trPr>
        <w:tc>
          <w:tcPr>
            <w:tcW w:w="340" w:type="dxa"/>
            <w:vAlign w:val="bottom"/>
            <w:tcBorders>
              <w:left w:val="single" w:sz="8" w:color="auto"/>
              <w:bottom w:val="single" w:sz="8" w:color="auto"/>
            </w:tcBorders>
            <w:shd w:val="clear" w:color="auto" w:fill="1F3864"/>
          </w:tcPr>
          <w:p>
            <w:pPr>
              <w:spacing w:after="0"/>
              <w:rPr>
                <w:sz w:val="18"/>
                <w:szCs w:val="18"/>
                <w:color w:val="auto"/>
              </w:rPr>
            </w:pPr>
          </w:p>
        </w:tc>
        <w:tc>
          <w:tcPr>
            <w:tcW w:w="3460" w:type="dxa"/>
            <w:vAlign w:val="bottom"/>
            <w:tcBorders>
              <w:bottom w:val="single" w:sz="8" w:color="auto"/>
              <w:right w:val="single" w:sz="8" w:color="1F3864"/>
            </w:tcBorders>
            <w:shd w:val="clear" w:color="auto" w:fill="1F3864"/>
          </w:tcPr>
          <w:p>
            <w:pPr>
              <w:jc w:val="center"/>
              <w:ind w:right="245"/>
              <w:spacing w:after="0" w:line="213" w:lineRule="exact"/>
              <w:rPr>
                <w:sz w:val="20"/>
                <w:szCs w:val="20"/>
                <w:color w:val="auto"/>
              </w:rPr>
            </w:pPr>
            <w:r>
              <w:rPr>
                <w:rFonts w:ascii="Arial" w:cs="Arial" w:eastAsia="Arial" w:hAnsi="Arial"/>
                <w:sz w:val="19"/>
                <w:szCs w:val="19"/>
                <w:color w:val="FFFFFF"/>
                <w:w w:val="89"/>
              </w:rPr>
              <w:t>Threshold</w:t>
            </w:r>
          </w:p>
        </w:tc>
        <w:tc>
          <w:tcPr>
            <w:tcW w:w="3820" w:type="dxa"/>
            <w:vAlign w:val="bottom"/>
            <w:tcBorders>
              <w:bottom w:val="single" w:sz="8" w:color="auto"/>
              <w:right w:val="single" w:sz="8" w:color="1F3864"/>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87"/>
              </w:rPr>
              <w:t>Target</w:t>
            </w:r>
          </w:p>
        </w:tc>
        <w:tc>
          <w:tcPr>
            <w:tcW w:w="3820" w:type="dxa"/>
            <w:vAlign w:val="bottom"/>
            <w:tcBorders>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1"/>
              </w:rPr>
              <w:t>Superior</w:t>
            </w:r>
          </w:p>
        </w:tc>
      </w:tr>
      <w:tr>
        <w:trPr>
          <w:trHeight w:val="213"/>
        </w:trPr>
        <w:tc>
          <w:tcPr>
            <w:tcW w:w="340" w:type="dxa"/>
            <w:vAlign w:val="bottom"/>
            <w:tcBorders>
              <w:left w:val="single" w:sz="8" w:color="auto"/>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jc w:val="center"/>
              <w:ind w:right="245"/>
              <w:spacing w:after="0" w:line="213" w:lineRule="exact"/>
              <w:rPr>
                <w:sz w:val="20"/>
                <w:szCs w:val="20"/>
                <w:color w:val="auto"/>
              </w:rPr>
            </w:pPr>
            <w:r>
              <w:rPr>
                <w:rFonts w:ascii="Arial" w:cs="Arial" w:eastAsia="Arial" w:hAnsi="Arial"/>
                <w:sz w:val="19"/>
                <w:szCs w:val="19"/>
                <w:b w:val="1"/>
                <w:bCs w:val="1"/>
                <w:color w:val="auto"/>
              </w:rPr>
              <w:t>[**]</w:t>
            </w:r>
          </w:p>
        </w:tc>
        <w:tc>
          <w:tcPr>
            <w:tcW w:w="38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rPr>
              <w:t>[**]</w:t>
            </w:r>
          </w:p>
        </w:tc>
        <w:tc>
          <w:tcPr>
            <w:tcW w:w="38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rPr>
              <w:t>[**]</w:t>
            </w:r>
          </w:p>
        </w:tc>
      </w:tr>
    </w:tbl>
    <w:p>
      <w:pPr>
        <w:spacing w:after="0" w:line="203" w:lineRule="exact"/>
        <w:rPr>
          <w:sz w:val="20"/>
          <w:szCs w:val="20"/>
          <w:color w:val="auto"/>
        </w:rPr>
      </w:pPr>
    </w:p>
    <w:p>
      <w:pPr>
        <w:ind w:left="500" w:hanging="497"/>
        <w:spacing w:after="0"/>
        <w:tabs>
          <w:tab w:leader="none" w:pos="5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Personal Goals (20%): See Next Page</w:t>
      </w:r>
    </w:p>
    <w:p>
      <w:pPr>
        <w:spacing w:after="0" w:line="220" w:lineRule="exact"/>
        <w:rPr>
          <w:rFonts w:ascii="Arial" w:cs="Arial" w:eastAsia="Arial" w:hAnsi="Arial"/>
          <w:sz w:val="19"/>
          <w:szCs w:val="19"/>
          <w:color w:val="auto"/>
        </w:rPr>
      </w:pPr>
    </w:p>
    <w:p>
      <w:pPr>
        <w:ind w:left="440" w:hanging="437"/>
        <w:spacing w:after="0"/>
        <w:tabs>
          <w:tab w:leader="none" w:pos="4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Payouts for each component will be interpolated between levels. Potential Payouts at each level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11430</wp:posOffset>
            </wp:positionV>
            <wp:extent cx="5718175" cy="410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718175" cy="41021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8"/>
        </w:trPr>
        <w:tc>
          <w:tcPr>
            <w:tcW w:w="2420" w:type="dxa"/>
            <w:vAlign w:val="bottom"/>
            <w:tcBorders>
              <w:top w:val="single" w:sz="8" w:color="auto"/>
              <w:left w:val="single" w:sz="8" w:color="auto"/>
              <w:right w:val="single" w:sz="8" w:color="1F3864"/>
            </w:tcBorders>
            <w:gridSpan w:val="2"/>
            <w:shd w:val="clear" w:color="auto" w:fill="1F3864"/>
          </w:tcPr>
          <w:p>
            <w:pPr>
              <w:jc w:val="center"/>
              <w:spacing w:after="0" w:line="198" w:lineRule="exact"/>
              <w:rPr>
                <w:sz w:val="20"/>
                <w:szCs w:val="20"/>
                <w:color w:val="auto"/>
              </w:rPr>
            </w:pPr>
            <w:r>
              <w:rPr>
                <w:rFonts w:ascii="Arial" w:cs="Arial" w:eastAsia="Arial" w:hAnsi="Arial"/>
                <w:sz w:val="19"/>
                <w:szCs w:val="19"/>
                <w:color w:val="FFFFFF"/>
                <w:w w:val="90"/>
              </w:rPr>
              <w:t>Performance Achievement</w:t>
            </w:r>
          </w:p>
        </w:tc>
        <w:tc>
          <w:tcPr>
            <w:tcW w:w="1680" w:type="dxa"/>
            <w:vAlign w:val="bottom"/>
            <w:tcBorders>
              <w:top w:val="single" w:sz="8" w:color="auto"/>
            </w:tcBorders>
            <w:shd w:val="clear" w:color="auto" w:fill="1F3864"/>
          </w:tcPr>
          <w:p>
            <w:pPr>
              <w:spacing w:after="0"/>
              <w:rPr>
                <w:sz w:val="17"/>
                <w:szCs w:val="17"/>
                <w:color w:val="auto"/>
              </w:rPr>
            </w:pPr>
          </w:p>
        </w:tc>
        <w:tc>
          <w:tcPr>
            <w:tcW w:w="3440" w:type="dxa"/>
            <w:vAlign w:val="bottom"/>
            <w:tcBorders>
              <w:top w:val="single" w:sz="8" w:color="auto"/>
            </w:tcBorders>
            <w:gridSpan w:val="2"/>
            <w:shd w:val="clear" w:color="auto" w:fill="1F3864"/>
          </w:tcPr>
          <w:p>
            <w:pPr>
              <w:ind w:left="400"/>
              <w:spacing w:after="0" w:line="198" w:lineRule="exact"/>
              <w:rPr>
                <w:sz w:val="20"/>
                <w:szCs w:val="20"/>
                <w:color w:val="auto"/>
              </w:rPr>
            </w:pPr>
            <w:r>
              <w:rPr>
                <w:rFonts w:ascii="Arial" w:cs="Arial" w:eastAsia="Arial" w:hAnsi="Arial"/>
                <w:sz w:val="19"/>
                <w:szCs w:val="19"/>
                <w:color w:val="FFFFFF"/>
              </w:rPr>
              <w:t>Potential as Percent of Base Salary</w:t>
            </w:r>
          </w:p>
        </w:tc>
        <w:tc>
          <w:tcPr>
            <w:tcW w:w="1700" w:type="dxa"/>
            <w:vAlign w:val="bottom"/>
            <w:tcBorders>
              <w:top w:val="single" w:sz="8" w:color="auto"/>
              <w:right w:val="single" w:sz="8" w:color="auto"/>
            </w:tcBorders>
            <w:shd w:val="clear" w:color="auto" w:fill="1F3864"/>
          </w:tcPr>
          <w:p>
            <w:pPr>
              <w:spacing w:after="0"/>
              <w:rPr>
                <w:sz w:val="17"/>
                <w:szCs w:val="17"/>
                <w:color w:val="auto"/>
              </w:rPr>
            </w:pPr>
          </w:p>
        </w:tc>
        <w:tc>
          <w:tcPr>
            <w:tcW w:w="2180" w:type="dxa"/>
            <w:vAlign w:val="bottom"/>
            <w:tcBorders>
              <w:top w:val="single" w:sz="8" w:color="auto"/>
              <w:right w:val="single" w:sz="8" w:color="auto"/>
            </w:tcBorders>
            <w:shd w:val="clear" w:color="auto" w:fill="1F3864"/>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 w:type="dxa"/>
            <w:vAlign w:val="bottom"/>
            <w:tcBorders>
              <w:left w:val="single" w:sz="8" w:color="auto"/>
            </w:tcBorders>
            <w:shd w:val="clear" w:color="auto" w:fill="1F3864"/>
          </w:tcPr>
          <w:p>
            <w:pPr>
              <w:spacing w:after="0"/>
              <w:rPr>
                <w:sz w:val="20"/>
                <w:szCs w:val="20"/>
                <w:color w:val="auto"/>
              </w:rPr>
            </w:pPr>
          </w:p>
        </w:tc>
        <w:tc>
          <w:tcPr>
            <w:tcW w:w="1980" w:type="dxa"/>
            <w:vAlign w:val="bottom"/>
            <w:tcBorders>
              <w:right w:val="single" w:sz="8" w:color="1F3864"/>
            </w:tcBorders>
            <w:shd w:val="clear" w:color="auto" w:fill="1F3864"/>
          </w:tcPr>
          <w:p>
            <w:pPr>
              <w:jc w:val="center"/>
              <w:ind w:right="325"/>
              <w:spacing w:after="0"/>
              <w:rPr>
                <w:sz w:val="20"/>
                <w:szCs w:val="20"/>
                <w:color w:val="auto"/>
              </w:rPr>
            </w:pPr>
            <w:r>
              <w:rPr>
                <w:rFonts w:ascii="Arial" w:cs="Arial" w:eastAsia="Arial" w:hAnsi="Arial"/>
                <w:sz w:val="19"/>
                <w:szCs w:val="19"/>
                <w:color w:val="FFFFFF"/>
                <w:w w:val="96"/>
              </w:rPr>
              <w:t>Level</w:t>
            </w:r>
          </w:p>
        </w:tc>
        <w:tc>
          <w:tcPr>
            <w:tcW w:w="1680" w:type="dxa"/>
            <w:vAlign w:val="bottom"/>
            <w:vMerge w:val="restart"/>
            <w:shd w:val="clear" w:color="auto" w:fill="1F3864"/>
          </w:tcPr>
          <w:p>
            <w:pPr>
              <w:ind w:left="880"/>
              <w:spacing w:after="0"/>
              <w:rPr>
                <w:sz w:val="20"/>
                <w:szCs w:val="20"/>
                <w:color w:val="auto"/>
              </w:rPr>
            </w:pPr>
            <w:r>
              <w:rPr>
                <w:rFonts w:ascii="Arial" w:cs="Arial" w:eastAsia="Arial" w:hAnsi="Arial"/>
                <w:sz w:val="19"/>
                <w:szCs w:val="19"/>
                <w:color w:val="FFFFFF"/>
              </w:rPr>
              <w:t>CEO</w:t>
            </w:r>
          </w:p>
        </w:tc>
        <w:tc>
          <w:tcPr>
            <w:tcW w:w="480" w:type="dxa"/>
            <w:vAlign w:val="bottom"/>
            <w:tcBorders>
              <w:right w:val="single" w:sz="8" w:color="1F3864"/>
            </w:tcBorders>
            <w:shd w:val="clear" w:color="auto" w:fill="1F3864"/>
          </w:tcPr>
          <w:p>
            <w:pPr>
              <w:spacing w:after="0"/>
              <w:rPr>
                <w:sz w:val="20"/>
                <w:szCs w:val="20"/>
                <w:color w:val="auto"/>
              </w:rPr>
            </w:pPr>
          </w:p>
        </w:tc>
        <w:tc>
          <w:tcPr>
            <w:tcW w:w="2960" w:type="dxa"/>
            <w:vAlign w:val="bottom"/>
            <w:vMerge w:val="restart"/>
            <w:shd w:val="clear" w:color="auto" w:fill="1F3864"/>
          </w:tcPr>
          <w:p>
            <w:pPr>
              <w:ind w:left="960"/>
              <w:spacing w:after="0"/>
              <w:rPr>
                <w:sz w:val="20"/>
                <w:szCs w:val="20"/>
                <w:color w:val="auto"/>
              </w:rPr>
            </w:pPr>
            <w:r>
              <w:rPr>
                <w:rFonts w:ascii="Arial" w:cs="Arial" w:eastAsia="Arial" w:hAnsi="Arial"/>
                <w:sz w:val="19"/>
                <w:szCs w:val="19"/>
                <w:color w:val="FFFFFF"/>
              </w:rPr>
              <w:t>CFO</w:t>
            </w:r>
          </w:p>
        </w:tc>
        <w:tc>
          <w:tcPr>
            <w:tcW w:w="1700" w:type="dxa"/>
            <w:vAlign w:val="bottom"/>
            <w:tcBorders>
              <w:right w:val="single" w:sz="8" w:color="auto"/>
            </w:tcBorders>
            <w:vMerge w:val="restart"/>
            <w:shd w:val="clear" w:color="auto" w:fill="1F3864"/>
          </w:tcPr>
          <w:p>
            <w:pPr>
              <w:ind w:left="400"/>
              <w:spacing w:after="0"/>
              <w:rPr>
                <w:sz w:val="20"/>
                <w:szCs w:val="20"/>
                <w:color w:val="auto"/>
              </w:rPr>
            </w:pPr>
            <w:r>
              <w:rPr>
                <w:rFonts w:ascii="Arial" w:cs="Arial" w:eastAsia="Arial" w:hAnsi="Arial"/>
                <w:sz w:val="19"/>
                <w:szCs w:val="19"/>
                <w:color w:val="FFFFFF"/>
              </w:rPr>
              <w:t>GC</w:t>
            </w:r>
          </w:p>
        </w:tc>
        <w:tc>
          <w:tcPr>
            <w:tcW w:w="2180" w:type="dxa"/>
            <w:vAlign w:val="bottom"/>
            <w:tcBorders>
              <w:right w:val="single" w:sz="8" w:color="auto"/>
            </w:tcBorders>
            <w:vMerge w:val="restart"/>
            <w:shd w:val="clear" w:color="auto" w:fill="1F3864"/>
          </w:tcPr>
          <w:p>
            <w:pPr>
              <w:jc w:val="center"/>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90"/>
        </w:trPr>
        <w:tc>
          <w:tcPr>
            <w:tcW w:w="440" w:type="dxa"/>
            <w:vAlign w:val="bottom"/>
            <w:tcBorders>
              <w:left w:val="single" w:sz="8" w:color="auto"/>
            </w:tcBorders>
            <w:shd w:val="clear" w:color="auto" w:fill="1F3864"/>
          </w:tcPr>
          <w:p>
            <w:pPr>
              <w:spacing w:after="0"/>
              <w:rPr>
                <w:sz w:val="7"/>
                <w:szCs w:val="7"/>
                <w:color w:val="auto"/>
              </w:rPr>
            </w:pPr>
          </w:p>
        </w:tc>
        <w:tc>
          <w:tcPr>
            <w:tcW w:w="1980" w:type="dxa"/>
            <w:vAlign w:val="bottom"/>
            <w:tcBorders>
              <w:right w:val="single" w:sz="8" w:color="1F3864"/>
            </w:tcBorders>
            <w:shd w:val="clear" w:color="auto" w:fill="1F3864"/>
          </w:tcPr>
          <w:p>
            <w:pPr>
              <w:spacing w:after="0"/>
              <w:rPr>
                <w:sz w:val="7"/>
                <w:szCs w:val="7"/>
                <w:color w:val="auto"/>
              </w:rPr>
            </w:pPr>
          </w:p>
        </w:tc>
        <w:tc>
          <w:tcPr>
            <w:tcW w:w="1680" w:type="dxa"/>
            <w:vAlign w:val="bottom"/>
            <w:vMerge w:val="continue"/>
            <w:shd w:val="clear" w:color="auto" w:fill="1F3864"/>
          </w:tcPr>
          <w:p>
            <w:pPr>
              <w:spacing w:after="0"/>
              <w:rPr>
                <w:sz w:val="7"/>
                <w:szCs w:val="7"/>
                <w:color w:val="auto"/>
              </w:rPr>
            </w:pPr>
          </w:p>
        </w:tc>
        <w:tc>
          <w:tcPr>
            <w:tcW w:w="480" w:type="dxa"/>
            <w:vAlign w:val="bottom"/>
            <w:tcBorders>
              <w:right w:val="single" w:sz="8" w:color="1F3864"/>
            </w:tcBorders>
            <w:shd w:val="clear" w:color="auto" w:fill="1F3864"/>
          </w:tcPr>
          <w:p>
            <w:pPr>
              <w:spacing w:after="0"/>
              <w:rPr>
                <w:sz w:val="7"/>
                <w:szCs w:val="7"/>
                <w:color w:val="auto"/>
              </w:rPr>
            </w:pPr>
          </w:p>
        </w:tc>
        <w:tc>
          <w:tcPr>
            <w:tcW w:w="2960" w:type="dxa"/>
            <w:vAlign w:val="bottom"/>
            <w:vMerge w:val="continue"/>
            <w:shd w:val="clear" w:color="auto" w:fill="1F3864"/>
          </w:tcPr>
          <w:p>
            <w:pPr>
              <w:spacing w:after="0"/>
              <w:rPr>
                <w:sz w:val="7"/>
                <w:szCs w:val="7"/>
                <w:color w:val="auto"/>
              </w:rPr>
            </w:pPr>
          </w:p>
        </w:tc>
        <w:tc>
          <w:tcPr>
            <w:tcW w:w="1700" w:type="dxa"/>
            <w:vAlign w:val="bottom"/>
            <w:tcBorders>
              <w:right w:val="single" w:sz="8" w:color="auto"/>
            </w:tcBorders>
            <w:vMerge w:val="continue"/>
            <w:shd w:val="clear" w:color="auto" w:fill="1F3864"/>
          </w:tcPr>
          <w:p>
            <w:pPr>
              <w:spacing w:after="0"/>
              <w:rPr>
                <w:sz w:val="7"/>
                <w:szCs w:val="7"/>
                <w:color w:val="auto"/>
              </w:rPr>
            </w:pPr>
          </w:p>
        </w:tc>
        <w:tc>
          <w:tcPr>
            <w:tcW w:w="2180" w:type="dxa"/>
            <w:vAlign w:val="bottom"/>
            <w:tcBorders>
              <w:right w:val="single" w:sz="8" w:color="auto"/>
            </w:tcBorders>
            <w:vMerge w:val="continue"/>
            <w:shd w:val="clear" w:color="auto" w:fill="1F3864"/>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40" w:type="dxa"/>
            <w:vAlign w:val="bottom"/>
            <w:tcBorders>
              <w:left w:val="single" w:sz="8" w:color="auto"/>
              <w:bottom w:val="single" w:sz="8" w:color="auto"/>
            </w:tcBorders>
            <w:shd w:val="clear" w:color="auto" w:fill="1F3864"/>
          </w:tcPr>
          <w:p>
            <w:pPr>
              <w:spacing w:after="0"/>
              <w:rPr>
                <w:sz w:val="7"/>
                <w:szCs w:val="7"/>
                <w:color w:val="auto"/>
              </w:rPr>
            </w:pPr>
          </w:p>
        </w:tc>
        <w:tc>
          <w:tcPr>
            <w:tcW w:w="1980" w:type="dxa"/>
            <w:vAlign w:val="bottom"/>
            <w:tcBorders>
              <w:bottom w:val="single" w:sz="8" w:color="auto"/>
              <w:right w:val="single" w:sz="8" w:color="1F3864"/>
            </w:tcBorders>
            <w:shd w:val="clear" w:color="auto" w:fill="1F3864"/>
          </w:tcPr>
          <w:p>
            <w:pPr>
              <w:spacing w:after="0"/>
              <w:rPr>
                <w:sz w:val="7"/>
                <w:szCs w:val="7"/>
                <w:color w:val="auto"/>
              </w:rPr>
            </w:pPr>
          </w:p>
        </w:tc>
        <w:tc>
          <w:tcPr>
            <w:tcW w:w="1680" w:type="dxa"/>
            <w:vAlign w:val="bottom"/>
            <w:tcBorders>
              <w:bottom w:val="single" w:sz="8" w:color="auto"/>
            </w:tcBorders>
            <w:shd w:val="clear" w:color="auto" w:fill="1F3864"/>
          </w:tcPr>
          <w:p>
            <w:pPr>
              <w:spacing w:after="0"/>
              <w:rPr>
                <w:sz w:val="7"/>
                <w:szCs w:val="7"/>
                <w:color w:val="auto"/>
              </w:rPr>
            </w:pPr>
          </w:p>
        </w:tc>
        <w:tc>
          <w:tcPr>
            <w:tcW w:w="480" w:type="dxa"/>
            <w:vAlign w:val="bottom"/>
            <w:tcBorders>
              <w:bottom w:val="single" w:sz="8" w:color="auto"/>
              <w:right w:val="single" w:sz="8" w:color="1F3864"/>
            </w:tcBorders>
            <w:shd w:val="clear" w:color="auto" w:fill="1F3864"/>
          </w:tcPr>
          <w:p>
            <w:pPr>
              <w:spacing w:after="0"/>
              <w:rPr>
                <w:sz w:val="7"/>
                <w:szCs w:val="7"/>
                <w:color w:val="auto"/>
              </w:rPr>
            </w:pPr>
          </w:p>
        </w:tc>
        <w:tc>
          <w:tcPr>
            <w:tcW w:w="2960" w:type="dxa"/>
            <w:vAlign w:val="bottom"/>
            <w:tcBorders>
              <w:bottom w:val="single" w:sz="8" w:color="auto"/>
            </w:tcBorders>
            <w:shd w:val="clear" w:color="auto" w:fill="1F3864"/>
          </w:tcPr>
          <w:p>
            <w:pPr>
              <w:spacing w:after="0"/>
              <w:rPr>
                <w:sz w:val="7"/>
                <w:szCs w:val="7"/>
                <w:color w:val="auto"/>
              </w:rPr>
            </w:pPr>
          </w:p>
        </w:tc>
        <w:tc>
          <w:tcPr>
            <w:tcW w:w="1700" w:type="dxa"/>
            <w:vAlign w:val="bottom"/>
            <w:tcBorders>
              <w:bottom w:val="single" w:sz="8" w:color="auto"/>
              <w:right w:val="single" w:sz="8" w:color="auto"/>
            </w:tcBorders>
            <w:shd w:val="clear" w:color="auto" w:fill="1F3864"/>
          </w:tcPr>
          <w:p>
            <w:pPr>
              <w:spacing w:after="0"/>
              <w:rPr>
                <w:sz w:val="7"/>
                <w:szCs w:val="7"/>
                <w:color w:val="auto"/>
              </w:rPr>
            </w:pPr>
          </w:p>
        </w:tc>
        <w:tc>
          <w:tcPr>
            <w:tcW w:w="2180" w:type="dxa"/>
            <w:vAlign w:val="bottom"/>
            <w:tcBorders>
              <w:bottom w:val="single" w:sz="8" w:color="auto"/>
              <w:right w:val="single" w:sz="8" w:color="auto"/>
            </w:tcBorders>
            <w:shd w:val="clear" w:color="auto" w:fill="1F3864"/>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420" w:type="dxa"/>
            <w:vAlign w:val="bottom"/>
            <w:tcBorders>
              <w:left w:val="single" w:sz="8" w:color="auto"/>
              <w:right w:val="single" w:sz="8" w:color="auto"/>
            </w:tcBorders>
            <w:gridSpan w:val="2"/>
          </w:tcPr>
          <w:p>
            <w:pPr>
              <w:ind w:left="20"/>
              <w:spacing w:after="0" w:line="196" w:lineRule="exact"/>
              <w:rPr>
                <w:sz w:val="20"/>
                <w:szCs w:val="20"/>
                <w:color w:val="auto"/>
              </w:rPr>
            </w:pPr>
            <w:r>
              <w:rPr>
                <w:rFonts w:ascii="Arial" w:cs="Arial" w:eastAsia="Arial" w:hAnsi="Arial"/>
                <w:sz w:val="19"/>
                <w:szCs w:val="19"/>
                <w:color w:val="auto"/>
              </w:rPr>
              <w:t>Threshold</w:t>
            </w:r>
          </w:p>
        </w:tc>
        <w:tc>
          <w:tcPr>
            <w:tcW w:w="1680" w:type="dxa"/>
            <w:vAlign w:val="bottom"/>
          </w:tcPr>
          <w:p>
            <w:pPr>
              <w:jc w:val="center"/>
              <w:ind w:left="365"/>
              <w:spacing w:after="0" w:line="196" w:lineRule="exact"/>
              <w:rPr>
                <w:sz w:val="20"/>
                <w:szCs w:val="20"/>
                <w:color w:val="auto"/>
              </w:rPr>
            </w:pPr>
            <w:r>
              <w:rPr>
                <w:rFonts w:ascii="Arial" w:cs="Arial" w:eastAsia="Arial" w:hAnsi="Arial"/>
                <w:sz w:val="19"/>
                <w:szCs w:val="19"/>
                <w:color w:val="auto"/>
                <w:w w:val="89"/>
              </w:rPr>
              <w:t>75%</w:t>
            </w:r>
          </w:p>
        </w:tc>
        <w:tc>
          <w:tcPr>
            <w:tcW w:w="480" w:type="dxa"/>
            <w:vAlign w:val="bottom"/>
            <w:tcBorders>
              <w:right w:val="single" w:sz="8" w:color="auto"/>
            </w:tcBorders>
          </w:tcPr>
          <w:p>
            <w:pPr>
              <w:spacing w:after="0"/>
              <w:rPr>
                <w:sz w:val="17"/>
                <w:szCs w:val="17"/>
                <w:color w:val="auto"/>
              </w:rPr>
            </w:pPr>
          </w:p>
        </w:tc>
        <w:tc>
          <w:tcPr>
            <w:tcW w:w="2960" w:type="dxa"/>
            <w:vAlign w:val="bottom"/>
          </w:tcPr>
          <w:p>
            <w:pPr>
              <w:jc w:val="center"/>
              <w:ind w:left="1585"/>
              <w:spacing w:after="0" w:line="196" w:lineRule="exact"/>
              <w:rPr>
                <w:sz w:val="20"/>
                <w:szCs w:val="20"/>
                <w:color w:val="auto"/>
              </w:rPr>
            </w:pPr>
            <w:r>
              <w:rPr>
                <w:rFonts w:ascii="Arial" w:cs="Arial" w:eastAsia="Arial" w:hAnsi="Arial"/>
                <w:sz w:val="19"/>
                <w:szCs w:val="19"/>
                <w:color w:val="auto"/>
                <w:w w:val="94"/>
              </w:rPr>
              <w:t>50%</w:t>
            </w:r>
          </w:p>
        </w:tc>
        <w:tc>
          <w:tcPr>
            <w:tcW w:w="1700" w:type="dxa"/>
            <w:vAlign w:val="bottom"/>
            <w:tcBorders>
              <w:right w:val="single" w:sz="8" w:color="auto"/>
            </w:tcBorders>
          </w:tcPr>
          <w:p>
            <w:pPr>
              <w:spacing w:after="0"/>
              <w:rPr>
                <w:sz w:val="17"/>
                <w:szCs w:val="17"/>
                <w:color w:val="auto"/>
              </w:rPr>
            </w:pPr>
          </w:p>
        </w:tc>
        <w:tc>
          <w:tcPr>
            <w:tcW w:w="21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9"/>
                <w:szCs w:val="19"/>
                <w:color w:val="auto"/>
                <w:w w:val="89"/>
              </w:rPr>
              <w:t>35%</w:t>
            </w:r>
          </w:p>
        </w:tc>
        <w:tc>
          <w:tcPr>
            <w:tcW w:w="0" w:type="dxa"/>
            <w:vAlign w:val="bottom"/>
          </w:tcPr>
          <w:p>
            <w:pPr>
              <w:spacing w:after="0"/>
              <w:rPr>
                <w:sz w:val="1"/>
                <w:szCs w:val="1"/>
                <w:color w:val="auto"/>
              </w:rPr>
            </w:pPr>
          </w:p>
        </w:tc>
      </w:tr>
      <w:tr>
        <w:trPr>
          <w:trHeight w:val="220"/>
        </w:trPr>
        <w:tc>
          <w:tcPr>
            <w:tcW w:w="24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9"/>
                <w:szCs w:val="19"/>
                <w:color w:val="auto"/>
              </w:rPr>
              <w:t>Target</w:t>
            </w:r>
          </w:p>
        </w:tc>
        <w:tc>
          <w:tcPr>
            <w:tcW w:w="1680" w:type="dxa"/>
            <w:vAlign w:val="bottom"/>
          </w:tcPr>
          <w:p>
            <w:pPr>
              <w:jc w:val="center"/>
              <w:ind w:left="385"/>
              <w:spacing w:after="0"/>
              <w:rPr>
                <w:sz w:val="20"/>
                <w:szCs w:val="20"/>
                <w:color w:val="auto"/>
              </w:rPr>
            </w:pPr>
            <w:r>
              <w:rPr>
                <w:rFonts w:ascii="Arial" w:cs="Arial" w:eastAsia="Arial" w:hAnsi="Arial"/>
                <w:sz w:val="19"/>
                <w:szCs w:val="19"/>
                <w:color w:val="auto"/>
                <w:w w:val="90"/>
              </w:rPr>
              <w:t>150%</w:t>
            </w:r>
          </w:p>
        </w:tc>
        <w:tc>
          <w:tcPr>
            <w:tcW w:w="480" w:type="dxa"/>
            <w:vAlign w:val="bottom"/>
            <w:tcBorders>
              <w:right w:val="single" w:sz="8" w:color="auto"/>
            </w:tcBorders>
          </w:tcPr>
          <w:p>
            <w:pPr>
              <w:spacing w:after="0"/>
              <w:rPr>
                <w:sz w:val="19"/>
                <w:szCs w:val="19"/>
                <w:color w:val="auto"/>
              </w:rPr>
            </w:pPr>
          </w:p>
        </w:tc>
        <w:tc>
          <w:tcPr>
            <w:tcW w:w="2960" w:type="dxa"/>
            <w:vAlign w:val="bottom"/>
          </w:tcPr>
          <w:p>
            <w:pPr>
              <w:jc w:val="center"/>
              <w:ind w:left="1585"/>
              <w:spacing w:after="0"/>
              <w:rPr>
                <w:sz w:val="20"/>
                <w:szCs w:val="20"/>
                <w:color w:val="auto"/>
              </w:rPr>
            </w:pPr>
            <w:r>
              <w:rPr>
                <w:rFonts w:ascii="Arial" w:cs="Arial" w:eastAsia="Arial" w:hAnsi="Arial"/>
                <w:sz w:val="19"/>
                <w:szCs w:val="19"/>
                <w:color w:val="auto"/>
                <w:w w:val="90"/>
              </w:rPr>
              <w:t>100%</w:t>
            </w:r>
          </w:p>
        </w:tc>
        <w:tc>
          <w:tcPr>
            <w:tcW w:w="1700" w:type="dxa"/>
            <w:vAlign w:val="bottom"/>
            <w:tcBorders>
              <w:right w:val="single" w:sz="8" w:color="auto"/>
            </w:tcBorders>
          </w:tcPr>
          <w:p>
            <w:pPr>
              <w:spacing w:after="0"/>
              <w:rPr>
                <w:sz w:val="19"/>
                <w:szCs w:val="19"/>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70%</w:t>
            </w:r>
          </w:p>
        </w:tc>
        <w:tc>
          <w:tcPr>
            <w:tcW w:w="0" w:type="dxa"/>
            <w:vAlign w:val="bottom"/>
          </w:tcPr>
          <w:p>
            <w:pPr>
              <w:spacing w:after="0"/>
              <w:rPr>
                <w:sz w:val="1"/>
                <w:szCs w:val="1"/>
                <w:color w:val="auto"/>
              </w:rPr>
            </w:pPr>
          </w:p>
        </w:tc>
      </w:tr>
      <w:tr>
        <w:trPr>
          <w:trHeight w:val="236"/>
        </w:trPr>
        <w:tc>
          <w:tcPr>
            <w:tcW w:w="24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9"/>
                <w:szCs w:val="19"/>
                <w:color w:val="auto"/>
              </w:rPr>
              <w:t>Superior</w:t>
            </w:r>
          </w:p>
        </w:tc>
        <w:tc>
          <w:tcPr>
            <w:tcW w:w="1680" w:type="dxa"/>
            <w:vAlign w:val="bottom"/>
            <w:tcBorders>
              <w:bottom w:val="single" w:sz="8" w:color="auto"/>
            </w:tcBorders>
          </w:tcPr>
          <w:p>
            <w:pPr>
              <w:jc w:val="center"/>
              <w:ind w:left="385"/>
              <w:spacing w:after="0"/>
              <w:rPr>
                <w:sz w:val="20"/>
                <w:szCs w:val="20"/>
                <w:color w:val="auto"/>
              </w:rPr>
            </w:pPr>
            <w:r>
              <w:rPr>
                <w:rFonts w:ascii="Arial" w:cs="Arial" w:eastAsia="Arial" w:hAnsi="Arial"/>
                <w:sz w:val="19"/>
                <w:szCs w:val="19"/>
                <w:color w:val="auto"/>
                <w:w w:val="90"/>
              </w:rPr>
              <w:t>225%</w:t>
            </w:r>
          </w:p>
        </w:tc>
        <w:tc>
          <w:tcPr>
            <w:tcW w:w="4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jc w:val="center"/>
              <w:ind w:left="1585"/>
              <w:spacing w:after="0"/>
              <w:rPr>
                <w:sz w:val="20"/>
                <w:szCs w:val="20"/>
                <w:color w:val="auto"/>
              </w:rPr>
            </w:pPr>
            <w:r>
              <w:rPr>
                <w:rFonts w:ascii="Arial" w:cs="Arial" w:eastAsia="Arial" w:hAnsi="Arial"/>
                <w:sz w:val="19"/>
                <w:szCs w:val="19"/>
                <w:color w:val="auto"/>
                <w:w w:val="90"/>
              </w:rPr>
              <w:t>150%</w:t>
            </w:r>
          </w:p>
        </w:tc>
        <w:tc>
          <w:tcPr>
            <w:tcW w:w="170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0"/>
              </w:rPr>
              <w:t>105%</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440" w:hanging="437"/>
        <w:spacing w:after="0"/>
        <w:tabs>
          <w:tab w:leader="none" w:pos="4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Definition to be consistent with public reporting. </w:t>
      </w:r>
      <w:r>
        <w:rPr>
          <w:rFonts w:ascii="Arial" w:cs="Arial" w:eastAsia="Arial" w:hAnsi="Arial"/>
          <w:sz w:val="19"/>
          <w:szCs w:val="19"/>
          <w:b w:val="1"/>
          <w:bCs w:val="1"/>
          <w:color w:val="auto"/>
        </w:rPr>
        <w:t>[**]</w:t>
      </w:r>
    </w:p>
    <w:p>
      <w:pPr>
        <w:spacing w:after="0" w:line="28" w:lineRule="exact"/>
        <w:rPr>
          <w:rFonts w:ascii="Arial" w:cs="Arial" w:eastAsia="Arial" w:hAnsi="Arial"/>
          <w:sz w:val="19"/>
          <w:szCs w:val="19"/>
          <w:color w:val="auto"/>
        </w:rPr>
      </w:pPr>
    </w:p>
    <w:p>
      <w:pPr>
        <w:ind w:left="440" w:hanging="437"/>
        <w:spacing w:after="0"/>
        <w:tabs>
          <w:tab w:leader="none" w:pos="4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Based on 4Q annualized results. </w:t>
      </w: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72523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6350</wp:posOffset>
            </wp:positionV>
            <wp:extent cx="69735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170180</wp:posOffset>
            </wp:positionV>
            <wp:extent cx="69735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97357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789305</wp:posOffset>
            </wp:positionV>
            <wp:extent cx="729424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9"/>
          <w:szCs w:val="19"/>
          <w:b w:val="1"/>
          <w:bCs w:val="1"/>
          <w:u w:val="single" w:color="auto"/>
          <w:color w:val="auto"/>
        </w:rPr>
        <w:t>Exhibit A-1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b w:val="1"/>
          <w:bCs w:val="1"/>
          <w:u w:val="single" w:color="auto"/>
          <w:color w:val="auto"/>
        </w:rPr>
        <w:t>2018 Short Term Incentive Plan (cont’d)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Personal Goals</w:t>
      </w: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Kenny Gunderman</w:t>
      </w:r>
    </w:p>
    <w:p>
      <w:pPr>
        <w:spacing w:after="0" w:line="227" w:lineRule="exact"/>
        <w:rPr>
          <w:sz w:val="20"/>
          <w:szCs w:val="20"/>
          <w:color w:val="auto"/>
        </w:rPr>
      </w:pPr>
    </w:p>
    <w:p>
      <w:pPr>
        <w:ind w:left="880" w:hanging="437"/>
        <w:spacing w:after="0"/>
        <w:tabs>
          <w:tab w:leader="none" w:pos="8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Corporate values (unity/teamwork, innovation, hard work, integrity) – 20%</w:t>
      </w:r>
    </w:p>
    <w:p>
      <w:pPr>
        <w:spacing w:after="0" w:line="17" w:lineRule="exact"/>
        <w:rPr>
          <w:rFonts w:ascii="Arial" w:cs="Arial" w:eastAsia="Arial" w:hAnsi="Arial"/>
          <w:sz w:val="19"/>
          <w:szCs w:val="19"/>
          <w:color w:val="auto"/>
        </w:rPr>
      </w:pPr>
    </w:p>
    <w:p>
      <w:pPr>
        <w:ind w:left="880" w:hanging="437"/>
        <w:spacing w:after="0"/>
        <w:tabs>
          <w:tab w:leader="none" w:pos="8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Strategic planning session with key management (3rdparty moderator) –20%</w:t>
      </w:r>
    </w:p>
    <w:p>
      <w:pPr>
        <w:spacing w:after="0" w:line="1" w:lineRule="exact"/>
        <w:rPr>
          <w:rFonts w:ascii="Arial" w:cs="Arial" w:eastAsia="Arial" w:hAnsi="Arial"/>
          <w:sz w:val="19"/>
          <w:szCs w:val="19"/>
          <w:color w:val="auto"/>
        </w:rPr>
      </w:pPr>
    </w:p>
    <w:p>
      <w:pPr>
        <w:ind w:left="880" w:hanging="437"/>
        <w:spacing w:after="0"/>
        <w:tabs>
          <w:tab w:leader="none" w:pos="8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Company-wide employee engagement (regular town hall meetings, newsletters, intra-company twitter) – 20%</w:t>
      </w:r>
    </w:p>
    <w:p>
      <w:pPr>
        <w:spacing w:after="0" w:line="1" w:lineRule="exact"/>
        <w:rPr>
          <w:rFonts w:ascii="Arial" w:cs="Arial" w:eastAsia="Arial" w:hAnsi="Arial"/>
          <w:sz w:val="19"/>
          <w:szCs w:val="19"/>
          <w:color w:val="auto"/>
        </w:rPr>
      </w:pPr>
    </w:p>
    <w:p>
      <w:pPr>
        <w:ind w:left="880" w:hanging="437"/>
        <w:spacing w:after="0"/>
        <w:tabs>
          <w:tab w:leader="none" w:pos="8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Permanent operational leadership at Uniti Fiber –20%</w:t>
      </w:r>
    </w:p>
    <w:p>
      <w:pPr>
        <w:spacing w:after="0" w:line="1" w:lineRule="exact"/>
        <w:rPr>
          <w:rFonts w:ascii="Arial" w:cs="Arial" w:eastAsia="Arial" w:hAnsi="Arial"/>
          <w:sz w:val="19"/>
          <w:szCs w:val="19"/>
          <w:color w:val="auto"/>
        </w:rPr>
      </w:pPr>
    </w:p>
    <w:p>
      <w:pPr>
        <w:ind w:left="880" w:hanging="437"/>
        <w:spacing w:after="0"/>
        <w:tabs>
          <w:tab w:leader="none" w:pos="8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Sustainable growth at Uniti Leasing (1%+) –20%</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 Wallace</w:t>
      </w:r>
    </w:p>
    <w:p>
      <w:pPr>
        <w:spacing w:after="0" w:line="227" w:lineRule="exact"/>
        <w:rPr>
          <w:sz w:val="20"/>
          <w:szCs w:val="20"/>
          <w:color w:val="auto"/>
        </w:rPr>
      </w:pPr>
    </w:p>
    <w:p>
      <w:pPr>
        <w:ind w:left="880" w:hanging="437"/>
        <w:spacing w:after="0"/>
        <w:tabs>
          <w:tab w:leader="none" w:pos="8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Corporate values (unity/teamwork, innovation, hard work, integrity) –20%</w:t>
      </w:r>
    </w:p>
    <w:p>
      <w:pPr>
        <w:spacing w:after="0" w:line="17" w:lineRule="exact"/>
        <w:rPr>
          <w:rFonts w:ascii="Arial" w:cs="Arial" w:eastAsia="Arial" w:hAnsi="Arial"/>
          <w:sz w:val="19"/>
          <w:szCs w:val="19"/>
          <w:color w:val="auto"/>
        </w:rPr>
      </w:pPr>
    </w:p>
    <w:p>
      <w:pPr>
        <w:ind w:left="880" w:hanging="437"/>
        <w:spacing w:after="0"/>
        <w:tabs>
          <w:tab w:leader="none" w:pos="8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Seamless, permanent organization with accounting, FP&amp;A, operational finance –20%</w:t>
      </w:r>
    </w:p>
    <w:p>
      <w:pPr>
        <w:spacing w:after="0" w:line="1" w:lineRule="exact"/>
        <w:rPr>
          <w:rFonts w:ascii="Arial" w:cs="Arial" w:eastAsia="Arial" w:hAnsi="Arial"/>
          <w:sz w:val="19"/>
          <w:szCs w:val="19"/>
          <w:color w:val="auto"/>
        </w:rPr>
      </w:pPr>
    </w:p>
    <w:p>
      <w:pPr>
        <w:ind w:left="880" w:hanging="437"/>
        <w:spacing w:after="0"/>
        <w:tabs>
          <w:tab w:leader="none" w:pos="8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Timely internal reporting including executive KPI dashboard –20%</w:t>
      </w:r>
    </w:p>
    <w:p>
      <w:pPr>
        <w:spacing w:after="0" w:line="1" w:lineRule="exact"/>
        <w:rPr>
          <w:rFonts w:ascii="Arial" w:cs="Arial" w:eastAsia="Arial" w:hAnsi="Arial"/>
          <w:sz w:val="19"/>
          <w:szCs w:val="19"/>
          <w:color w:val="auto"/>
        </w:rPr>
      </w:pPr>
    </w:p>
    <w:p>
      <w:pPr>
        <w:ind w:left="880" w:hanging="437"/>
        <w:spacing w:after="0"/>
        <w:tabs>
          <w:tab w:leader="none" w:pos="8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Develop attractive, actionable private equity / infrastructure fund capital source –20%</w:t>
      </w:r>
    </w:p>
    <w:p>
      <w:pPr>
        <w:spacing w:after="0" w:line="1" w:lineRule="exact"/>
        <w:rPr>
          <w:rFonts w:ascii="Arial" w:cs="Arial" w:eastAsia="Arial" w:hAnsi="Arial"/>
          <w:sz w:val="19"/>
          <w:szCs w:val="19"/>
          <w:color w:val="auto"/>
        </w:rPr>
      </w:pPr>
    </w:p>
    <w:p>
      <w:pPr>
        <w:ind w:left="880" w:hanging="437"/>
        <w:spacing w:after="0"/>
        <w:tabs>
          <w:tab w:leader="none" w:pos="8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Reduce reliance upon external tax and accounting advisors –20%</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Daniel Heard</w:t>
      </w:r>
    </w:p>
    <w:p>
      <w:pPr>
        <w:spacing w:after="0" w:line="227" w:lineRule="exact"/>
        <w:rPr>
          <w:sz w:val="20"/>
          <w:szCs w:val="20"/>
          <w:color w:val="auto"/>
        </w:rPr>
      </w:pPr>
    </w:p>
    <w:p>
      <w:pPr>
        <w:ind w:left="880" w:hanging="437"/>
        <w:spacing w:after="0"/>
        <w:tabs>
          <w:tab w:leader="none" w:pos="8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Corporate values (unity/teamwork, innovation, hard work, integrity) – 25%</w:t>
      </w:r>
    </w:p>
    <w:p>
      <w:pPr>
        <w:spacing w:after="0" w:line="17" w:lineRule="exact"/>
        <w:rPr>
          <w:rFonts w:ascii="Arial" w:cs="Arial" w:eastAsia="Arial" w:hAnsi="Arial"/>
          <w:sz w:val="19"/>
          <w:szCs w:val="19"/>
          <w:color w:val="auto"/>
        </w:rPr>
      </w:pPr>
    </w:p>
    <w:p>
      <w:pPr>
        <w:ind w:left="880" w:hanging="437"/>
        <w:spacing w:after="0"/>
        <w:tabs>
          <w:tab w:leader="none" w:pos="8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Acceptable ratings from shareholder advisory services –25%</w:t>
      </w:r>
    </w:p>
    <w:p>
      <w:pPr>
        <w:spacing w:after="0" w:line="1" w:lineRule="exact"/>
        <w:rPr>
          <w:rFonts w:ascii="Arial" w:cs="Arial" w:eastAsia="Arial" w:hAnsi="Arial"/>
          <w:sz w:val="19"/>
          <w:szCs w:val="19"/>
          <w:color w:val="auto"/>
        </w:rPr>
      </w:pPr>
    </w:p>
    <w:p>
      <w:pPr>
        <w:ind w:left="880" w:right="980" w:hanging="437"/>
        <w:spacing w:after="0" w:line="241" w:lineRule="auto"/>
        <w:tabs>
          <w:tab w:leader="none" w:pos="8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Seamless integration of Legal organization across Uniti Group, Uniti Fiber and Uniti Leasing (i.e. permitting process, contract administration, Washington D.C. engagement) –25%</w:t>
      </w:r>
    </w:p>
    <w:p>
      <w:pPr>
        <w:ind w:left="880" w:hanging="437"/>
        <w:spacing w:after="0"/>
        <w:tabs>
          <w:tab w:leader="none" w:pos="8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Reduce outside legal costs year over year –25%</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t>
      </w:r>
    </w:p>
    <w:p>
      <w:pPr>
        <w:spacing w:after="0" w:line="227" w:lineRule="exact"/>
        <w:rPr>
          <w:sz w:val="20"/>
          <w:szCs w:val="20"/>
          <w:color w:val="auto"/>
        </w:rPr>
      </w:pPr>
    </w:p>
    <w:p>
      <w:pPr>
        <w:ind w:left="880" w:hanging="437"/>
        <w:spacing w:after="0"/>
        <w:tabs>
          <w:tab w:leader="none" w:pos="8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Corporate values (unity/teamwork, innovation, hard work, integrity)</w:t>
      </w:r>
    </w:p>
    <w:p>
      <w:pPr>
        <w:spacing w:after="0" w:line="17" w:lineRule="exact"/>
        <w:rPr>
          <w:rFonts w:ascii="Arial" w:cs="Arial" w:eastAsia="Arial" w:hAnsi="Arial"/>
          <w:sz w:val="19"/>
          <w:szCs w:val="19"/>
          <w:color w:val="auto"/>
        </w:rPr>
      </w:pPr>
    </w:p>
    <w:p>
      <w:pPr>
        <w:ind w:left="880" w:hanging="437"/>
        <w:spacing w:after="0"/>
        <w:tabs>
          <w:tab w:leader="none" w:pos="8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Integration and synergy achievement on schedule</w:t>
      </w:r>
    </w:p>
    <w:p>
      <w:pPr>
        <w:spacing w:after="0" w:line="1" w:lineRule="exact"/>
        <w:rPr>
          <w:rFonts w:ascii="Arial" w:cs="Arial" w:eastAsia="Arial" w:hAnsi="Arial"/>
          <w:sz w:val="19"/>
          <w:szCs w:val="19"/>
          <w:color w:val="auto"/>
        </w:rPr>
      </w:pPr>
    </w:p>
    <w:p>
      <w:pPr>
        <w:ind w:left="880" w:hanging="437"/>
        <w:spacing w:after="0"/>
        <w:tabs>
          <w:tab w:leader="none" w:pos="8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M&amp;A creativity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694055</wp:posOffset>
            </wp:positionV>
            <wp:extent cx="729424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18"/>
        </w:trPr>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9"/>
                <w:szCs w:val="19"/>
                <w:b w:val="1"/>
                <w:bCs w:val="1"/>
                <w:color w:val="auto"/>
                <w:w w:val="91"/>
              </w:rPr>
              <w:t>Exhibit A-2 to</w:t>
            </w:r>
          </w:p>
        </w:tc>
      </w:tr>
      <w:tr>
        <w:trPr>
          <w:trHeight w:val="200"/>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Borders>
              <w:bottom w:val="single" w:sz="8" w:color="auto"/>
            </w:tcBorders>
            <w:gridSpan w:val="3"/>
          </w:tcPr>
          <w:p>
            <w:pPr>
              <w:jc w:val="right"/>
              <w:ind w:right="20"/>
              <w:spacing w:after="0" w:line="200" w:lineRule="exact"/>
              <w:rPr>
                <w:sz w:val="20"/>
                <w:szCs w:val="20"/>
                <w:color w:val="auto"/>
              </w:rPr>
            </w:pPr>
            <w:r>
              <w:rPr>
                <w:rFonts w:ascii="Arial" w:cs="Arial" w:eastAsia="Arial" w:hAnsi="Arial"/>
                <w:sz w:val="19"/>
                <w:szCs w:val="19"/>
                <w:b w:val="1"/>
                <w:bCs w:val="1"/>
                <w:color w:val="auto"/>
                <w:w w:val="90"/>
              </w:rPr>
              <w:t>2018 Short Term Incentive Plan</w:t>
            </w:r>
          </w:p>
        </w:tc>
      </w:tr>
      <w:tr>
        <w:trPr>
          <w:trHeight w:val="604"/>
        </w:trPr>
        <w:tc>
          <w:tcPr>
            <w:tcW w:w="5200" w:type="dxa"/>
            <w:vAlign w:val="bottom"/>
            <w:gridSpan w:val="3"/>
          </w:tcPr>
          <w:p>
            <w:pPr>
              <w:spacing w:after="0"/>
              <w:rPr>
                <w:sz w:val="20"/>
                <w:szCs w:val="20"/>
                <w:color w:val="auto"/>
              </w:rPr>
            </w:pPr>
            <w:r>
              <w:rPr>
                <w:rFonts w:ascii="Arial" w:cs="Arial" w:eastAsia="Arial" w:hAnsi="Arial"/>
                <w:sz w:val="19"/>
                <w:szCs w:val="19"/>
                <w:color w:val="auto"/>
              </w:rPr>
              <w:t xml:space="preserve">Metrics applicable to </w:t>
            </w:r>
            <w:r>
              <w:rPr>
                <w:rFonts w:ascii="Arial" w:cs="Arial" w:eastAsia="Arial" w:hAnsi="Arial"/>
                <w:sz w:val="19"/>
                <w:szCs w:val="19"/>
                <w:b w:val="1"/>
                <w:bCs w:val="1"/>
                <w:color w:val="auto"/>
              </w:rPr>
              <w:t>[**]</w:t>
            </w:r>
            <w:r>
              <w:rPr>
                <w:rFonts w:ascii="Arial" w:cs="Arial" w:eastAsia="Arial" w:hAnsi="Arial"/>
                <w:sz w:val="19"/>
                <w:szCs w:val="19"/>
                <w:color w:val="auto"/>
              </w:rPr>
              <w:t xml:space="preserve"> and </w:t>
            </w:r>
            <w:r>
              <w:rPr>
                <w:rFonts w:ascii="Arial" w:cs="Arial" w:eastAsia="Arial" w:hAnsi="Arial"/>
                <w:sz w:val="19"/>
                <w:szCs w:val="19"/>
                <w:b w:val="1"/>
                <w:bCs w:val="1"/>
                <w:color w:val="auto"/>
              </w:rPr>
              <w:t>[**]</w:t>
            </w:r>
            <w:r>
              <w:rPr>
                <w:rFonts w:ascii="Arial" w:cs="Arial" w:eastAsia="Arial" w:hAnsi="Arial"/>
                <w:sz w:val="19"/>
                <w:szCs w:val="19"/>
                <w:color w:val="auto"/>
              </w:rPr>
              <w:t>:</w:t>
            </w:r>
          </w:p>
        </w:tc>
        <w:tc>
          <w:tcPr>
            <w:tcW w:w="2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5"/>
        </w:trPr>
        <w:tc>
          <w:tcPr>
            <w:tcW w:w="520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6"/>
                <w:szCs w:val="16"/>
                <w:color w:val="auto"/>
              </w:rPr>
              <w:t>(1)</w:t>
            </w:r>
            <w:r>
              <w:rPr>
                <w:rFonts w:ascii="Arial" w:cs="Arial" w:eastAsia="Arial" w:hAnsi="Arial"/>
                <w:sz w:val="19"/>
                <w:szCs w:val="19"/>
                <w:color w:val="auto"/>
              </w:rPr>
              <w:t xml:space="preserve"> (30%)</w:t>
            </w:r>
          </w:p>
        </w:tc>
        <w:tc>
          <w:tcPr>
            <w:tcW w:w="2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820" w:type="dxa"/>
            <w:vAlign w:val="bottom"/>
            <w:tcBorders>
              <w:left w:val="single" w:sz="8" w:color="auto"/>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80" w:type="dxa"/>
            <w:vAlign w:val="bottom"/>
            <w:tcBorders>
              <w:bottom w:val="single" w:sz="8" w:color="auto"/>
            </w:tcBorders>
            <w:shd w:val="clear" w:color="auto" w:fill="1F3864"/>
          </w:tcPr>
          <w:p>
            <w:pPr>
              <w:spacing w:after="0"/>
              <w:rPr>
                <w:sz w:val="18"/>
                <w:szCs w:val="18"/>
                <w:color w:val="auto"/>
              </w:rPr>
            </w:pPr>
          </w:p>
        </w:tc>
        <w:tc>
          <w:tcPr>
            <w:tcW w:w="2420" w:type="dxa"/>
            <w:vAlign w:val="bottom"/>
            <w:tcBorders>
              <w:bottom w:val="single" w:sz="8" w:color="auto"/>
              <w:right w:val="single" w:sz="8" w:color="auto"/>
            </w:tcBorders>
            <w:shd w:val="clear" w:color="auto" w:fill="1F3864"/>
          </w:tcPr>
          <w:p>
            <w:pPr>
              <w:jc w:val="center"/>
              <w:ind w:right="1325"/>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2560" w:type="dxa"/>
            <w:vAlign w:val="bottom"/>
            <w:tcBorders>
              <w:bottom w:val="single" w:sz="8" w:color="auto"/>
              <w:right w:val="single" w:sz="8" w:color="auto"/>
            </w:tcBorders>
            <w:gridSpan w:val="2"/>
            <w:shd w:val="clear" w:color="auto" w:fill="1F3864"/>
          </w:tcPr>
          <w:p>
            <w:pPr>
              <w:jc w:val="center"/>
              <w:ind w:right="1165"/>
              <w:spacing w:after="0" w:line="213" w:lineRule="exact"/>
              <w:rPr>
                <w:sz w:val="20"/>
                <w:szCs w:val="20"/>
                <w:color w:val="auto"/>
              </w:rPr>
            </w:pPr>
            <w:r>
              <w:rPr>
                <w:rFonts w:ascii="Arial" w:cs="Arial" w:eastAsia="Arial" w:hAnsi="Arial"/>
                <w:sz w:val="19"/>
                <w:szCs w:val="19"/>
                <w:color w:val="FFFFFF"/>
                <w:w w:val="91"/>
              </w:rPr>
              <w:t>Superior</w:t>
            </w:r>
          </w:p>
        </w:tc>
        <w:tc>
          <w:tcPr>
            <w:tcW w:w="20" w:type="dxa"/>
            <w:vAlign w:val="bottom"/>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ind w:right="1325"/>
              <w:spacing w:after="0" w:line="213" w:lineRule="exact"/>
              <w:rPr>
                <w:sz w:val="20"/>
                <w:szCs w:val="20"/>
                <w:color w:val="auto"/>
              </w:rPr>
            </w:pPr>
            <w:r>
              <w:rPr>
                <w:rFonts w:ascii="Arial" w:cs="Arial" w:eastAsia="Arial" w:hAnsi="Arial"/>
                <w:sz w:val="19"/>
                <w:szCs w:val="19"/>
                <w:b w:val="1"/>
                <w:bCs w:val="1"/>
                <w:color w:val="auto"/>
              </w:rPr>
              <w:t>[**]</w:t>
            </w:r>
          </w:p>
        </w:tc>
        <w:tc>
          <w:tcPr>
            <w:tcW w:w="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center"/>
              <w:ind w:left="465"/>
              <w:spacing w:after="0" w:line="213" w:lineRule="exact"/>
              <w:rPr>
                <w:sz w:val="20"/>
                <w:szCs w:val="20"/>
                <w:color w:val="auto"/>
              </w:rPr>
            </w:pPr>
            <w:r>
              <w:rPr>
                <w:rFonts w:ascii="Arial" w:cs="Arial" w:eastAsia="Arial" w:hAnsi="Arial"/>
                <w:sz w:val="19"/>
                <w:szCs w:val="19"/>
                <w:b w:val="1"/>
                <w:bCs w:val="1"/>
                <w:color w:val="auto"/>
              </w:rPr>
              <w:t>[**]</w:t>
            </w:r>
          </w:p>
        </w:tc>
        <w:tc>
          <w:tcPr>
            <w:tcW w:w="114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520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6"/>
                <w:szCs w:val="16"/>
                <w:color w:val="auto"/>
              </w:rPr>
              <w:t>(1)</w:t>
            </w:r>
            <w:r>
              <w:rPr>
                <w:rFonts w:ascii="Arial" w:cs="Arial" w:eastAsia="Arial" w:hAnsi="Arial"/>
                <w:sz w:val="19"/>
                <w:szCs w:val="19"/>
                <w:color w:val="auto"/>
              </w:rPr>
              <w:t xml:space="preserve"> (25%)</w:t>
            </w:r>
          </w:p>
        </w:tc>
        <w:tc>
          <w:tcPr>
            <w:tcW w:w="2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820" w:type="dxa"/>
            <w:vAlign w:val="bottom"/>
            <w:tcBorders>
              <w:left w:val="single" w:sz="8" w:color="auto"/>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80" w:type="dxa"/>
            <w:vAlign w:val="bottom"/>
            <w:tcBorders>
              <w:bottom w:val="single" w:sz="8" w:color="auto"/>
            </w:tcBorders>
            <w:shd w:val="clear" w:color="auto" w:fill="1F3864"/>
          </w:tcPr>
          <w:p>
            <w:pPr>
              <w:spacing w:after="0"/>
              <w:rPr>
                <w:sz w:val="18"/>
                <w:szCs w:val="18"/>
                <w:color w:val="auto"/>
              </w:rPr>
            </w:pPr>
          </w:p>
        </w:tc>
        <w:tc>
          <w:tcPr>
            <w:tcW w:w="2420" w:type="dxa"/>
            <w:vAlign w:val="bottom"/>
            <w:tcBorders>
              <w:bottom w:val="single" w:sz="8" w:color="auto"/>
              <w:right w:val="single" w:sz="8" w:color="auto"/>
            </w:tcBorders>
            <w:shd w:val="clear" w:color="auto" w:fill="1F3864"/>
          </w:tcPr>
          <w:p>
            <w:pPr>
              <w:jc w:val="center"/>
              <w:ind w:right="1325"/>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2560" w:type="dxa"/>
            <w:vAlign w:val="bottom"/>
            <w:tcBorders>
              <w:bottom w:val="single" w:sz="8" w:color="auto"/>
              <w:right w:val="single" w:sz="8" w:color="auto"/>
            </w:tcBorders>
            <w:gridSpan w:val="2"/>
            <w:shd w:val="clear" w:color="auto" w:fill="1F3864"/>
          </w:tcPr>
          <w:p>
            <w:pPr>
              <w:jc w:val="center"/>
              <w:ind w:right="1165"/>
              <w:spacing w:after="0" w:line="213" w:lineRule="exact"/>
              <w:rPr>
                <w:sz w:val="20"/>
                <w:szCs w:val="20"/>
                <w:color w:val="auto"/>
              </w:rPr>
            </w:pPr>
            <w:r>
              <w:rPr>
                <w:rFonts w:ascii="Arial" w:cs="Arial" w:eastAsia="Arial" w:hAnsi="Arial"/>
                <w:sz w:val="19"/>
                <w:szCs w:val="19"/>
                <w:color w:val="FFFFFF"/>
                <w:w w:val="91"/>
              </w:rPr>
              <w:t>Superior</w:t>
            </w:r>
          </w:p>
        </w:tc>
        <w:tc>
          <w:tcPr>
            <w:tcW w:w="20" w:type="dxa"/>
            <w:vAlign w:val="bottom"/>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ind w:right="1325"/>
              <w:spacing w:after="0" w:line="213" w:lineRule="exact"/>
              <w:rPr>
                <w:sz w:val="20"/>
                <w:szCs w:val="20"/>
                <w:color w:val="auto"/>
              </w:rPr>
            </w:pPr>
            <w:r>
              <w:rPr>
                <w:rFonts w:ascii="Arial" w:cs="Arial" w:eastAsia="Arial" w:hAnsi="Arial"/>
                <w:sz w:val="19"/>
                <w:szCs w:val="19"/>
                <w:b w:val="1"/>
                <w:bCs w:val="1"/>
                <w:color w:val="auto"/>
              </w:rPr>
              <w:t>[**]</w:t>
            </w:r>
          </w:p>
        </w:tc>
        <w:tc>
          <w:tcPr>
            <w:tcW w:w="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center"/>
              <w:ind w:left="465"/>
              <w:spacing w:after="0" w:line="213" w:lineRule="exact"/>
              <w:rPr>
                <w:sz w:val="20"/>
                <w:szCs w:val="20"/>
                <w:color w:val="auto"/>
              </w:rPr>
            </w:pPr>
            <w:r>
              <w:rPr>
                <w:rFonts w:ascii="Arial" w:cs="Arial" w:eastAsia="Arial" w:hAnsi="Arial"/>
                <w:sz w:val="19"/>
                <w:szCs w:val="19"/>
                <w:b w:val="1"/>
                <w:bCs w:val="1"/>
                <w:color w:val="auto"/>
              </w:rPr>
              <w:t>[**]</w:t>
            </w:r>
          </w:p>
        </w:tc>
        <w:tc>
          <w:tcPr>
            <w:tcW w:w="114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520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b w:val="1"/>
                <w:bCs w:val="1"/>
                <w:color w:val="auto"/>
              </w:rPr>
              <w:t>[**]</w:t>
            </w:r>
            <w:r>
              <w:rPr>
                <w:rFonts w:ascii="Arial" w:cs="Arial" w:eastAsia="Arial" w:hAnsi="Arial"/>
                <w:sz w:val="19"/>
                <w:szCs w:val="19"/>
                <w:color w:val="auto"/>
              </w:rPr>
              <w:t xml:space="preserve"> (25%)</w:t>
            </w:r>
          </w:p>
        </w:tc>
        <w:tc>
          <w:tcPr>
            <w:tcW w:w="2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820" w:type="dxa"/>
            <w:vAlign w:val="bottom"/>
            <w:tcBorders>
              <w:left w:val="single" w:sz="8" w:color="auto"/>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80" w:type="dxa"/>
            <w:vAlign w:val="bottom"/>
            <w:tcBorders>
              <w:bottom w:val="single" w:sz="8" w:color="auto"/>
            </w:tcBorders>
            <w:shd w:val="clear" w:color="auto" w:fill="1F3864"/>
          </w:tcPr>
          <w:p>
            <w:pPr>
              <w:spacing w:after="0"/>
              <w:rPr>
                <w:sz w:val="18"/>
                <w:szCs w:val="18"/>
                <w:color w:val="auto"/>
              </w:rPr>
            </w:pPr>
          </w:p>
        </w:tc>
        <w:tc>
          <w:tcPr>
            <w:tcW w:w="2420" w:type="dxa"/>
            <w:vAlign w:val="bottom"/>
            <w:tcBorders>
              <w:bottom w:val="single" w:sz="8" w:color="auto"/>
              <w:right w:val="single" w:sz="8" w:color="auto"/>
            </w:tcBorders>
            <w:shd w:val="clear" w:color="auto" w:fill="1F3864"/>
          </w:tcPr>
          <w:p>
            <w:pPr>
              <w:jc w:val="center"/>
              <w:ind w:right="1325"/>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2560" w:type="dxa"/>
            <w:vAlign w:val="bottom"/>
            <w:tcBorders>
              <w:bottom w:val="single" w:sz="8" w:color="auto"/>
              <w:right w:val="single" w:sz="8" w:color="auto"/>
            </w:tcBorders>
            <w:gridSpan w:val="2"/>
            <w:shd w:val="clear" w:color="auto" w:fill="1F3864"/>
          </w:tcPr>
          <w:p>
            <w:pPr>
              <w:jc w:val="center"/>
              <w:ind w:right="1165"/>
              <w:spacing w:after="0" w:line="213" w:lineRule="exact"/>
              <w:rPr>
                <w:sz w:val="20"/>
                <w:szCs w:val="20"/>
                <w:color w:val="auto"/>
              </w:rPr>
            </w:pPr>
            <w:r>
              <w:rPr>
                <w:rFonts w:ascii="Arial" w:cs="Arial" w:eastAsia="Arial" w:hAnsi="Arial"/>
                <w:sz w:val="19"/>
                <w:szCs w:val="19"/>
                <w:color w:val="FFFFFF"/>
                <w:w w:val="91"/>
              </w:rPr>
              <w:t>Superior</w:t>
            </w:r>
          </w:p>
        </w:tc>
        <w:tc>
          <w:tcPr>
            <w:tcW w:w="20" w:type="dxa"/>
            <w:vAlign w:val="bottom"/>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ind w:right="1325"/>
              <w:spacing w:after="0" w:line="213" w:lineRule="exact"/>
              <w:rPr>
                <w:sz w:val="20"/>
                <w:szCs w:val="20"/>
                <w:color w:val="auto"/>
              </w:rPr>
            </w:pPr>
            <w:r>
              <w:rPr>
                <w:rFonts w:ascii="Arial" w:cs="Arial" w:eastAsia="Arial" w:hAnsi="Arial"/>
                <w:sz w:val="19"/>
                <w:szCs w:val="19"/>
                <w:b w:val="1"/>
                <w:bCs w:val="1"/>
                <w:color w:val="auto"/>
              </w:rPr>
              <w:t>[**]</w:t>
            </w:r>
          </w:p>
        </w:tc>
        <w:tc>
          <w:tcPr>
            <w:tcW w:w="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center"/>
              <w:ind w:left="465"/>
              <w:spacing w:after="0" w:line="213" w:lineRule="exact"/>
              <w:rPr>
                <w:sz w:val="20"/>
                <w:szCs w:val="20"/>
                <w:color w:val="auto"/>
              </w:rPr>
            </w:pPr>
            <w:r>
              <w:rPr>
                <w:rFonts w:ascii="Arial" w:cs="Arial" w:eastAsia="Arial" w:hAnsi="Arial"/>
                <w:sz w:val="19"/>
                <w:szCs w:val="19"/>
                <w:b w:val="1"/>
                <w:bCs w:val="1"/>
                <w:color w:val="auto"/>
              </w:rPr>
              <w:t>[**]</w:t>
            </w:r>
          </w:p>
        </w:tc>
        <w:tc>
          <w:tcPr>
            <w:tcW w:w="114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520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6"/>
                <w:szCs w:val="16"/>
                <w:color w:val="auto"/>
              </w:rPr>
              <w:t>(2)</w:t>
            </w:r>
            <w:r>
              <w:rPr>
                <w:rFonts w:ascii="Arial" w:cs="Arial" w:eastAsia="Arial" w:hAnsi="Arial"/>
                <w:sz w:val="19"/>
                <w:szCs w:val="19"/>
                <w:color w:val="auto"/>
              </w:rPr>
              <w:t xml:space="preserve"> (20%)</w:t>
            </w:r>
          </w:p>
        </w:tc>
        <w:tc>
          <w:tcPr>
            <w:tcW w:w="2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3820" w:type="dxa"/>
            <w:vAlign w:val="bottom"/>
            <w:tcBorders>
              <w:left w:val="single" w:sz="8" w:color="auto"/>
              <w:bottom w:val="single" w:sz="8" w:color="auto"/>
              <w:right w:val="single" w:sz="8" w:color="auto"/>
            </w:tcBorders>
            <w:shd w:val="clear" w:color="auto" w:fill="1F3864"/>
          </w:tcPr>
          <w:p>
            <w:pPr>
              <w:jc w:val="center"/>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80" w:type="dxa"/>
            <w:vAlign w:val="bottom"/>
            <w:tcBorders>
              <w:bottom w:val="single" w:sz="8" w:color="auto"/>
            </w:tcBorders>
            <w:shd w:val="clear" w:color="auto" w:fill="1F3864"/>
          </w:tcPr>
          <w:p>
            <w:pPr>
              <w:spacing w:after="0"/>
              <w:rPr>
                <w:sz w:val="18"/>
                <w:szCs w:val="18"/>
                <w:color w:val="auto"/>
              </w:rPr>
            </w:pPr>
          </w:p>
        </w:tc>
        <w:tc>
          <w:tcPr>
            <w:tcW w:w="2420" w:type="dxa"/>
            <w:vAlign w:val="bottom"/>
            <w:tcBorders>
              <w:bottom w:val="single" w:sz="8" w:color="auto"/>
              <w:right w:val="single" w:sz="8" w:color="auto"/>
            </w:tcBorders>
            <w:shd w:val="clear" w:color="auto" w:fill="1F3864"/>
          </w:tcPr>
          <w:p>
            <w:pPr>
              <w:jc w:val="center"/>
              <w:ind w:right="1325"/>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700" w:type="dxa"/>
            <w:vAlign w:val="bottom"/>
            <w:tcBorders>
              <w:bottom w:val="single" w:sz="8" w:color="auto"/>
            </w:tcBorders>
            <w:shd w:val="clear" w:color="auto" w:fill="1F3864"/>
          </w:tcPr>
          <w:p>
            <w:pPr>
              <w:spacing w:after="0"/>
              <w:rPr>
                <w:sz w:val="18"/>
                <w:szCs w:val="18"/>
                <w:color w:val="auto"/>
              </w:rPr>
            </w:pPr>
          </w:p>
        </w:tc>
        <w:tc>
          <w:tcPr>
            <w:tcW w:w="2560" w:type="dxa"/>
            <w:vAlign w:val="bottom"/>
            <w:tcBorders>
              <w:bottom w:val="single" w:sz="8" w:color="auto"/>
              <w:right w:val="single" w:sz="8" w:color="auto"/>
            </w:tcBorders>
            <w:gridSpan w:val="2"/>
            <w:shd w:val="clear" w:color="auto" w:fill="1F3864"/>
          </w:tcPr>
          <w:p>
            <w:pPr>
              <w:jc w:val="center"/>
              <w:ind w:right="1165"/>
              <w:spacing w:after="0" w:line="213" w:lineRule="exact"/>
              <w:rPr>
                <w:sz w:val="20"/>
                <w:szCs w:val="20"/>
                <w:color w:val="auto"/>
              </w:rPr>
            </w:pPr>
            <w:r>
              <w:rPr>
                <w:rFonts w:ascii="Arial" w:cs="Arial" w:eastAsia="Arial" w:hAnsi="Arial"/>
                <w:sz w:val="19"/>
                <w:szCs w:val="19"/>
                <w:color w:val="FFFFFF"/>
                <w:w w:val="91"/>
              </w:rPr>
              <w:t>Superior</w:t>
            </w:r>
          </w:p>
        </w:tc>
        <w:tc>
          <w:tcPr>
            <w:tcW w:w="20" w:type="dxa"/>
            <w:vAlign w:val="bottom"/>
          </w:tcPr>
          <w:p>
            <w:pPr>
              <w:spacing w:after="0"/>
              <w:rPr>
                <w:sz w:val="18"/>
                <w:szCs w:val="18"/>
                <w:color w:val="auto"/>
              </w:rPr>
            </w:pPr>
          </w:p>
        </w:tc>
      </w:tr>
      <w:tr>
        <w:trPr>
          <w:trHeight w:val="213"/>
        </w:trPr>
        <w:tc>
          <w:tcPr>
            <w:tcW w:w="382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ind w:right="1325"/>
              <w:spacing w:after="0" w:line="213" w:lineRule="exact"/>
              <w:rPr>
                <w:sz w:val="20"/>
                <w:szCs w:val="20"/>
                <w:color w:val="auto"/>
              </w:rPr>
            </w:pPr>
            <w:r>
              <w:rPr>
                <w:rFonts w:ascii="Arial" w:cs="Arial" w:eastAsia="Arial" w:hAnsi="Arial"/>
                <w:sz w:val="19"/>
                <w:szCs w:val="19"/>
                <w:b w:val="1"/>
                <w:bCs w:val="1"/>
                <w:color w:val="auto"/>
              </w:rPr>
              <w:t>[**]</w:t>
            </w:r>
          </w:p>
        </w:tc>
        <w:tc>
          <w:tcPr>
            <w:tcW w:w="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center"/>
              <w:ind w:left="465"/>
              <w:spacing w:after="0" w:line="213" w:lineRule="exact"/>
              <w:rPr>
                <w:sz w:val="20"/>
                <w:szCs w:val="20"/>
                <w:color w:val="auto"/>
              </w:rPr>
            </w:pPr>
            <w:r>
              <w:rPr>
                <w:rFonts w:ascii="Arial" w:cs="Arial" w:eastAsia="Arial" w:hAnsi="Arial"/>
                <w:sz w:val="19"/>
                <w:szCs w:val="19"/>
                <w:b w:val="1"/>
                <w:bCs w:val="1"/>
                <w:color w:val="auto"/>
              </w:rPr>
              <w:t>[**]</w:t>
            </w:r>
          </w:p>
        </w:tc>
        <w:tc>
          <w:tcPr>
            <w:tcW w:w="1140" w:type="dxa"/>
            <w:vAlign w:val="bottom"/>
            <w:tcBorders>
              <w:bottom w:val="single" w:sz="8" w:color="auto"/>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5200" w:type="dxa"/>
            <w:vAlign w:val="bottom"/>
            <w:tcBorders>
              <w:bottom w:val="single" w:sz="8" w:color="auto"/>
            </w:tcBorders>
            <w:gridSpan w:val="3"/>
          </w:tcPr>
          <w:p>
            <w:pPr>
              <w:spacing w:after="0"/>
              <w:rPr>
                <w:sz w:val="20"/>
                <w:szCs w:val="20"/>
                <w:color w:val="auto"/>
              </w:rPr>
            </w:pPr>
            <w:r>
              <w:rPr>
                <w:rFonts w:ascii="Arial" w:cs="Arial" w:eastAsia="Arial" w:hAnsi="Arial"/>
                <w:sz w:val="19"/>
                <w:szCs w:val="19"/>
                <w:color w:val="auto"/>
                <w:w w:val="91"/>
              </w:rPr>
              <w:t>E. Payouts for each component will be interpolated between levels.</w:t>
            </w:r>
          </w:p>
        </w:tc>
        <w:tc>
          <w:tcPr>
            <w:tcW w:w="2960" w:type="dxa"/>
            <w:vAlign w:val="bottom"/>
            <w:tcBorders>
              <w:bottom w:val="single" w:sz="8" w:color="auto"/>
            </w:tcBorders>
            <w:gridSpan w:val="2"/>
          </w:tcPr>
          <w:p>
            <w:pPr>
              <w:ind w:left="40"/>
              <w:spacing w:after="0"/>
              <w:rPr>
                <w:sz w:val="20"/>
                <w:szCs w:val="20"/>
                <w:color w:val="auto"/>
              </w:rPr>
            </w:pPr>
            <w:r>
              <w:rPr>
                <w:rFonts w:ascii="Arial" w:cs="Arial" w:eastAsia="Arial" w:hAnsi="Arial"/>
                <w:sz w:val="19"/>
                <w:szCs w:val="19"/>
                <w:color w:val="auto"/>
                <w:w w:val="91"/>
              </w:rPr>
              <w:t>Potential Payouts at each level are as</w:t>
            </w:r>
          </w:p>
        </w:tc>
        <w:tc>
          <w:tcPr>
            <w:tcW w:w="3280" w:type="dxa"/>
            <w:vAlign w:val="bottom"/>
            <w:tcBorders>
              <w:bottom w:val="single" w:sz="8" w:color="auto"/>
            </w:tcBorders>
            <w:gridSpan w:val="4"/>
          </w:tcPr>
          <w:p>
            <w:pPr>
              <w:jc w:val="right"/>
              <w:ind w:right="2540"/>
              <w:spacing w:after="0"/>
              <w:rPr>
                <w:sz w:val="20"/>
                <w:szCs w:val="20"/>
                <w:color w:val="auto"/>
              </w:rPr>
            </w:pPr>
            <w:r>
              <w:rPr>
                <w:rFonts w:ascii="Arial" w:cs="Arial" w:eastAsia="Arial" w:hAnsi="Arial"/>
                <w:sz w:val="19"/>
                <w:szCs w:val="19"/>
                <w:color w:val="auto"/>
              </w:rPr>
              <w:t>follows:</w:t>
            </w:r>
          </w:p>
        </w:tc>
      </w:tr>
      <w:tr>
        <w:trPr>
          <w:trHeight w:val="411"/>
        </w:trPr>
        <w:tc>
          <w:tcPr>
            <w:tcW w:w="4020" w:type="dxa"/>
            <w:vAlign w:val="bottom"/>
            <w:tcBorders>
              <w:left w:val="single" w:sz="8" w:color="auto"/>
              <w:right w:val="single" w:sz="8" w:color="auto"/>
            </w:tcBorders>
            <w:gridSpan w:val="2"/>
            <w:shd w:val="clear" w:color="auto" w:fill="1F3864"/>
          </w:tcPr>
          <w:p>
            <w:pPr>
              <w:ind w:left="760"/>
              <w:spacing w:after="0"/>
              <w:rPr>
                <w:sz w:val="20"/>
                <w:szCs w:val="20"/>
                <w:color w:val="auto"/>
              </w:rPr>
            </w:pPr>
            <w:r>
              <w:rPr>
                <w:rFonts w:ascii="Arial" w:cs="Arial" w:eastAsia="Arial" w:hAnsi="Arial"/>
                <w:sz w:val="19"/>
                <w:szCs w:val="19"/>
                <w:color w:val="FFFFFF"/>
              </w:rPr>
              <w:t>Performance Achievement Level</w:t>
            </w:r>
          </w:p>
        </w:tc>
        <w:tc>
          <w:tcPr>
            <w:tcW w:w="1180" w:type="dxa"/>
            <w:vAlign w:val="bottom"/>
            <w:shd w:val="clear" w:color="auto" w:fill="1F3864"/>
          </w:tcPr>
          <w:p>
            <w:pPr>
              <w:spacing w:after="0"/>
              <w:rPr>
                <w:sz w:val="24"/>
                <w:szCs w:val="24"/>
                <w:color w:val="auto"/>
              </w:rPr>
            </w:pPr>
          </w:p>
        </w:tc>
        <w:tc>
          <w:tcPr>
            <w:tcW w:w="6220" w:type="dxa"/>
            <w:vAlign w:val="bottom"/>
            <w:tcBorders>
              <w:right w:val="single" w:sz="8" w:color="1F3864"/>
            </w:tcBorders>
            <w:gridSpan w:val="5"/>
            <w:shd w:val="clear" w:color="auto" w:fill="1F3864"/>
          </w:tcPr>
          <w:p>
            <w:pPr>
              <w:jc w:val="right"/>
              <w:ind w:right="2285"/>
              <w:spacing w:after="0"/>
              <w:rPr>
                <w:sz w:val="20"/>
                <w:szCs w:val="20"/>
                <w:color w:val="auto"/>
              </w:rPr>
            </w:pPr>
            <w:r>
              <w:rPr>
                <w:rFonts w:ascii="Arial" w:cs="Arial" w:eastAsia="Arial" w:hAnsi="Arial"/>
                <w:sz w:val="19"/>
                <w:szCs w:val="19"/>
                <w:color w:val="FFFFFF"/>
              </w:rPr>
              <w:t>Potential as Percent of Base Salary</w:t>
            </w:r>
          </w:p>
        </w:tc>
        <w:tc>
          <w:tcPr>
            <w:tcW w:w="20" w:type="dxa"/>
            <w:vAlign w:val="bottom"/>
            <w:shd w:val="clear" w:color="auto" w:fill="000000"/>
          </w:tcPr>
          <w:p>
            <w:pPr>
              <w:spacing w:after="0"/>
              <w:rPr>
                <w:sz w:val="24"/>
                <w:szCs w:val="24"/>
                <w:color w:val="auto"/>
              </w:rPr>
            </w:pPr>
          </w:p>
        </w:tc>
      </w:tr>
      <w:tr>
        <w:trPr>
          <w:trHeight w:val="202"/>
        </w:trPr>
        <w:tc>
          <w:tcPr>
            <w:tcW w:w="4020" w:type="dxa"/>
            <w:vAlign w:val="bottom"/>
            <w:tcBorders>
              <w:left w:val="single" w:sz="8" w:color="auto"/>
              <w:bottom w:val="single" w:sz="8" w:color="auto"/>
              <w:right w:val="single" w:sz="8" w:color="auto"/>
            </w:tcBorders>
            <w:gridSpan w:val="2"/>
            <w:shd w:val="clear" w:color="auto" w:fill="1F3864"/>
          </w:tcPr>
          <w:p>
            <w:pPr>
              <w:spacing w:after="0"/>
              <w:rPr>
                <w:sz w:val="17"/>
                <w:szCs w:val="17"/>
                <w:color w:val="auto"/>
              </w:rPr>
            </w:pPr>
          </w:p>
        </w:tc>
        <w:tc>
          <w:tcPr>
            <w:tcW w:w="1180" w:type="dxa"/>
            <w:vAlign w:val="bottom"/>
            <w:tcBorders>
              <w:bottom w:val="single" w:sz="8" w:color="auto"/>
            </w:tcBorders>
            <w:shd w:val="clear" w:color="auto" w:fill="1F3864"/>
          </w:tcPr>
          <w:p>
            <w:pPr>
              <w:spacing w:after="0"/>
              <w:rPr>
                <w:sz w:val="17"/>
                <w:szCs w:val="17"/>
                <w:color w:val="auto"/>
              </w:rPr>
            </w:pPr>
          </w:p>
        </w:tc>
        <w:tc>
          <w:tcPr>
            <w:tcW w:w="2960" w:type="dxa"/>
            <w:vAlign w:val="bottom"/>
            <w:tcBorders>
              <w:bottom w:val="single" w:sz="8" w:color="auto"/>
            </w:tcBorders>
            <w:gridSpan w:val="2"/>
            <w:shd w:val="clear" w:color="auto" w:fill="1F3864"/>
          </w:tcPr>
          <w:p>
            <w:pPr>
              <w:spacing w:after="0"/>
              <w:rPr>
                <w:sz w:val="17"/>
                <w:szCs w:val="17"/>
                <w:color w:val="auto"/>
              </w:rPr>
            </w:pPr>
          </w:p>
        </w:tc>
        <w:tc>
          <w:tcPr>
            <w:tcW w:w="700" w:type="dxa"/>
            <w:vAlign w:val="bottom"/>
            <w:tcBorders>
              <w:bottom w:val="single" w:sz="8" w:color="auto"/>
            </w:tcBorders>
            <w:shd w:val="clear" w:color="auto" w:fill="1F3864"/>
          </w:tcPr>
          <w:p>
            <w:pPr>
              <w:spacing w:after="0"/>
              <w:rPr>
                <w:sz w:val="17"/>
                <w:szCs w:val="17"/>
                <w:color w:val="auto"/>
              </w:rPr>
            </w:pPr>
          </w:p>
        </w:tc>
        <w:tc>
          <w:tcPr>
            <w:tcW w:w="1420" w:type="dxa"/>
            <w:vAlign w:val="bottom"/>
            <w:tcBorders>
              <w:bottom w:val="single" w:sz="8" w:color="auto"/>
            </w:tcBorders>
            <w:shd w:val="clear" w:color="auto" w:fill="1F3864"/>
          </w:tcPr>
          <w:p>
            <w:pPr>
              <w:spacing w:after="0"/>
              <w:rPr>
                <w:sz w:val="17"/>
                <w:szCs w:val="17"/>
                <w:color w:val="auto"/>
              </w:rPr>
            </w:pPr>
          </w:p>
        </w:tc>
        <w:tc>
          <w:tcPr>
            <w:tcW w:w="1140" w:type="dxa"/>
            <w:vAlign w:val="bottom"/>
            <w:tcBorders>
              <w:bottom w:val="single" w:sz="8" w:color="auto"/>
              <w:right w:val="single" w:sz="8" w:color="1F3864"/>
            </w:tcBorders>
            <w:shd w:val="clear" w:color="auto" w:fill="1F3864"/>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196"/>
        </w:trPr>
        <w:tc>
          <w:tcPr>
            <w:tcW w:w="4020" w:type="dxa"/>
            <w:vAlign w:val="bottom"/>
            <w:tcBorders>
              <w:left w:val="single" w:sz="8" w:color="auto"/>
              <w:right w:val="single" w:sz="8" w:color="auto"/>
            </w:tcBorders>
            <w:gridSpan w:val="2"/>
          </w:tcPr>
          <w:p>
            <w:pPr>
              <w:ind w:left="20"/>
              <w:spacing w:after="0" w:line="196" w:lineRule="exact"/>
              <w:rPr>
                <w:sz w:val="20"/>
                <w:szCs w:val="20"/>
                <w:color w:val="auto"/>
              </w:rPr>
            </w:pPr>
            <w:r>
              <w:rPr>
                <w:rFonts w:ascii="Arial" w:cs="Arial" w:eastAsia="Arial" w:hAnsi="Arial"/>
                <w:sz w:val="19"/>
                <w:szCs w:val="19"/>
                <w:color w:val="auto"/>
              </w:rPr>
              <w:t>Threshold</w:t>
            </w:r>
          </w:p>
        </w:tc>
        <w:tc>
          <w:tcPr>
            <w:tcW w:w="1180" w:type="dxa"/>
            <w:vAlign w:val="bottom"/>
          </w:tcPr>
          <w:p>
            <w:pPr>
              <w:spacing w:after="0"/>
              <w:rPr>
                <w:sz w:val="17"/>
                <w:szCs w:val="17"/>
                <w:color w:val="auto"/>
              </w:rPr>
            </w:pPr>
          </w:p>
        </w:tc>
        <w:tc>
          <w:tcPr>
            <w:tcW w:w="2960" w:type="dxa"/>
            <w:vAlign w:val="bottom"/>
            <w:gridSpan w:val="2"/>
          </w:tcPr>
          <w:p>
            <w:pPr>
              <w:jc w:val="center"/>
              <w:ind w:left="1985"/>
              <w:spacing w:after="0" w:line="196" w:lineRule="exact"/>
              <w:rPr>
                <w:sz w:val="20"/>
                <w:szCs w:val="20"/>
                <w:color w:val="auto"/>
              </w:rPr>
            </w:pPr>
            <w:r>
              <w:rPr>
                <w:rFonts w:ascii="Arial" w:cs="Arial" w:eastAsia="Arial" w:hAnsi="Arial"/>
                <w:sz w:val="19"/>
                <w:szCs w:val="19"/>
                <w:color w:val="auto"/>
                <w:w w:val="94"/>
              </w:rPr>
              <w:t>50%</w:t>
            </w: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20"/>
        </w:trPr>
        <w:tc>
          <w:tcPr>
            <w:tcW w:w="40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9"/>
                <w:szCs w:val="19"/>
                <w:color w:val="auto"/>
              </w:rPr>
              <w:t>Target</w:t>
            </w:r>
          </w:p>
        </w:tc>
        <w:tc>
          <w:tcPr>
            <w:tcW w:w="1180" w:type="dxa"/>
            <w:vAlign w:val="bottom"/>
          </w:tcPr>
          <w:p>
            <w:pPr>
              <w:spacing w:after="0"/>
              <w:rPr>
                <w:sz w:val="19"/>
                <w:szCs w:val="19"/>
                <w:color w:val="auto"/>
              </w:rPr>
            </w:pPr>
          </w:p>
        </w:tc>
        <w:tc>
          <w:tcPr>
            <w:tcW w:w="2960" w:type="dxa"/>
            <w:vAlign w:val="bottom"/>
            <w:gridSpan w:val="2"/>
          </w:tcPr>
          <w:p>
            <w:pPr>
              <w:jc w:val="center"/>
              <w:ind w:left="1985"/>
              <w:spacing w:after="0"/>
              <w:rPr>
                <w:sz w:val="20"/>
                <w:szCs w:val="20"/>
                <w:color w:val="auto"/>
              </w:rPr>
            </w:pPr>
            <w:r>
              <w:rPr>
                <w:rFonts w:ascii="Arial" w:cs="Arial" w:eastAsia="Arial" w:hAnsi="Arial"/>
                <w:sz w:val="19"/>
                <w:szCs w:val="19"/>
                <w:color w:val="auto"/>
                <w:w w:val="90"/>
              </w:rPr>
              <w:t>100%</w:t>
            </w:r>
          </w:p>
        </w:tc>
        <w:tc>
          <w:tcPr>
            <w:tcW w:w="7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r>
      <w:tr>
        <w:trPr>
          <w:trHeight w:val="236"/>
        </w:trPr>
        <w:tc>
          <w:tcPr>
            <w:tcW w:w="40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9"/>
                <w:szCs w:val="19"/>
                <w:color w:val="auto"/>
              </w:rPr>
              <w:t>Superior</w:t>
            </w:r>
          </w:p>
        </w:tc>
        <w:tc>
          <w:tcPr>
            <w:tcW w:w="11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jc w:val="center"/>
              <w:ind w:left="1985"/>
              <w:spacing w:after="0"/>
              <w:rPr>
                <w:sz w:val="20"/>
                <w:szCs w:val="20"/>
                <w:color w:val="auto"/>
              </w:rPr>
            </w:pPr>
            <w:r>
              <w:rPr>
                <w:rFonts w:ascii="Arial" w:cs="Arial" w:eastAsia="Arial" w:hAnsi="Arial"/>
                <w:sz w:val="19"/>
                <w:szCs w:val="19"/>
                <w:color w:val="auto"/>
                <w:w w:val="90"/>
              </w:rPr>
              <w:t>150%</w:t>
            </w:r>
          </w:p>
        </w:tc>
        <w:tc>
          <w:tcPr>
            <w:tcW w:w="7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233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364" w:lineRule="exact"/>
        <w:rPr>
          <w:sz w:val="20"/>
          <w:szCs w:val="20"/>
          <w:color w:val="auto"/>
        </w:rPr>
      </w:pPr>
    </w:p>
    <w:p>
      <w:pPr>
        <w:ind w:left="440" w:hanging="437"/>
        <w:spacing w:after="0"/>
        <w:tabs>
          <w:tab w:leader="none" w:pos="4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Definition to be consistent with public reporting. Excludes M&amp;A and capital markets transactions.</w:t>
      </w:r>
    </w:p>
    <w:p>
      <w:pPr>
        <w:spacing w:after="0" w:line="17" w:lineRule="exact"/>
        <w:rPr>
          <w:rFonts w:ascii="Arial" w:cs="Arial" w:eastAsia="Arial" w:hAnsi="Arial"/>
          <w:sz w:val="19"/>
          <w:szCs w:val="19"/>
          <w:color w:val="auto"/>
        </w:rPr>
      </w:pPr>
    </w:p>
    <w:p>
      <w:pPr>
        <w:ind w:left="440" w:hanging="437"/>
        <w:spacing w:after="0"/>
        <w:tabs>
          <w:tab w:leader="none" w:pos="440"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685800</wp:posOffset>
            </wp:positionV>
            <wp:extent cx="729424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94245" cy="41910"/>
                    </a:xfrm>
                    <a:prstGeom prst="rect">
                      <a:avLst/>
                    </a:prstGeom>
                    <a:noFill/>
                  </pic:spPr>
                </pic:pic>
              </a:graphicData>
            </a:graphic>
          </wp:anchor>
        </w:drawing>
      </w:r>
    </w:p>
    <w:p>
      <w:pPr>
        <w:sectPr>
          <w:pgSz w:w="11900" w:h="16838" w:orient="portrait"/>
          <w:cols w:equalWidth="0" w:num="1">
            <w:col w:w="11420"/>
          </w:cols>
          <w:pgMar w:left="240" w:top="32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9"/>
          <w:szCs w:val="19"/>
          <w:b w:val="1"/>
          <w:bCs w:val="1"/>
          <w:u w:val="single" w:color="auto"/>
          <w:color w:val="auto"/>
        </w:rPr>
        <w:t>Exhibit A-3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9"/>
          <w:szCs w:val="19"/>
          <w:b w:val="1"/>
          <w:bCs w:val="1"/>
          <w:u w:val="single" w:color="auto"/>
          <w:color w:val="auto"/>
        </w:rPr>
        <w:t>2018 Short Term Incentive Plan</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Metrics applicable to </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221" w:lineRule="exact"/>
        <w:rPr>
          <w:sz w:val="20"/>
          <w:szCs w:val="20"/>
          <w:color w:val="auto"/>
        </w:rPr>
      </w:pPr>
    </w:p>
    <w:p>
      <w:pPr>
        <w:ind w:left="440" w:hanging="437"/>
        <w:spacing w:after="0"/>
        <w:tabs>
          <w:tab w:leader="none" w:pos="440"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 xml:space="preserve">[**] </w:t>
      </w:r>
      <w:r>
        <w:rPr>
          <w:rFonts w:ascii="Arial" w:cs="Arial" w:eastAsia="Arial" w:hAnsi="Arial"/>
          <w:sz w:val="16"/>
          <w:szCs w:val="16"/>
          <w:color w:val="auto"/>
        </w:rPr>
        <w:t>(1)</w:t>
      </w:r>
      <w:r>
        <w:rPr>
          <w:rFonts w:ascii="Arial" w:cs="Arial" w:eastAsia="Arial" w:hAnsi="Arial"/>
          <w:sz w:val="19"/>
          <w:szCs w:val="19"/>
          <w:b w:val="1"/>
          <w:bCs w:val="1"/>
          <w:color w:val="auto"/>
        </w:rPr>
        <w:t xml:space="preserve"> </w:t>
      </w:r>
      <w:r>
        <w:rPr>
          <w:rFonts w:ascii="Arial" w:cs="Arial" w:eastAsia="Arial" w:hAnsi="Arial"/>
          <w:sz w:val="19"/>
          <w:szCs w:val="19"/>
          <w:color w:val="auto"/>
        </w:rPr>
        <w:t>(25%)</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60" w:type="dxa"/>
            <w:vAlign w:val="bottom"/>
            <w:tcBorders>
              <w:top w:val="single" w:sz="8" w:color="auto"/>
              <w:left w:val="single" w:sz="8" w:color="auto"/>
              <w:bottom w:val="single" w:sz="8" w:color="auto"/>
            </w:tcBorders>
            <w:shd w:val="clear" w:color="auto" w:fill="1F3864"/>
          </w:tcPr>
          <w:p>
            <w:pPr>
              <w:spacing w:after="0"/>
              <w:rPr>
                <w:sz w:val="18"/>
                <w:szCs w:val="18"/>
                <w:color w:val="auto"/>
              </w:rPr>
            </w:pPr>
          </w:p>
        </w:tc>
        <w:tc>
          <w:tcPr>
            <w:tcW w:w="3560" w:type="dxa"/>
            <w:vAlign w:val="bottom"/>
            <w:tcBorders>
              <w:top w:val="single" w:sz="8" w:color="auto"/>
              <w:bottom w:val="single" w:sz="8" w:color="auto"/>
              <w:right w:val="single" w:sz="8" w:color="auto"/>
            </w:tcBorders>
            <w:shd w:val="clear" w:color="auto" w:fill="1F3864"/>
          </w:tcPr>
          <w:p>
            <w:pPr>
              <w:jc w:val="center"/>
              <w:ind w:right="165"/>
              <w:spacing w:after="0" w:line="214" w:lineRule="exact"/>
              <w:rPr>
                <w:sz w:val="20"/>
                <w:szCs w:val="20"/>
                <w:color w:val="auto"/>
              </w:rPr>
            </w:pPr>
            <w:r>
              <w:rPr>
                <w:rFonts w:ascii="Arial" w:cs="Arial" w:eastAsia="Arial" w:hAnsi="Arial"/>
                <w:sz w:val="19"/>
                <w:szCs w:val="19"/>
                <w:color w:val="FFFFFF"/>
                <w:w w:val="92"/>
              </w:rPr>
              <w:t>Threshold</w:t>
            </w:r>
          </w:p>
        </w:tc>
        <w:tc>
          <w:tcPr>
            <w:tcW w:w="200" w:type="dxa"/>
            <w:vAlign w:val="bottom"/>
            <w:tcBorders>
              <w:top w:val="single" w:sz="8" w:color="auto"/>
              <w:bottom w:val="single" w:sz="8" w:color="auto"/>
              <w:right w:val="single" w:sz="8" w:color="1F3864"/>
            </w:tcBorders>
            <w:shd w:val="clear" w:color="auto" w:fill="1F3864"/>
          </w:tcPr>
          <w:p>
            <w:pPr>
              <w:spacing w:after="0"/>
              <w:rPr>
                <w:sz w:val="18"/>
                <w:szCs w:val="18"/>
                <w:color w:val="auto"/>
              </w:rPr>
            </w:pPr>
          </w:p>
        </w:tc>
        <w:tc>
          <w:tcPr>
            <w:tcW w:w="1180" w:type="dxa"/>
            <w:vAlign w:val="bottom"/>
            <w:tcBorders>
              <w:top w:val="single" w:sz="8" w:color="auto"/>
              <w:bottom w:val="single" w:sz="8" w:color="auto"/>
            </w:tcBorders>
            <w:shd w:val="clear" w:color="auto" w:fill="1F3864"/>
          </w:tcPr>
          <w:p>
            <w:pPr>
              <w:spacing w:after="0"/>
              <w:rPr>
                <w:sz w:val="18"/>
                <w:szCs w:val="18"/>
                <w:color w:val="auto"/>
              </w:rPr>
            </w:pPr>
          </w:p>
        </w:tc>
        <w:tc>
          <w:tcPr>
            <w:tcW w:w="2420" w:type="dxa"/>
            <w:vAlign w:val="bottom"/>
            <w:tcBorders>
              <w:top w:val="single" w:sz="8" w:color="auto"/>
              <w:bottom w:val="single" w:sz="8" w:color="auto"/>
              <w:right w:val="single" w:sz="8" w:color="auto"/>
            </w:tcBorders>
            <w:shd w:val="clear" w:color="auto" w:fill="1F3864"/>
          </w:tcPr>
          <w:p>
            <w:pPr>
              <w:jc w:val="center"/>
              <w:ind w:right="1325"/>
              <w:spacing w:after="0" w:line="214" w:lineRule="exact"/>
              <w:rPr>
                <w:sz w:val="20"/>
                <w:szCs w:val="20"/>
                <w:color w:val="auto"/>
              </w:rPr>
            </w:pPr>
            <w:r>
              <w:rPr>
                <w:rFonts w:ascii="Arial" w:cs="Arial" w:eastAsia="Arial" w:hAnsi="Arial"/>
                <w:sz w:val="19"/>
                <w:szCs w:val="19"/>
                <w:color w:val="FFFFFF"/>
                <w:w w:val="87"/>
              </w:rPr>
              <w:t>Target</w:t>
            </w:r>
          </w:p>
        </w:tc>
        <w:tc>
          <w:tcPr>
            <w:tcW w:w="540" w:type="dxa"/>
            <w:vAlign w:val="bottom"/>
            <w:tcBorders>
              <w:top w:val="single" w:sz="8" w:color="auto"/>
              <w:bottom w:val="single" w:sz="8" w:color="auto"/>
            </w:tcBorders>
            <w:shd w:val="clear" w:color="auto" w:fill="1F3864"/>
          </w:tcPr>
          <w:p>
            <w:pPr>
              <w:spacing w:after="0"/>
              <w:rPr>
                <w:sz w:val="18"/>
                <w:szCs w:val="18"/>
                <w:color w:val="auto"/>
              </w:rPr>
            </w:pPr>
          </w:p>
        </w:tc>
        <w:tc>
          <w:tcPr>
            <w:tcW w:w="3260" w:type="dxa"/>
            <w:vAlign w:val="bottom"/>
            <w:tcBorders>
              <w:top w:val="single" w:sz="8" w:color="auto"/>
              <w:bottom w:val="single" w:sz="8" w:color="auto"/>
              <w:right w:val="single" w:sz="8" w:color="auto"/>
            </w:tcBorders>
            <w:shd w:val="clear" w:color="auto" w:fill="1F3864"/>
          </w:tcPr>
          <w:p>
            <w:pPr>
              <w:jc w:val="center"/>
              <w:ind w:right="465"/>
              <w:spacing w:after="0" w:line="214" w:lineRule="exact"/>
              <w:rPr>
                <w:sz w:val="20"/>
                <w:szCs w:val="20"/>
                <w:color w:val="auto"/>
              </w:rPr>
            </w:pPr>
            <w:r>
              <w:rPr>
                <w:rFonts w:ascii="Arial" w:cs="Arial" w:eastAsia="Arial" w:hAnsi="Arial"/>
                <w:sz w:val="19"/>
                <w:szCs w:val="19"/>
                <w:color w:val="FFFFFF"/>
                <w:w w:val="91"/>
              </w:rPr>
              <w:t>Superior</w:t>
            </w:r>
          </w:p>
        </w:tc>
      </w:tr>
      <w:tr>
        <w:trPr>
          <w:trHeight w:val="213"/>
        </w:trPr>
        <w:tc>
          <w:tcPr>
            <w:tcW w:w="260" w:type="dxa"/>
            <w:vAlign w:val="bottom"/>
            <w:tcBorders>
              <w:left w:val="single" w:sz="8" w:color="auto"/>
              <w:bottom w:val="single" w:sz="8" w:color="auto"/>
            </w:tcBorders>
          </w:tcPr>
          <w:p>
            <w:pPr>
              <w:spacing w:after="0"/>
              <w:rPr>
                <w:sz w:val="18"/>
                <w:szCs w:val="18"/>
                <w:color w:val="auto"/>
              </w:rPr>
            </w:pPr>
          </w:p>
        </w:tc>
        <w:tc>
          <w:tcPr>
            <w:tcW w:w="3560" w:type="dxa"/>
            <w:vAlign w:val="bottom"/>
            <w:tcBorders>
              <w:bottom w:val="single" w:sz="8" w:color="auto"/>
              <w:right w:val="single" w:sz="8" w:color="auto"/>
            </w:tcBorders>
          </w:tcPr>
          <w:p>
            <w:pPr>
              <w:jc w:val="center"/>
              <w:ind w:right="165"/>
              <w:spacing w:after="0" w:line="213" w:lineRule="exact"/>
              <w:rPr>
                <w:sz w:val="20"/>
                <w:szCs w:val="20"/>
                <w:color w:val="auto"/>
              </w:rPr>
            </w:pPr>
            <w:r>
              <w:rPr>
                <w:rFonts w:ascii="Arial" w:cs="Arial" w:eastAsia="Arial" w:hAnsi="Arial"/>
                <w:sz w:val="19"/>
                <w:szCs w:val="19"/>
                <w:b w:val="1"/>
                <w:bCs w:val="1"/>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ind w:right="1325"/>
              <w:spacing w:after="0" w:line="213" w:lineRule="exact"/>
              <w:rPr>
                <w:sz w:val="20"/>
                <w:szCs w:val="20"/>
                <w:color w:val="auto"/>
              </w:rPr>
            </w:pPr>
            <w:r>
              <w:rPr>
                <w:rFonts w:ascii="Arial" w:cs="Arial" w:eastAsia="Arial" w:hAnsi="Arial"/>
                <w:sz w:val="19"/>
                <w:szCs w:val="19"/>
                <w:b w:val="1"/>
                <w:bCs w:val="1"/>
                <w:color w:val="auto"/>
              </w:rPr>
              <w:t>[**]</w:t>
            </w:r>
          </w:p>
        </w:tc>
        <w:tc>
          <w:tcPr>
            <w:tcW w:w="54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jc w:val="center"/>
              <w:ind w:right="485"/>
              <w:spacing w:after="0" w:line="213" w:lineRule="exact"/>
              <w:rPr>
                <w:sz w:val="20"/>
                <w:szCs w:val="20"/>
                <w:color w:val="auto"/>
              </w:rPr>
            </w:pPr>
            <w:r>
              <w:rPr>
                <w:rFonts w:ascii="Arial" w:cs="Arial" w:eastAsia="Arial" w:hAnsi="Arial"/>
                <w:sz w:val="19"/>
                <w:szCs w:val="19"/>
                <w:b w:val="1"/>
                <w:bCs w:val="1"/>
                <w:color w:val="auto"/>
              </w:rPr>
              <w:t>[**]</w:t>
            </w:r>
          </w:p>
        </w:tc>
      </w:tr>
      <w:tr>
        <w:trPr>
          <w:trHeight w:val="432"/>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B.</w:t>
            </w:r>
          </w:p>
        </w:tc>
        <w:tc>
          <w:tcPr>
            <w:tcW w:w="3560" w:type="dxa"/>
            <w:vAlign w:val="bottom"/>
            <w:tcBorders>
              <w:bottom w:val="single" w:sz="8" w:color="auto"/>
            </w:tcBorders>
          </w:tcPr>
          <w:p>
            <w:pPr>
              <w:jc w:val="right"/>
              <w:ind w:right="2325"/>
              <w:spacing w:after="0"/>
              <w:rPr>
                <w:sz w:val="20"/>
                <w:szCs w:val="20"/>
                <w:color w:val="auto"/>
              </w:rPr>
            </w:pPr>
            <w:r>
              <w:rPr>
                <w:rFonts w:ascii="Arial" w:cs="Arial" w:eastAsia="Arial" w:hAnsi="Arial"/>
                <w:sz w:val="19"/>
                <w:szCs w:val="19"/>
                <w:b w:val="1"/>
                <w:bCs w:val="1"/>
                <w:color w:val="auto"/>
              </w:rPr>
              <w:t xml:space="preserve">[**] </w:t>
            </w:r>
            <w:r>
              <w:rPr>
                <w:rFonts w:ascii="Arial" w:cs="Arial" w:eastAsia="Arial" w:hAnsi="Arial"/>
                <w:sz w:val="16"/>
                <w:szCs w:val="16"/>
                <w:color w:val="auto"/>
              </w:rPr>
              <w:t>(2)</w:t>
            </w:r>
            <w:r>
              <w:rPr>
                <w:rFonts w:ascii="Arial" w:cs="Arial" w:eastAsia="Arial" w:hAnsi="Arial"/>
                <w:sz w:val="19"/>
                <w:szCs w:val="19"/>
                <w:b w:val="1"/>
                <w:bCs w:val="1"/>
                <w:color w:val="auto"/>
              </w:rPr>
              <w:t xml:space="preserve"> </w:t>
            </w:r>
            <w:r>
              <w:rPr>
                <w:rFonts w:ascii="Arial" w:cs="Arial" w:eastAsia="Arial" w:hAnsi="Arial"/>
                <w:sz w:val="19"/>
                <w:szCs w:val="19"/>
                <w:color w:val="auto"/>
              </w:rPr>
              <w:t>(25%)</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213"/>
        </w:trPr>
        <w:tc>
          <w:tcPr>
            <w:tcW w:w="260" w:type="dxa"/>
            <w:vAlign w:val="bottom"/>
            <w:tcBorders>
              <w:left w:val="single" w:sz="8" w:color="auto"/>
              <w:bottom w:val="single" w:sz="8" w:color="auto"/>
            </w:tcBorders>
            <w:shd w:val="clear" w:color="auto" w:fill="1F3864"/>
          </w:tcPr>
          <w:p>
            <w:pPr>
              <w:spacing w:after="0"/>
              <w:rPr>
                <w:sz w:val="18"/>
                <w:szCs w:val="18"/>
                <w:color w:val="auto"/>
              </w:rPr>
            </w:pPr>
          </w:p>
        </w:tc>
        <w:tc>
          <w:tcPr>
            <w:tcW w:w="3560" w:type="dxa"/>
            <w:vAlign w:val="bottom"/>
            <w:tcBorders>
              <w:bottom w:val="single" w:sz="8" w:color="auto"/>
              <w:right w:val="single" w:sz="8" w:color="auto"/>
            </w:tcBorders>
            <w:shd w:val="clear" w:color="auto" w:fill="1F3864"/>
          </w:tcPr>
          <w:p>
            <w:pPr>
              <w:jc w:val="center"/>
              <w:ind w:right="165"/>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80" w:type="dxa"/>
            <w:vAlign w:val="bottom"/>
            <w:tcBorders>
              <w:bottom w:val="single" w:sz="8" w:color="auto"/>
            </w:tcBorders>
            <w:shd w:val="clear" w:color="auto" w:fill="1F3864"/>
          </w:tcPr>
          <w:p>
            <w:pPr>
              <w:spacing w:after="0"/>
              <w:rPr>
                <w:sz w:val="18"/>
                <w:szCs w:val="18"/>
                <w:color w:val="auto"/>
              </w:rPr>
            </w:pPr>
          </w:p>
        </w:tc>
        <w:tc>
          <w:tcPr>
            <w:tcW w:w="2420" w:type="dxa"/>
            <w:vAlign w:val="bottom"/>
            <w:tcBorders>
              <w:bottom w:val="single" w:sz="8" w:color="auto"/>
              <w:right w:val="single" w:sz="8" w:color="auto"/>
            </w:tcBorders>
            <w:shd w:val="clear" w:color="auto" w:fill="1F3864"/>
          </w:tcPr>
          <w:p>
            <w:pPr>
              <w:jc w:val="center"/>
              <w:ind w:right="1325"/>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3260" w:type="dxa"/>
            <w:vAlign w:val="bottom"/>
            <w:tcBorders>
              <w:bottom w:val="single" w:sz="8" w:color="auto"/>
              <w:right w:val="single" w:sz="8" w:color="auto"/>
            </w:tcBorders>
            <w:shd w:val="clear" w:color="auto" w:fill="1F3864"/>
          </w:tcPr>
          <w:p>
            <w:pPr>
              <w:jc w:val="center"/>
              <w:ind w:right="465"/>
              <w:spacing w:after="0" w:line="213" w:lineRule="exact"/>
              <w:rPr>
                <w:sz w:val="20"/>
                <w:szCs w:val="20"/>
                <w:color w:val="auto"/>
              </w:rPr>
            </w:pPr>
            <w:r>
              <w:rPr>
                <w:rFonts w:ascii="Arial" w:cs="Arial" w:eastAsia="Arial" w:hAnsi="Arial"/>
                <w:sz w:val="19"/>
                <w:szCs w:val="19"/>
                <w:color w:val="FFFFFF"/>
                <w:w w:val="91"/>
              </w:rPr>
              <w:t>Superior</w:t>
            </w:r>
          </w:p>
        </w:tc>
      </w:tr>
      <w:tr>
        <w:trPr>
          <w:trHeight w:val="213"/>
        </w:trPr>
        <w:tc>
          <w:tcPr>
            <w:tcW w:w="260" w:type="dxa"/>
            <w:vAlign w:val="bottom"/>
            <w:tcBorders>
              <w:left w:val="single" w:sz="8" w:color="auto"/>
              <w:bottom w:val="single" w:sz="8" w:color="auto"/>
            </w:tcBorders>
          </w:tcPr>
          <w:p>
            <w:pPr>
              <w:spacing w:after="0"/>
              <w:rPr>
                <w:sz w:val="18"/>
                <w:szCs w:val="18"/>
                <w:color w:val="auto"/>
              </w:rPr>
            </w:pPr>
          </w:p>
        </w:tc>
        <w:tc>
          <w:tcPr>
            <w:tcW w:w="3560" w:type="dxa"/>
            <w:vAlign w:val="bottom"/>
            <w:tcBorders>
              <w:bottom w:val="single" w:sz="8" w:color="auto"/>
              <w:right w:val="single" w:sz="8" w:color="auto"/>
            </w:tcBorders>
          </w:tcPr>
          <w:p>
            <w:pPr>
              <w:jc w:val="center"/>
              <w:ind w:right="165"/>
              <w:spacing w:after="0" w:line="213" w:lineRule="exact"/>
              <w:rPr>
                <w:sz w:val="20"/>
                <w:szCs w:val="20"/>
                <w:color w:val="auto"/>
              </w:rPr>
            </w:pPr>
            <w:r>
              <w:rPr>
                <w:rFonts w:ascii="Arial" w:cs="Arial" w:eastAsia="Arial" w:hAnsi="Arial"/>
                <w:sz w:val="19"/>
                <w:szCs w:val="19"/>
                <w:b w:val="1"/>
                <w:bCs w:val="1"/>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ind w:right="1325"/>
              <w:spacing w:after="0" w:line="213" w:lineRule="exact"/>
              <w:rPr>
                <w:sz w:val="20"/>
                <w:szCs w:val="20"/>
                <w:color w:val="auto"/>
              </w:rPr>
            </w:pPr>
            <w:r>
              <w:rPr>
                <w:rFonts w:ascii="Arial" w:cs="Arial" w:eastAsia="Arial" w:hAnsi="Arial"/>
                <w:sz w:val="19"/>
                <w:szCs w:val="19"/>
                <w:b w:val="1"/>
                <w:bCs w:val="1"/>
                <w:color w:val="auto"/>
              </w:rPr>
              <w:t>[**]</w:t>
            </w:r>
          </w:p>
        </w:tc>
        <w:tc>
          <w:tcPr>
            <w:tcW w:w="54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jc w:val="center"/>
              <w:ind w:right="485"/>
              <w:spacing w:after="0" w:line="213" w:lineRule="exact"/>
              <w:rPr>
                <w:sz w:val="20"/>
                <w:szCs w:val="20"/>
                <w:color w:val="auto"/>
              </w:rPr>
            </w:pPr>
            <w:r>
              <w:rPr>
                <w:rFonts w:ascii="Arial" w:cs="Arial" w:eastAsia="Arial" w:hAnsi="Arial"/>
                <w:sz w:val="19"/>
                <w:szCs w:val="19"/>
                <w:b w:val="1"/>
                <w:bCs w:val="1"/>
                <w:color w:val="auto"/>
              </w:rPr>
              <w:t>[**]</w:t>
            </w:r>
          </w:p>
        </w:tc>
      </w:tr>
      <w:tr>
        <w:trPr>
          <w:trHeight w:val="432"/>
        </w:trPr>
        <w:tc>
          <w:tcPr>
            <w:tcW w:w="2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C.</w:t>
            </w:r>
          </w:p>
        </w:tc>
        <w:tc>
          <w:tcPr>
            <w:tcW w:w="3560" w:type="dxa"/>
            <w:vAlign w:val="bottom"/>
            <w:tcBorders>
              <w:bottom w:val="single" w:sz="8" w:color="auto"/>
            </w:tcBorders>
          </w:tcPr>
          <w:p>
            <w:pPr>
              <w:jc w:val="right"/>
              <w:ind w:right="2345"/>
              <w:spacing w:after="0"/>
              <w:rPr>
                <w:sz w:val="20"/>
                <w:szCs w:val="20"/>
                <w:color w:val="auto"/>
              </w:rPr>
            </w:pPr>
            <w:r>
              <w:rPr>
                <w:rFonts w:ascii="Arial" w:cs="Arial" w:eastAsia="Arial" w:hAnsi="Arial"/>
                <w:sz w:val="19"/>
                <w:szCs w:val="19"/>
                <w:b w:val="1"/>
                <w:bCs w:val="1"/>
                <w:color w:val="auto"/>
              </w:rPr>
              <w:t xml:space="preserve">[**] </w:t>
            </w:r>
            <w:r>
              <w:rPr>
                <w:rFonts w:ascii="Arial" w:cs="Arial" w:eastAsia="Arial" w:hAnsi="Arial"/>
                <w:sz w:val="16"/>
                <w:szCs w:val="16"/>
                <w:color w:val="auto"/>
              </w:rPr>
              <w:t>(2)</w:t>
            </w:r>
            <w:r>
              <w:rPr>
                <w:rFonts w:ascii="Arial" w:cs="Arial" w:eastAsia="Arial" w:hAnsi="Arial"/>
                <w:sz w:val="19"/>
                <w:szCs w:val="19"/>
                <w:b w:val="1"/>
                <w:bCs w:val="1"/>
                <w:color w:val="auto"/>
              </w:rPr>
              <w:t xml:space="preserve"> </w:t>
            </w:r>
            <w:r>
              <w:rPr>
                <w:rFonts w:ascii="Arial" w:cs="Arial" w:eastAsia="Arial" w:hAnsi="Arial"/>
                <w:sz w:val="19"/>
                <w:szCs w:val="19"/>
                <w:color w:val="auto"/>
              </w:rPr>
              <w:t>(25%)</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213"/>
        </w:trPr>
        <w:tc>
          <w:tcPr>
            <w:tcW w:w="260" w:type="dxa"/>
            <w:vAlign w:val="bottom"/>
            <w:tcBorders>
              <w:left w:val="single" w:sz="8" w:color="auto"/>
              <w:bottom w:val="single" w:sz="8" w:color="auto"/>
            </w:tcBorders>
            <w:shd w:val="clear" w:color="auto" w:fill="1F3864"/>
          </w:tcPr>
          <w:p>
            <w:pPr>
              <w:spacing w:after="0"/>
              <w:rPr>
                <w:sz w:val="18"/>
                <w:szCs w:val="18"/>
                <w:color w:val="auto"/>
              </w:rPr>
            </w:pPr>
          </w:p>
        </w:tc>
        <w:tc>
          <w:tcPr>
            <w:tcW w:w="3560" w:type="dxa"/>
            <w:vAlign w:val="bottom"/>
            <w:tcBorders>
              <w:bottom w:val="single" w:sz="8" w:color="auto"/>
              <w:right w:val="single" w:sz="8" w:color="auto"/>
            </w:tcBorders>
            <w:shd w:val="clear" w:color="auto" w:fill="1F3864"/>
          </w:tcPr>
          <w:p>
            <w:pPr>
              <w:jc w:val="center"/>
              <w:ind w:right="165"/>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80" w:type="dxa"/>
            <w:vAlign w:val="bottom"/>
            <w:tcBorders>
              <w:bottom w:val="single" w:sz="8" w:color="auto"/>
            </w:tcBorders>
            <w:shd w:val="clear" w:color="auto" w:fill="1F3864"/>
          </w:tcPr>
          <w:p>
            <w:pPr>
              <w:spacing w:after="0"/>
              <w:rPr>
                <w:sz w:val="18"/>
                <w:szCs w:val="18"/>
                <w:color w:val="auto"/>
              </w:rPr>
            </w:pPr>
          </w:p>
        </w:tc>
        <w:tc>
          <w:tcPr>
            <w:tcW w:w="2420" w:type="dxa"/>
            <w:vAlign w:val="bottom"/>
            <w:tcBorders>
              <w:bottom w:val="single" w:sz="8" w:color="auto"/>
              <w:right w:val="single" w:sz="8" w:color="auto"/>
            </w:tcBorders>
            <w:shd w:val="clear" w:color="auto" w:fill="1F3864"/>
          </w:tcPr>
          <w:p>
            <w:pPr>
              <w:jc w:val="center"/>
              <w:ind w:right="1325"/>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3260" w:type="dxa"/>
            <w:vAlign w:val="bottom"/>
            <w:tcBorders>
              <w:bottom w:val="single" w:sz="8" w:color="auto"/>
              <w:right w:val="single" w:sz="8" w:color="auto"/>
            </w:tcBorders>
            <w:shd w:val="clear" w:color="auto" w:fill="1F3864"/>
          </w:tcPr>
          <w:p>
            <w:pPr>
              <w:jc w:val="center"/>
              <w:ind w:right="465"/>
              <w:spacing w:after="0" w:line="213" w:lineRule="exact"/>
              <w:rPr>
                <w:sz w:val="20"/>
                <w:szCs w:val="20"/>
                <w:color w:val="auto"/>
              </w:rPr>
            </w:pPr>
            <w:r>
              <w:rPr>
                <w:rFonts w:ascii="Arial" w:cs="Arial" w:eastAsia="Arial" w:hAnsi="Arial"/>
                <w:sz w:val="19"/>
                <w:szCs w:val="19"/>
                <w:color w:val="FFFFFF"/>
                <w:w w:val="91"/>
              </w:rPr>
              <w:t>Superior</w:t>
            </w:r>
          </w:p>
        </w:tc>
      </w:tr>
      <w:tr>
        <w:trPr>
          <w:trHeight w:val="213"/>
        </w:trPr>
        <w:tc>
          <w:tcPr>
            <w:tcW w:w="260" w:type="dxa"/>
            <w:vAlign w:val="bottom"/>
            <w:tcBorders>
              <w:left w:val="single" w:sz="8" w:color="auto"/>
              <w:bottom w:val="single" w:sz="8" w:color="auto"/>
            </w:tcBorders>
          </w:tcPr>
          <w:p>
            <w:pPr>
              <w:spacing w:after="0"/>
              <w:rPr>
                <w:sz w:val="18"/>
                <w:szCs w:val="18"/>
                <w:color w:val="auto"/>
              </w:rPr>
            </w:pPr>
          </w:p>
        </w:tc>
        <w:tc>
          <w:tcPr>
            <w:tcW w:w="3560" w:type="dxa"/>
            <w:vAlign w:val="bottom"/>
            <w:tcBorders>
              <w:bottom w:val="single" w:sz="8" w:color="auto"/>
              <w:right w:val="single" w:sz="8" w:color="auto"/>
            </w:tcBorders>
          </w:tcPr>
          <w:p>
            <w:pPr>
              <w:jc w:val="center"/>
              <w:ind w:right="165"/>
              <w:spacing w:after="0" w:line="213" w:lineRule="exact"/>
              <w:rPr>
                <w:sz w:val="20"/>
                <w:szCs w:val="20"/>
                <w:color w:val="auto"/>
              </w:rPr>
            </w:pPr>
            <w:r>
              <w:rPr>
                <w:rFonts w:ascii="Arial" w:cs="Arial" w:eastAsia="Arial" w:hAnsi="Arial"/>
                <w:sz w:val="19"/>
                <w:szCs w:val="19"/>
                <w:b w:val="1"/>
                <w:bCs w:val="1"/>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ind w:right="1325"/>
              <w:spacing w:after="0" w:line="213" w:lineRule="exact"/>
              <w:rPr>
                <w:sz w:val="20"/>
                <w:szCs w:val="20"/>
                <w:color w:val="auto"/>
              </w:rPr>
            </w:pPr>
            <w:r>
              <w:rPr>
                <w:rFonts w:ascii="Arial" w:cs="Arial" w:eastAsia="Arial" w:hAnsi="Arial"/>
                <w:sz w:val="19"/>
                <w:szCs w:val="19"/>
                <w:b w:val="1"/>
                <w:bCs w:val="1"/>
                <w:color w:val="auto"/>
              </w:rPr>
              <w:t>[**]</w:t>
            </w:r>
          </w:p>
        </w:tc>
        <w:tc>
          <w:tcPr>
            <w:tcW w:w="54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jc w:val="center"/>
              <w:ind w:right="485"/>
              <w:spacing w:after="0" w:line="213" w:lineRule="exact"/>
              <w:rPr>
                <w:sz w:val="20"/>
                <w:szCs w:val="20"/>
                <w:color w:val="auto"/>
              </w:rPr>
            </w:pPr>
            <w:r>
              <w:rPr>
                <w:rFonts w:ascii="Arial" w:cs="Arial" w:eastAsia="Arial" w:hAnsi="Arial"/>
                <w:sz w:val="19"/>
                <w:szCs w:val="19"/>
                <w:b w:val="1"/>
                <w:bCs w:val="1"/>
                <w:color w:val="auto"/>
              </w:rPr>
              <w:t>[**]</w:t>
            </w:r>
          </w:p>
        </w:tc>
      </w:tr>
      <w:tr>
        <w:trPr>
          <w:trHeight w:val="432"/>
        </w:trPr>
        <w:tc>
          <w:tcPr>
            <w:tcW w:w="5200" w:type="dxa"/>
            <w:vAlign w:val="bottom"/>
            <w:tcBorders>
              <w:bottom w:val="single" w:sz="8" w:color="auto"/>
            </w:tcBorders>
            <w:gridSpan w:val="4"/>
          </w:tcPr>
          <w:p>
            <w:pPr>
              <w:spacing w:after="0"/>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b w:val="1"/>
                <w:bCs w:val="1"/>
                <w:color w:val="auto"/>
              </w:rPr>
              <w:t>[**]</w:t>
            </w:r>
            <w:r>
              <w:rPr>
                <w:rFonts w:ascii="Arial" w:cs="Arial" w:eastAsia="Arial" w:hAnsi="Arial"/>
                <w:sz w:val="19"/>
                <w:szCs w:val="19"/>
                <w:color w:val="auto"/>
              </w:rPr>
              <w:t xml:space="preserve"> </w:t>
            </w:r>
            <w:r>
              <w:rPr>
                <w:rFonts w:ascii="Arial" w:cs="Arial" w:eastAsia="Arial" w:hAnsi="Arial"/>
                <w:sz w:val="16"/>
                <w:szCs w:val="16"/>
                <w:color w:val="auto"/>
              </w:rPr>
              <w:t>(3)</w:t>
            </w:r>
            <w:r>
              <w:rPr>
                <w:rFonts w:ascii="Arial" w:cs="Arial" w:eastAsia="Arial" w:hAnsi="Arial"/>
                <w:sz w:val="19"/>
                <w:szCs w:val="19"/>
                <w:color w:val="auto"/>
              </w:rPr>
              <w:t xml:space="preserve"> (25%)</w:t>
            </w:r>
          </w:p>
        </w:tc>
        <w:tc>
          <w:tcPr>
            <w:tcW w:w="2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r>
        <w:trPr>
          <w:trHeight w:val="213"/>
        </w:trPr>
        <w:tc>
          <w:tcPr>
            <w:tcW w:w="260" w:type="dxa"/>
            <w:vAlign w:val="bottom"/>
            <w:tcBorders>
              <w:left w:val="single" w:sz="8" w:color="auto"/>
              <w:bottom w:val="single" w:sz="8" w:color="auto"/>
            </w:tcBorders>
            <w:shd w:val="clear" w:color="auto" w:fill="1F3864"/>
          </w:tcPr>
          <w:p>
            <w:pPr>
              <w:spacing w:after="0"/>
              <w:rPr>
                <w:sz w:val="18"/>
                <w:szCs w:val="18"/>
                <w:color w:val="auto"/>
              </w:rPr>
            </w:pPr>
          </w:p>
        </w:tc>
        <w:tc>
          <w:tcPr>
            <w:tcW w:w="3560" w:type="dxa"/>
            <w:vAlign w:val="bottom"/>
            <w:tcBorders>
              <w:bottom w:val="single" w:sz="8" w:color="auto"/>
              <w:right w:val="single" w:sz="8" w:color="auto"/>
            </w:tcBorders>
            <w:shd w:val="clear" w:color="auto" w:fill="1F3864"/>
          </w:tcPr>
          <w:p>
            <w:pPr>
              <w:jc w:val="center"/>
              <w:ind w:right="165"/>
              <w:spacing w:after="0" w:line="213" w:lineRule="exact"/>
              <w:rPr>
                <w:sz w:val="20"/>
                <w:szCs w:val="20"/>
                <w:color w:val="auto"/>
              </w:rPr>
            </w:pPr>
            <w:r>
              <w:rPr>
                <w:rFonts w:ascii="Arial" w:cs="Arial" w:eastAsia="Arial" w:hAnsi="Arial"/>
                <w:sz w:val="19"/>
                <w:szCs w:val="19"/>
                <w:color w:val="FFFFFF"/>
                <w:w w:val="92"/>
              </w:rPr>
              <w:t>Threshold</w:t>
            </w:r>
          </w:p>
        </w:tc>
        <w:tc>
          <w:tcPr>
            <w:tcW w:w="200" w:type="dxa"/>
            <w:vAlign w:val="bottom"/>
            <w:tcBorders>
              <w:bottom w:val="single" w:sz="8" w:color="auto"/>
              <w:right w:val="single" w:sz="8" w:color="1F3864"/>
            </w:tcBorders>
            <w:shd w:val="clear" w:color="auto" w:fill="1F3864"/>
          </w:tcPr>
          <w:p>
            <w:pPr>
              <w:spacing w:after="0"/>
              <w:rPr>
                <w:sz w:val="18"/>
                <w:szCs w:val="18"/>
                <w:color w:val="auto"/>
              </w:rPr>
            </w:pPr>
          </w:p>
        </w:tc>
        <w:tc>
          <w:tcPr>
            <w:tcW w:w="1180" w:type="dxa"/>
            <w:vAlign w:val="bottom"/>
            <w:tcBorders>
              <w:bottom w:val="single" w:sz="8" w:color="auto"/>
            </w:tcBorders>
            <w:shd w:val="clear" w:color="auto" w:fill="1F3864"/>
          </w:tcPr>
          <w:p>
            <w:pPr>
              <w:spacing w:after="0"/>
              <w:rPr>
                <w:sz w:val="18"/>
                <w:szCs w:val="18"/>
                <w:color w:val="auto"/>
              </w:rPr>
            </w:pPr>
          </w:p>
        </w:tc>
        <w:tc>
          <w:tcPr>
            <w:tcW w:w="2420" w:type="dxa"/>
            <w:vAlign w:val="bottom"/>
            <w:tcBorders>
              <w:bottom w:val="single" w:sz="8" w:color="auto"/>
              <w:right w:val="single" w:sz="8" w:color="auto"/>
            </w:tcBorders>
            <w:shd w:val="clear" w:color="auto" w:fill="1F3864"/>
          </w:tcPr>
          <w:p>
            <w:pPr>
              <w:jc w:val="center"/>
              <w:ind w:right="1325"/>
              <w:spacing w:after="0" w:line="213" w:lineRule="exact"/>
              <w:rPr>
                <w:sz w:val="20"/>
                <w:szCs w:val="20"/>
                <w:color w:val="auto"/>
              </w:rPr>
            </w:pPr>
            <w:r>
              <w:rPr>
                <w:rFonts w:ascii="Arial" w:cs="Arial" w:eastAsia="Arial" w:hAnsi="Arial"/>
                <w:sz w:val="19"/>
                <w:szCs w:val="19"/>
                <w:color w:val="FFFFFF"/>
                <w:w w:val="87"/>
              </w:rPr>
              <w:t>Target</w:t>
            </w:r>
          </w:p>
        </w:tc>
        <w:tc>
          <w:tcPr>
            <w:tcW w:w="540" w:type="dxa"/>
            <w:vAlign w:val="bottom"/>
            <w:tcBorders>
              <w:bottom w:val="single" w:sz="8" w:color="auto"/>
            </w:tcBorders>
            <w:shd w:val="clear" w:color="auto" w:fill="1F3864"/>
          </w:tcPr>
          <w:p>
            <w:pPr>
              <w:spacing w:after="0"/>
              <w:rPr>
                <w:sz w:val="18"/>
                <w:szCs w:val="18"/>
                <w:color w:val="auto"/>
              </w:rPr>
            </w:pPr>
          </w:p>
        </w:tc>
        <w:tc>
          <w:tcPr>
            <w:tcW w:w="3260" w:type="dxa"/>
            <w:vAlign w:val="bottom"/>
            <w:tcBorders>
              <w:bottom w:val="single" w:sz="8" w:color="auto"/>
              <w:right w:val="single" w:sz="8" w:color="auto"/>
            </w:tcBorders>
            <w:shd w:val="clear" w:color="auto" w:fill="1F3864"/>
          </w:tcPr>
          <w:p>
            <w:pPr>
              <w:jc w:val="center"/>
              <w:ind w:right="465"/>
              <w:spacing w:after="0" w:line="213" w:lineRule="exact"/>
              <w:rPr>
                <w:sz w:val="20"/>
                <w:szCs w:val="20"/>
                <w:color w:val="auto"/>
              </w:rPr>
            </w:pPr>
            <w:r>
              <w:rPr>
                <w:rFonts w:ascii="Arial" w:cs="Arial" w:eastAsia="Arial" w:hAnsi="Arial"/>
                <w:sz w:val="19"/>
                <w:szCs w:val="19"/>
                <w:color w:val="FFFFFF"/>
                <w:w w:val="91"/>
              </w:rPr>
              <w:t>Superior</w:t>
            </w:r>
          </w:p>
        </w:tc>
      </w:tr>
      <w:tr>
        <w:trPr>
          <w:trHeight w:val="213"/>
        </w:trPr>
        <w:tc>
          <w:tcPr>
            <w:tcW w:w="260" w:type="dxa"/>
            <w:vAlign w:val="bottom"/>
            <w:tcBorders>
              <w:left w:val="single" w:sz="8" w:color="auto"/>
              <w:bottom w:val="single" w:sz="8" w:color="auto"/>
            </w:tcBorders>
          </w:tcPr>
          <w:p>
            <w:pPr>
              <w:spacing w:after="0"/>
              <w:rPr>
                <w:sz w:val="18"/>
                <w:szCs w:val="18"/>
                <w:color w:val="auto"/>
              </w:rPr>
            </w:pPr>
          </w:p>
        </w:tc>
        <w:tc>
          <w:tcPr>
            <w:tcW w:w="3560" w:type="dxa"/>
            <w:vAlign w:val="bottom"/>
            <w:tcBorders>
              <w:bottom w:val="single" w:sz="8" w:color="auto"/>
              <w:right w:val="single" w:sz="8" w:color="auto"/>
            </w:tcBorders>
          </w:tcPr>
          <w:p>
            <w:pPr>
              <w:jc w:val="center"/>
              <w:ind w:right="165"/>
              <w:spacing w:after="0" w:line="213" w:lineRule="exact"/>
              <w:rPr>
                <w:sz w:val="20"/>
                <w:szCs w:val="20"/>
                <w:color w:val="auto"/>
              </w:rPr>
            </w:pPr>
            <w:r>
              <w:rPr>
                <w:rFonts w:ascii="Arial" w:cs="Arial" w:eastAsia="Arial" w:hAnsi="Arial"/>
                <w:sz w:val="19"/>
                <w:szCs w:val="19"/>
                <w:b w:val="1"/>
                <w:bCs w:val="1"/>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ind w:right="1325"/>
              <w:spacing w:after="0" w:line="213" w:lineRule="exact"/>
              <w:rPr>
                <w:sz w:val="20"/>
                <w:szCs w:val="20"/>
                <w:color w:val="auto"/>
              </w:rPr>
            </w:pPr>
            <w:r>
              <w:rPr>
                <w:rFonts w:ascii="Arial" w:cs="Arial" w:eastAsia="Arial" w:hAnsi="Arial"/>
                <w:sz w:val="19"/>
                <w:szCs w:val="19"/>
                <w:b w:val="1"/>
                <w:bCs w:val="1"/>
                <w:color w:val="auto"/>
              </w:rPr>
              <w:t>[**]</w:t>
            </w:r>
          </w:p>
        </w:tc>
        <w:tc>
          <w:tcPr>
            <w:tcW w:w="54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jc w:val="center"/>
              <w:ind w:right="485"/>
              <w:spacing w:after="0" w:line="213" w:lineRule="exact"/>
              <w:rPr>
                <w:sz w:val="20"/>
                <w:szCs w:val="20"/>
                <w:color w:val="auto"/>
              </w:rPr>
            </w:pPr>
            <w:r>
              <w:rPr>
                <w:rFonts w:ascii="Arial" w:cs="Arial" w:eastAsia="Arial" w:hAnsi="Arial"/>
                <w:sz w:val="19"/>
                <w:szCs w:val="19"/>
                <w:b w:val="1"/>
                <w:bCs w:val="1"/>
                <w:color w:val="auto"/>
              </w:rPr>
              <w:t>[**]</w:t>
            </w:r>
          </w:p>
        </w:tc>
      </w:tr>
      <w:tr>
        <w:trPr>
          <w:trHeight w:val="432"/>
        </w:trPr>
        <w:tc>
          <w:tcPr>
            <w:tcW w:w="5200" w:type="dxa"/>
            <w:vAlign w:val="bottom"/>
            <w:tcBorders>
              <w:bottom w:val="single" w:sz="8" w:color="auto"/>
            </w:tcBorders>
            <w:gridSpan w:val="4"/>
          </w:tcPr>
          <w:p>
            <w:pPr>
              <w:spacing w:after="0"/>
              <w:rPr>
                <w:sz w:val="20"/>
                <w:szCs w:val="20"/>
                <w:color w:val="auto"/>
              </w:rPr>
            </w:pPr>
            <w:r>
              <w:rPr>
                <w:rFonts w:ascii="Arial" w:cs="Arial" w:eastAsia="Arial" w:hAnsi="Arial"/>
                <w:sz w:val="19"/>
                <w:szCs w:val="19"/>
                <w:color w:val="auto"/>
                <w:w w:val="91"/>
              </w:rPr>
              <w:t>E. Payouts for each component will be interpolated between levels.</w:t>
            </w:r>
          </w:p>
        </w:tc>
        <w:tc>
          <w:tcPr>
            <w:tcW w:w="2960" w:type="dxa"/>
            <w:vAlign w:val="bottom"/>
            <w:tcBorders>
              <w:bottom w:val="single" w:sz="8" w:color="auto"/>
            </w:tcBorders>
            <w:gridSpan w:val="2"/>
          </w:tcPr>
          <w:p>
            <w:pPr>
              <w:ind w:left="40"/>
              <w:spacing w:after="0"/>
              <w:rPr>
                <w:sz w:val="20"/>
                <w:szCs w:val="20"/>
                <w:color w:val="auto"/>
              </w:rPr>
            </w:pPr>
            <w:r>
              <w:rPr>
                <w:rFonts w:ascii="Arial" w:cs="Arial" w:eastAsia="Arial" w:hAnsi="Arial"/>
                <w:sz w:val="19"/>
                <w:szCs w:val="19"/>
                <w:color w:val="auto"/>
                <w:w w:val="91"/>
              </w:rPr>
              <w:t>Potential Payouts at each level are as</w:t>
            </w:r>
          </w:p>
        </w:tc>
        <w:tc>
          <w:tcPr>
            <w:tcW w:w="326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follows:</w:t>
            </w:r>
          </w:p>
        </w:tc>
      </w:tr>
      <w:tr>
        <w:trPr>
          <w:trHeight w:val="437"/>
        </w:trPr>
        <w:tc>
          <w:tcPr>
            <w:tcW w:w="260" w:type="dxa"/>
            <w:vAlign w:val="bottom"/>
            <w:tcBorders>
              <w:left w:val="single" w:sz="8" w:color="auto"/>
            </w:tcBorders>
            <w:shd w:val="clear" w:color="auto" w:fill="1F3864"/>
          </w:tcPr>
          <w:p>
            <w:pPr>
              <w:spacing w:after="0"/>
              <w:rPr>
                <w:sz w:val="24"/>
                <w:szCs w:val="24"/>
                <w:color w:val="auto"/>
              </w:rPr>
            </w:pPr>
          </w:p>
        </w:tc>
        <w:tc>
          <w:tcPr>
            <w:tcW w:w="3760" w:type="dxa"/>
            <w:vAlign w:val="bottom"/>
            <w:tcBorders>
              <w:right w:val="single" w:sz="8" w:color="auto"/>
            </w:tcBorders>
            <w:gridSpan w:val="2"/>
            <w:shd w:val="clear" w:color="auto" w:fill="1F3864"/>
          </w:tcPr>
          <w:p>
            <w:pPr>
              <w:ind w:left="500"/>
              <w:spacing w:after="0"/>
              <w:rPr>
                <w:sz w:val="20"/>
                <w:szCs w:val="20"/>
                <w:color w:val="auto"/>
              </w:rPr>
            </w:pPr>
            <w:r>
              <w:rPr>
                <w:rFonts w:ascii="Arial" w:cs="Arial" w:eastAsia="Arial" w:hAnsi="Arial"/>
                <w:sz w:val="19"/>
                <w:szCs w:val="19"/>
                <w:color w:val="FFFFFF"/>
              </w:rPr>
              <w:t>Performance Achievement Level</w:t>
            </w:r>
          </w:p>
        </w:tc>
        <w:tc>
          <w:tcPr>
            <w:tcW w:w="1180" w:type="dxa"/>
            <w:vAlign w:val="bottom"/>
            <w:shd w:val="clear" w:color="auto" w:fill="1F3864"/>
          </w:tcPr>
          <w:p>
            <w:pPr>
              <w:spacing w:after="0"/>
              <w:rPr>
                <w:sz w:val="24"/>
                <w:szCs w:val="24"/>
                <w:color w:val="auto"/>
              </w:rPr>
            </w:pPr>
          </w:p>
        </w:tc>
        <w:tc>
          <w:tcPr>
            <w:tcW w:w="6220" w:type="dxa"/>
            <w:vAlign w:val="bottom"/>
            <w:tcBorders>
              <w:right w:val="single" w:sz="8" w:color="auto"/>
            </w:tcBorders>
            <w:gridSpan w:val="3"/>
            <w:shd w:val="clear" w:color="auto" w:fill="1F3864"/>
          </w:tcPr>
          <w:p>
            <w:pPr>
              <w:ind w:left="1200"/>
              <w:spacing w:after="0"/>
              <w:rPr>
                <w:sz w:val="20"/>
                <w:szCs w:val="20"/>
                <w:color w:val="auto"/>
              </w:rPr>
            </w:pPr>
            <w:r>
              <w:rPr>
                <w:rFonts w:ascii="Arial" w:cs="Arial" w:eastAsia="Arial" w:hAnsi="Arial"/>
                <w:sz w:val="19"/>
                <w:szCs w:val="19"/>
                <w:color w:val="FFFFFF"/>
              </w:rPr>
              <w:t>Potential as Percent of Base Salary</w:t>
            </w:r>
          </w:p>
        </w:tc>
      </w:tr>
      <w:tr>
        <w:trPr>
          <w:trHeight w:val="215"/>
        </w:trPr>
        <w:tc>
          <w:tcPr>
            <w:tcW w:w="4020" w:type="dxa"/>
            <w:vAlign w:val="bottom"/>
            <w:tcBorders>
              <w:left w:val="single" w:sz="8" w:color="auto"/>
              <w:bottom w:val="single" w:sz="8" w:color="auto"/>
              <w:right w:val="single" w:sz="8" w:color="auto"/>
            </w:tcBorders>
            <w:gridSpan w:val="3"/>
            <w:shd w:val="clear" w:color="auto" w:fill="1F3864"/>
          </w:tcPr>
          <w:p>
            <w:pPr>
              <w:spacing w:after="0"/>
              <w:rPr>
                <w:sz w:val="18"/>
                <w:szCs w:val="18"/>
                <w:color w:val="auto"/>
              </w:rPr>
            </w:pPr>
          </w:p>
        </w:tc>
        <w:tc>
          <w:tcPr>
            <w:tcW w:w="1180" w:type="dxa"/>
            <w:vAlign w:val="bottom"/>
            <w:tcBorders>
              <w:bottom w:val="single" w:sz="8" w:color="auto"/>
            </w:tcBorders>
            <w:shd w:val="clear" w:color="auto" w:fill="1F3864"/>
          </w:tcPr>
          <w:p>
            <w:pPr>
              <w:spacing w:after="0"/>
              <w:rPr>
                <w:sz w:val="18"/>
                <w:szCs w:val="18"/>
                <w:color w:val="auto"/>
              </w:rPr>
            </w:pPr>
          </w:p>
        </w:tc>
        <w:tc>
          <w:tcPr>
            <w:tcW w:w="2960" w:type="dxa"/>
            <w:vAlign w:val="bottom"/>
            <w:tcBorders>
              <w:bottom w:val="single" w:sz="8" w:color="auto"/>
            </w:tcBorders>
            <w:gridSpan w:val="2"/>
            <w:shd w:val="clear" w:color="auto" w:fill="1F3864"/>
          </w:tcPr>
          <w:p>
            <w:pPr>
              <w:spacing w:after="0"/>
              <w:rPr>
                <w:sz w:val="18"/>
                <w:szCs w:val="18"/>
                <w:color w:val="auto"/>
              </w:rPr>
            </w:pPr>
          </w:p>
        </w:tc>
        <w:tc>
          <w:tcPr>
            <w:tcW w:w="3260" w:type="dxa"/>
            <w:vAlign w:val="bottom"/>
            <w:tcBorders>
              <w:bottom w:val="single" w:sz="8" w:color="auto"/>
              <w:right w:val="single" w:sz="8" w:color="auto"/>
            </w:tcBorders>
            <w:shd w:val="clear" w:color="auto" w:fill="1F3864"/>
          </w:tcPr>
          <w:p>
            <w:pPr>
              <w:spacing w:after="0"/>
              <w:rPr>
                <w:sz w:val="18"/>
                <w:szCs w:val="18"/>
                <w:color w:val="auto"/>
              </w:rPr>
            </w:pPr>
          </w:p>
        </w:tc>
      </w:tr>
      <w:tr>
        <w:trPr>
          <w:trHeight w:val="196"/>
        </w:trPr>
        <w:tc>
          <w:tcPr>
            <w:tcW w:w="4020" w:type="dxa"/>
            <w:vAlign w:val="bottom"/>
            <w:tcBorders>
              <w:left w:val="single" w:sz="8" w:color="auto"/>
              <w:right w:val="single" w:sz="8" w:color="auto"/>
            </w:tcBorders>
            <w:gridSpan w:val="3"/>
          </w:tcPr>
          <w:p>
            <w:pPr>
              <w:ind w:left="20"/>
              <w:spacing w:after="0" w:line="196" w:lineRule="exact"/>
              <w:rPr>
                <w:sz w:val="20"/>
                <w:szCs w:val="20"/>
                <w:color w:val="auto"/>
              </w:rPr>
            </w:pPr>
            <w:r>
              <w:rPr>
                <w:rFonts w:ascii="Arial" w:cs="Arial" w:eastAsia="Arial" w:hAnsi="Arial"/>
                <w:sz w:val="19"/>
                <w:szCs w:val="19"/>
                <w:color w:val="auto"/>
              </w:rPr>
              <w:t>Threshold</w:t>
            </w:r>
          </w:p>
        </w:tc>
        <w:tc>
          <w:tcPr>
            <w:tcW w:w="1180" w:type="dxa"/>
            <w:vAlign w:val="bottom"/>
          </w:tcPr>
          <w:p>
            <w:pPr>
              <w:spacing w:after="0"/>
              <w:rPr>
                <w:sz w:val="17"/>
                <w:szCs w:val="17"/>
                <w:color w:val="auto"/>
              </w:rPr>
            </w:pPr>
          </w:p>
        </w:tc>
        <w:tc>
          <w:tcPr>
            <w:tcW w:w="2960" w:type="dxa"/>
            <w:vAlign w:val="bottom"/>
            <w:gridSpan w:val="2"/>
          </w:tcPr>
          <w:p>
            <w:pPr>
              <w:jc w:val="center"/>
              <w:ind w:left="1985"/>
              <w:spacing w:after="0" w:line="196" w:lineRule="exact"/>
              <w:rPr>
                <w:sz w:val="20"/>
                <w:szCs w:val="20"/>
                <w:color w:val="auto"/>
              </w:rPr>
            </w:pPr>
            <w:r>
              <w:rPr>
                <w:rFonts w:ascii="Arial" w:cs="Arial" w:eastAsia="Arial" w:hAnsi="Arial"/>
                <w:sz w:val="19"/>
                <w:szCs w:val="19"/>
                <w:color w:val="auto"/>
                <w:w w:val="94"/>
              </w:rPr>
              <w:t>50%</w:t>
            </w:r>
          </w:p>
        </w:tc>
        <w:tc>
          <w:tcPr>
            <w:tcW w:w="3260" w:type="dxa"/>
            <w:vAlign w:val="bottom"/>
            <w:tcBorders>
              <w:right w:val="single" w:sz="8" w:color="auto"/>
            </w:tcBorders>
          </w:tcPr>
          <w:p>
            <w:pPr>
              <w:spacing w:after="0"/>
              <w:rPr>
                <w:sz w:val="17"/>
                <w:szCs w:val="17"/>
                <w:color w:val="auto"/>
              </w:rPr>
            </w:pPr>
          </w:p>
        </w:tc>
      </w:tr>
      <w:tr>
        <w:trPr>
          <w:trHeight w:val="220"/>
        </w:trPr>
        <w:tc>
          <w:tcPr>
            <w:tcW w:w="40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Target</w:t>
            </w:r>
          </w:p>
        </w:tc>
        <w:tc>
          <w:tcPr>
            <w:tcW w:w="1180" w:type="dxa"/>
            <w:vAlign w:val="bottom"/>
          </w:tcPr>
          <w:p>
            <w:pPr>
              <w:spacing w:after="0"/>
              <w:rPr>
                <w:sz w:val="19"/>
                <w:szCs w:val="19"/>
                <w:color w:val="auto"/>
              </w:rPr>
            </w:pPr>
          </w:p>
        </w:tc>
        <w:tc>
          <w:tcPr>
            <w:tcW w:w="2960" w:type="dxa"/>
            <w:vAlign w:val="bottom"/>
            <w:gridSpan w:val="2"/>
          </w:tcPr>
          <w:p>
            <w:pPr>
              <w:jc w:val="center"/>
              <w:ind w:left="1985"/>
              <w:spacing w:after="0"/>
              <w:rPr>
                <w:sz w:val="20"/>
                <w:szCs w:val="20"/>
                <w:color w:val="auto"/>
              </w:rPr>
            </w:pPr>
            <w:r>
              <w:rPr>
                <w:rFonts w:ascii="Arial" w:cs="Arial" w:eastAsia="Arial" w:hAnsi="Arial"/>
                <w:sz w:val="19"/>
                <w:szCs w:val="19"/>
                <w:color w:val="auto"/>
                <w:w w:val="90"/>
              </w:rPr>
              <w:t>100%</w:t>
            </w:r>
          </w:p>
        </w:tc>
        <w:tc>
          <w:tcPr>
            <w:tcW w:w="3260" w:type="dxa"/>
            <w:vAlign w:val="bottom"/>
            <w:tcBorders>
              <w:right w:val="single" w:sz="8" w:color="auto"/>
            </w:tcBorders>
          </w:tcPr>
          <w:p>
            <w:pPr>
              <w:spacing w:after="0"/>
              <w:rPr>
                <w:sz w:val="19"/>
                <w:szCs w:val="19"/>
                <w:color w:val="auto"/>
              </w:rPr>
            </w:pPr>
          </w:p>
        </w:tc>
      </w:tr>
      <w:tr>
        <w:trPr>
          <w:trHeight w:val="236"/>
        </w:trPr>
        <w:tc>
          <w:tcPr>
            <w:tcW w:w="40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Superior</w:t>
            </w:r>
          </w:p>
        </w:tc>
        <w:tc>
          <w:tcPr>
            <w:tcW w:w="11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jc w:val="center"/>
              <w:ind w:left="1985"/>
              <w:spacing w:after="0"/>
              <w:rPr>
                <w:sz w:val="20"/>
                <w:szCs w:val="20"/>
                <w:color w:val="auto"/>
              </w:rPr>
            </w:pPr>
            <w:r>
              <w:rPr>
                <w:rFonts w:ascii="Arial" w:cs="Arial" w:eastAsia="Arial" w:hAnsi="Arial"/>
                <w:sz w:val="19"/>
                <w:szCs w:val="19"/>
                <w:color w:val="auto"/>
                <w:w w:val="90"/>
              </w:rPr>
              <w:t>150%</w:t>
            </w:r>
          </w:p>
        </w:tc>
        <w:tc>
          <w:tcPr>
            <w:tcW w:w="326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233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52335" cy="16510"/>
                    </a:xfrm>
                    <a:prstGeom prst="rect">
                      <a:avLst/>
                    </a:prstGeom>
                    <a:noFill/>
                  </pic:spPr>
                </pic:pic>
              </a:graphicData>
            </a:graphic>
          </wp:anchor>
        </w:drawing>
      </w:r>
    </w:p>
    <w:p>
      <w:pPr>
        <w:spacing w:after="0" w:line="364" w:lineRule="exact"/>
        <w:rPr>
          <w:sz w:val="20"/>
          <w:szCs w:val="20"/>
          <w:color w:val="auto"/>
        </w:rPr>
      </w:pPr>
    </w:p>
    <w:p>
      <w:pPr>
        <w:ind w:left="440" w:hanging="437"/>
        <w:spacing w:after="0"/>
        <w:tabs>
          <w:tab w:leader="none" w:pos="4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Represents MRR generated from non-anchor tenants.</w:t>
      </w:r>
    </w:p>
    <w:p>
      <w:pPr>
        <w:spacing w:after="0" w:line="17" w:lineRule="exact"/>
        <w:rPr>
          <w:rFonts w:ascii="Arial" w:cs="Arial" w:eastAsia="Arial" w:hAnsi="Arial"/>
          <w:sz w:val="19"/>
          <w:szCs w:val="19"/>
          <w:color w:val="auto"/>
        </w:rPr>
      </w:pPr>
    </w:p>
    <w:p>
      <w:pPr>
        <w:ind w:left="440" w:hanging="437"/>
        <w:spacing w:after="0"/>
        <w:tabs>
          <w:tab w:leader="none" w:pos="4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Definition to be consistent with public reporting. Excludes M&amp;A and capital markets transactions. </w:t>
      </w:r>
      <w:r>
        <w:rPr>
          <w:rFonts w:ascii="Arial" w:cs="Arial" w:eastAsia="Arial" w:hAnsi="Arial"/>
          <w:sz w:val="19"/>
          <w:szCs w:val="19"/>
          <w:b w:val="1"/>
          <w:bCs w:val="1"/>
          <w:color w:val="auto"/>
        </w:rPr>
        <w:t>[**]</w:t>
      </w:r>
    </w:p>
    <w:p>
      <w:pPr>
        <w:spacing w:after="0" w:line="1" w:lineRule="exact"/>
        <w:rPr>
          <w:rFonts w:ascii="Arial" w:cs="Arial" w:eastAsia="Arial" w:hAnsi="Arial"/>
          <w:sz w:val="19"/>
          <w:szCs w:val="19"/>
          <w:color w:val="auto"/>
        </w:rPr>
      </w:pPr>
    </w:p>
    <w:p>
      <w:pPr>
        <w:ind w:left="440" w:hanging="437"/>
        <w:spacing w:after="0"/>
        <w:tabs>
          <w:tab w:leader="none" w:pos="440"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6" w:lineRule="exact"/>
        <w:rPr>
          <w:sz w:val="20"/>
          <w:szCs w:val="20"/>
          <w:color w:val="auto"/>
        </w:rPr>
      </w:pPr>
    </w:p>
    <w:p>
      <w:pPr>
        <w:ind w:firstLine="3"/>
        <w:spacing w:after="0" w:line="272" w:lineRule="auto"/>
        <w:tabs>
          <w:tab w:leader="none" w:pos="373"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 Information has been omitted and filed separately with the Securities and Exchange Commission. Confidential treatment has been requested with respect to this omitted information.</w:t>
      </w:r>
    </w:p>
    <w:p>
      <w:pPr>
        <w:sectPr>
          <w:pgSz w:w="11900" w:h="16838" w:orient="portrait"/>
          <w:cols w:equalWidth="0" w:num="1">
            <w:col w:w="11420"/>
          </w:cols>
          <w:pgMar w:left="240" w:top="33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Kenneth A. Gunderman, certify that:</w:t>
      </w:r>
    </w:p>
    <w:p>
      <w:pPr>
        <w:spacing w:after="0" w:line="115" w:lineRule="exact"/>
        <w:rPr>
          <w:sz w:val="20"/>
          <w:szCs w:val="20"/>
          <w:color w:val="auto"/>
        </w:rPr>
      </w:pPr>
    </w:p>
    <w:p>
      <w:pPr>
        <w:ind w:left="760" w:hanging="757"/>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Uniti Group Inc.;</w:t>
      </w:r>
    </w:p>
    <w:p>
      <w:pPr>
        <w:spacing w:after="0" w:line="217" w:lineRule="exact"/>
        <w:rPr>
          <w:rFonts w:ascii="Arial" w:cs="Arial" w:eastAsia="Arial" w:hAnsi="Arial"/>
          <w:sz w:val="17"/>
          <w:szCs w:val="17"/>
          <w:color w:val="auto"/>
        </w:rPr>
      </w:pPr>
    </w:p>
    <w:p>
      <w:pPr>
        <w:ind w:left="760" w:right="180" w:hanging="757"/>
        <w:spacing w:after="0" w:line="352" w:lineRule="auto"/>
        <w:tabs>
          <w:tab w:leader="none" w:pos="7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5"/>
          <w:szCs w:val="15"/>
          <w:color w:val="auto"/>
        </w:rPr>
      </w:pPr>
    </w:p>
    <w:p>
      <w:pPr>
        <w:ind w:left="760" w:right="620" w:hanging="757"/>
        <w:spacing w:after="0" w:line="315"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760" w:hanging="757"/>
        <w:spacing w:after="0" w:line="268" w:lineRule="auto"/>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1500" w:right="140" w:hanging="747"/>
        <w:spacing w:after="0" w:line="268" w:lineRule="auto"/>
        <w:tabs>
          <w:tab w:leader="none" w:pos="1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1500" w:right="460" w:hanging="747"/>
        <w:spacing w:after="0" w:line="268" w:lineRule="auto"/>
        <w:tabs>
          <w:tab w:leader="none" w:pos="1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jc w:val="both"/>
        <w:ind w:left="1500" w:right="620" w:hanging="747"/>
        <w:spacing w:after="0" w:line="352" w:lineRule="auto"/>
        <w:tabs>
          <w:tab w:leader="none" w:pos="1500" w:val="left"/>
        </w:tabs>
        <w:numPr>
          <w:ilvl w:val="1"/>
          <w:numId w:val="3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5"/>
          <w:szCs w:val="15"/>
          <w:color w:val="auto"/>
        </w:rPr>
      </w:pPr>
    </w:p>
    <w:p>
      <w:pPr>
        <w:ind w:left="1500" w:right="140" w:hanging="747"/>
        <w:spacing w:after="0" w:line="268" w:lineRule="auto"/>
        <w:tabs>
          <w:tab w:leader="none" w:pos="1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760" w:right="360" w:hanging="757"/>
        <w:spacing w:after="0" w:line="315"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60" w:hanging="747"/>
        <w:spacing w:after="0" w:line="283" w:lineRule="auto"/>
        <w:tabs>
          <w:tab w:leader="none" w:pos="1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1500" w:right="20" w:hanging="747"/>
        <w:spacing w:after="0" w:line="283" w:lineRule="auto"/>
        <w:tabs>
          <w:tab w:leader="none" w:pos="150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tabs>
          <w:tab w:leader="none" w:pos="4860" w:val="left"/>
          <w:tab w:leader="none" w:pos="7340" w:val="left"/>
        </w:tabs>
        <w:rPr>
          <w:sz w:val="20"/>
          <w:szCs w:val="20"/>
          <w:color w:val="auto"/>
        </w:rPr>
      </w:pPr>
      <w:r>
        <w:rPr>
          <w:rFonts w:ascii="Arial" w:cs="Arial" w:eastAsia="Arial" w:hAnsi="Arial"/>
          <w:sz w:val="17"/>
          <w:szCs w:val="17"/>
          <w:color w:val="auto"/>
        </w:rPr>
        <w:t>Date: May 10, 2018</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15240</wp:posOffset>
            </wp:positionV>
            <wp:extent cx="39871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Kenneth A. Gunderman</w:t>
      </w:r>
    </w:p>
    <w:p>
      <w:pPr>
        <w:spacing w:after="0" w:line="2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Mark A. Wallace, certify that:</w:t>
      </w:r>
    </w:p>
    <w:p>
      <w:pPr>
        <w:spacing w:after="0" w:line="218" w:lineRule="exact"/>
        <w:rPr>
          <w:sz w:val="20"/>
          <w:szCs w:val="20"/>
          <w:color w:val="auto"/>
        </w:rPr>
      </w:pPr>
    </w:p>
    <w:p>
      <w:pPr>
        <w:ind w:left="760" w:hanging="757"/>
        <w:spacing w:after="0"/>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Uniti Group Inc.;</w:t>
      </w:r>
    </w:p>
    <w:p>
      <w:pPr>
        <w:spacing w:after="0" w:line="217" w:lineRule="exact"/>
        <w:rPr>
          <w:rFonts w:ascii="Arial" w:cs="Arial" w:eastAsia="Arial" w:hAnsi="Arial"/>
          <w:sz w:val="17"/>
          <w:szCs w:val="17"/>
          <w:color w:val="auto"/>
        </w:rPr>
      </w:pPr>
    </w:p>
    <w:p>
      <w:pPr>
        <w:ind w:left="760" w:right="180" w:hanging="757"/>
        <w:spacing w:after="0" w:line="352" w:lineRule="auto"/>
        <w:tabs>
          <w:tab w:leader="none" w:pos="7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5"/>
          <w:szCs w:val="15"/>
          <w:color w:val="auto"/>
        </w:rPr>
      </w:pPr>
    </w:p>
    <w:p>
      <w:pPr>
        <w:ind w:left="760" w:right="620" w:hanging="757"/>
        <w:spacing w:after="0" w:line="315"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760" w:hanging="757"/>
        <w:spacing w:after="0" w:line="268" w:lineRule="auto"/>
        <w:tabs>
          <w:tab w:leader="none" w:pos="7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1500" w:right="140" w:hanging="747"/>
        <w:spacing w:after="0" w:line="268" w:lineRule="auto"/>
        <w:tabs>
          <w:tab w:leader="none" w:pos="15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1500" w:right="460" w:hanging="747"/>
        <w:spacing w:after="0" w:line="268" w:lineRule="auto"/>
        <w:tabs>
          <w:tab w:leader="none" w:pos="15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jc w:val="both"/>
        <w:ind w:left="1500" w:right="620" w:hanging="747"/>
        <w:spacing w:after="0" w:line="352" w:lineRule="auto"/>
        <w:tabs>
          <w:tab w:leader="none" w:pos="1500" w:val="left"/>
        </w:tabs>
        <w:numPr>
          <w:ilvl w:val="1"/>
          <w:numId w:val="3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5"/>
          <w:szCs w:val="15"/>
          <w:color w:val="auto"/>
        </w:rPr>
      </w:pPr>
    </w:p>
    <w:p>
      <w:pPr>
        <w:ind w:left="1500" w:right="140" w:hanging="747"/>
        <w:spacing w:after="0" w:line="268" w:lineRule="auto"/>
        <w:tabs>
          <w:tab w:leader="none" w:pos="15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760" w:right="360" w:hanging="757"/>
        <w:spacing w:after="0" w:line="315"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60" w:hanging="747"/>
        <w:spacing w:after="0" w:line="283" w:lineRule="auto"/>
        <w:tabs>
          <w:tab w:leader="none" w:pos="15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3" w:lineRule="exact"/>
        <w:rPr>
          <w:sz w:val="20"/>
          <w:szCs w:val="20"/>
          <w:color w:val="auto"/>
        </w:rPr>
      </w:pPr>
    </w:p>
    <w:p>
      <w:pPr>
        <w:ind w:left="1040" w:right="140" w:hanging="520"/>
        <w:spacing w:after="0" w:line="283"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tabs>
          <w:tab w:leader="none" w:pos="4860" w:val="left"/>
          <w:tab w:leader="none" w:pos="7580" w:val="left"/>
        </w:tabs>
        <w:rPr>
          <w:sz w:val="20"/>
          <w:szCs w:val="20"/>
          <w:color w:val="auto"/>
        </w:rPr>
      </w:pPr>
      <w:r>
        <w:rPr>
          <w:rFonts w:ascii="Arial" w:cs="Arial" w:eastAsia="Arial" w:hAnsi="Arial"/>
          <w:sz w:val="17"/>
          <w:szCs w:val="17"/>
          <w:color w:val="auto"/>
        </w:rPr>
        <w:t>Date: May 10, 2018</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15240</wp:posOffset>
            </wp:positionV>
            <wp:extent cx="39871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Mark A. Wallace</w:t>
      </w:r>
    </w:p>
    <w:p>
      <w:pPr>
        <w:spacing w:after="0" w:line="2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Executive Vice President – Chief Financial Officer</w:t>
      </w:r>
    </w:p>
    <w:p>
      <w:pPr>
        <w:spacing w:after="0" w:line="11"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and Treasurer</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1"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connection with the Quarterly Report on Form 10-Q of Uniti Group Inc. (the “Company”) for the period ending March 31, 2018 as filed with the Securities and Exchange Commission on the date hereof (the “Report”), I certify, pursuant to 18 U.S.C. § 1350, as adopted pursuant to § 906 of the Sarbanes-Oxley Act of 2002, to my knowledge, that:</w:t>
      </w:r>
    </w:p>
    <w:p>
      <w:pPr>
        <w:spacing w:after="0" w:line="69" w:lineRule="exact"/>
        <w:rPr>
          <w:sz w:val="20"/>
          <w:szCs w:val="20"/>
          <w:color w:val="auto"/>
        </w:rPr>
      </w:pPr>
    </w:p>
    <w:p>
      <w:pPr>
        <w:ind w:left="1040" w:hanging="520"/>
        <w:spacing w:after="0"/>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4860" w:val="left"/>
          <w:tab w:leader="none" w:pos="7340" w:val="left"/>
        </w:tabs>
        <w:rPr>
          <w:sz w:val="20"/>
          <w:szCs w:val="20"/>
          <w:color w:val="auto"/>
        </w:rPr>
      </w:pPr>
      <w:r>
        <w:rPr>
          <w:rFonts w:ascii="Arial" w:cs="Arial" w:eastAsia="Arial" w:hAnsi="Arial"/>
          <w:sz w:val="17"/>
          <w:szCs w:val="17"/>
          <w:color w:val="auto"/>
        </w:rPr>
        <w:t>Date: May 10, 2018</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15240</wp:posOffset>
            </wp:positionV>
            <wp:extent cx="39871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Kenneth A. Gunderman</w:t>
      </w:r>
    </w:p>
    <w:p>
      <w:pPr>
        <w:spacing w:after="0" w:line="24" w:lineRule="exact"/>
        <w:rPr>
          <w:sz w:val="20"/>
          <w:szCs w:val="20"/>
          <w:color w:val="auto"/>
        </w:rPr>
      </w:pPr>
    </w:p>
    <w:p>
      <w:pPr>
        <w:jc w:val="center"/>
        <w:ind w:left="5140"/>
        <w:spacing w:after="0"/>
        <w:rPr>
          <w:sz w:val="20"/>
          <w:szCs w:val="20"/>
          <w:color w:val="auto"/>
        </w:rPr>
      </w:pPr>
      <w:r>
        <w:rPr>
          <w:rFonts w:ascii="Arial" w:cs="Arial" w:eastAsia="Arial" w:hAnsi="Arial"/>
          <w:sz w:val="17"/>
          <w:szCs w:val="17"/>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1"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connection with the Quarterly Report on Form 10-Q of Uniti Group Inc. (the “Company”) for the period ending March 31, 2018 as filed with the Securities and Exchange Commission on the date hereof (the “Report”), I certify, pursuant to 18 U.S.C. § 1350, as adopted pursuant to § 906 of the Sarbanes-Oxley Act of 2002, to my knowledge, that:</w:t>
      </w:r>
    </w:p>
    <w:p>
      <w:pPr>
        <w:spacing w:after="0" w:line="69" w:lineRule="exact"/>
        <w:rPr>
          <w:sz w:val="20"/>
          <w:szCs w:val="20"/>
          <w:color w:val="auto"/>
        </w:rPr>
      </w:pPr>
    </w:p>
    <w:p>
      <w:pPr>
        <w:ind w:left="1040" w:hanging="520"/>
        <w:spacing w:after="0"/>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4" w:lineRule="exact"/>
        <w:rPr>
          <w:rFonts w:ascii="Arial" w:cs="Arial" w:eastAsia="Arial" w:hAnsi="Arial"/>
          <w:sz w:val="17"/>
          <w:szCs w:val="17"/>
          <w:color w:val="auto"/>
        </w:rPr>
      </w:pPr>
    </w:p>
    <w:p>
      <w:pPr>
        <w:ind w:left="1040" w:hanging="520"/>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4860" w:val="left"/>
          <w:tab w:leader="none" w:pos="7580" w:val="left"/>
        </w:tabs>
        <w:rPr>
          <w:sz w:val="20"/>
          <w:szCs w:val="20"/>
          <w:color w:val="auto"/>
        </w:rPr>
      </w:pPr>
      <w:r>
        <w:rPr>
          <w:rFonts w:ascii="Arial" w:cs="Arial" w:eastAsia="Arial" w:hAnsi="Arial"/>
          <w:sz w:val="17"/>
          <w:szCs w:val="17"/>
          <w:color w:val="auto"/>
        </w:rPr>
        <w:t>Date: May 10, 2018</w:t>
      </w:r>
      <w:r>
        <w:rPr>
          <w:sz w:val="20"/>
          <w:szCs w:val="20"/>
          <w:color w:val="auto"/>
        </w:rPr>
        <w:tab/>
      </w:r>
      <w:r>
        <w:rPr>
          <w:rFonts w:ascii="Arial" w:cs="Arial" w:eastAsia="Arial" w:hAnsi="Arial"/>
          <w:sz w:val="17"/>
          <w:szCs w:val="17"/>
          <w:color w:val="auto"/>
        </w:rPr>
        <w:t>By</w:t>
      </w:r>
      <w:r>
        <w:rPr>
          <w:rFonts w:ascii="Arial" w:cs="Arial" w:eastAsia="Arial" w:hAnsi="Arial"/>
          <w:sz w:val="17"/>
          <w:szCs w:val="17"/>
          <w:color w:val="222222"/>
        </w:rPr>
        <w:t>:</w:t>
      </w:r>
      <w:r>
        <w:rPr>
          <w:sz w:val="20"/>
          <w:szCs w:val="20"/>
          <w:color w:val="auto"/>
        </w:rPr>
        <w:tab/>
      </w:r>
      <w:r>
        <w:rPr>
          <w:rFonts w:ascii="Arial" w:cs="Arial" w:eastAsia="Arial" w:hAnsi="Arial"/>
          <w:sz w:val="16"/>
          <w:szCs w:val="16"/>
          <w:color w:val="auto"/>
        </w:rPr>
        <w:t>/s/ Mark A. Wallace</w:t>
      </w:r>
    </w:p>
    <w:p>
      <w:pPr>
        <w:spacing w:after="0" w:line="31" w:lineRule="exact"/>
        <w:rPr>
          <w:sz w:val="20"/>
          <w:szCs w:val="20"/>
          <w:color w:val="auto"/>
        </w:rPr>
      </w:pPr>
    </w:p>
    <w:p>
      <w:pPr>
        <w:ind w:left="7660"/>
        <w:spacing w:after="0"/>
        <w:rPr>
          <w:sz w:val="20"/>
          <w:szCs w:val="20"/>
          <w:color w:val="auto"/>
        </w:rPr>
      </w:pPr>
      <w:r>
        <w:rPr>
          <w:rFonts w:ascii="Arial" w:cs="Arial" w:eastAsia="Arial" w:hAnsi="Arial"/>
          <w:sz w:val="17"/>
          <w:szCs w:val="17"/>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3267710</wp:posOffset>
            </wp:positionH>
            <wp:positionV relativeFrom="paragraph">
              <wp:posOffset>-120015</wp:posOffset>
            </wp:positionV>
            <wp:extent cx="39871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987165"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7"/>
          <w:szCs w:val="17"/>
          <w:b w:val="1"/>
          <w:bCs w:val="1"/>
          <w:color w:val="auto"/>
        </w:rPr>
        <w:t>Executive Vice President – Chief Financial Officer</w:t>
      </w:r>
    </w:p>
    <w:p>
      <w:pPr>
        <w:spacing w:after="0" w:line="24" w:lineRule="exact"/>
        <w:rPr>
          <w:sz w:val="20"/>
          <w:szCs w:val="20"/>
          <w:color w:val="auto"/>
        </w:rPr>
      </w:pPr>
    </w:p>
    <w:p>
      <w:pPr>
        <w:ind w:left="7760"/>
        <w:spacing w:after="0"/>
        <w:rPr>
          <w:sz w:val="20"/>
          <w:szCs w:val="20"/>
          <w:color w:val="auto"/>
        </w:rPr>
      </w:pPr>
      <w:r>
        <w:rPr>
          <w:rFonts w:ascii="Arial" w:cs="Arial" w:eastAsia="Arial" w:hAnsi="Arial"/>
          <w:sz w:val="17"/>
          <w:szCs w:val="17"/>
          <w:b w:val="1"/>
          <w:bCs w:val="1"/>
          <w:color w:val="auto"/>
        </w:rPr>
        <w:t>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lowerRoman"/>
      <w:start w:val="1"/>
    </w:lvl>
  </w:abstractNum>
  <w:abstractNum w:abstractNumId="5">
    <w:nsid w:val="2D1D5AE9"/>
    <w:multiLevelType w:val="hybridMultilevel"/>
    <w:lvl w:ilvl="0">
      <w:lvlJc w:val="left"/>
      <w:lvlText w:val="%1."/>
      <w:numFmt w:val="lowerRoman"/>
      <w:start w:val="2"/>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lowerRoman"/>
      <w:start w:val="5"/>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upperLetter"/>
      <w:start w:val="9"/>
    </w:lvl>
  </w:abstractNum>
  <w:abstractNum w:abstractNumId="16">
    <w:nsid w:val="836C40E"/>
    <w:multiLevelType w:val="hybridMultilevel"/>
    <w:lvl w:ilvl="0">
      <w:lvlJc w:val="left"/>
      <w:lvlText w:val="%1."/>
      <w:numFmt w:val="upperLetter"/>
      <w:start w:val="1"/>
    </w:lvl>
  </w:abstractNum>
  <w:abstractNum w:abstractNumId="17">
    <w:nsid w:val="2901D82"/>
    <w:multiLevelType w:val="hybridMultilevel"/>
    <w:lvl w:ilvl="0">
      <w:lvlJc w:val="left"/>
      <w:lvlText w:val="%1."/>
      <w:numFmt w:val="upperLetter"/>
      <w:start w:val="5"/>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upperLetter"/>
      <w:start w:val="35"/>
    </w:lvl>
  </w:abstractNum>
  <w:abstractNum w:abstractNumId="20">
    <w:nsid w:val="1E7FF521"/>
    <w:multiLevelType w:val="hybridMultilevel"/>
    <w:lvl w:ilvl="0">
      <w:lvlJc w:val="left"/>
      <w:lvlText w:val="%1"/>
      <w:numFmt w:val="upperLetter"/>
      <w:start w:val="1"/>
    </w:lvl>
    <w:lvl w:ilvl="1">
      <w:lvlJc w:val="left"/>
      <w:lvlText w:val="%2."/>
      <w:numFmt w:val="upperLetter"/>
      <w:start w:val="2"/>
    </w:lvl>
  </w:abstractNum>
  <w:abstractNum w:abstractNumId="21">
    <w:nsid w:val="7C3DBD3D"/>
    <w:multiLevelType w:val="hybridMultilevel"/>
    <w:lvl w:ilvl="0">
      <w:lvlJc w:val="left"/>
      <w:lvlText w:val="%1."/>
      <w:numFmt w:val="upperLetter"/>
      <w:start w:val="61"/>
    </w:lvl>
    <w:lvl w:ilvl="1">
      <w:lvlJc w:val="left"/>
      <w:lvlText w:val="%2"/>
      <w:numFmt w:val="upperLetter"/>
      <w:start w:val="1"/>
    </w:lvl>
  </w:abstractNum>
  <w:abstractNum w:abstractNumId="22">
    <w:nsid w:val="737B8DDC"/>
    <w:multiLevelType w:val="hybridMultilevel"/>
    <w:lvl w:ilvl="0">
      <w:lvlJc w:val="left"/>
      <w:lvlText w:val="%1."/>
      <w:numFmt w:val="upperLetter"/>
      <w:start w:val="2"/>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upperLetter"/>
      <w:start w:val="1"/>
    </w:lvl>
  </w:abstractNum>
  <w:abstractNum w:abstractNumId="25">
    <w:nsid w:val="4516DDE9"/>
    <w:multiLevelType w:val="hybridMultilevel"/>
    <w:lvl w:ilvl="0">
      <w:lvlJc w:val="left"/>
      <w:lvlText w:val="%1."/>
      <w:numFmt w:val="upperLetter"/>
      <w:start w:val="4"/>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upperLetter"/>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lowerLetter"/>
      <w:start w:val="2"/>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69" Type="http://schemas.openxmlformats.org/officeDocument/2006/relationships/hyperlink" Target="http://www.sec.gov/Archives/edgar/data/0001620280/000156459018007159/unit-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2019-12-28T21:53:16Z</dcterms:created>
  <dcterms:modified xsi:type="dcterms:W3CDTF">2019-12-28T21:53:16Z</dcterms:modified>
</cp:coreProperties>
</file>