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72523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7252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2906395</wp:posOffset>
            </wp:positionH>
            <wp:positionV relativeFrom="paragraph">
              <wp:posOffset>-207645</wp:posOffset>
            </wp:positionV>
            <wp:extent cx="1443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3990" cy="8255"/>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78740</wp:posOffset>
            </wp:positionV>
            <wp:extent cx="1443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7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6" w:lineRule="exact"/>
        <w:rPr>
          <w:sz w:val="24"/>
          <w:szCs w:val="24"/>
          <w:color w:val="auto"/>
        </w:rPr>
      </w:pPr>
    </w:p>
    <w:p>
      <w:pPr>
        <w:ind w:left="520" w:hanging="517"/>
        <w:spacing w:after="0"/>
        <w:tabs>
          <w:tab w:leader="none" w:pos="52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2019</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80" w:lineRule="exact"/>
        <w:rPr>
          <w:sz w:val="24"/>
          <w:szCs w:val="24"/>
          <w:color w:val="auto"/>
        </w:rPr>
      </w:pPr>
    </w:p>
    <w:p>
      <w:pPr>
        <w:ind w:left="520" w:hanging="517"/>
        <w:spacing w:after="0"/>
        <w:tabs>
          <w:tab w:leader="none" w:pos="52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1720" w:type="dxa"/>
        <w:tblCellMar>
          <w:top w:w="0" w:type="dxa"/>
          <w:left w:w="0" w:type="dxa"/>
          <w:bottom w:w="0" w:type="dxa"/>
          <w:right w:w="0" w:type="dxa"/>
        </w:tblCellMar>
      </w:tblPr>
      <w:tr>
        <w:trPr>
          <w:trHeight w:val="225"/>
        </w:trPr>
        <w:tc>
          <w:tcPr>
            <w:tcW w:w="6140" w:type="dxa"/>
            <w:vAlign w:val="bottom"/>
            <w:gridSpan w:val="3"/>
          </w:tcPr>
          <w:p>
            <w:pPr>
              <w:jc w:val="center"/>
              <w:ind w:left="1750"/>
              <w:spacing w:after="0"/>
              <w:rPr>
                <w:sz w:val="20"/>
                <w:szCs w:val="20"/>
                <w:color w:val="auto"/>
              </w:rPr>
            </w:pPr>
            <w:r>
              <w:rPr>
                <w:rFonts w:ascii="Arial" w:cs="Arial" w:eastAsia="Arial" w:hAnsi="Arial"/>
                <w:sz w:val="17"/>
                <w:szCs w:val="17"/>
                <w:b w:val="1"/>
                <w:bCs w:val="1"/>
                <w:color w:val="auto"/>
                <w:w w:val="92"/>
              </w:rPr>
              <w:t>For the transition period from _______ to _______</w:t>
            </w:r>
          </w:p>
        </w:tc>
        <w:tc>
          <w:tcPr>
            <w:tcW w:w="1240" w:type="dxa"/>
            <w:vAlign w:val="bottom"/>
          </w:tcPr>
          <w:p>
            <w:pPr>
              <w:spacing w:after="0"/>
              <w:rPr>
                <w:sz w:val="19"/>
                <w:szCs w:val="19"/>
                <w:color w:val="auto"/>
              </w:rPr>
            </w:pPr>
          </w:p>
        </w:tc>
      </w:tr>
      <w:tr>
        <w:trPr>
          <w:trHeight w:val="271"/>
        </w:trPr>
        <w:tc>
          <w:tcPr>
            <w:tcW w:w="6140" w:type="dxa"/>
            <w:vAlign w:val="bottom"/>
            <w:gridSpan w:val="3"/>
          </w:tcPr>
          <w:p>
            <w:pPr>
              <w:jc w:val="center"/>
              <w:ind w:left="1750"/>
              <w:spacing w:after="0"/>
              <w:rPr>
                <w:sz w:val="20"/>
                <w:szCs w:val="20"/>
                <w:color w:val="auto"/>
              </w:rPr>
            </w:pPr>
            <w:r>
              <w:rPr>
                <w:rFonts w:ascii="Arial" w:cs="Arial" w:eastAsia="Arial" w:hAnsi="Arial"/>
                <w:sz w:val="17"/>
                <w:szCs w:val="17"/>
                <w:b w:val="1"/>
                <w:bCs w:val="1"/>
                <w:color w:val="auto"/>
                <w:w w:val="92"/>
              </w:rPr>
              <w:t>Commission File Number: 001-36708</w:t>
            </w:r>
          </w:p>
        </w:tc>
        <w:tc>
          <w:tcPr>
            <w:tcW w:w="1240" w:type="dxa"/>
            <w:vAlign w:val="bottom"/>
          </w:tcPr>
          <w:p>
            <w:pPr>
              <w:spacing w:after="0"/>
              <w:rPr>
                <w:sz w:val="23"/>
                <w:szCs w:val="23"/>
                <w:color w:val="auto"/>
              </w:rPr>
            </w:pPr>
          </w:p>
        </w:tc>
      </w:tr>
      <w:tr>
        <w:trPr>
          <w:trHeight w:val="90"/>
        </w:trPr>
        <w:tc>
          <w:tcPr>
            <w:tcW w:w="2860" w:type="dxa"/>
            <w:vAlign w:val="bottom"/>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453"/>
        </w:trPr>
        <w:tc>
          <w:tcPr>
            <w:tcW w:w="6140" w:type="dxa"/>
            <w:vAlign w:val="bottom"/>
            <w:gridSpan w:val="3"/>
          </w:tcPr>
          <w:p>
            <w:pPr>
              <w:jc w:val="center"/>
              <w:ind w:left="1750"/>
              <w:spacing w:after="0" w:line="452" w:lineRule="exact"/>
              <w:rPr>
                <w:sz w:val="20"/>
                <w:szCs w:val="20"/>
                <w:color w:val="auto"/>
              </w:rPr>
            </w:pPr>
            <w:r>
              <w:rPr>
                <w:rFonts w:ascii="Arial" w:cs="Arial" w:eastAsia="Arial" w:hAnsi="Arial"/>
                <w:sz w:val="41"/>
                <w:szCs w:val="41"/>
                <w:b w:val="1"/>
                <w:bCs w:val="1"/>
                <w:color w:val="auto"/>
                <w:w w:val="95"/>
              </w:rPr>
              <w:t>Uniti Group Inc.</w:t>
            </w:r>
          </w:p>
        </w:tc>
        <w:tc>
          <w:tcPr>
            <w:tcW w:w="1240" w:type="dxa"/>
            <w:vAlign w:val="bottom"/>
          </w:tcPr>
          <w:p>
            <w:pPr>
              <w:spacing w:after="0"/>
              <w:rPr>
                <w:sz w:val="24"/>
                <w:szCs w:val="24"/>
                <w:color w:val="auto"/>
              </w:rPr>
            </w:pPr>
          </w:p>
        </w:tc>
      </w:tr>
      <w:tr>
        <w:trPr>
          <w:trHeight w:val="225"/>
        </w:trPr>
        <w:tc>
          <w:tcPr>
            <w:tcW w:w="6140" w:type="dxa"/>
            <w:vAlign w:val="bottom"/>
            <w:gridSpan w:val="3"/>
          </w:tcPr>
          <w:p>
            <w:pPr>
              <w:jc w:val="center"/>
              <w:ind w:left="1770"/>
              <w:spacing w:after="0"/>
              <w:rPr>
                <w:sz w:val="20"/>
                <w:szCs w:val="20"/>
                <w:color w:val="auto"/>
              </w:rPr>
            </w:pPr>
            <w:r>
              <w:rPr>
                <w:rFonts w:ascii="Arial" w:cs="Arial" w:eastAsia="Arial" w:hAnsi="Arial"/>
                <w:sz w:val="17"/>
                <w:szCs w:val="17"/>
                <w:b w:val="1"/>
                <w:bCs w:val="1"/>
                <w:color w:val="auto"/>
                <w:w w:val="90"/>
              </w:rPr>
              <w:t>(Exact name of registrant as specified in its charter)</w:t>
            </w:r>
          </w:p>
        </w:tc>
        <w:tc>
          <w:tcPr>
            <w:tcW w:w="1240" w:type="dxa"/>
            <w:vAlign w:val="bottom"/>
          </w:tcPr>
          <w:p>
            <w:pPr>
              <w:spacing w:after="0"/>
              <w:rPr>
                <w:sz w:val="19"/>
                <w:szCs w:val="19"/>
                <w:color w:val="auto"/>
              </w:rPr>
            </w:pPr>
          </w:p>
        </w:tc>
      </w:tr>
      <w:tr>
        <w:trPr>
          <w:trHeight w:val="103"/>
        </w:trPr>
        <w:tc>
          <w:tcPr>
            <w:tcW w:w="286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55"/>
        </w:trPr>
        <w:tc>
          <w:tcPr>
            <w:tcW w:w="6140" w:type="dxa"/>
            <w:vAlign w:val="bottom"/>
            <w:gridSpan w:val="3"/>
          </w:tcPr>
          <w:p>
            <w:pPr>
              <w:jc w:val="center"/>
              <w:ind w:right="3860"/>
              <w:spacing w:after="0"/>
              <w:rPr>
                <w:sz w:val="20"/>
                <w:szCs w:val="20"/>
                <w:color w:val="auto"/>
              </w:rPr>
            </w:pPr>
            <w:r>
              <w:rPr>
                <w:rFonts w:ascii="Arial" w:cs="Arial" w:eastAsia="Arial" w:hAnsi="Arial"/>
                <w:sz w:val="17"/>
                <w:szCs w:val="17"/>
                <w:b w:val="1"/>
                <w:bCs w:val="1"/>
                <w:color w:val="auto"/>
                <w:w w:val="96"/>
              </w:rPr>
              <w:t>Maryland</w:t>
            </w:r>
          </w:p>
        </w:tc>
        <w:tc>
          <w:tcPr>
            <w:tcW w:w="1240" w:type="dxa"/>
            <w:vAlign w:val="bottom"/>
          </w:tcPr>
          <w:p>
            <w:pPr>
              <w:jc w:val="right"/>
              <w:ind w:right="44"/>
              <w:spacing w:after="0"/>
              <w:rPr>
                <w:sz w:val="20"/>
                <w:szCs w:val="20"/>
                <w:color w:val="auto"/>
              </w:rPr>
            </w:pPr>
            <w:r>
              <w:rPr>
                <w:rFonts w:ascii="Arial" w:cs="Arial" w:eastAsia="Arial" w:hAnsi="Arial"/>
                <w:sz w:val="17"/>
                <w:szCs w:val="17"/>
                <w:b w:val="1"/>
                <w:bCs w:val="1"/>
                <w:color w:val="auto"/>
              </w:rPr>
              <w:t>46-5230630</w:t>
            </w:r>
          </w:p>
        </w:tc>
      </w:tr>
      <w:tr>
        <w:trPr>
          <w:trHeight w:val="142"/>
        </w:trPr>
        <w:tc>
          <w:tcPr>
            <w:tcW w:w="6140" w:type="dxa"/>
            <w:vAlign w:val="bottom"/>
            <w:gridSpan w:val="3"/>
          </w:tcPr>
          <w:p>
            <w:pPr>
              <w:jc w:val="center"/>
              <w:ind w:right="3860"/>
              <w:spacing w:after="0" w:line="142" w:lineRule="exact"/>
              <w:rPr>
                <w:sz w:val="20"/>
                <w:szCs w:val="20"/>
                <w:color w:val="auto"/>
              </w:rPr>
            </w:pPr>
            <w:r>
              <w:rPr>
                <w:rFonts w:ascii="Arial" w:cs="Arial" w:eastAsia="Arial" w:hAnsi="Arial"/>
                <w:sz w:val="14"/>
                <w:szCs w:val="14"/>
                <w:b w:val="1"/>
                <w:bCs w:val="1"/>
                <w:color w:val="auto"/>
                <w:w w:val="89"/>
              </w:rPr>
              <w:t>(State or other jurisdiction of</w:t>
            </w:r>
          </w:p>
        </w:tc>
        <w:tc>
          <w:tcPr>
            <w:tcW w:w="1240" w:type="dxa"/>
            <w:vAlign w:val="bottom"/>
          </w:tcPr>
          <w:p>
            <w:pPr>
              <w:jc w:val="center"/>
              <w:ind w:left="104"/>
              <w:spacing w:after="0" w:line="142" w:lineRule="exact"/>
              <w:rPr>
                <w:sz w:val="20"/>
                <w:szCs w:val="20"/>
                <w:color w:val="auto"/>
              </w:rPr>
            </w:pPr>
            <w:r>
              <w:rPr>
                <w:rFonts w:ascii="Arial" w:cs="Arial" w:eastAsia="Arial" w:hAnsi="Arial"/>
                <w:sz w:val="14"/>
                <w:szCs w:val="14"/>
                <w:b w:val="1"/>
                <w:bCs w:val="1"/>
                <w:color w:val="auto"/>
                <w:w w:val="91"/>
              </w:rPr>
              <w:t>(I.R.S. Employer</w:t>
            </w:r>
          </w:p>
        </w:tc>
      </w:tr>
      <w:tr>
        <w:trPr>
          <w:trHeight w:val="179"/>
        </w:trPr>
        <w:tc>
          <w:tcPr>
            <w:tcW w:w="6140" w:type="dxa"/>
            <w:vAlign w:val="bottom"/>
            <w:gridSpan w:val="3"/>
          </w:tcPr>
          <w:p>
            <w:pPr>
              <w:jc w:val="center"/>
              <w:ind w:right="3860"/>
              <w:spacing w:after="0"/>
              <w:rPr>
                <w:sz w:val="20"/>
                <w:szCs w:val="20"/>
                <w:color w:val="auto"/>
              </w:rPr>
            </w:pPr>
            <w:r>
              <w:rPr>
                <w:rFonts w:ascii="Arial" w:cs="Arial" w:eastAsia="Arial" w:hAnsi="Arial"/>
                <w:sz w:val="14"/>
                <w:szCs w:val="14"/>
                <w:b w:val="1"/>
                <w:bCs w:val="1"/>
                <w:color w:val="auto"/>
                <w:w w:val="90"/>
              </w:rPr>
              <w:t>incorporation or organization)</w:t>
            </w:r>
          </w:p>
        </w:tc>
        <w:tc>
          <w:tcPr>
            <w:tcW w:w="1240" w:type="dxa"/>
            <w:vAlign w:val="bottom"/>
          </w:tcPr>
          <w:p>
            <w:pPr>
              <w:jc w:val="center"/>
              <w:ind w:left="104"/>
              <w:spacing w:after="0"/>
              <w:rPr>
                <w:sz w:val="20"/>
                <w:szCs w:val="20"/>
                <w:color w:val="auto"/>
              </w:rPr>
            </w:pPr>
            <w:r>
              <w:rPr>
                <w:rFonts w:ascii="Arial" w:cs="Arial" w:eastAsia="Arial" w:hAnsi="Arial"/>
                <w:sz w:val="14"/>
                <w:szCs w:val="14"/>
                <w:b w:val="1"/>
                <w:bCs w:val="1"/>
                <w:color w:val="auto"/>
                <w:w w:val="89"/>
              </w:rPr>
              <w:t>Identification No.)</w:t>
            </w:r>
          </w:p>
        </w:tc>
      </w:tr>
      <w:tr>
        <w:trPr>
          <w:trHeight w:val="252"/>
        </w:trPr>
        <w:tc>
          <w:tcPr>
            <w:tcW w:w="6140" w:type="dxa"/>
            <w:vAlign w:val="bottom"/>
            <w:gridSpan w:val="3"/>
          </w:tcPr>
          <w:p>
            <w:pPr>
              <w:jc w:val="center"/>
              <w:ind w:right="3860"/>
              <w:spacing w:after="0"/>
              <w:rPr>
                <w:sz w:val="20"/>
                <w:szCs w:val="20"/>
                <w:color w:val="auto"/>
              </w:rPr>
            </w:pPr>
            <w:r>
              <w:rPr>
                <w:rFonts w:ascii="Arial" w:cs="Arial" w:eastAsia="Arial" w:hAnsi="Arial"/>
                <w:sz w:val="17"/>
                <w:szCs w:val="17"/>
                <w:b w:val="1"/>
                <w:bCs w:val="1"/>
                <w:color w:val="auto"/>
                <w:w w:val="92"/>
              </w:rPr>
              <w:t>10802 Executive Center Drive</w:t>
            </w:r>
          </w:p>
        </w:tc>
        <w:tc>
          <w:tcPr>
            <w:tcW w:w="1240" w:type="dxa"/>
            <w:vAlign w:val="bottom"/>
          </w:tcPr>
          <w:p>
            <w:pPr>
              <w:spacing w:after="0"/>
              <w:rPr>
                <w:sz w:val="21"/>
                <w:szCs w:val="21"/>
                <w:color w:val="auto"/>
              </w:rPr>
            </w:pPr>
          </w:p>
        </w:tc>
      </w:tr>
      <w:tr>
        <w:trPr>
          <w:trHeight w:val="207"/>
        </w:trPr>
        <w:tc>
          <w:tcPr>
            <w:tcW w:w="6140" w:type="dxa"/>
            <w:vAlign w:val="bottom"/>
            <w:gridSpan w:val="3"/>
          </w:tcPr>
          <w:p>
            <w:pPr>
              <w:jc w:val="center"/>
              <w:ind w:right="3860"/>
              <w:spacing w:after="0"/>
              <w:rPr>
                <w:sz w:val="20"/>
                <w:szCs w:val="20"/>
                <w:color w:val="auto"/>
              </w:rPr>
            </w:pPr>
            <w:r>
              <w:rPr>
                <w:rFonts w:ascii="Arial" w:cs="Arial" w:eastAsia="Arial" w:hAnsi="Arial"/>
                <w:sz w:val="17"/>
                <w:szCs w:val="17"/>
                <w:b w:val="1"/>
                <w:bCs w:val="1"/>
                <w:color w:val="auto"/>
                <w:w w:val="91"/>
              </w:rPr>
              <w:t>Benton Building Suite 300</w:t>
            </w:r>
          </w:p>
        </w:tc>
        <w:tc>
          <w:tcPr>
            <w:tcW w:w="1240" w:type="dxa"/>
            <w:vAlign w:val="bottom"/>
          </w:tcPr>
          <w:p>
            <w:pPr>
              <w:spacing w:after="0"/>
              <w:rPr>
                <w:sz w:val="17"/>
                <w:szCs w:val="17"/>
                <w:color w:val="auto"/>
              </w:rPr>
            </w:pPr>
          </w:p>
        </w:tc>
      </w:tr>
      <w:tr>
        <w:trPr>
          <w:trHeight w:val="203"/>
        </w:trPr>
        <w:tc>
          <w:tcPr>
            <w:tcW w:w="6140" w:type="dxa"/>
            <w:vAlign w:val="bottom"/>
            <w:gridSpan w:val="3"/>
          </w:tcPr>
          <w:p>
            <w:pPr>
              <w:jc w:val="center"/>
              <w:ind w:right="3860"/>
              <w:spacing w:after="0"/>
              <w:rPr>
                <w:sz w:val="20"/>
                <w:szCs w:val="20"/>
                <w:color w:val="auto"/>
              </w:rPr>
            </w:pPr>
            <w:r>
              <w:rPr>
                <w:rFonts w:ascii="Arial" w:cs="Arial" w:eastAsia="Arial" w:hAnsi="Arial"/>
                <w:sz w:val="17"/>
                <w:szCs w:val="17"/>
                <w:b w:val="1"/>
                <w:bCs w:val="1"/>
                <w:color w:val="auto"/>
                <w:w w:val="92"/>
              </w:rPr>
              <w:t>Little Rock, Arkansas</w:t>
            </w:r>
          </w:p>
        </w:tc>
        <w:tc>
          <w:tcPr>
            <w:tcW w:w="1240" w:type="dxa"/>
            <w:vAlign w:val="bottom"/>
          </w:tcPr>
          <w:p>
            <w:pPr>
              <w:jc w:val="right"/>
              <w:ind w:right="244"/>
              <w:spacing w:after="0"/>
              <w:rPr>
                <w:sz w:val="20"/>
                <w:szCs w:val="20"/>
                <w:color w:val="auto"/>
              </w:rPr>
            </w:pPr>
            <w:r>
              <w:rPr>
                <w:rFonts w:ascii="Arial" w:cs="Arial" w:eastAsia="Arial" w:hAnsi="Arial"/>
                <w:sz w:val="17"/>
                <w:szCs w:val="17"/>
                <w:b w:val="1"/>
                <w:bCs w:val="1"/>
                <w:color w:val="auto"/>
              </w:rPr>
              <w:t>72211</w:t>
            </w:r>
          </w:p>
        </w:tc>
      </w:tr>
      <w:tr>
        <w:trPr>
          <w:trHeight w:val="179"/>
        </w:trPr>
        <w:tc>
          <w:tcPr>
            <w:tcW w:w="6140" w:type="dxa"/>
            <w:vAlign w:val="bottom"/>
            <w:gridSpan w:val="3"/>
          </w:tcPr>
          <w:p>
            <w:pPr>
              <w:jc w:val="center"/>
              <w:ind w:right="3860"/>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1240" w:type="dxa"/>
            <w:vAlign w:val="bottom"/>
          </w:tcPr>
          <w:p>
            <w:pPr>
              <w:jc w:val="center"/>
              <w:ind w:left="104"/>
              <w:spacing w:after="0"/>
              <w:rPr>
                <w:sz w:val="20"/>
                <w:szCs w:val="20"/>
                <w:color w:val="auto"/>
              </w:rPr>
            </w:pPr>
            <w:r>
              <w:rPr>
                <w:rFonts w:ascii="Arial" w:cs="Arial" w:eastAsia="Arial" w:hAnsi="Arial"/>
                <w:sz w:val="14"/>
                <w:szCs w:val="14"/>
                <w:b w:val="1"/>
                <w:bCs w:val="1"/>
                <w:color w:val="auto"/>
                <w:w w:val="89"/>
              </w:rPr>
              <w:t>(Zip Code)</w:t>
            </w:r>
          </w:p>
        </w:tc>
      </w:tr>
      <w:tr>
        <w:trPr>
          <w:trHeight w:val="207"/>
        </w:trPr>
        <w:tc>
          <w:tcPr>
            <w:tcW w:w="6140" w:type="dxa"/>
            <w:vAlign w:val="bottom"/>
            <w:gridSpan w:val="3"/>
          </w:tcPr>
          <w:p>
            <w:pPr>
              <w:jc w:val="center"/>
              <w:ind w:left="1770"/>
              <w:spacing w:after="0"/>
              <w:rPr>
                <w:sz w:val="20"/>
                <w:szCs w:val="20"/>
                <w:color w:val="auto"/>
              </w:rPr>
            </w:pPr>
            <w:r>
              <w:rPr>
                <w:rFonts w:ascii="Arial" w:cs="Arial" w:eastAsia="Arial" w:hAnsi="Arial"/>
                <w:sz w:val="14"/>
                <w:szCs w:val="14"/>
                <w:b w:val="1"/>
                <w:bCs w:val="1"/>
                <w:color w:val="auto"/>
                <w:w w:val="88"/>
              </w:rPr>
              <w:t>Registrant’s telephone number, including area code: (501) 850-0820</w:t>
            </w:r>
          </w:p>
        </w:tc>
        <w:tc>
          <w:tcPr>
            <w:tcW w:w="12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2906395</wp:posOffset>
            </wp:positionH>
            <wp:positionV relativeFrom="paragraph">
              <wp:posOffset>48260</wp:posOffset>
            </wp:positionV>
            <wp:extent cx="1443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34" w:lineRule="exact"/>
        <w:rPr>
          <w:sz w:val="24"/>
          <w:szCs w:val="24"/>
          <w:color w:val="auto"/>
        </w:rPr>
      </w:pPr>
    </w:p>
    <w:p>
      <w:pPr>
        <w:ind w:right="160" w:firstLine="518"/>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5" w:lineRule="exact"/>
        <w:rPr>
          <w:sz w:val="24"/>
          <w:szCs w:val="24"/>
          <w:color w:val="auto"/>
        </w:rPr>
      </w:pPr>
    </w:p>
    <w:p>
      <w:pPr>
        <w:ind w:right="500" w:firstLine="518"/>
        <w:spacing w:after="0" w:line="29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60"/>
        <w:spacing w:after="0" w:line="196" w:lineRule="exact"/>
        <w:tabs>
          <w:tab w:leader="none" w:pos="90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68" w:lineRule="exact"/>
        <w:rPr>
          <w:sz w:val="24"/>
          <w:szCs w:val="24"/>
          <w:color w:val="auto"/>
        </w:rPr>
      </w:pPr>
    </w:p>
    <w:p>
      <w:pPr>
        <w:ind w:firstLine="518"/>
        <w:spacing w:after="0" w:line="26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7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5160" w:type="dxa"/>
            <w:vAlign w:val="bottom"/>
          </w:tcPr>
          <w:p>
            <w:pPr>
              <w:ind w:left="3020"/>
              <w:spacing w:after="0"/>
              <w:rPr>
                <w:sz w:val="20"/>
                <w:szCs w:val="20"/>
                <w:color w:val="auto"/>
              </w:rPr>
            </w:pPr>
            <w:r>
              <w:rPr>
                <w:rFonts w:ascii="Arial" w:cs="Arial" w:eastAsia="Arial" w:hAnsi="Arial"/>
                <w:sz w:val="17"/>
                <w:szCs w:val="17"/>
                <w:color w:val="auto"/>
              </w:rPr>
              <w:t>Accelerated filer</w:t>
            </w:r>
          </w:p>
        </w:tc>
        <w:tc>
          <w:tcPr>
            <w:tcW w:w="40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36"/>
        </w:trPr>
        <w:tc>
          <w:tcPr>
            <w:tcW w:w="2080" w:type="dxa"/>
            <w:vAlign w:val="bottom"/>
          </w:tcPr>
          <w:p>
            <w:pPr>
              <w:spacing w:after="0"/>
              <w:rPr>
                <w:sz w:val="20"/>
                <w:szCs w:val="20"/>
                <w:color w:val="auto"/>
              </w:rPr>
            </w:pPr>
            <w:r>
              <w:rPr>
                <w:rFonts w:ascii="Arial" w:cs="Arial" w:eastAsia="Arial" w:hAnsi="Arial"/>
                <w:sz w:val="17"/>
                <w:szCs w:val="17"/>
                <w:color w:val="auto"/>
              </w:rPr>
              <w:t>Non-accelerated filer</w:t>
            </w:r>
          </w:p>
        </w:tc>
        <w:tc>
          <w:tcPr>
            <w:tcW w:w="37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5160" w:type="dxa"/>
            <w:vAlign w:val="bottom"/>
          </w:tcPr>
          <w:p>
            <w:pPr>
              <w:ind w:left="302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1"/>
        </w:trPr>
        <w:tc>
          <w:tcPr>
            <w:tcW w:w="208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Arial" w:cs="Arial" w:eastAsia="Arial" w:hAnsi="Arial"/>
                <w:sz w:val="17"/>
                <w:szCs w:val="17"/>
                <w:color w:val="auto"/>
              </w:rPr>
              <w:t>Emerging growth company</w:t>
            </w:r>
          </w:p>
        </w:tc>
        <w:tc>
          <w:tcPr>
            <w:tcW w:w="40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73" w:lineRule="exact"/>
        <w:rPr>
          <w:sz w:val="24"/>
          <w:szCs w:val="24"/>
          <w:color w:val="auto"/>
        </w:rPr>
      </w:pPr>
    </w:p>
    <w:p>
      <w:pPr>
        <w:ind w:right="120" w:firstLine="518"/>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ind w:left="520"/>
        <w:spacing w:after="0" w:line="196" w:lineRule="exact"/>
        <w:tabs>
          <w:tab w:leader="none" w:pos="8540" w:val="left"/>
          <w:tab w:leader="none" w:pos="92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ectPr>
          <w:pgSz w:w="11900" w:h="16838" w:orient="portrait"/>
          <w:cols w:equalWidth="0" w:num="1">
            <w:col w:w="11420"/>
          </w:cols>
          <w:pgMar w:left="240" w:top="230" w:right="239" w:bottom="1440" w:gutter="0" w:footer="0" w:header="0"/>
        </w:sectPr>
      </w:pPr>
    </w:p>
    <w:p>
      <w:pPr>
        <w:spacing w:after="0" w:line="315" w:lineRule="exact"/>
        <w:rPr>
          <w:sz w:val="24"/>
          <w:szCs w:val="24"/>
          <w:color w:val="auto"/>
        </w:rPr>
      </w:pPr>
    </w:p>
    <w:p>
      <w:pPr>
        <w:ind w:left="154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4" w:lineRule="exact"/>
        <w:rPr>
          <w:sz w:val="24"/>
          <w:szCs w:val="24"/>
          <w:color w:val="auto"/>
        </w:rPr>
      </w:pPr>
    </w:p>
    <w:p>
      <w:pPr>
        <w:ind w:left="1080"/>
        <w:spacing w:after="0"/>
        <w:tabs>
          <w:tab w:leader="none" w:pos="3740" w:val="left"/>
        </w:tabs>
        <w:rPr>
          <w:sz w:val="20"/>
          <w:szCs w:val="20"/>
          <w:color w:val="auto"/>
        </w:rPr>
      </w:pPr>
      <w:r>
        <w:rPr>
          <w:rFonts w:ascii="Arial" w:cs="Arial" w:eastAsia="Arial" w:hAnsi="Arial"/>
          <w:sz w:val="17"/>
          <w:szCs w:val="17"/>
          <w:color w:val="auto"/>
        </w:rPr>
        <w:t>Trading Symbol(s)</w:t>
      </w:r>
      <w:r>
        <w:rPr>
          <w:sz w:val="20"/>
          <w:szCs w:val="20"/>
          <w:color w:val="auto"/>
        </w:rPr>
        <w:tab/>
      </w:r>
      <w:r>
        <w:rPr>
          <w:rFonts w:ascii="Arial" w:cs="Arial" w:eastAsia="Arial" w:hAnsi="Arial"/>
          <w:sz w:val="15"/>
          <w:szCs w:val="15"/>
          <w:color w:val="auto"/>
        </w:rPr>
        <w:t>Name of each exchange on which registered</w:t>
      </w:r>
    </w:p>
    <w:p>
      <w:pPr>
        <w:spacing w:after="0" w:line="37" w:lineRule="exact"/>
        <w:rPr>
          <w:sz w:val="24"/>
          <w:szCs w:val="24"/>
          <w:color w:val="auto"/>
        </w:rPr>
      </w:pPr>
    </w:p>
    <w:p>
      <w:pPr>
        <w:sectPr>
          <w:pgSz w:w="11900" w:h="16838" w:orient="portrait"/>
          <w:cols w:equalWidth="0" w:num="2">
            <w:col w:w="3260" w:space="720"/>
            <w:col w:w="7440"/>
          </w:cols>
          <w:pgMar w:left="240" w:top="230" w:right="239" w:bottom="1440" w:gutter="0" w:footer="0" w:header="0"/>
          <w:type w:val="continuous"/>
        </w:sectPr>
      </w:pPr>
    </w:p>
    <w:p>
      <w:pPr>
        <w:ind w:left="1620"/>
        <w:spacing w:after="0"/>
        <w:rPr>
          <w:sz w:val="20"/>
          <w:szCs w:val="20"/>
          <w:color w:val="auto"/>
        </w:rPr>
      </w:pPr>
      <w:r>
        <w:rPr>
          <w:rFonts w:ascii="Arial" w:cs="Arial" w:eastAsia="Arial" w:hAnsi="Arial"/>
          <w:sz w:val="15"/>
          <w:szCs w:val="15"/>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UNIT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Global Select Market</w:t>
      </w:r>
    </w:p>
    <w:p>
      <w:pPr>
        <w:spacing w:after="0" w:line="126" w:lineRule="exact"/>
        <w:rPr>
          <w:sz w:val="24"/>
          <w:szCs w:val="24"/>
          <w:color w:val="auto"/>
        </w:rPr>
      </w:pPr>
    </w:p>
    <w:p>
      <w:pPr>
        <w:sectPr>
          <w:pgSz w:w="11900" w:h="16838" w:orient="portrait"/>
          <w:cols w:equalWidth="0" w:num="3">
            <w:col w:w="4780" w:space="720"/>
            <w:col w:w="1760" w:space="720"/>
            <w:col w:w="344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As of May 3, 2019, the registrant had 184,157,016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7252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128270</wp:posOffset>
            </wp:positionV>
            <wp:extent cx="7252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467995</wp:posOffset>
            </wp:positionV>
            <wp:extent cx="729424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50"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effect of Windstream Holdings, Inc.’s (“Windstream Holdings” and together with its subsidiaries, “Windstream”) bankruptcy and Windstream’s performance under its long-term exclusive triple-net lease with us (the “Master Lease”); our expectations with respect to the treatment of the Master Lease in Windstream’s petitions for relief under Chapter 11 of the Bankruptcy Code; our expectations regarding the effect of substantial doubt about our ability to continue as a going concern; our expectations regarding the future growth and demand of the telecommunications industry, future financing plans, business strategies, growth prospects, operating and financial performance, and our future liquidity needs and access to capital; expectations regarding the impact and integration of Information Transport Solutions, Inc. (“ITS”), CableSouth Media, LLC (“CableSouth”) and M</w:t>
      </w:r>
      <w:r>
        <w:rPr>
          <w:rFonts w:ascii="Arial" w:cs="Arial" w:eastAsia="Arial" w:hAnsi="Arial"/>
          <w:sz w:val="13"/>
          <w:szCs w:val="13"/>
          <w:color w:val="auto"/>
        </w:rPr>
        <w:t>2</w:t>
      </w:r>
      <w:r>
        <w:rPr>
          <w:rFonts w:ascii="Arial" w:cs="Arial" w:eastAsia="Arial" w:hAnsi="Arial"/>
          <w:sz w:val="16"/>
          <w:szCs w:val="16"/>
          <w:color w:val="auto"/>
        </w:rPr>
        <w:t xml:space="preserve"> Connections, including expectations regarding operational synergies with Uniti Towers and Uniti Fiber; expectations regarding the settling of our 3% convertible preferred stock in cash upon conversion; expectations regarding the probability of our obligation to pay contingent consideration upon Tower Cloud, Inc.'s ("Tower Cloud") achievement of certain defined operational and financial milestones; expectations regarding future deployment of fiber strand miles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expectations regarding the closing of the operating company-property company partnership with Macquarie Infrastructure Partners (“MIP”) and related acquisition of Bluebird Network, LLC (“Bluebird”); and expectations regarding the payment of dividends.</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285" w:lineRule="exact"/>
        <w:rPr>
          <w:sz w:val="20"/>
          <w:szCs w:val="20"/>
          <w:color w:val="auto"/>
        </w:rPr>
      </w:pPr>
    </w:p>
    <w:p>
      <w:pPr>
        <w:ind w:left="1040" w:right="240" w:hanging="520"/>
        <w:spacing w:after="0" w:line="283"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future prospects of our largest customer, Windstream Holdings, which, following a finding that it is in default of certain of its debt, on February 25, 2019, and along with all of its subsidiaries, filed voluntary petitions for relief under Chapter 11 of the Bankruptcy Code;</w:t>
      </w:r>
    </w:p>
    <w:p>
      <w:pPr>
        <w:spacing w:after="0" w:line="55" w:lineRule="exact"/>
        <w:rPr>
          <w:rFonts w:ascii="Arial" w:cs="Arial" w:eastAsia="Arial" w:hAnsi="Arial"/>
          <w:sz w:val="17"/>
          <w:szCs w:val="17"/>
          <w:color w:val="auto"/>
        </w:rPr>
      </w:pPr>
    </w:p>
    <w:p>
      <w:pPr>
        <w:ind w:left="1040" w:right="60" w:hanging="520"/>
        <w:spacing w:after="0" w:line="283"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continue as a going concern if Windstream Holdings were to reject the Master Lease or be unable or unwilling to perform its obligations under the Master Lease;</w:t>
      </w:r>
    </w:p>
    <w:p>
      <w:pPr>
        <w:spacing w:after="0" w:line="55" w:lineRule="exact"/>
        <w:rPr>
          <w:rFonts w:ascii="Arial" w:cs="Arial" w:eastAsia="Arial" w:hAnsi="Arial"/>
          <w:sz w:val="17"/>
          <w:szCs w:val="17"/>
          <w:color w:val="auto"/>
        </w:rPr>
      </w:pPr>
    </w:p>
    <w:p>
      <w:pPr>
        <w:ind w:left="1040" w:right="620" w:hanging="520"/>
        <w:spacing w:after="0" w:line="283"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customers to meet and/or perform their obligations under any contractual arrangements entered into with us, including master lease arrangements;</w:t>
      </w:r>
    </w:p>
    <w:p>
      <w:pPr>
        <w:spacing w:after="0" w:line="55"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our customers to comply with laws, rules and regulations in the operation of the assets we lease to them;</w:t>
      </w:r>
    </w:p>
    <w:p>
      <w:pPr>
        <w:spacing w:after="0" w:line="114" w:lineRule="exact"/>
        <w:rPr>
          <w:rFonts w:ascii="Arial" w:cs="Arial" w:eastAsia="Arial" w:hAnsi="Arial"/>
          <w:sz w:val="17"/>
          <w:szCs w:val="17"/>
          <w:color w:val="auto"/>
        </w:rPr>
      </w:pPr>
    </w:p>
    <w:p>
      <w:pPr>
        <w:ind w:left="1040" w:right="40" w:hanging="520"/>
        <w:spacing w:after="0" w:line="283"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55" w:lineRule="exact"/>
        <w:rPr>
          <w:rFonts w:ascii="Arial" w:cs="Arial" w:eastAsia="Arial" w:hAnsi="Arial"/>
          <w:sz w:val="17"/>
          <w:szCs w:val="17"/>
          <w:color w:val="auto"/>
        </w:rPr>
      </w:pPr>
    </w:p>
    <w:p>
      <w:pPr>
        <w:ind w:left="1040" w:hanging="520"/>
        <w:spacing w:after="0" w:line="283"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renew, extend or retain our contracts or to obtain new contracts with significant customers (including customers of the businesses that we acquire);</w:t>
      </w:r>
    </w:p>
    <w:p>
      <w:pPr>
        <w:spacing w:after="0" w:line="55" w:lineRule="exact"/>
        <w:rPr>
          <w:rFonts w:ascii="Arial" w:cs="Arial" w:eastAsia="Arial" w:hAnsi="Arial"/>
          <w:sz w:val="17"/>
          <w:szCs w:val="17"/>
          <w:color w:val="auto"/>
        </w:rPr>
      </w:pPr>
    </w:p>
    <w:p>
      <w:pPr>
        <w:ind w:left="1040" w:right="640" w:hanging="520"/>
        <w:spacing w:after="0" w:line="283"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availability of and our ability to identify suitable acquisition opportunities and our ability to acquire and lease the respective properties on favorable terms or operate and integrate the acquired businesses;</w:t>
      </w:r>
    </w:p>
    <w:p>
      <w:pPr>
        <w:spacing w:after="0" w:line="55"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generate sufficient cash flows to service our outstanding indebtedness;</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access debt and equity capital markets;</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on our business or the business of our customers as a result of credit rating downgrades, and fluctuating interest rates;</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impacts of litigation or disputes involving us or our customers;</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our key management personnel;</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21" w:lineRule="exact"/>
        <w:rPr>
          <w:sz w:val="20"/>
          <w:szCs w:val="20"/>
          <w:color w:val="auto"/>
        </w:rPr>
      </w:pPr>
    </w:p>
    <w:p>
      <w:pPr>
        <w:ind w:left="1040" w:right="120" w:hanging="520"/>
        <w:spacing w:after="0" w:line="283"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our status as a real estate investment trust (“REIT”), including as a result of the effects of the recent events with respect to our largest customer, Windstream Holdings;</w:t>
      </w:r>
    </w:p>
    <w:p>
      <w:pPr>
        <w:spacing w:after="0" w:line="55" w:lineRule="exact"/>
        <w:rPr>
          <w:rFonts w:ascii="Arial" w:cs="Arial" w:eastAsia="Arial" w:hAnsi="Arial"/>
          <w:sz w:val="17"/>
          <w:szCs w:val="17"/>
          <w:color w:val="auto"/>
        </w:rPr>
      </w:pPr>
    </w:p>
    <w:p>
      <w:pPr>
        <w:ind w:left="1040" w:right="180" w:hanging="520"/>
        <w:spacing w:after="0" w:line="283"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the U.S. tax law and other federal, state or local laws, whether or not specific to REITs, including the impact of the 2017 U.S. tax reform legislation;</w:t>
      </w:r>
    </w:p>
    <w:p>
      <w:pPr>
        <w:spacing w:after="0" w:line="55" w:lineRule="exact"/>
        <w:rPr>
          <w:rFonts w:ascii="Arial" w:cs="Arial" w:eastAsia="Arial" w:hAnsi="Arial"/>
          <w:sz w:val="17"/>
          <w:szCs w:val="17"/>
          <w:color w:val="auto"/>
        </w:rPr>
      </w:pPr>
    </w:p>
    <w:p>
      <w:pPr>
        <w:ind w:left="1040" w:hanging="520"/>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covenants in our debt agreements that may limit our operational flexibility;</w:t>
      </w:r>
    </w:p>
    <w:p>
      <w:pPr>
        <w:spacing w:after="0" w:line="114" w:lineRule="exact"/>
        <w:rPr>
          <w:rFonts w:ascii="Arial" w:cs="Arial" w:eastAsia="Arial" w:hAnsi="Arial"/>
          <w:sz w:val="17"/>
          <w:szCs w:val="17"/>
          <w:color w:val="auto"/>
        </w:rPr>
      </w:pPr>
    </w:p>
    <w:p>
      <w:pPr>
        <w:ind w:left="1040" w:right="40" w:hanging="520"/>
        <w:spacing w:after="0" w:line="283"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possibility that we may experience equipment failures, natural disasters, cyber attacks or terrorist attacks for which our insurance may not provide adequate coverage;</w:t>
      </w:r>
    </w:p>
    <w:p>
      <w:pPr>
        <w:spacing w:after="0" w:line="55" w:lineRule="exact"/>
        <w:rPr>
          <w:rFonts w:ascii="Arial" w:cs="Arial" w:eastAsia="Arial" w:hAnsi="Arial"/>
          <w:sz w:val="17"/>
          <w:szCs w:val="17"/>
          <w:color w:val="auto"/>
        </w:rPr>
      </w:pPr>
    </w:p>
    <w:p>
      <w:pPr>
        <w:ind w:left="1040" w:hanging="520"/>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 that we fail to fully realize the potential benefits of or have difficulty in integrating the companies we acquire;</w:t>
      </w:r>
    </w:p>
    <w:p>
      <w:pPr>
        <w:spacing w:after="0" w:line="114" w:lineRule="exact"/>
        <w:rPr>
          <w:rFonts w:ascii="Arial" w:cs="Arial" w:eastAsia="Arial" w:hAnsi="Arial"/>
          <w:sz w:val="17"/>
          <w:szCs w:val="17"/>
          <w:color w:val="auto"/>
        </w:rPr>
      </w:pPr>
    </w:p>
    <w:p>
      <w:pPr>
        <w:ind w:left="1040" w:hanging="520"/>
        <w:spacing w:after="0" w:line="283"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risks inherent in the communications industry and in the ownership of communications distribution systems, including potential liability relating to environmental matters and illiquidity of real estate investments;</w:t>
      </w:r>
    </w:p>
    <w:p>
      <w:pPr>
        <w:spacing w:after="0" w:line="55" w:lineRule="exact"/>
        <w:rPr>
          <w:rFonts w:ascii="Arial" w:cs="Arial" w:eastAsia="Arial" w:hAnsi="Arial"/>
          <w:sz w:val="17"/>
          <w:szCs w:val="17"/>
          <w:color w:val="auto"/>
        </w:rPr>
      </w:pPr>
    </w:p>
    <w:p>
      <w:pPr>
        <w:ind w:left="1040" w:right="20" w:hanging="520"/>
        <w:spacing w:after="0" w:line="283"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 that the agreements regarding the Bluebird acquisition may be modified or terminated prior to expiration or that the conditions to the Bluebird acquisition may not be satisfied; and</w:t>
      </w:r>
    </w:p>
    <w:p>
      <w:pPr>
        <w:spacing w:after="0" w:line="55" w:lineRule="exact"/>
        <w:rPr>
          <w:rFonts w:ascii="Arial" w:cs="Arial" w:eastAsia="Arial" w:hAnsi="Arial"/>
          <w:sz w:val="17"/>
          <w:szCs w:val="17"/>
          <w:color w:val="auto"/>
        </w:rPr>
      </w:pPr>
    </w:p>
    <w:p>
      <w:pPr>
        <w:ind w:left="1040" w:right="100" w:hanging="520"/>
        <w:spacing w:after="0" w:line="29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 factors discussed in Part I, Item 2 “Management’s Discussion and Analysis of Financial Condition and Results of Operations” of this Quarterly Report on Form 10-Q and in Part I, Item 1A "Risk Factors" of our Annual Report on Form 10-K for the year ended December 31, 2018, as well as those described from time to time in our future reports filed with the U.S. Securities and Exchange Commission (“SEC”).</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60" w:type="dxa"/>
            <w:vAlign w:val="bottom"/>
            <w:gridSpan w:val="5"/>
          </w:tcPr>
          <w:p>
            <w:pPr>
              <w:jc w:val="center"/>
              <w:ind w:right="4540"/>
              <w:spacing w:after="0"/>
              <w:rPr>
                <w:sz w:val="20"/>
                <w:szCs w:val="20"/>
                <w:color w:val="auto"/>
              </w:rPr>
            </w:pPr>
            <w:r>
              <w:rPr>
                <w:rFonts w:ascii="Arial" w:cs="Arial" w:eastAsia="Arial" w:hAnsi="Arial"/>
                <w:sz w:val="17"/>
                <w:szCs w:val="17"/>
                <w:b w:val="1"/>
                <w:bCs w:val="1"/>
                <w:color w:val="auto"/>
                <w:w w:val="95"/>
              </w:rPr>
              <w:t>Uniti Group Inc.</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120" w:type="dxa"/>
            <w:vAlign w:val="bottom"/>
            <w:gridSpan w:val="7"/>
          </w:tcPr>
          <w:p>
            <w:pPr>
              <w:jc w:val="center"/>
              <w:ind w:right="4180"/>
              <w:spacing w:after="0"/>
              <w:rPr>
                <w:sz w:val="20"/>
                <w:szCs w:val="20"/>
                <w:color w:val="auto"/>
              </w:rPr>
            </w:pPr>
            <w:r>
              <w:rPr>
                <w:rFonts w:ascii="Arial" w:cs="Arial" w:eastAsia="Arial" w:hAnsi="Arial"/>
                <w:sz w:val="17"/>
                <w:szCs w:val="17"/>
                <w:b w:val="1"/>
                <w:bCs w:val="1"/>
                <w:color w:val="auto"/>
                <w:w w:val="90"/>
              </w:rPr>
              <w:t>Table of Contents</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9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PART I.</w:t>
            </w:r>
          </w:p>
        </w:tc>
        <w:tc>
          <w:tcPr>
            <w:tcW w:w="9940" w:type="dxa"/>
            <w:vAlign w:val="bottom"/>
            <w:gridSpan w:val="32"/>
            <w:vMerge w:val="restart"/>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FINANCIAL INFORMATION</w:t>
              </w:r>
            </w:hyperlink>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920" w:type="dxa"/>
            <w:vAlign w:val="bottom"/>
            <w:gridSpan w:val="2"/>
            <w:vMerge w:val="continue"/>
          </w:tcPr>
          <w:p>
            <w:pPr>
              <w:spacing w:after="0"/>
              <w:rPr>
                <w:sz w:val="15"/>
                <w:szCs w:val="15"/>
                <w:color w:val="auto"/>
              </w:rPr>
            </w:pPr>
          </w:p>
        </w:tc>
        <w:tc>
          <w:tcPr>
            <w:tcW w:w="9940" w:type="dxa"/>
            <w:vAlign w:val="bottom"/>
            <w:gridSpan w:val="32"/>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20" w:type="dxa"/>
            <w:vAlign w:val="bottom"/>
            <w:gridSpan w:val="2"/>
          </w:tcPr>
          <w:p>
            <w:pPr>
              <w:spacing w:after="0"/>
              <w:rPr>
                <w:sz w:val="20"/>
                <w:szCs w:val="20"/>
                <w:color w:val="auto"/>
              </w:rPr>
            </w:pPr>
            <w:r>
              <w:rPr>
                <w:rFonts w:ascii="Arial" w:cs="Arial" w:eastAsia="Arial" w:hAnsi="Arial"/>
                <w:sz w:val="17"/>
                <w:szCs w:val="17"/>
                <w:color w:val="auto"/>
              </w:rPr>
              <w:t>Item 1.</w:t>
            </w:r>
          </w:p>
        </w:tc>
        <w:tc>
          <w:tcPr>
            <w:tcW w:w="2320" w:type="dxa"/>
            <w:vAlign w:val="bottom"/>
            <w:tcBorders>
              <w:bottom w:val="single" w:sz="8" w:color="0000EE"/>
            </w:tcBorders>
            <w:gridSpan w:val="15"/>
          </w:tcPr>
          <w:p>
            <w:pPr>
              <w:spacing w:after="0"/>
              <w:rPr>
                <w:rFonts w:ascii="Arial" w:cs="Arial" w:eastAsia="Arial" w:hAnsi="Arial"/>
                <w:sz w:val="17"/>
                <w:szCs w:val="17"/>
                <w:color w:val="0000EE"/>
                <w:w w:val="91"/>
              </w:rPr>
            </w:pPr>
            <w:hyperlink w:anchor="page5">
              <w:r>
                <w:rPr>
                  <w:rFonts w:ascii="Arial" w:cs="Arial" w:eastAsia="Arial" w:hAnsi="Arial"/>
                  <w:sz w:val="17"/>
                  <w:szCs w:val="17"/>
                  <w:color w:val="0000EE"/>
                  <w:w w:val="91"/>
                </w:rPr>
                <w:t>Financial Statements (Unaudited)</w:t>
              </w:r>
            </w:hyperlink>
          </w:p>
        </w:tc>
        <w:tc>
          <w:tcPr>
            <w:tcW w:w="7620" w:type="dxa"/>
            <w:vAlign w:val="bottom"/>
            <w:gridSpan w:val="1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9"/>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gridSpan w:val="32"/>
          </w:tcPr>
          <w:p>
            <w:pPr>
              <w:spacing w:after="0"/>
              <w:rPr>
                <w:sz w:val="20"/>
                <w:szCs w:val="20"/>
                <w:color w:val="auto"/>
              </w:rPr>
            </w:pPr>
            <w:r>
              <w:rPr>
                <w:rFonts w:ascii="Arial" w:cs="Arial" w:eastAsia="Arial" w:hAnsi="Arial"/>
                <w:sz w:val="17"/>
                <w:szCs w:val="17"/>
                <w:b w:val="1"/>
                <w:bCs w:val="1"/>
                <w:color w:val="auto"/>
              </w:rPr>
              <w:t>Uniti Group Inc.</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940" w:type="dxa"/>
            <w:vAlign w:val="bottom"/>
            <w:gridSpan w:val="32"/>
          </w:tcPr>
          <w:p>
            <w:pPr>
              <w:spacing w:after="0" w:line="180" w:lineRule="exact"/>
              <w:rPr>
                <w:rFonts w:ascii="Arial" w:cs="Arial" w:eastAsia="Arial" w:hAnsi="Arial"/>
                <w:sz w:val="17"/>
                <w:szCs w:val="17"/>
                <w:color w:val="0000EE"/>
              </w:rPr>
            </w:pPr>
            <w:hyperlink w:anchor="page5">
              <w:r>
                <w:rPr>
                  <w:rFonts w:ascii="Arial" w:cs="Arial" w:eastAsia="Arial" w:hAnsi="Arial"/>
                  <w:sz w:val="17"/>
                  <w:szCs w:val="17"/>
                  <w:color w:val="0000EE"/>
                </w:rPr>
                <w:t>Condensed Consolidated Balance Sheets</w:t>
              </w:r>
            </w:hyperlink>
          </w:p>
        </w:tc>
        <w:tc>
          <w:tcPr>
            <w:tcW w:w="560" w:type="dxa"/>
            <w:vAlign w:val="bottom"/>
          </w:tcPr>
          <w:p>
            <w:pPr>
              <w:jc w:val="right"/>
              <w:spacing w:after="0" w:line="180"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Condensed Consolidated Statements of Income</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Condensed Consolidated Statements of Comprehensive Income (Loss)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60" w:type="dxa"/>
            <w:vAlign w:val="bottom"/>
            <w:tcBorders>
              <w:top w:val="single" w:sz="8" w:color="0000EE"/>
            </w:tcBorders>
            <w:gridSpan w:val="29"/>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Condensed Consolidated Statements of Shareholders’ Deficit</w:t>
              </w:r>
            </w:hyperlink>
          </w:p>
        </w:tc>
        <w:tc>
          <w:tcPr>
            <w:tcW w:w="5080" w:type="dxa"/>
            <w:vAlign w:val="bottom"/>
            <w:gridSpan w:val="3"/>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24"/>
          </w:tcPr>
          <w:p>
            <w:pPr>
              <w:spacing w:after="0"/>
              <w:rPr>
                <w:rFonts w:ascii="Arial" w:cs="Arial" w:eastAsia="Arial" w:hAnsi="Arial"/>
                <w:sz w:val="17"/>
                <w:szCs w:val="17"/>
                <w:color w:val="0000EE"/>
                <w:w w:val="89"/>
              </w:rPr>
            </w:pPr>
            <w:hyperlink w:anchor="page9">
              <w:r>
                <w:rPr>
                  <w:rFonts w:ascii="Arial" w:cs="Arial" w:eastAsia="Arial" w:hAnsi="Arial"/>
                  <w:sz w:val="17"/>
                  <w:szCs w:val="17"/>
                  <w:color w:val="0000EE"/>
                  <w:w w:val="89"/>
                </w:rPr>
                <w:t>Condensed Consolidated Statements of Cash Flows</w:t>
              </w:r>
            </w:hyperlink>
          </w:p>
        </w:tc>
        <w:tc>
          <w:tcPr>
            <w:tcW w:w="660" w:type="dxa"/>
            <w:vAlign w:val="bottom"/>
            <w:tcBorders>
              <w:top w:val="single" w:sz="8" w:color="0000EE"/>
            </w:tcBorders>
            <w:gridSpan w:val="4"/>
          </w:tcPr>
          <w:p>
            <w:pPr>
              <w:spacing w:after="0"/>
              <w:rPr>
                <w:sz w:val="17"/>
                <w:szCs w:val="17"/>
                <w:color w:val="auto"/>
              </w:rPr>
            </w:pPr>
          </w:p>
        </w:tc>
        <w:tc>
          <w:tcPr>
            <w:tcW w:w="5720" w:type="dxa"/>
            <w:vAlign w:val="bottom"/>
            <w:gridSpan w:val="4"/>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spacing w:after="0"/>
              <w:rPr>
                <w:rFonts w:ascii="Arial" w:cs="Arial" w:eastAsia="Arial" w:hAnsi="Arial"/>
                <w:sz w:val="17"/>
                <w:szCs w:val="17"/>
                <w:color w:val="0000EE"/>
              </w:rPr>
            </w:pPr>
            <w:hyperlink w:anchor="page10">
              <w:r>
                <w:rPr>
                  <w:rFonts w:ascii="Arial" w:cs="Arial" w:eastAsia="Arial" w:hAnsi="Arial"/>
                  <w:sz w:val="17"/>
                  <w:szCs w:val="17"/>
                  <w:color w:val="0000EE"/>
                </w:rPr>
                <w:t>Notes to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20" w:type="dxa"/>
            <w:vAlign w:val="bottom"/>
            <w:tcBorders>
              <w:top w:val="single" w:sz="8" w:color="0000EE"/>
            </w:tcBorders>
            <w:gridSpan w:val="25"/>
          </w:tcPr>
          <w:p>
            <w:pPr>
              <w:ind w:left="120"/>
              <w:spacing w:after="0"/>
              <w:rPr>
                <w:rFonts w:ascii="Arial" w:cs="Arial" w:eastAsia="Arial" w:hAnsi="Arial"/>
                <w:sz w:val="17"/>
                <w:szCs w:val="17"/>
                <w:color w:val="auto"/>
              </w:rPr>
            </w:pPr>
            <w:r>
              <w:rPr>
                <w:rFonts w:ascii="Arial" w:cs="Arial" w:eastAsia="Arial" w:hAnsi="Arial"/>
                <w:sz w:val="17"/>
                <w:szCs w:val="17"/>
                <w:color w:val="auto"/>
              </w:rPr>
              <w:t>1.</w:t>
            </w:r>
            <w:hyperlink w:anchor="page10">
              <w:r>
                <w:rPr>
                  <w:rFonts w:ascii="Arial" w:cs="Arial" w:eastAsia="Arial" w:hAnsi="Arial"/>
                  <w:sz w:val="17"/>
                  <w:szCs w:val="17"/>
                  <w:color w:val="0000EE"/>
                </w:rPr>
                <w:t>Organization and Description of Business</w:t>
              </w:r>
            </w:hyperlink>
          </w:p>
        </w:tc>
        <w:tc>
          <w:tcPr>
            <w:tcW w:w="6120" w:type="dxa"/>
            <w:vAlign w:val="bottom"/>
            <w:gridSpan w:val="7"/>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ind w:left="120"/>
              <w:spacing w:after="0"/>
              <w:rPr>
                <w:rFonts w:ascii="Arial" w:cs="Arial" w:eastAsia="Arial" w:hAnsi="Arial"/>
                <w:sz w:val="17"/>
                <w:szCs w:val="17"/>
                <w:color w:val="auto"/>
              </w:rPr>
            </w:pPr>
            <w:r>
              <w:rPr>
                <w:rFonts w:ascii="Arial" w:cs="Arial" w:eastAsia="Arial" w:hAnsi="Arial"/>
                <w:sz w:val="17"/>
                <w:szCs w:val="17"/>
                <w:color w:val="auto"/>
              </w:rPr>
              <w:t>2.</w:t>
            </w:r>
            <w:hyperlink w:anchor="page10">
              <w:r>
                <w:rPr>
                  <w:rFonts w:ascii="Arial" w:cs="Arial" w:eastAsia="Arial" w:hAnsi="Arial"/>
                  <w:sz w:val="17"/>
                  <w:szCs w:val="17"/>
                  <w:color w:val="0000EE"/>
                </w:rPr>
                <w:t>Basis of Presentation and Summary of Significant Accounting Policies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ind w:left="120"/>
              <w:spacing w:after="0"/>
              <w:rPr>
                <w:rFonts w:ascii="Arial" w:cs="Arial" w:eastAsia="Arial" w:hAnsi="Arial"/>
                <w:sz w:val="17"/>
                <w:szCs w:val="17"/>
                <w:color w:val="auto"/>
              </w:rPr>
            </w:pPr>
            <w:r>
              <w:rPr>
                <w:rFonts w:ascii="Arial" w:cs="Arial" w:eastAsia="Arial" w:hAnsi="Arial"/>
                <w:sz w:val="17"/>
                <w:szCs w:val="17"/>
                <w:color w:val="auto"/>
              </w:rPr>
              <w:t>3.</w:t>
            </w:r>
            <w:hyperlink w:anchor="page14">
              <w:r>
                <w:rPr>
                  <w:rFonts w:ascii="Arial" w:cs="Arial" w:eastAsia="Arial" w:hAnsi="Arial"/>
                  <w:sz w:val="17"/>
                  <w:szCs w:val="17"/>
                  <w:color w:val="0000EE"/>
                </w:rPr>
                <w:t>Revenues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ind w:left="120"/>
              <w:spacing w:after="0"/>
              <w:rPr>
                <w:rFonts w:ascii="Arial" w:cs="Arial" w:eastAsia="Arial" w:hAnsi="Arial"/>
                <w:sz w:val="17"/>
                <w:szCs w:val="17"/>
                <w:color w:val="auto"/>
              </w:rPr>
            </w:pPr>
            <w:r>
              <w:rPr>
                <w:rFonts w:ascii="Arial" w:cs="Arial" w:eastAsia="Arial" w:hAnsi="Arial"/>
                <w:sz w:val="17"/>
                <w:szCs w:val="17"/>
                <w:color w:val="auto"/>
              </w:rPr>
              <w:t>4.</w:t>
            </w:r>
            <w:hyperlink w:anchor="page16">
              <w:r>
                <w:rPr>
                  <w:rFonts w:ascii="Arial" w:cs="Arial" w:eastAsia="Arial" w:hAnsi="Arial"/>
                  <w:sz w:val="17"/>
                  <w:szCs w:val="17"/>
                  <w:color w:val="auto"/>
                </w:rPr>
                <w:t>Leases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ind w:left="120"/>
              <w:spacing w:after="0"/>
              <w:rPr>
                <w:rFonts w:ascii="Arial" w:cs="Arial" w:eastAsia="Arial" w:hAnsi="Arial"/>
                <w:sz w:val="17"/>
                <w:szCs w:val="17"/>
                <w:color w:val="auto"/>
              </w:rPr>
            </w:pPr>
            <w:r>
              <w:rPr>
                <w:rFonts w:ascii="Arial" w:cs="Arial" w:eastAsia="Arial" w:hAnsi="Arial"/>
                <w:sz w:val="17"/>
                <w:szCs w:val="17"/>
                <w:color w:val="auto"/>
              </w:rPr>
              <w:t>5.</w:t>
            </w:r>
            <w:hyperlink w:anchor="page20">
              <w:r>
                <w:rPr>
                  <w:rFonts w:ascii="Arial" w:cs="Arial" w:eastAsia="Arial" w:hAnsi="Arial"/>
                  <w:sz w:val="17"/>
                  <w:szCs w:val="17"/>
                  <w:color w:val="0000EE"/>
                </w:rPr>
                <w:t>Business Combinations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ind w:left="120"/>
              <w:spacing w:after="0"/>
              <w:rPr>
                <w:rFonts w:ascii="Arial" w:cs="Arial" w:eastAsia="Arial" w:hAnsi="Arial"/>
                <w:sz w:val="17"/>
                <w:szCs w:val="17"/>
                <w:color w:val="auto"/>
              </w:rPr>
            </w:pPr>
            <w:r>
              <w:rPr>
                <w:rFonts w:ascii="Arial" w:cs="Arial" w:eastAsia="Arial" w:hAnsi="Arial"/>
                <w:sz w:val="17"/>
                <w:szCs w:val="17"/>
                <w:color w:val="auto"/>
              </w:rPr>
              <w:t>6.</w:t>
            </w:r>
            <w:hyperlink w:anchor="page21">
              <w:r>
                <w:rPr>
                  <w:rFonts w:ascii="Arial" w:cs="Arial" w:eastAsia="Arial" w:hAnsi="Arial"/>
                  <w:sz w:val="17"/>
                  <w:szCs w:val="17"/>
                  <w:color w:val="0000EE"/>
                </w:rPr>
                <w:t>Assets and Liabilities Held for Sale</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ind w:left="120"/>
              <w:spacing w:after="0"/>
              <w:rPr>
                <w:rFonts w:ascii="Arial" w:cs="Arial" w:eastAsia="Arial" w:hAnsi="Arial"/>
                <w:sz w:val="17"/>
                <w:szCs w:val="17"/>
                <w:color w:val="auto"/>
              </w:rPr>
            </w:pPr>
            <w:r>
              <w:rPr>
                <w:rFonts w:ascii="Arial" w:cs="Arial" w:eastAsia="Arial" w:hAnsi="Arial"/>
                <w:sz w:val="17"/>
                <w:szCs w:val="17"/>
                <w:color w:val="auto"/>
              </w:rPr>
              <w:t>7.</w:t>
            </w:r>
            <w:hyperlink w:anchor="page22">
              <w:r>
                <w:rPr>
                  <w:rFonts w:ascii="Arial" w:cs="Arial" w:eastAsia="Arial" w:hAnsi="Arial"/>
                  <w:sz w:val="17"/>
                  <w:szCs w:val="17"/>
                  <w:color w:val="0000EE"/>
                </w:rPr>
                <w:t>Fair Value of Financial Instruments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ind w:left="120"/>
              <w:spacing w:after="0"/>
              <w:rPr>
                <w:rFonts w:ascii="Arial" w:cs="Arial" w:eastAsia="Arial" w:hAnsi="Arial"/>
                <w:sz w:val="17"/>
                <w:szCs w:val="17"/>
                <w:color w:val="auto"/>
              </w:rPr>
            </w:pPr>
            <w:r>
              <w:rPr>
                <w:rFonts w:ascii="Arial" w:cs="Arial" w:eastAsia="Arial" w:hAnsi="Arial"/>
                <w:sz w:val="17"/>
                <w:szCs w:val="17"/>
                <w:color w:val="auto"/>
              </w:rPr>
              <w:t>8.</w:t>
            </w:r>
            <w:hyperlink w:anchor="page24">
              <w:r>
                <w:rPr>
                  <w:rFonts w:ascii="Arial" w:cs="Arial" w:eastAsia="Arial" w:hAnsi="Arial"/>
                  <w:sz w:val="17"/>
                  <w:szCs w:val="17"/>
                  <w:color w:val="0000EE"/>
                </w:rPr>
                <w:t>Property Plant and Equipment</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ind w:left="120"/>
              <w:spacing w:after="0"/>
              <w:rPr>
                <w:rFonts w:ascii="Arial" w:cs="Arial" w:eastAsia="Arial" w:hAnsi="Arial"/>
                <w:sz w:val="17"/>
                <w:szCs w:val="17"/>
                <w:color w:val="auto"/>
              </w:rPr>
            </w:pPr>
            <w:r>
              <w:rPr>
                <w:rFonts w:ascii="Arial" w:cs="Arial" w:eastAsia="Arial" w:hAnsi="Arial"/>
                <w:sz w:val="17"/>
                <w:szCs w:val="17"/>
                <w:color w:val="auto"/>
              </w:rPr>
              <w:t>9.</w:t>
            </w:r>
            <w:hyperlink w:anchor="page24">
              <w:r>
                <w:rPr>
                  <w:rFonts w:ascii="Arial" w:cs="Arial" w:eastAsia="Arial" w:hAnsi="Arial"/>
                  <w:sz w:val="17"/>
                  <w:szCs w:val="17"/>
                  <w:color w:val="0000EE"/>
                </w:rPr>
                <w:t>Derivative Instruments and Hedging Activities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74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ind w:left="120"/>
              <w:spacing w:after="0"/>
              <w:rPr>
                <w:rFonts w:ascii="Arial" w:cs="Arial" w:eastAsia="Arial" w:hAnsi="Arial"/>
                <w:sz w:val="17"/>
                <w:szCs w:val="17"/>
                <w:color w:val="auto"/>
              </w:rPr>
            </w:pPr>
            <w:r>
              <w:rPr>
                <w:rFonts w:ascii="Arial" w:cs="Arial" w:eastAsia="Arial" w:hAnsi="Arial"/>
                <w:sz w:val="17"/>
                <w:szCs w:val="17"/>
                <w:color w:val="auto"/>
              </w:rPr>
              <w:t>10.</w:t>
            </w:r>
            <w:hyperlink w:anchor="page25">
              <w:r>
                <w:rPr>
                  <w:rFonts w:ascii="Arial" w:cs="Arial" w:eastAsia="Arial" w:hAnsi="Arial"/>
                  <w:sz w:val="17"/>
                  <w:szCs w:val="17"/>
                  <w:color w:val="0000EE"/>
                </w:rPr>
                <w:t>Intangible Assets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ind w:left="120"/>
              <w:spacing w:after="0"/>
              <w:rPr>
                <w:rFonts w:ascii="Arial" w:cs="Arial" w:eastAsia="Arial" w:hAnsi="Arial"/>
                <w:sz w:val="17"/>
                <w:szCs w:val="17"/>
                <w:color w:val="auto"/>
              </w:rPr>
            </w:pPr>
            <w:r>
              <w:rPr>
                <w:rFonts w:ascii="Arial" w:cs="Arial" w:eastAsia="Arial" w:hAnsi="Arial"/>
                <w:sz w:val="17"/>
                <w:szCs w:val="17"/>
                <w:color w:val="auto"/>
              </w:rPr>
              <w:t>11.</w:t>
            </w:r>
            <w:hyperlink w:anchor="page26">
              <w:r>
                <w:rPr>
                  <w:rFonts w:ascii="Arial" w:cs="Arial" w:eastAsia="Arial" w:hAnsi="Arial"/>
                  <w:sz w:val="17"/>
                  <w:szCs w:val="17"/>
                  <w:color w:val="0000EE"/>
                </w:rPr>
                <w:t>Notes and Other Debt</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ind w:left="120"/>
              <w:spacing w:after="0"/>
              <w:rPr>
                <w:rFonts w:ascii="Arial" w:cs="Arial" w:eastAsia="Arial" w:hAnsi="Arial"/>
                <w:sz w:val="17"/>
                <w:szCs w:val="17"/>
                <w:color w:val="auto"/>
              </w:rPr>
            </w:pPr>
            <w:r>
              <w:rPr>
                <w:rFonts w:ascii="Arial" w:cs="Arial" w:eastAsia="Arial" w:hAnsi="Arial"/>
                <w:sz w:val="17"/>
                <w:szCs w:val="17"/>
                <w:color w:val="auto"/>
              </w:rPr>
              <w:t>12.</w:t>
            </w:r>
            <w:hyperlink w:anchor="page28">
              <w:r>
                <w:rPr>
                  <w:rFonts w:ascii="Arial" w:cs="Arial" w:eastAsia="Arial" w:hAnsi="Arial"/>
                  <w:sz w:val="17"/>
                  <w:szCs w:val="17"/>
                  <w:color w:val="0000EE"/>
                </w:rPr>
                <w:t>Earnings Per Share</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ind w:left="120"/>
              <w:spacing w:after="0"/>
              <w:rPr>
                <w:rFonts w:ascii="Arial" w:cs="Arial" w:eastAsia="Arial" w:hAnsi="Arial"/>
                <w:sz w:val="17"/>
                <w:szCs w:val="17"/>
                <w:color w:val="auto"/>
              </w:rPr>
            </w:pPr>
            <w:r>
              <w:rPr>
                <w:rFonts w:ascii="Arial" w:cs="Arial" w:eastAsia="Arial" w:hAnsi="Arial"/>
                <w:sz w:val="17"/>
                <w:szCs w:val="17"/>
                <w:color w:val="auto"/>
              </w:rPr>
              <w:t>13.</w:t>
            </w:r>
            <w:hyperlink w:anchor="page30">
              <w:r>
                <w:rPr>
                  <w:rFonts w:ascii="Arial" w:cs="Arial" w:eastAsia="Arial" w:hAnsi="Arial"/>
                  <w:sz w:val="17"/>
                  <w:szCs w:val="17"/>
                  <w:color w:val="0000EE"/>
                </w:rPr>
                <w:t>Segment Information</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ind w:left="120"/>
              <w:spacing w:after="0"/>
              <w:rPr>
                <w:rFonts w:ascii="Arial" w:cs="Arial" w:eastAsia="Arial" w:hAnsi="Arial"/>
                <w:sz w:val="17"/>
                <w:szCs w:val="17"/>
                <w:color w:val="auto"/>
              </w:rPr>
            </w:pPr>
            <w:r>
              <w:rPr>
                <w:rFonts w:ascii="Arial" w:cs="Arial" w:eastAsia="Arial" w:hAnsi="Arial"/>
                <w:sz w:val="17"/>
                <w:szCs w:val="17"/>
                <w:color w:val="auto"/>
              </w:rPr>
              <w:t>14.</w:t>
            </w:r>
            <w:hyperlink w:anchor="page31">
              <w:r>
                <w:rPr>
                  <w:rFonts w:ascii="Arial" w:cs="Arial" w:eastAsia="Arial" w:hAnsi="Arial"/>
                  <w:sz w:val="17"/>
                  <w:szCs w:val="17"/>
                  <w:color w:val="0000EE"/>
                </w:rPr>
                <w:t>Commitments and Contingencies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ind w:left="120"/>
              <w:spacing w:after="0"/>
              <w:rPr>
                <w:rFonts w:ascii="Arial" w:cs="Arial" w:eastAsia="Arial" w:hAnsi="Arial"/>
                <w:sz w:val="17"/>
                <w:szCs w:val="17"/>
                <w:color w:val="auto"/>
              </w:rPr>
            </w:pPr>
            <w:r>
              <w:rPr>
                <w:rFonts w:ascii="Arial" w:cs="Arial" w:eastAsia="Arial" w:hAnsi="Arial"/>
                <w:sz w:val="17"/>
                <w:szCs w:val="17"/>
                <w:color w:val="auto"/>
              </w:rPr>
              <w:t>15.</w:t>
            </w:r>
            <w:hyperlink w:anchor="page32">
              <w:r>
                <w:rPr>
                  <w:rFonts w:ascii="Arial" w:cs="Arial" w:eastAsia="Arial" w:hAnsi="Arial"/>
                  <w:sz w:val="17"/>
                  <w:szCs w:val="17"/>
                  <w:color w:val="0000EE"/>
                </w:rPr>
                <w:t>Accumulated Other Comprehensive Income</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8"/>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ind w:left="120"/>
              <w:spacing w:after="0"/>
              <w:rPr>
                <w:rFonts w:ascii="Arial" w:cs="Arial" w:eastAsia="Arial" w:hAnsi="Arial"/>
                <w:sz w:val="17"/>
                <w:szCs w:val="17"/>
                <w:color w:val="auto"/>
              </w:rPr>
            </w:pPr>
            <w:r>
              <w:rPr>
                <w:rFonts w:ascii="Arial" w:cs="Arial" w:eastAsia="Arial" w:hAnsi="Arial"/>
                <w:sz w:val="17"/>
                <w:szCs w:val="17"/>
                <w:color w:val="auto"/>
              </w:rPr>
              <w:t>16.</w:t>
            </w:r>
            <w:hyperlink w:anchor="page32">
              <w:r>
                <w:rPr>
                  <w:rFonts w:ascii="Arial" w:cs="Arial" w:eastAsia="Arial" w:hAnsi="Arial"/>
                  <w:sz w:val="17"/>
                  <w:szCs w:val="17"/>
                  <w:color w:val="0000EE"/>
                </w:rPr>
                <w:t>Capital Stock</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ind w:left="120"/>
              <w:spacing w:after="0"/>
              <w:rPr>
                <w:rFonts w:ascii="Arial" w:cs="Arial" w:eastAsia="Arial" w:hAnsi="Arial"/>
                <w:sz w:val="17"/>
                <w:szCs w:val="17"/>
                <w:color w:val="auto"/>
              </w:rPr>
            </w:pPr>
            <w:r>
              <w:rPr>
                <w:rFonts w:ascii="Arial" w:cs="Arial" w:eastAsia="Arial" w:hAnsi="Arial"/>
                <w:sz w:val="17"/>
                <w:szCs w:val="17"/>
                <w:color w:val="auto"/>
              </w:rPr>
              <w:t>17.</w:t>
            </w:r>
            <w:hyperlink w:anchor="page32">
              <w:r>
                <w:rPr>
                  <w:rFonts w:ascii="Arial" w:cs="Arial" w:eastAsia="Arial" w:hAnsi="Arial"/>
                  <w:sz w:val="17"/>
                  <w:szCs w:val="17"/>
                  <w:color w:val="0000EE"/>
                </w:rPr>
                <w:t>Subsequent Events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20" w:type="dxa"/>
            <w:vAlign w:val="bottom"/>
            <w:gridSpan w:val="2"/>
          </w:tcPr>
          <w:p>
            <w:pPr>
              <w:spacing w:after="0"/>
              <w:rPr>
                <w:sz w:val="20"/>
                <w:szCs w:val="20"/>
                <w:color w:val="auto"/>
              </w:rPr>
            </w:pPr>
            <w:r>
              <w:rPr>
                <w:rFonts w:ascii="Arial" w:cs="Arial" w:eastAsia="Arial" w:hAnsi="Arial"/>
                <w:sz w:val="17"/>
                <w:szCs w:val="17"/>
                <w:color w:val="auto"/>
              </w:rPr>
              <w:t>Item 2.</w:t>
            </w:r>
          </w:p>
        </w:tc>
        <w:tc>
          <w:tcPr>
            <w:tcW w:w="6180" w:type="dxa"/>
            <w:vAlign w:val="bottom"/>
            <w:tcBorders>
              <w:bottom w:val="single" w:sz="8" w:color="0000EE"/>
            </w:tcBorders>
            <w:gridSpan w:val="31"/>
          </w:tcPr>
          <w:p>
            <w:pPr>
              <w:spacing w:after="0"/>
              <w:rPr>
                <w:rFonts w:ascii="Arial" w:cs="Arial" w:eastAsia="Arial" w:hAnsi="Arial"/>
                <w:sz w:val="17"/>
                <w:szCs w:val="17"/>
                <w:color w:val="0000EE"/>
                <w:w w:val="92"/>
              </w:rPr>
            </w:pPr>
            <w:hyperlink w:anchor="page33">
              <w:r>
                <w:rPr>
                  <w:rFonts w:ascii="Arial" w:cs="Arial" w:eastAsia="Arial" w:hAnsi="Arial"/>
                  <w:sz w:val="17"/>
                  <w:szCs w:val="17"/>
                  <w:color w:val="0000EE"/>
                  <w:w w:val="92"/>
                </w:rPr>
                <w:t>Management’s Discussion and Analysis of Financial Condition and Results of Operations</w:t>
              </w:r>
            </w:hyperlink>
          </w:p>
        </w:tc>
        <w:tc>
          <w:tcPr>
            <w:tcW w:w="37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0"/>
        </w:trPr>
        <w:tc>
          <w:tcPr>
            <w:tcW w:w="92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80" w:type="dxa"/>
            <w:vAlign w:val="bottom"/>
            <w:tcBorders>
              <w:bottom w:val="single" w:sz="8" w:color="0000EE"/>
            </w:tcBorders>
            <w:gridSpan w:val="27"/>
          </w:tcPr>
          <w:p>
            <w:pPr>
              <w:spacing w:after="0"/>
              <w:rPr>
                <w:rFonts w:ascii="Arial" w:cs="Arial" w:eastAsia="Arial" w:hAnsi="Arial"/>
                <w:sz w:val="17"/>
                <w:szCs w:val="17"/>
                <w:color w:val="0000EE"/>
                <w:w w:val="93"/>
              </w:rPr>
            </w:pPr>
            <w:hyperlink w:anchor="page46">
              <w:r>
                <w:rPr>
                  <w:rFonts w:ascii="Arial" w:cs="Arial" w:eastAsia="Arial" w:hAnsi="Arial"/>
                  <w:sz w:val="17"/>
                  <w:szCs w:val="17"/>
                  <w:color w:val="0000EE"/>
                  <w:w w:val="93"/>
                </w:rPr>
                <w:t>Quantitative and Qualitative Disclosures About Market Risk</w:t>
              </w:r>
            </w:hyperlink>
          </w:p>
        </w:tc>
        <w:tc>
          <w:tcPr>
            <w:tcW w:w="5760" w:type="dxa"/>
            <w:vAlign w:val="bottom"/>
            <w:gridSpan w:val="5"/>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0"/>
        </w:trPr>
        <w:tc>
          <w:tcPr>
            <w:tcW w:w="92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700" w:type="dxa"/>
            <w:vAlign w:val="bottom"/>
            <w:tcBorders>
              <w:bottom w:val="single" w:sz="8" w:color="0000EE"/>
            </w:tcBorders>
            <w:gridSpan w:val="10"/>
          </w:tcPr>
          <w:p>
            <w:pPr>
              <w:spacing w:after="0"/>
              <w:rPr>
                <w:rFonts w:ascii="Arial" w:cs="Arial" w:eastAsia="Arial" w:hAnsi="Arial"/>
                <w:sz w:val="17"/>
                <w:szCs w:val="17"/>
                <w:color w:val="0000EE"/>
                <w:w w:val="89"/>
              </w:rPr>
            </w:pPr>
            <w:hyperlink w:anchor="page46">
              <w:r>
                <w:rPr>
                  <w:rFonts w:ascii="Arial" w:cs="Arial" w:eastAsia="Arial" w:hAnsi="Arial"/>
                  <w:sz w:val="17"/>
                  <w:szCs w:val="17"/>
                  <w:color w:val="0000EE"/>
                  <w:w w:val="89"/>
                </w:rPr>
                <w:t>Controls and Procedures</w:t>
              </w:r>
            </w:hyperlink>
          </w:p>
        </w:tc>
        <w:tc>
          <w:tcPr>
            <w:tcW w:w="8240" w:type="dxa"/>
            <w:vAlign w:val="bottom"/>
            <w:gridSpan w:val="22"/>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419"/>
        </w:trPr>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PART II.</w:t>
            </w:r>
          </w:p>
        </w:tc>
        <w:tc>
          <w:tcPr>
            <w:tcW w:w="1940" w:type="dxa"/>
            <w:vAlign w:val="bottom"/>
            <w:tcBorders>
              <w:bottom w:val="single" w:sz="8" w:color="0000EE"/>
            </w:tcBorders>
            <w:gridSpan w:val="13"/>
          </w:tcPr>
          <w:p>
            <w:pPr>
              <w:spacing w:after="0"/>
              <w:rPr>
                <w:rFonts w:ascii="Arial" w:cs="Arial" w:eastAsia="Arial" w:hAnsi="Arial"/>
                <w:sz w:val="17"/>
                <w:szCs w:val="17"/>
                <w:b w:val="1"/>
                <w:bCs w:val="1"/>
                <w:color w:val="0000EE"/>
              </w:rPr>
            </w:pPr>
            <w:hyperlink w:anchor="page47">
              <w:r>
                <w:rPr>
                  <w:rFonts w:ascii="Arial" w:cs="Arial" w:eastAsia="Arial" w:hAnsi="Arial"/>
                  <w:sz w:val="17"/>
                  <w:szCs w:val="17"/>
                  <w:b w:val="1"/>
                  <w:bCs w:val="1"/>
                  <w:color w:val="0000EE"/>
                </w:rPr>
                <w:t>OTHER INFORMATION</w:t>
              </w:r>
            </w:hyperlink>
          </w:p>
        </w:tc>
        <w:tc>
          <w:tcPr>
            <w:tcW w:w="8000" w:type="dxa"/>
            <w:vAlign w:val="bottom"/>
            <w:gridSpan w:val="19"/>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20" w:type="dxa"/>
            <w:vAlign w:val="bottom"/>
            <w:gridSpan w:val="2"/>
          </w:tcPr>
          <w:p>
            <w:pPr>
              <w:spacing w:after="0"/>
              <w:rPr>
                <w:sz w:val="20"/>
                <w:szCs w:val="20"/>
                <w:color w:val="auto"/>
              </w:rPr>
            </w:pPr>
            <w:r>
              <w:rPr>
                <w:rFonts w:ascii="Arial" w:cs="Arial" w:eastAsia="Arial" w:hAnsi="Arial"/>
                <w:sz w:val="17"/>
                <w:szCs w:val="17"/>
                <w:color w:val="auto"/>
              </w:rPr>
              <w:t>Item 1.</w:t>
            </w:r>
          </w:p>
        </w:tc>
        <w:tc>
          <w:tcPr>
            <w:tcW w:w="1280" w:type="dxa"/>
            <w:vAlign w:val="bottom"/>
            <w:tcBorders>
              <w:bottom w:val="single" w:sz="8" w:color="0000EE"/>
            </w:tcBorders>
            <w:gridSpan w:val="7"/>
          </w:tcPr>
          <w:p>
            <w:pPr>
              <w:spacing w:after="0"/>
              <w:rPr>
                <w:rFonts w:ascii="Arial" w:cs="Arial" w:eastAsia="Arial" w:hAnsi="Arial"/>
                <w:sz w:val="17"/>
                <w:szCs w:val="17"/>
                <w:color w:val="0000EE"/>
                <w:w w:val="88"/>
              </w:rPr>
            </w:pPr>
            <w:hyperlink w:anchor="page47">
              <w:r>
                <w:rPr>
                  <w:rFonts w:ascii="Arial" w:cs="Arial" w:eastAsia="Arial" w:hAnsi="Arial"/>
                  <w:sz w:val="17"/>
                  <w:szCs w:val="17"/>
                  <w:color w:val="0000EE"/>
                  <w:w w:val="88"/>
                </w:rPr>
                <w:t>Legal Proceedings</w:t>
              </w:r>
            </w:hyperlink>
          </w:p>
        </w:tc>
        <w:tc>
          <w:tcPr>
            <w:tcW w:w="8660" w:type="dxa"/>
            <w:vAlign w:val="bottom"/>
            <w:gridSpan w:val="2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0"/>
        </w:trPr>
        <w:tc>
          <w:tcPr>
            <w:tcW w:w="92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9940" w:type="dxa"/>
            <w:vAlign w:val="bottom"/>
            <w:gridSpan w:val="32"/>
          </w:tcPr>
          <w:p>
            <w:pPr>
              <w:spacing w:after="0"/>
              <w:rPr>
                <w:rFonts w:ascii="Arial" w:cs="Arial" w:eastAsia="Arial" w:hAnsi="Arial"/>
                <w:sz w:val="17"/>
                <w:szCs w:val="17"/>
                <w:color w:val="0000EE"/>
              </w:rPr>
            </w:pPr>
            <w:hyperlink w:anchor="page47">
              <w:r>
                <w:rPr>
                  <w:rFonts w:ascii="Arial" w:cs="Arial" w:eastAsia="Arial" w:hAnsi="Arial"/>
                  <w:sz w:val="17"/>
                  <w:szCs w:val="17"/>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57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20" w:type="dxa"/>
            <w:vAlign w:val="bottom"/>
            <w:gridSpan w:val="2"/>
          </w:tcPr>
          <w:p>
            <w:pPr>
              <w:spacing w:after="0"/>
              <w:rPr>
                <w:sz w:val="20"/>
                <w:szCs w:val="20"/>
                <w:color w:val="auto"/>
              </w:rPr>
            </w:pPr>
            <w:r>
              <w:rPr>
                <w:rFonts w:ascii="Arial" w:cs="Arial" w:eastAsia="Arial" w:hAnsi="Arial"/>
                <w:sz w:val="17"/>
                <w:szCs w:val="17"/>
                <w:color w:val="auto"/>
              </w:rPr>
              <w:t>Item 2.</w:t>
            </w:r>
          </w:p>
        </w:tc>
        <w:tc>
          <w:tcPr>
            <w:tcW w:w="9940" w:type="dxa"/>
            <w:vAlign w:val="bottom"/>
            <w:gridSpan w:val="32"/>
          </w:tcPr>
          <w:p>
            <w:pPr>
              <w:spacing w:after="0"/>
              <w:rPr>
                <w:rFonts w:ascii="Arial" w:cs="Arial" w:eastAsia="Arial" w:hAnsi="Arial"/>
                <w:sz w:val="17"/>
                <w:szCs w:val="17"/>
                <w:color w:val="0000EE"/>
              </w:rPr>
            </w:pPr>
            <w:hyperlink w:anchor="page48">
              <w:r>
                <w:rPr>
                  <w:rFonts w:ascii="Arial" w:cs="Arial" w:eastAsia="Arial" w:hAnsi="Arial"/>
                  <w:sz w:val="17"/>
                  <w:szCs w:val="17"/>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0"/>
        </w:trPr>
        <w:tc>
          <w:tcPr>
            <w:tcW w:w="92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60" w:type="dxa"/>
            <w:vAlign w:val="bottom"/>
            <w:tcBorders>
              <w:top w:val="single" w:sz="8" w:color="0000EE"/>
            </w:tcBorders>
            <w:gridSpan w:val="26"/>
          </w:tcPr>
          <w:p>
            <w:pPr>
              <w:spacing w:after="0"/>
              <w:rPr>
                <w:rFonts w:ascii="Arial" w:cs="Arial" w:eastAsia="Arial" w:hAnsi="Arial"/>
                <w:sz w:val="17"/>
                <w:szCs w:val="17"/>
                <w:color w:val="0000EE"/>
              </w:rPr>
            </w:pPr>
            <w:hyperlink w:anchor="page48">
              <w:r>
                <w:rPr>
                  <w:rFonts w:ascii="Arial" w:cs="Arial" w:eastAsia="Arial" w:hAnsi="Arial"/>
                  <w:sz w:val="17"/>
                  <w:szCs w:val="17"/>
                  <w:color w:val="0000EE"/>
                </w:rPr>
                <w:t>Defaults Upon Senior Securities</w:t>
              </w:r>
            </w:hyperlink>
          </w:p>
        </w:tc>
        <w:tc>
          <w:tcPr>
            <w:tcW w:w="5780" w:type="dxa"/>
            <w:vAlign w:val="bottom"/>
            <w:gridSpan w:val="6"/>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0"/>
        </w:trPr>
        <w:tc>
          <w:tcPr>
            <w:tcW w:w="92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700" w:type="dxa"/>
            <w:vAlign w:val="bottom"/>
            <w:tcBorders>
              <w:top w:val="single" w:sz="8" w:color="0000EE"/>
              <w:bottom w:val="single" w:sz="8" w:color="0000EE"/>
            </w:tcBorders>
            <w:gridSpan w:val="10"/>
          </w:tcPr>
          <w:p>
            <w:pPr>
              <w:spacing w:after="0"/>
              <w:rPr>
                <w:rFonts w:ascii="Arial" w:cs="Arial" w:eastAsia="Arial" w:hAnsi="Arial"/>
                <w:sz w:val="17"/>
                <w:szCs w:val="17"/>
                <w:color w:val="0000EE"/>
                <w:w w:val="92"/>
              </w:rPr>
            </w:pPr>
            <w:hyperlink w:anchor="page48">
              <w:r>
                <w:rPr>
                  <w:rFonts w:ascii="Arial" w:cs="Arial" w:eastAsia="Arial" w:hAnsi="Arial"/>
                  <w:sz w:val="17"/>
                  <w:szCs w:val="17"/>
                  <w:color w:val="0000EE"/>
                  <w:w w:val="92"/>
                </w:rPr>
                <w:t>Mine Safety Disclosures</w:t>
              </w:r>
            </w:hyperlink>
          </w:p>
        </w:tc>
        <w:tc>
          <w:tcPr>
            <w:tcW w:w="580" w:type="dxa"/>
            <w:vAlign w:val="bottom"/>
            <w:tcBorders>
              <w:top w:val="single" w:sz="8" w:color="0000EE"/>
            </w:tcBorders>
            <w:gridSpan w:val="4"/>
          </w:tcPr>
          <w:p>
            <w:pPr>
              <w:spacing w:after="0"/>
              <w:rPr>
                <w:sz w:val="17"/>
                <w:szCs w:val="17"/>
                <w:color w:val="auto"/>
              </w:rPr>
            </w:pPr>
          </w:p>
        </w:tc>
        <w:tc>
          <w:tcPr>
            <w:tcW w:w="7660" w:type="dxa"/>
            <w:vAlign w:val="bottom"/>
            <w:gridSpan w:val="18"/>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0"/>
        </w:trPr>
        <w:tc>
          <w:tcPr>
            <w:tcW w:w="920" w:type="dxa"/>
            <w:vAlign w:val="bottom"/>
            <w:gridSpan w:val="2"/>
          </w:tcPr>
          <w:p>
            <w:pPr>
              <w:spacing w:after="0"/>
              <w:rPr>
                <w:sz w:val="20"/>
                <w:szCs w:val="20"/>
                <w:color w:val="auto"/>
              </w:rPr>
            </w:pPr>
            <w:r>
              <w:rPr>
                <w:rFonts w:ascii="Arial" w:cs="Arial" w:eastAsia="Arial" w:hAnsi="Arial"/>
                <w:sz w:val="17"/>
                <w:szCs w:val="17"/>
                <w:color w:val="auto"/>
              </w:rPr>
              <w:t>Item 5.</w:t>
            </w:r>
          </w:p>
        </w:tc>
        <w:tc>
          <w:tcPr>
            <w:tcW w:w="1280" w:type="dxa"/>
            <w:vAlign w:val="bottom"/>
            <w:tcBorders>
              <w:bottom w:val="single" w:sz="8" w:color="0000EE"/>
            </w:tcBorders>
            <w:gridSpan w:val="7"/>
          </w:tcPr>
          <w:p>
            <w:pPr>
              <w:spacing w:after="0"/>
              <w:rPr>
                <w:rFonts w:ascii="Arial" w:cs="Arial" w:eastAsia="Arial" w:hAnsi="Arial"/>
                <w:sz w:val="17"/>
                <w:szCs w:val="17"/>
                <w:color w:val="0000EE"/>
                <w:w w:val="93"/>
              </w:rPr>
            </w:pPr>
            <w:hyperlink w:anchor="page48">
              <w:r>
                <w:rPr>
                  <w:rFonts w:ascii="Arial" w:cs="Arial" w:eastAsia="Arial" w:hAnsi="Arial"/>
                  <w:sz w:val="17"/>
                  <w:szCs w:val="17"/>
                  <w:color w:val="0000EE"/>
                  <w:w w:val="93"/>
                </w:rPr>
                <w:t>Other Information</w:t>
              </w:r>
            </w:hyperlink>
          </w:p>
        </w:tc>
        <w:tc>
          <w:tcPr>
            <w:tcW w:w="8660" w:type="dxa"/>
            <w:vAlign w:val="bottom"/>
            <w:gridSpan w:val="25"/>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0"/>
        </w:trPr>
        <w:tc>
          <w:tcPr>
            <w:tcW w:w="920" w:type="dxa"/>
            <w:vAlign w:val="bottom"/>
            <w:gridSpan w:val="2"/>
          </w:tcPr>
          <w:p>
            <w:pPr>
              <w:spacing w:after="0"/>
              <w:rPr>
                <w:sz w:val="20"/>
                <w:szCs w:val="20"/>
                <w:color w:val="auto"/>
              </w:rPr>
            </w:pPr>
            <w:r>
              <w:rPr>
                <w:rFonts w:ascii="Arial" w:cs="Arial" w:eastAsia="Arial" w:hAnsi="Arial"/>
                <w:sz w:val="17"/>
                <w:szCs w:val="17"/>
                <w:color w:val="auto"/>
              </w:rPr>
              <w:t>Item 6.</w:t>
            </w:r>
          </w:p>
        </w:tc>
        <w:tc>
          <w:tcPr>
            <w:tcW w:w="9940" w:type="dxa"/>
            <w:vAlign w:val="bottom"/>
            <w:gridSpan w:val="32"/>
          </w:tcPr>
          <w:p>
            <w:pPr>
              <w:spacing w:after="0"/>
              <w:rPr>
                <w:rFonts w:ascii="Arial" w:cs="Arial" w:eastAsia="Arial" w:hAnsi="Arial"/>
                <w:sz w:val="17"/>
                <w:szCs w:val="17"/>
                <w:color w:val="0000EE"/>
              </w:rPr>
            </w:pPr>
            <w:hyperlink w:anchor="page49">
              <w:r>
                <w:rPr>
                  <w:rFonts w:ascii="Arial" w:cs="Arial" w:eastAsia="Arial" w:hAnsi="Arial"/>
                  <w:sz w:val="17"/>
                  <w:szCs w:val="17"/>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419"/>
        </w:trPr>
        <w:tc>
          <w:tcPr>
            <w:tcW w:w="740" w:type="dxa"/>
            <w:vAlign w:val="bottom"/>
            <w:tcBorders>
              <w:bottom w:val="single" w:sz="8" w:color="0000EE"/>
            </w:tcBorders>
          </w:tcPr>
          <w:p>
            <w:pPr>
              <w:spacing w:after="0"/>
              <w:rPr>
                <w:rFonts w:ascii="Arial" w:cs="Arial" w:eastAsia="Arial" w:hAnsi="Arial"/>
                <w:sz w:val="17"/>
                <w:szCs w:val="17"/>
                <w:color w:val="0000EE"/>
                <w:w w:val="88"/>
              </w:rPr>
            </w:pPr>
            <w:hyperlink w:anchor="page50">
              <w:r>
                <w:rPr>
                  <w:rFonts w:ascii="Arial" w:cs="Arial" w:eastAsia="Arial" w:hAnsi="Arial"/>
                  <w:sz w:val="17"/>
                  <w:szCs w:val="17"/>
                  <w:color w:val="0000EE"/>
                  <w:w w:val="88"/>
                </w:rPr>
                <w:t>Signatures</w:t>
              </w:r>
            </w:hyperlink>
          </w:p>
        </w:tc>
        <w:tc>
          <w:tcPr>
            <w:tcW w:w="18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I—FINANCIAL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Pr>
          <w:p>
            <w:pPr>
              <w:spacing w:after="0"/>
              <w:rPr>
                <w:sz w:val="14"/>
                <w:szCs w:val="14"/>
                <w:color w:val="auto"/>
              </w:rPr>
            </w:pPr>
          </w:p>
        </w:tc>
        <w:tc>
          <w:tcPr>
            <w:tcW w:w="17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165"/>
        </w:trPr>
        <w:tc>
          <w:tcPr>
            <w:tcW w:w="7700" w:type="dxa"/>
            <w:vAlign w:val="bottom"/>
            <w:gridSpan w:val="2"/>
          </w:tcPr>
          <w:p>
            <w:pPr>
              <w:spacing w:after="0"/>
              <w:rPr>
                <w:sz w:val="20"/>
                <w:szCs w:val="20"/>
                <w:color w:val="auto"/>
              </w:rPr>
            </w:pPr>
            <w:r>
              <w:rPr>
                <w:rFonts w:ascii="Arial" w:cs="Arial" w:eastAsia="Arial" w:hAnsi="Arial"/>
                <w:sz w:val="14"/>
                <w:szCs w:val="14"/>
                <w:color w:val="auto"/>
              </w:rPr>
              <w:t>(Thousands, except par value)</w:t>
            </w:r>
          </w:p>
        </w:tc>
        <w:tc>
          <w:tcPr>
            <w:tcW w:w="180" w:type="dxa"/>
            <w:vAlign w:val="bottom"/>
          </w:tcPr>
          <w:p>
            <w:pPr>
              <w:spacing w:after="0"/>
              <w:rPr>
                <w:sz w:val="14"/>
                <w:szCs w:val="14"/>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52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CFF0FC"/>
            </w:tcBorders>
            <w:shd w:val="clear" w:color="auto" w:fill="CFF0FC"/>
          </w:tcPr>
          <w:p>
            <w:pPr>
              <w:spacing w:after="0"/>
              <w:rPr>
                <w:sz w:val="18"/>
                <w:szCs w:val="18"/>
                <w:color w:val="auto"/>
              </w:rPr>
            </w:pP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tcBorders>
            <w:shd w:val="clear" w:color="auto" w:fill="CFF0FC"/>
          </w:tcPr>
          <w:p>
            <w:pPr>
              <w:spacing w:after="0"/>
              <w:rPr>
                <w:sz w:val="18"/>
                <w:szCs w:val="18"/>
                <w:color w:val="auto"/>
              </w:rPr>
            </w:pPr>
          </w:p>
        </w:tc>
        <w:tc>
          <w:tcPr>
            <w:tcW w:w="158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00" w:type="dxa"/>
            <w:vAlign w:val="bottom"/>
            <w:gridSpan w:val="2"/>
          </w:tcPr>
          <w:p>
            <w:pPr>
              <w:ind w:left="240"/>
              <w:spacing w:after="0"/>
              <w:rPr>
                <w:sz w:val="20"/>
                <w:szCs w:val="20"/>
                <w:color w:val="auto"/>
              </w:rPr>
            </w:pPr>
            <w:r>
              <w:rPr>
                <w:rFonts w:ascii="Arial" w:cs="Arial" w:eastAsia="Arial" w:hAnsi="Arial"/>
                <w:sz w:val="17"/>
                <w:szCs w:val="17"/>
                <w:color w:val="auto"/>
              </w:rPr>
              <w:t>Property, plant and equipment, net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3,174,744</w:t>
            </w:r>
          </w:p>
        </w:tc>
        <w:tc>
          <w:tcPr>
            <w:tcW w:w="28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3,209,006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104,684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38,026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tcPr>
          <w:p>
            <w:pPr>
              <w:ind w:left="240"/>
              <w:spacing w:after="0"/>
              <w:rPr>
                <w:sz w:val="20"/>
                <w:szCs w:val="20"/>
                <w:color w:val="auto"/>
              </w:rPr>
            </w:pPr>
            <w:r>
              <w:rPr>
                <w:rFonts w:ascii="Arial" w:cs="Arial" w:eastAsia="Arial" w:hAnsi="Arial"/>
                <w:sz w:val="17"/>
                <w:szCs w:val="17"/>
                <w:color w:val="auto"/>
              </w:rPr>
              <w:t>Accounts receivable,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76,462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104,063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Goodwill</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692,886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692,385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tcPr>
          <w:p>
            <w:pPr>
              <w:ind w:left="240"/>
              <w:spacing w:after="0"/>
              <w:rPr>
                <w:sz w:val="20"/>
                <w:szCs w:val="20"/>
                <w:color w:val="auto"/>
              </w:rPr>
            </w:pPr>
            <w:r>
              <w:rPr>
                <w:rFonts w:ascii="Arial" w:cs="Arial" w:eastAsia="Arial" w:hAnsi="Arial"/>
                <w:sz w:val="17"/>
                <w:szCs w:val="17"/>
                <w:color w:val="auto"/>
              </w:rPr>
              <w:t>Intangible assets,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377,475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432,821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Straight-line revenue receivable</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61,785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tcPr>
          <w:p>
            <w:pPr>
              <w:ind w:left="240"/>
              <w:spacing w:after="0"/>
              <w:rPr>
                <w:sz w:val="20"/>
                <w:szCs w:val="20"/>
                <w:color w:val="auto"/>
              </w:rPr>
            </w:pPr>
            <w:r>
              <w:rPr>
                <w:rFonts w:ascii="Arial" w:cs="Arial" w:eastAsia="Arial" w:hAnsi="Arial"/>
                <w:sz w:val="17"/>
                <w:szCs w:val="17"/>
                <w:color w:val="auto"/>
              </w:rPr>
              <w:t>Derivative asset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9,357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31,043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Other assets, net</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120,748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Assets held for sale, net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140,580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b w:val="1"/>
                <w:bCs w:val="1"/>
                <w:color w:val="auto"/>
              </w:rPr>
              <w:t>Total Assets</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4,697,306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4,592,937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Convertible Preferred Stock and Shareholders' Deficit:</w:t>
            </w: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77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0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Liabilities:</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tcPr>
          <w:p>
            <w:pPr>
              <w:ind w:left="240"/>
              <w:spacing w:after="0"/>
              <w:rPr>
                <w:sz w:val="20"/>
                <w:szCs w:val="20"/>
                <w:color w:val="auto"/>
              </w:rPr>
            </w:pPr>
            <w:r>
              <w:rPr>
                <w:rFonts w:ascii="Arial" w:cs="Arial" w:eastAsia="Arial" w:hAnsi="Arial"/>
                <w:sz w:val="17"/>
                <w:szCs w:val="17"/>
                <w:color w:val="auto"/>
              </w:rPr>
              <w:t>Accounts payable, accrued expenses and other liabilities, net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195,704</w:t>
            </w:r>
          </w:p>
        </w:tc>
        <w:tc>
          <w:tcPr>
            <w:tcW w:w="28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94,179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Accrued interest payable</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70,922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28,097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tcPr>
          <w:p>
            <w:pPr>
              <w:ind w:left="240"/>
              <w:spacing w:after="0"/>
              <w:rPr>
                <w:sz w:val="20"/>
                <w:szCs w:val="20"/>
                <w:color w:val="auto"/>
              </w:rPr>
            </w:pPr>
            <w:r>
              <w:rPr>
                <w:rFonts w:ascii="Arial" w:cs="Arial" w:eastAsia="Arial" w:hAnsi="Arial"/>
                <w:sz w:val="17"/>
                <w:szCs w:val="17"/>
                <w:color w:val="auto"/>
              </w:rPr>
              <w:t>Deferred revenue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761,120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726,262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Dividends payable</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9,800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113,744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tcPr>
          <w:p>
            <w:pPr>
              <w:ind w:left="240"/>
              <w:spacing w:after="0"/>
              <w:rPr>
                <w:sz w:val="20"/>
                <w:szCs w:val="20"/>
                <w:color w:val="auto"/>
              </w:rPr>
            </w:pPr>
            <w:r>
              <w:rPr>
                <w:rFonts w:ascii="Arial" w:cs="Arial" w:eastAsia="Arial" w:hAnsi="Arial"/>
                <w:sz w:val="17"/>
                <w:szCs w:val="17"/>
                <w:color w:val="auto"/>
              </w:rPr>
              <w:t>Deferred income taxes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31,490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52,434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Finance lease obligations</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54,276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55,282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tcPr>
          <w:p>
            <w:pPr>
              <w:ind w:left="240"/>
              <w:spacing w:after="0"/>
              <w:rPr>
                <w:sz w:val="20"/>
                <w:szCs w:val="20"/>
                <w:color w:val="auto"/>
              </w:rPr>
            </w:pPr>
            <w:r>
              <w:rPr>
                <w:rFonts w:ascii="Arial" w:cs="Arial" w:eastAsia="Arial" w:hAnsi="Arial"/>
                <w:sz w:val="17"/>
                <w:szCs w:val="17"/>
                <w:color w:val="auto"/>
              </w:rPr>
              <w:t>Contingent consideration</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60,797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83,401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Notes and other debt, net</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4,920,645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4,846,233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Liabilities held for sale, net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56,082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FF0FC"/>
          </w:tcPr>
          <w:p>
            <w:pPr>
              <w:ind w:left="500"/>
              <w:spacing w:after="0"/>
              <w:rPr>
                <w:sz w:val="20"/>
                <w:szCs w:val="20"/>
                <w:color w:val="auto"/>
              </w:rPr>
            </w:pPr>
            <w:r>
              <w:rPr>
                <w:rFonts w:ascii="Arial" w:cs="Arial" w:eastAsia="Arial" w:hAnsi="Arial"/>
                <w:sz w:val="17"/>
                <w:szCs w:val="17"/>
                <w:color w:val="auto"/>
              </w:rPr>
              <w:t>Total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6,160,836</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5,999,632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Commitments and contingencies (Note 14)</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0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w w:val="96"/>
              </w:rPr>
              <w:t>Convertible preferred stock</w:t>
            </w:r>
            <w:r>
              <w:rPr>
                <w:rFonts w:ascii="Arial" w:cs="Arial" w:eastAsia="Arial" w:hAnsi="Arial"/>
                <w:sz w:val="17"/>
                <w:szCs w:val="17"/>
                <w:color w:val="auto"/>
                <w:w w:val="96"/>
              </w:rPr>
              <w:t>, Series A, $0.0001 par value, 88 shares authorized, issued and outstanding,</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$87,500 liquidation value</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87,252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86,508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Shareholders' Deficit:</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tcPr>
          <w:p>
            <w:pPr>
              <w:ind w:left="240"/>
              <w:spacing w:after="0"/>
              <w:rPr>
                <w:sz w:val="20"/>
                <w:szCs w:val="20"/>
                <w:color w:val="auto"/>
              </w:rPr>
            </w:pPr>
            <w:r>
              <w:rPr>
                <w:rFonts w:ascii="Arial" w:cs="Arial" w:eastAsia="Arial" w:hAnsi="Arial"/>
                <w:sz w:val="17"/>
                <w:szCs w:val="17"/>
                <w:color w:val="auto"/>
              </w:rPr>
              <w:t>Preferred stock, $0.0001 par value, 50,000 shares authorized, no shares issued and outstanding</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w w:val="93"/>
              </w:rPr>
              <w:t>Common stock, $0.0001 par value, 500,000 shares authorized, issued and outstanding: 182,670 shares at</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March 31, 2019 and 180,536 at December 31, 2018</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tcPr>
          <w:p>
            <w:pPr>
              <w:ind w:left="24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790,347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757,517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Accumulated other comprehensive income</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9,661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30,105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tcPr>
          <w:p>
            <w:pPr>
              <w:ind w:left="240"/>
              <w:spacing w:after="0"/>
              <w:rPr>
                <w:sz w:val="20"/>
                <w:szCs w:val="20"/>
                <w:color w:val="auto"/>
              </w:rPr>
            </w:pPr>
            <w:r>
              <w:rPr>
                <w:rFonts w:ascii="Arial" w:cs="Arial" w:eastAsia="Arial" w:hAnsi="Arial"/>
                <w:sz w:val="17"/>
                <w:szCs w:val="17"/>
                <w:color w:val="auto"/>
              </w:rPr>
              <w:t>Distributions in excess of accumulated earnings</w:t>
            </w:r>
          </w:p>
        </w:tc>
        <w:tc>
          <w:tcPr>
            <w:tcW w:w="18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7"/>
                <w:szCs w:val="17"/>
                <w:color w:val="auto"/>
              </w:rPr>
              <w:t>(2,442,564)</w:t>
            </w:r>
          </w:p>
        </w:tc>
        <w:tc>
          <w:tcPr>
            <w:tcW w:w="22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7"/>
                <w:szCs w:val="17"/>
                <w:color w:val="auto"/>
              </w:rPr>
              <w:t>(2,373,218)</w:t>
            </w:r>
          </w:p>
        </w:tc>
        <w:tc>
          <w:tcPr>
            <w:tcW w:w="0" w:type="dxa"/>
            <w:vAlign w:val="bottom"/>
          </w:tcPr>
          <w:p>
            <w:pPr>
              <w:spacing w:after="0"/>
              <w:rPr>
                <w:sz w:val="1"/>
                <w:szCs w:val="1"/>
                <w:color w:val="auto"/>
              </w:rPr>
            </w:pPr>
          </w:p>
        </w:tc>
      </w:tr>
      <w:tr>
        <w:trPr>
          <w:trHeight w:val="20"/>
        </w:trPr>
        <w:tc>
          <w:tcPr>
            <w:tcW w:w="7700" w:type="dxa"/>
            <w:vAlign w:val="bottom"/>
            <w:gridSpan w:val="2"/>
            <w:vMerge w:val="restart"/>
            <w:shd w:val="clear" w:color="auto" w:fill="CFF0FC"/>
          </w:tcPr>
          <w:p>
            <w:pPr>
              <w:ind w:left="240"/>
              <w:spacing w:after="0"/>
              <w:rPr>
                <w:sz w:val="20"/>
                <w:szCs w:val="20"/>
                <w:color w:val="auto"/>
              </w:rPr>
            </w:pPr>
            <w:r>
              <w:rPr>
                <w:rFonts w:ascii="Arial" w:cs="Arial" w:eastAsia="Arial" w:hAnsi="Arial"/>
                <w:sz w:val="17"/>
                <w:szCs w:val="17"/>
                <w:color w:val="auto"/>
              </w:rPr>
              <w:t>Total Uniti shareholders' deficit</w:t>
            </w: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0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(1,642,538)</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(1,585,578)</w:t>
            </w:r>
          </w:p>
        </w:tc>
        <w:tc>
          <w:tcPr>
            <w:tcW w:w="0" w:type="dxa"/>
            <w:vAlign w:val="bottom"/>
          </w:tcPr>
          <w:p>
            <w:pPr>
              <w:spacing w:after="0"/>
              <w:rPr>
                <w:sz w:val="1"/>
                <w:szCs w:val="1"/>
                <w:color w:val="auto"/>
              </w:rPr>
            </w:pPr>
          </w:p>
        </w:tc>
      </w:tr>
      <w:tr>
        <w:trPr>
          <w:trHeight w:val="220"/>
        </w:trPr>
        <w:tc>
          <w:tcPr>
            <w:tcW w:w="770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Noncontrolling interests - operating partnership units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91,756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92,375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FF0FC"/>
          </w:tcPr>
          <w:p>
            <w:pPr>
              <w:ind w:left="500"/>
              <w:spacing w:after="0"/>
              <w:rPr>
                <w:sz w:val="20"/>
                <w:szCs w:val="20"/>
                <w:color w:val="auto"/>
              </w:rPr>
            </w:pPr>
            <w:r>
              <w:rPr>
                <w:rFonts w:ascii="Arial" w:cs="Arial" w:eastAsia="Arial" w:hAnsi="Arial"/>
                <w:sz w:val="17"/>
                <w:szCs w:val="17"/>
                <w:color w:val="auto"/>
              </w:rPr>
              <w:t>Total shareholders' deficit</w:t>
            </w:r>
          </w:p>
        </w:tc>
        <w:tc>
          <w:tcPr>
            <w:tcW w:w="1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(1,550,782)</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(1,493,203)</w:t>
            </w: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 Convertible Preferred Stock, and Shareholders' Deficit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4,697,306</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4,592,937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March 31,</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020" w:type="dxa"/>
            <w:vAlign w:val="bottom"/>
            <w:gridSpan w:val="2"/>
          </w:tcPr>
          <w:p>
            <w:pPr>
              <w:spacing w:after="0"/>
              <w:rPr>
                <w:sz w:val="20"/>
                <w:szCs w:val="20"/>
                <w:color w:val="auto"/>
              </w:rPr>
            </w:pPr>
            <w:r>
              <w:rPr>
                <w:rFonts w:ascii="Arial" w:cs="Arial" w:eastAsia="Arial" w:hAnsi="Arial"/>
                <w:sz w:val="14"/>
                <w:szCs w:val="14"/>
                <w:color w:val="auto"/>
              </w:rPr>
              <w:t>(Thousands, except per share data)</w:t>
            </w:r>
          </w:p>
        </w:tc>
        <w:tc>
          <w:tcPr>
            <w:tcW w:w="480" w:type="dxa"/>
            <w:vAlign w:val="bottom"/>
          </w:tcPr>
          <w:p>
            <w:pPr>
              <w:spacing w:after="0"/>
              <w:rPr>
                <w:sz w:val="19"/>
                <w:szCs w:val="19"/>
                <w:color w:val="auto"/>
              </w:rPr>
            </w:pPr>
          </w:p>
        </w:tc>
        <w:tc>
          <w:tcPr>
            <w:tcW w:w="1520" w:type="dxa"/>
            <w:vAlign w:val="bottom"/>
          </w:tcPr>
          <w:p>
            <w:pPr>
              <w:jc w:val="right"/>
              <w:ind w:right="77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jc w:val="right"/>
              <w:ind w:right="775"/>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Revenues:</w:t>
            </w:r>
          </w:p>
        </w:tc>
        <w:tc>
          <w:tcPr>
            <w:tcW w:w="2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ind w:left="240"/>
              <w:spacing w:after="0"/>
              <w:rPr>
                <w:sz w:val="20"/>
                <w:szCs w:val="20"/>
                <w:color w:val="auto"/>
              </w:rPr>
            </w:pPr>
            <w:r>
              <w:rPr>
                <w:rFonts w:ascii="Arial" w:cs="Arial" w:eastAsia="Arial" w:hAnsi="Arial"/>
                <w:sz w:val="17"/>
                <w:szCs w:val="17"/>
                <w:color w:val="auto"/>
              </w:rPr>
              <w:t>Leasing</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176,083</w:t>
            </w:r>
          </w:p>
        </w:tc>
        <w:tc>
          <w:tcPr>
            <w:tcW w:w="180" w:type="dxa"/>
            <w:vAlign w:val="bottom"/>
          </w:tcPr>
          <w:p>
            <w:pPr>
              <w:spacing w:after="0"/>
              <w:rPr>
                <w:sz w:val="19"/>
                <w:szCs w:val="19"/>
                <w:color w:val="auto"/>
              </w:rPr>
            </w:pPr>
          </w:p>
        </w:tc>
        <w:tc>
          <w:tcPr>
            <w:tcW w:w="94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172,774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Fiber Infrastructure</w:t>
            </w:r>
          </w:p>
        </w:tc>
        <w:tc>
          <w:tcPr>
            <w:tcW w:w="4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76,833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66,967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ind w:left="240"/>
              <w:spacing w:after="0"/>
              <w:rPr>
                <w:sz w:val="20"/>
                <w:szCs w:val="20"/>
                <w:color w:val="auto"/>
              </w:rPr>
            </w:pPr>
            <w:r>
              <w:rPr>
                <w:rFonts w:ascii="Arial" w:cs="Arial" w:eastAsia="Arial" w:hAnsi="Arial"/>
                <w:sz w:val="17"/>
                <w:szCs w:val="17"/>
                <w:color w:val="auto"/>
              </w:rPr>
              <w:t>Tower</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5,080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Consumer CLEC</w:t>
            </w:r>
          </w:p>
        </w:tc>
        <w:tc>
          <w:tcPr>
            <w:tcW w:w="4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20" w:type="dxa"/>
            <w:vAlign w:val="bottom"/>
            <w:gridSpan w:val="2"/>
          </w:tcPr>
          <w:p>
            <w:pPr>
              <w:ind w:left="480"/>
              <w:spacing w:after="0"/>
              <w:rPr>
                <w:sz w:val="20"/>
                <w:szCs w:val="20"/>
                <w:color w:val="auto"/>
              </w:rPr>
            </w:pPr>
            <w:r>
              <w:rPr>
                <w:rFonts w:ascii="Arial" w:cs="Arial" w:eastAsia="Arial" w:hAnsi="Arial"/>
                <w:sz w:val="17"/>
                <w:szCs w:val="17"/>
                <w:color w:val="auto"/>
              </w:rPr>
              <w:t>Total revenues</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261,031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246,915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0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b w:val="1"/>
                <w:bCs w:val="1"/>
                <w:color w:val="auto"/>
              </w:rPr>
              <w:t>Costs and Expenses:</w:t>
            </w:r>
          </w:p>
        </w:tc>
        <w:tc>
          <w:tcPr>
            <w:tcW w:w="4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ind w:left="240"/>
              <w:spacing w:after="0"/>
              <w:rPr>
                <w:sz w:val="20"/>
                <w:szCs w:val="20"/>
                <w:color w:val="auto"/>
              </w:rPr>
            </w:pPr>
            <w:r>
              <w:rPr>
                <w:rFonts w:ascii="Arial" w:cs="Arial" w:eastAsia="Arial" w:hAnsi="Arial"/>
                <w:sz w:val="17"/>
                <w:szCs w:val="17"/>
                <w:color w:val="auto"/>
              </w:rPr>
              <w:t>Interest expense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84,458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77,607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Depreciation and amortization</w:t>
            </w:r>
          </w:p>
        </w:tc>
        <w:tc>
          <w:tcPr>
            <w:tcW w:w="4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103,827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114,721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ind w:left="240"/>
              <w:spacing w:after="0"/>
              <w:rPr>
                <w:sz w:val="20"/>
                <w:szCs w:val="20"/>
                <w:color w:val="auto"/>
              </w:rPr>
            </w:pPr>
            <w:r>
              <w:rPr>
                <w:rFonts w:ascii="Arial" w:cs="Arial" w:eastAsia="Arial" w:hAnsi="Arial"/>
                <w:sz w:val="17"/>
                <w:szCs w:val="17"/>
                <w:color w:val="auto"/>
              </w:rPr>
              <w:t>General and administrative expense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24,226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Operating expense (exclusive of depreciation and amortization)</w:t>
            </w:r>
          </w:p>
        </w:tc>
        <w:tc>
          <w:tcPr>
            <w:tcW w:w="4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38,418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ind w:left="240"/>
              <w:spacing w:after="0"/>
              <w:rPr>
                <w:sz w:val="20"/>
                <w:szCs w:val="20"/>
                <w:color w:val="auto"/>
              </w:rPr>
            </w:pPr>
            <w:r>
              <w:rPr>
                <w:rFonts w:ascii="Arial" w:cs="Arial" w:eastAsia="Arial" w:hAnsi="Arial"/>
                <w:sz w:val="17"/>
                <w:szCs w:val="17"/>
                <w:color w:val="auto"/>
              </w:rPr>
              <w:t>Transaction related costs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6,669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Other (income) expense</w:t>
            </w:r>
          </w:p>
        </w:tc>
        <w:tc>
          <w:tcPr>
            <w:tcW w:w="4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(3,113)</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(3,885)</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FF0FC"/>
            </w:tcBorders>
            <w:gridSpan w:val="2"/>
          </w:tcPr>
          <w:p>
            <w:pPr>
              <w:ind w:left="500"/>
              <w:spacing w:after="0"/>
              <w:rPr>
                <w:sz w:val="20"/>
                <w:szCs w:val="20"/>
                <w:color w:val="auto"/>
              </w:rPr>
            </w:pPr>
            <w:r>
              <w:rPr>
                <w:rFonts w:ascii="Arial" w:cs="Arial" w:eastAsia="Arial" w:hAnsi="Arial"/>
                <w:sz w:val="17"/>
                <w:szCs w:val="17"/>
                <w:color w:val="auto"/>
              </w:rPr>
              <w:t>Total costs and expenses</w:t>
            </w:r>
          </w:p>
        </w:tc>
        <w:tc>
          <w:tcPr>
            <w:tcW w:w="4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254,485</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246,780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spacing w:after="0"/>
              <w:rPr>
                <w:sz w:val="20"/>
                <w:szCs w:val="20"/>
                <w:color w:val="auto"/>
              </w:rPr>
            </w:pPr>
            <w:r>
              <w:rPr>
                <w:rFonts w:ascii="Arial" w:cs="Arial" w:eastAsia="Arial" w:hAnsi="Arial"/>
                <w:sz w:val="17"/>
                <w:szCs w:val="17"/>
                <w:b w:val="1"/>
                <w:bCs w:val="1"/>
                <w:color w:val="auto"/>
              </w:rPr>
              <w:t>Income before income taxes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6,546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Income tax expense (benefit)</w:t>
            </w:r>
          </w:p>
        </w:tc>
        <w:tc>
          <w:tcPr>
            <w:tcW w:w="4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(1,096)</w:t>
            </w:r>
          </w:p>
        </w:tc>
        <w:tc>
          <w:tcPr>
            <w:tcW w:w="0" w:type="dxa"/>
            <w:vAlign w:val="bottom"/>
          </w:tcPr>
          <w:p>
            <w:pPr>
              <w:spacing w:after="0"/>
              <w:rPr>
                <w:sz w:val="1"/>
                <w:szCs w:val="1"/>
                <w:color w:val="auto"/>
              </w:rPr>
            </w:pPr>
          </w:p>
        </w:tc>
      </w:tr>
      <w:tr>
        <w:trPr>
          <w:trHeight w:val="213"/>
        </w:trPr>
        <w:tc>
          <w:tcPr>
            <w:tcW w:w="7020" w:type="dxa"/>
            <w:vAlign w:val="bottom"/>
            <w:gridSpan w:val="2"/>
          </w:tcPr>
          <w:p>
            <w:pPr>
              <w:spacing w:after="0"/>
              <w:rPr>
                <w:sz w:val="20"/>
                <w:szCs w:val="20"/>
                <w:color w:val="auto"/>
              </w:rPr>
            </w:pPr>
            <w:r>
              <w:rPr>
                <w:rFonts w:ascii="Arial" w:cs="Arial" w:eastAsia="Arial" w:hAnsi="Arial"/>
                <w:sz w:val="17"/>
                <w:szCs w:val="17"/>
                <w:b w:val="1"/>
                <w:bCs w:val="1"/>
                <w:color w:val="auto"/>
              </w:rPr>
              <w:t>Net income</w:t>
            </w:r>
          </w:p>
        </w:tc>
        <w:tc>
          <w:tcPr>
            <w:tcW w:w="4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 income attributable to noncontrolling interests</w:t>
            </w:r>
          </w:p>
        </w:tc>
        <w:tc>
          <w:tcPr>
            <w:tcW w:w="4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20" w:type="dxa"/>
            <w:vAlign w:val="bottom"/>
            <w:gridSpan w:val="2"/>
          </w:tcPr>
          <w:p>
            <w:pPr>
              <w:spacing w:after="0"/>
              <w:rPr>
                <w:sz w:val="20"/>
                <w:szCs w:val="20"/>
                <w:color w:val="auto"/>
              </w:rPr>
            </w:pPr>
            <w:r>
              <w:rPr>
                <w:rFonts w:ascii="Arial" w:cs="Arial" w:eastAsia="Arial" w:hAnsi="Arial"/>
                <w:sz w:val="17"/>
                <w:szCs w:val="17"/>
                <w:b w:val="1"/>
                <w:bCs w:val="1"/>
                <w:color w:val="auto"/>
              </w:rPr>
              <w:t>Net income attributable to shareholders</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2,442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Participating securities' share in earnings</w:t>
            </w:r>
          </w:p>
        </w:tc>
        <w:tc>
          <w:tcPr>
            <w:tcW w:w="4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(679)</w:t>
            </w:r>
          </w:p>
        </w:tc>
        <w:tc>
          <w:tcPr>
            <w:tcW w:w="0" w:type="dxa"/>
            <w:vAlign w:val="bottom"/>
          </w:tcPr>
          <w:p>
            <w:pPr>
              <w:spacing w:after="0"/>
              <w:rPr>
                <w:sz w:val="1"/>
                <w:szCs w:val="1"/>
                <w:color w:val="auto"/>
              </w:rPr>
            </w:pPr>
          </w:p>
        </w:tc>
      </w:tr>
      <w:tr>
        <w:trPr>
          <w:trHeight w:val="220"/>
        </w:trPr>
        <w:tc>
          <w:tcPr>
            <w:tcW w:w="7020" w:type="dxa"/>
            <w:vAlign w:val="bottom"/>
            <w:gridSpan w:val="2"/>
          </w:tcPr>
          <w:p>
            <w:pPr>
              <w:ind w:left="240"/>
              <w:spacing w:after="0"/>
              <w:rPr>
                <w:sz w:val="20"/>
                <w:szCs w:val="20"/>
                <w:color w:val="auto"/>
              </w:rPr>
            </w:pPr>
            <w:r>
              <w:rPr>
                <w:rFonts w:ascii="Arial" w:cs="Arial" w:eastAsia="Arial" w:hAnsi="Arial"/>
                <w:sz w:val="17"/>
                <w:szCs w:val="17"/>
                <w:color w:val="auto"/>
              </w:rPr>
              <w:t>Dividends declared on convertible preferred stock</w:t>
            </w:r>
          </w:p>
        </w:tc>
        <w:tc>
          <w:tcPr>
            <w:tcW w:w="48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7"/>
                <w:szCs w:val="17"/>
                <w:color w:val="auto"/>
              </w:rPr>
              <w:t>(656)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Amortization of discount on convertible preferred stock</w:t>
            </w:r>
          </w:p>
        </w:tc>
        <w:tc>
          <w:tcPr>
            <w:tcW w:w="4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(745)</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(745)</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income (loss) attributable to common shareholders</w:t>
            </w: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020" w:type="dxa"/>
            <w:vAlign w:val="bottom"/>
            <w:gridSpan w:val="2"/>
            <w:vMerge w:val="continue"/>
          </w:tcPr>
          <w:p>
            <w:pPr>
              <w:spacing w:after="0"/>
              <w:rPr>
                <w:sz w:val="21"/>
                <w:szCs w:val="21"/>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1,013</w:t>
            </w:r>
          </w:p>
        </w:tc>
        <w:tc>
          <w:tcPr>
            <w:tcW w:w="180" w:type="dxa"/>
            <w:vAlign w:val="bottom"/>
          </w:tcPr>
          <w:p>
            <w:pPr>
              <w:spacing w:after="0"/>
              <w:rPr>
                <w:sz w:val="21"/>
                <w:szCs w:val="21"/>
                <w:color w:val="auto"/>
              </w:rPr>
            </w:pPr>
          </w:p>
        </w:tc>
        <w:tc>
          <w:tcPr>
            <w:tcW w:w="94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(870)</w:t>
            </w:r>
          </w:p>
        </w:tc>
        <w:tc>
          <w:tcPr>
            <w:tcW w:w="0" w:type="dxa"/>
            <w:vAlign w:val="bottom"/>
          </w:tcPr>
          <w:p>
            <w:pPr>
              <w:spacing w:after="0"/>
              <w:rPr>
                <w:sz w:val="1"/>
                <w:szCs w:val="1"/>
                <w:color w:val="auto"/>
              </w:rPr>
            </w:pPr>
          </w:p>
        </w:tc>
      </w:tr>
      <w:tr>
        <w:trPr>
          <w:trHeight w:val="198"/>
        </w:trPr>
        <w:tc>
          <w:tcPr>
            <w:tcW w:w="68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spacing w:after="0"/>
              <w:rPr>
                <w:sz w:val="20"/>
                <w:szCs w:val="20"/>
                <w:color w:val="auto"/>
              </w:rPr>
            </w:pPr>
            <w:r>
              <w:rPr>
                <w:rFonts w:ascii="Arial" w:cs="Arial" w:eastAsia="Arial" w:hAnsi="Arial"/>
                <w:sz w:val="17"/>
                <w:szCs w:val="17"/>
                <w:b w:val="1"/>
                <w:bCs w:val="1"/>
                <w:color w:val="auto"/>
              </w:rPr>
              <w:t>Earnings (loss) per common share:</w:t>
            </w: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Basic</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0.01</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7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Borders>
              <w:top w:val="single" w:sz="8" w:color="CFF0FC"/>
              <w:bottom w:val="single" w:sz="8" w:color="CFF0FC"/>
            </w:tcBorders>
            <w:gridSpan w:val="2"/>
            <w:vMerge w:val="restart"/>
          </w:tcPr>
          <w:p>
            <w:pPr>
              <w:ind w:left="240"/>
              <w:spacing w:after="0"/>
              <w:rPr>
                <w:sz w:val="20"/>
                <w:szCs w:val="20"/>
                <w:color w:val="auto"/>
              </w:rPr>
            </w:pPr>
            <w:r>
              <w:rPr>
                <w:rFonts w:ascii="Arial" w:cs="Arial" w:eastAsia="Arial" w:hAnsi="Arial"/>
                <w:sz w:val="17"/>
                <w:szCs w:val="17"/>
                <w:color w:val="auto"/>
              </w:rPr>
              <w:t>Diluted</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020" w:type="dxa"/>
            <w:vAlign w:val="bottom"/>
            <w:gridSpan w:val="2"/>
            <w:vMerge w:val="continue"/>
          </w:tcPr>
          <w:p>
            <w:pPr>
              <w:spacing w:after="0"/>
              <w:rPr>
                <w:sz w:val="20"/>
                <w:szCs w:val="20"/>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0.01</w:t>
            </w:r>
          </w:p>
        </w:tc>
        <w:tc>
          <w:tcPr>
            <w:tcW w:w="180" w:type="dxa"/>
            <w:vAlign w:val="bottom"/>
          </w:tcPr>
          <w:p>
            <w:pPr>
              <w:spacing w:after="0"/>
              <w:rPr>
                <w:sz w:val="20"/>
                <w:szCs w:val="20"/>
                <w:color w:val="auto"/>
              </w:rPr>
            </w:pPr>
          </w:p>
        </w:tc>
        <w:tc>
          <w:tcPr>
            <w:tcW w:w="94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98"/>
        </w:trPr>
        <w:tc>
          <w:tcPr>
            <w:tcW w:w="68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spacing w:after="0"/>
              <w:rPr>
                <w:sz w:val="20"/>
                <w:szCs w:val="20"/>
                <w:color w:val="auto"/>
              </w:rPr>
            </w:pPr>
            <w:r>
              <w:rPr>
                <w:rFonts w:ascii="Arial" w:cs="Arial" w:eastAsia="Arial" w:hAnsi="Arial"/>
                <w:sz w:val="17"/>
                <w:szCs w:val="17"/>
                <w:b w:val="1"/>
                <w:bCs w:val="1"/>
                <w:color w:val="auto"/>
              </w:rPr>
              <w:t>Weighted-average number of common shares outstanding:</w:t>
            </w: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7"/>
                <w:szCs w:val="17"/>
                <w:color w:val="auto"/>
              </w:rPr>
              <w:t>Basic</w:t>
            </w:r>
          </w:p>
        </w:tc>
        <w:tc>
          <w:tcPr>
            <w:tcW w:w="4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182,219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174,892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ind w:left="240"/>
              <w:spacing w:after="0"/>
              <w:rPr>
                <w:sz w:val="20"/>
                <w:szCs w:val="20"/>
                <w:color w:val="auto"/>
              </w:rPr>
            </w:pPr>
            <w:r>
              <w:rPr>
                <w:rFonts w:ascii="Arial" w:cs="Arial" w:eastAsia="Arial" w:hAnsi="Arial"/>
                <w:sz w:val="17"/>
                <w:szCs w:val="17"/>
                <w:color w:val="auto"/>
              </w:rPr>
              <w:t>Diluted</w:t>
            </w: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020" w:type="dxa"/>
            <w:vAlign w:val="bottom"/>
            <w:gridSpan w:val="2"/>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182,222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175,499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1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 income</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2,492</w:t>
            </w: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920" w:type="dxa"/>
            <w:vAlign w:val="bottom"/>
            <w:gridSpan w:val="2"/>
          </w:tcPr>
          <w:p>
            <w:pPr>
              <w:spacing w:after="0"/>
              <w:rPr>
                <w:sz w:val="20"/>
                <w:szCs w:val="20"/>
                <w:color w:val="auto"/>
              </w:rPr>
            </w:pPr>
            <w:r>
              <w:rPr>
                <w:rFonts w:ascii="Arial" w:cs="Arial" w:eastAsia="Arial" w:hAnsi="Arial"/>
                <w:sz w:val="17"/>
                <w:szCs w:val="17"/>
                <w:color w:val="auto"/>
              </w:rPr>
              <w:t>Other comprehensive (loss) income:</w:t>
            </w: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9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Unrealized (loss) gain on derivative contracts</w:t>
            </w:r>
          </w:p>
        </w:tc>
        <w:tc>
          <w:tcPr>
            <w:tcW w:w="4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(21,686)</w:t>
            </w:r>
          </w:p>
        </w:tc>
        <w:tc>
          <w:tcPr>
            <w:tcW w:w="8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35,268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92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Changes in foreign currency translation</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w:t>
            </w:r>
          </w:p>
        </w:tc>
        <w:tc>
          <w:tcPr>
            <w:tcW w:w="3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comprehensive (loss) income:</w:t>
            </w:r>
          </w:p>
        </w:tc>
        <w:tc>
          <w:tcPr>
            <w:tcW w:w="4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(20,906)</w:t>
            </w:r>
          </w:p>
        </w:tc>
        <w:tc>
          <w:tcPr>
            <w:tcW w:w="8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39,833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7"/>
                <w:szCs w:val="17"/>
                <w:color w:val="auto"/>
              </w:rPr>
              <w:t>Comprehensive (loss) income</w:t>
            </w:r>
          </w:p>
        </w:tc>
        <w:tc>
          <w:tcPr>
            <w:tcW w:w="4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9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7"/>
                <w:szCs w:val="17"/>
                <w:color w:val="auto"/>
              </w:rPr>
              <w:t>(18,414)</w:t>
            </w:r>
          </w:p>
        </w:tc>
        <w:tc>
          <w:tcPr>
            <w:tcW w:w="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41,064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Comprehensive (loss) income attributable to noncontrolling interest</w:t>
            </w:r>
          </w:p>
        </w:tc>
        <w:tc>
          <w:tcPr>
            <w:tcW w:w="4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(412)</w:t>
            </w:r>
          </w:p>
        </w:tc>
        <w:tc>
          <w:tcPr>
            <w:tcW w:w="8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Comprehensive (loss) income attributable to common shareholders</w:t>
            </w:r>
          </w:p>
        </w:tc>
        <w:tc>
          <w:tcPr>
            <w:tcW w:w="4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920" w:type="dxa"/>
            <w:vAlign w:val="bottom"/>
            <w:gridSpan w:val="2"/>
            <w:vMerge w:val="continue"/>
          </w:tcPr>
          <w:p>
            <w:pPr>
              <w:spacing w:after="0"/>
              <w:rPr>
                <w:sz w:val="18"/>
                <w:szCs w:val="18"/>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240"/>
              <w:spacing w:after="0"/>
              <w:rPr>
                <w:sz w:val="20"/>
                <w:szCs w:val="20"/>
                <w:color w:val="auto"/>
              </w:rPr>
            </w:pPr>
            <w:r>
              <w:rPr>
                <w:rFonts w:ascii="Arial" w:cs="Arial" w:eastAsia="Arial" w:hAnsi="Arial"/>
                <w:sz w:val="17"/>
                <w:szCs w:val="17"/>
                <w:color w:val="auto"/>
              </w:rPr>
              <w:t>(18,002)</w:t>
            </w:r>
          </w:p>
        </w:tc>
        <w:tc>
          <w:tcPr>
            <w:tcW w:w="840" w:type="dxa"/>
            <w:vAlign w:val="bottom"/>
          </w:tcPr>
          <w:p>
            <w:pPr>
              <w:jc w:val="right"/>
              <w:ind w:right="65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40,124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Shareholders’ Deficit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6"/>
                <w:szCs w:val="16"/>
                <w:color w:val="auto"/>
                <w:w w:val="90"/>
              </w:rPr>
              <w:t>Accumulated</w:t>
            </w:r>
          </w:p>
        </w:tc>
        <w:tc>
          <w:tcPr>
            <w:tcW w:w="8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Distributions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4"/>
          </w:tcPr>
          <w:p>
            <w:pPr>
              <w:ind w:left="200"/>
              <w:spacing w:after="0"/>
              <w:rPr>
                <w:sz w:val="20"/>
                <w:szCs w:val="20"/>
                <w:color w:val="auto"/>
              </w:rPr>
            </w:pPr>
            <w:r>
              <w:rPr>
                <w:rFonts w:ascii="Arial" w:cs="Arial" w:eastAsia="Arial" w:hAnsi="Arial"/>
                <w:sz w:val="16"/>
                <w:szCs w:val="16"/>
                <w:color w:val="auto"/>
              </w:rPr>
              <w:t>Additional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6"/>
                <w:szCs w:val="16"/>
                <w:color w:val="auto"/>
                <w:w w:val="89"/>
              </w:rPr>
              <w:t>Other</w:t>
            </w:r>
          </w:p>
        </w:tc>
        <w:tc>
          <w:tcPr>
            <w:tcW w:w="8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in Excess of</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6"/>
                <w:szCs w:val="16"/>
                <w:color w:val="auto"/>
              </w:rPr>
              <w:t>Total</w:t>
            </w:r>
          </w:p>
        </w:tc>
      </w:tr>
      <w:tr>
        <w:trPr>
          <w:trHeight w:val="194"/>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w w:val="92"/>
              </w:rPr>
              <w:t>Paid-in</w:t>
            </w:r>
          </w:p>
        </w:tc>
        <w:tc>
          <w:tcPr>
            <w:tcW w:w="1180" w:type="dxa"/>
            <w:vAlign w:val="bottom"/>
            <w:gridSpan w:val="4"/>
          </w:tcPr>
          <w:p>
            <w:pPr>
              <w:ind w:left="80"/>
              <w:spacing w:after="0"/>
              <w:rPr>
                <w:sz w:val="20"/>
                <w:szCs w:val="20"/>
                <w:color w:val="auto"/>
              </w:rPr>
            </w:pPr>
            <w:r>
              <w:rPr>
                <w:rFonts w:ascii="Arial" w:cs="Arial" w:eastAsia="Arial" w:hAnsi="Arial"/>
                <w:sz w:val="16"/>
                <w:szCs w:val="16"/>
                <w:color w:val="auto"/>
                <w:w w:val="96"/>
              </w:rPr>
              <w:t>Comprehensive</w:t>
            </w:r>
          </w:p>
        </w:tc>
        <w:tc>
          <w:tcPr>
            <w:tcW w:w="1040" w:type="dxa"/>
            <w:vAlign w:val="bottom"/>
            <w:gridSpan w:val="3"/>
          </w:tcPr>
          <w:p>
            <w:pPr>
              <w:jc w:val="center"/>
              <w:ind w:right="40"/>
              <w:spacing w:after="0"/>
              <w:rPr>
                <w:sz w:val="20"/>
                <w:szCs w:val="20"/>
                <w:color w:val="auto"/>
              </w:rPr>
            </w:pPr>
            <w:r>
              <w:rPr>
                <w:rFonts w:ascii="Arial" w:cs="Arial" w:eastAsia="Arial" w:hAnsi="Arial"/>
                <w:sz w:val="16"/>
                <w:szCs w:val="16"/>
                <w:color w:val="auto"/>
                <w:w w:val="90"/>
              </w:rPr>
              <w:t>Accumulated</w:t>
            </w:r>
          </w:p>
        </w:tc>
        <w:tc>
          <w:tcPr>
            <w:tcW w:w="1240" w:type="dxa"/>
            <w:vAlign w:val="bottom"/>
            <w:gridSpan w:val="4"/>
          </w:tcPr>
          <w:p>
            <w:pPr>
              <w:ind w:left="80"/>
              <w:spacing w:after="0"/>
              <w:rPr>
                <w:sz w:val="20"/>
                <w:szCs w:val="20"/>
                <w:color w:val="auto"/>
              </w:rPr>
            </w:pPr>
            <w:r>
              <w:rPr>
                <w:rFonts w:ascii="Arial" w:cs="Arial" w:eastAsia="Arial" w:hAnsi="Arial"/>
                <w:sz w:val="16"/>
                <w:szCs w:val="16"/>
                <w:color w:val="auto"/>
              </w:rPr>
              <w:t>Noncontrolling</w:t>
            </w:r>
          </w:p>
        </w:tc>
        <w:tc>
          <w:tcPr>
            <w:tcW w:w="940" w:type="dxa"/>
            <w:vAlign w:val="bottom"/>
            <w:gridSpan w:val="3"/>
          </w:tcPr>
          <w:p>
            <w:pPr>
              <w:spacing w:after="0"/>
              <w:rPr>
                <w:sz w:val="20"/>
                <w:szCs w:val="20"/>
                <w:color w:val="auto"/>
              </w:rPr>
            </w:pPr>
            <w:r>
              <w:rPr>
                <w:rFonts w:ascii="Arial" w:cs="Arial" w:eastAsia="Arial" w:hAnsi="Arial"/>
                <w:sz w:val="16"/>
                <w:szCs w:val="16"/>
                <w:color w:val="auto"/>
                <w:w w:val="93"/>
              </w:rPr>
              <w:t>Shareholders'</w:t>
            </w:r>
          </w:p>
        </w:tc>
      </w:tr>
      <w:tr>
        <w:trPr>
          <w:trHeight w:val="202"/>
        </w:trPr>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except share data)</w:t>
            </w:r>
          </w:p>
        </w:tc>
        <w:tc>
          <w:tcPr>
            <w:tcW w:w="1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color w:val="auto"/>
                <w:w w:val="91"/>
              </w:rPr>
              <w:t>Preferred Stock</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color w:val="auto"/>
                <w:w w:val="95"/>
              </w:rPr>
              <w:t>Common Stock</w:t>
            </w: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2"/>
              </w:rPr>
              <w:t>Capital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color w:val="auto"/>
                <w:w w:val="91"/>
              </w:rPr>
              <w:t>Income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5"/>
              </w:rPr>
              <w:t>Earnings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97"/>
              </w:rPr>
              <w:t>Interest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Deficit</w:t>
            </w:r>
          </w:p>
        </w:tc>
        <w:tc>
          <w:tcPr>
            <w:tcW w:w="100" w:type="dxa"/>
            <w:vAlign w:val="bottom"/>
          </w:tcPr>
          <w:p>
            <w:pPr>
              <w:spacing w:after="0"/>
              <w:rPr>
                <w:sz w:val="17"/>
                <w:szCs w:val="17"/>
                <w:color w:val="auto"/>
              </w:rPr>
            </w:pPr>
          </w:p>
        </w:tc>
      </w:tr>
      <w:tr>
        <w:trPr>
          <w:trHeight w:val="174"/>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2"/>
          </w:tcPr>
          <w:p>
            <w:pPr>
              <w:jc w:val="right"/>
              <w:ind w:right="60"/>
              <w:spacing w:after="0" w:line="174" w:lineRule="exact"/>
              <w:rPr>
                <w:sz w:val="20"/>
                <w:szCs w:val="20"/>
                <w:color w:val="auto"/>
              </w:rPr>
            </w:pPr>
            <w:r>
              <w:rPr>
                <w:rFonts w:ascii="Arial" w:cs="Arial" w:eastAsia="Arial" w:hAnsi="Arial"/>
                <w:sz w:val="17"/>
                <w:szCs w:val="17"/>
                <w:color w:val="auto"/>
                <w:w w:val="81"/>
              </w:rPr>
              <w:t>Shares</w:t>
            </w:r>
          </w:p>
        </w:tc>
        <w:tc>
          <w:tcPr>
            <w:tcW w:w="200" w:type="dxa"/>
            <w:vAlign w:val="bottom"/>
          </w:tcPr>
          <w:p>
            <w:pPr>
              <w:spacing w:after="0"/>
              <w:rPr>
                <w:sz w:val="15"/>
                <w:szCs w:val="15"/>
                <w:color w:val="auto"/>
              </w:rPr>
            </w:pPr>
          </w:p>
        </w:tc>
        <w:tc>
          <w:tcPr>
            <w:tcW w:w="780" w:type="dxa"/>
            <w:vAlign w:val="bottom"/>
            <w:gridSpan w:val="5"/>
          </w:tcPr>
          <w:p>
            <w:pPr>
              <w:ind w:left="20"/>
              <w:spacing w:after="0" w:line="174" w:lineRule="exact"/>
              <w:rPr>
                <w:sz w:val="20"/>
                <w:szCs w:val="20"/>
                <w:color w:val="auto"/>
              </w:rPr>
            </w:pPr>
            <w:r>
              <w:rPr>
                <w:rFonts w:ascii="Arial" w:cs="Arial" w:eastAsia="Arial" w:hAnsi="Arial"/>
                <w:sz w:val="17"/>
                <w:szCs w:val="17"/>
                <w:color w:val="auto"/>
              </w:rPr>
              <w:t>Amount</w:t>
            </w:r>
          </w:p>
        </w:tc>
        <w:tc>
          <w:tcPr>
            <w:tcW w:w="200" w:type="dxa"/>
            <w:vAlign w:val="bottom"/>
          </w:tcPr>
          <w:p>
            <w:pPr>
              <w:spacing w:after="0"/>
              <w:rPr>
                <w:sz w:val="15"/>
                <w:szCs w:val="15"/>
                <w:color w:val="auto"/>
              </w:rPr>
            </w:pPr>
          </w:p>
        </w:tc>
        <w:tc>
          <w:tcPr>
            <w:tcW w:w="880" w:type="dxa"/>
            <w:vAlign w:val="bottom"/>
            <w:gridSpan w:val="3"/>
          </w:tcPr>
          <w:p>
            <w:pPr>
              <w:spacing w:after="0" w:line="174"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5"/>
                <w:szCs w:val="15"/>
                <w:color w:val="auto"/>
              </w:rPr>
            </w:pPr>
          </w:p>
        </w:tc>
        <w:tc>
          <w:tcPr>
            <w:tcW w:w="580" w:type="dxa"/>
            <w:vAlign w:val="bottom"/>
            <w:gridSpan w:val="3"/>
          </w:tcPr>
          <w:p>
            <w:pPr>
              <w:spacing w:after="0" w:line="174" w:lineRule="exact"/>
              <w:rPr>
                <w:sz w:val="20"/>
                <w:szCs w:val="20"/>
                <w:color w:val="auto"/>
              </w:rPr>
            </w:pPr>
            <w:r>
              <w:rPr>
                <w:rFonts w:ascii="Arial" w:cs="Arial" w:eastAsia="Arial" w:hAnsi="Arial"/>
                <w:sz w:val="17"/>
                <w:szCs w:val="17"/>
                <w:color w:val="auto"/>
                <w:w w:val="95"/>
              </w:rPr>
              <w:t>Amount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9"/>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2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at December 31, 2017</w:t>
            </w:r>
          </w:p>
        </w:tc>
        <w:tc>
          <w:tcPr>
            <w:tcW w:w="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w w:val="96"/>
              </w:rPr>
              <w:t>174,851,514</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644,328</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7,821</w:t>
            </w: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w w:val="98"/>
              </w:rPr>
              <w:t>$ (1,960,715)</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101,407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2"/>
              </w:rPr>
              <w:t>(1,207,142)</w:t>
            </w:r>
          </w:p>
        </w:tc>
      </w:tr>
      <w:tr>
        <w:trPr>
          <w:trHeight w:val="217"/>
        </w:trPr>
        <w:tc>
          <w:tcPr>
            <w:tcW w:w="280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8"/>
                <w:szCs w:val="18"/>
                <w:color w:val="auto"/>
              </w:rPr>
            </w:pPr>
          </w:p>
        </w:tc>
      </w:tr>
      <w:tr>
        <w:trPr>
          <w:trHeight w:val="202"/>
        </w:trPr>
        <w:tc>
          <w:tcPr>
            <w:tcW w:w="2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discount of convertible</w:t>
            </w:r>
          </w:p>
        </w:tc>
        <w:tc>
          <w:tcPr>
            <w:tcW w:w="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2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preferred stock</w:t>
            </w:r>
          </w:p>
        </w:tc>
        <w:tc>
          <w:tcPr>
            <w:tcW w:w="5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(745)</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(745)</w:t>
            </w:r>
          </w:p>
        </w:tc>
      </w:tr>
      <w:tr>
        <w:trPr>
          <w:trHeight w:val="217"/>
        </w:trPr>
        <w:tc>
          <w:tcPr>
            <w:tcW w:w="2800" w:type="dxa"/>
            <w:vAlign w:val="bottom"/>
            <w:gridSpan w:val="2"/>
          </w:tcPr>
          <w:p>
            <w:pPr>
              <w:spacing w:after="0"/>
              <w:rPr>
                <w:sz w:val="20"/>
                <w:szCs w:val="20"/>
                <w:color w:val="auto"/>
              </w:rPr>
            </w:pPr>
            <w:r>
              <w:rPr>
                <w:rFonts w:ascii="Arial" w:cs="Arial" w:eastAsia="Arial" w:hAnsi="Arial"/>
                <w:sz w:val="16"/>
                <w:szCs w:val="16"/>
                <w:color w:val="auto"/>
              </w:rPr>
              <w:t>Other comprehensive income</w:t>
            </w: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38,914</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39,833</w:t>
            </w:r>
          </w:p>
        </w:tc>
        <w:tc>
          <w:tcPr>
            <w:tcW w:w="100" w:type="dxa"/>
            <w:vAlign w:val="bottom"/>
          </w:tcPr>
          <w:p>
            <w:pPr>
              <w:spacing w:after="0"/>
              <w:rPr>
                <w:sz w:val="18"/>
                <w:szCs w:val="18"/>
                <w:color w:val="auto"/>
              </w:rPr>
            </w:pPr>
          </w:p>
        </w:tc>
      </w:tr>
      <w:tr>
        <w:trPr>
          <w:trHeight w:val="222"/>
        </w:trPr>
        <w:tc>
          <w:tcPr>
            <w:tcW w:w="2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 dividends declared</w:t>
            </w:r>
          </w:p>
        </w:tc>
        <w:tc>
          <w:tcPr>
            <w:tcW w:w="5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(105,069)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(105,069)</w:t>
            </w:r>
          </w:p>
        </w:tc>
      </w:tr>
      <w:tr>
        <w:trPr>
          <w:trHeight w:val="217"/>
        </w:trPr>
        <w:tc>
          <w:tcPr>
            <w:tcW w:w="2800" w:type="dxa"/>
            <w:vAlign w:val="bottom"/>
            <w:gridSpan w:val="2"/>
          </w:tcPr>
          <w:p>
            <w:pPr>
              <w:spacing w:after="0"/>
              <w:rPr>
                <w:sz w:val="20"/>
                <w:szCs w:val="20"/>
                <w:color w:val="auto"/>
              </w:rPr>
            </w:pPr>
            <w:r>
              <w:rPr>
                <w:rFonts w:ascii="Arial" w:cs="Arial" w:eastAsia="Arial" w:hAnsi="Arial"/>
                <w:sz w:val="16"/>
                <w:szCs w:val="16"/>
                <w:color w:val="auto"/>
              </w:rPr>
              <w:t>Convertible preferred stock dividends</w:t>
            </w: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6"/>
                <w:szCs w:val="16"/>
                <w:color w:val="auto"/>
              </w:rPr>
              <w:t>(656)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(656)</w:t>
            </w:r>
          </w:p>
        </w:tc>
      </w:tr>
      <w:tr>
        <w:trPr>
          <w:trHeight w:val="222"/>
        </w:trPr>
        <w:tc>
          <w:tcPr>
            <w:tcW w:w="2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Distributions to noncontrolling interest</w:t>
            </w:r>
          </w:p>
        </w:tc>
        <w:tc>
          <w:tcPr>
            <w:tcW w:w="5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(2,479)</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(2,479)</w:t>
            </w:r>
          </w:p>
        </w:tc>
      </w:tr>
      <w:tr>
        <w:trPr>
          <w:trHeight w:val="217"/>
        </w:trPr>
        <w:tc>
          <w:tcPr>
            <w:tcW w:w="2800" w:type="dxa"/>
            <w:vAlign w:val="bottom"/>
            <w:gridSpan w:val="2"/>
          </w:tcPr>
          <w:p>
            <w:pPr>
              <w:spacing w:after="0"/>
              <w:rPr>
                <w:sz w:val="20"/>
                <w:szCs w:val="20"/>
                <w:color w:val="auto"/>
              </w:rPr>
            </w:pPr>
            <w:r>
              <w:rPr>
                <w:rFonts w:ascii="Arial" w:cs="Arial" w:eastAsia="Arial" w:hAnsi="Arial"/>
                <w:sz w:val="16"/>
                <w:szCs w:val="16"/>
                <w:color w:val="auto"/>
              </w:rPr>
              <w:t>Net share settlement</w:t>
            </w: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(390)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6"/>
                <w:szCs w:val="16"/>
                <w:color w:val="auto"/>
              </w:rPr>
              <w:t>(269)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(659)</w:t>
            </w:r>
          </w:p>
        </w:tc>
      </w:tr>
      <w:tr>
        <w:trPr>
          <w:trHeight w:val="222"/>
        </w:trPr>
        <w:tc>
          <w:tcPr>
            <w:tcW w:w="2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5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118,132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2,210</w:t>
            </w:r>
          </w:p>
        </w:tc>
        <w:tc>
          <w:tcPr>
            <w:tcW w:w="100" w:type="dxa"/>
            <w:vAlign w:val="bottom"/>
            <w:shd w:val="clear" w:color="auto" w:fill="CFF0FC"/>
          </w:tcPr>
          <w:p>
            <w:pPr>
              <w:spacing w:after="0"/>
              <w:rPr>
                <w:sz w:val="19"/>
                <w:szCs w:val="19"/>
                <w:color w:val="auto"/>
              </w:rPr>
            </w:pPr>
          </w:p>
        </w:tc>
      </w:tr>
      <w:tr>
        <w:trPr>
          <w:trHeight w:val="217"/>
        </w:trPr>
        <w:tc>
          <w:tcPr>
            <w:tcW w:w="280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w w:val="96"/>
              </w:rPr>
              <w:t>Impact of change in accounting standard</w:t>
            </w:r>
          </w:p>
        </w:tc>
        <w:tc>
          <w:tcPr>
            <w:tcW w:w="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w:t>
            </w:r>
          </w:p>
        </w:tc>
        <w:tc>
          <w:tcPr>
            <w:tcW w:w="100" w:type="dxa"/>
            <w:vAlign w:val="bottom"/>
            <w:tcBorders>
              <w:bottom w:val="single" w:sz="8" w:color="CFF0FC"/>
            </w:tcBorders>
          </w:tcPr>
          <w:p>
            <w:pPr>
              <w:spacing w:after="0"/>
              <w:rPr>
                <w:sz w:val="18"/>
                <w:szCs w:val="18"/>
                <w:color w:val="auto"/>
              </w:rPr>
            </w:pPr>
          </w:p>
        </w:tc>
      </w:tr>
      <w:tr>
        <w:trPr>
          <w:trHeight w:val="213"/>
        </w:trPr>
        <w:tc>
          <w:tcPr>
            <w:tcW w:w="2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at March 31, 2018</w:t>
            </w:r>
          </w:p>
        </w:tc>
        <w:tc>
          <w:tcPr>
            <w:tcW w:w="5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w w:val="96"/>
              </w:rPr>
              <w:t>174,969,646</w:t>
            </w:r>
          </w:p>
        </w:tc>
        <w:tc>
          <w:tcPr>
            <w:tcW w:w="2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645,403</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46,735</w:t>
            </w:r>
          </w:p>
        </w:tc>
        <w:tc>
          <w:tcPr>
            <w:tcW w:w="1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w w:val="98"/>
              </w:rPr>
              <w:t>$ (2,063,640)</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99,868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2"/>
              </w:rPr>
              <w:t>(1,271,617)</w:t>
            </w: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88"/>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2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at December 31, 2018</w:t>
            </w:r>
          </w:p>
        </w:tc>
        <w:tc>
          <w:tcPr>
            <w:tcW w:w="5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w w:val="96"/>
              </w:rPr>
              <w:t>180,535,971</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757,517</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30,105</w:t>
            </w: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w w:val="98"/>
              </w:rPr>
              <w:t>$ (2,373,218)</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92,375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2"/>
              </w:rPr>
              <w:t>(1,493,203)</w:t>
            </w:r>
          </w:p>
        </w:tc>
      </w:tr>
      <w:tr>
        <w:trPr>
          <w:trHeight w:val="192"/>
        </w:trPr>
        <w:tc>
          <w:tcPr>
            <w:tcW w:w="2800" w:type="dxa"/>
            <w:vAlign w:val="bottom"/>
            <w:gridSpan w:val="2"/>
          </w:tcPr>
          <w:p>
            <w:pPr>
              <w:spacing w:after="0"/>
              <w:rPr>
                <w:sz w:val="20"/>
                <w:szCs w:val="20"/>
                <w:color w:val="auto"/>
              </w:rPr>
            </w:pPr>
            <w:r>
              <w:rPr>
                <w:rFonts w:ascii="Arial" w:cs="Arial" w:eastAsia="Arial" w:hAnsi="Arial"/>
                <w:sz w:val="16"/>
                <w:szCs w:val="16"/>
                <w:color w:val="auto"/>
                <w:w w:val="94"/>
              </w:rPr>
              <w:t>Impact of change in accounting standard,</w:t>
            </w: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2800" w:type="dxa"/>
            <w:vAlign w:val="bottom"/>
            <w:gridSpan w:val="2"/>
          </w:tcPr>
          <w:p>
            <w:pPr>
              <w:spacing w:after="0"/>
              <w:rPr>
                <w:sz w:val="20"/>
                <w:szCs w:val="20"/>
                <w:color w:val="auto"/>
              </w:rPr>
            </w:pPr>
            <w:r>
              <w:rPr>
                <w:rFonts w:ascii="Arial" w:cs="Arial" w:eastAsia="Arial" w:hAnsi="Arial"/>
                <w:sz w:val="16"/>
                <w:szCs w:val="16"/>
                <w:color w:val="auto"/>
              </w:rPr>
              <w:t>net of tax</w:t>
            </w: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6"/>
                <w:szCs w:val="16"/>
                <w:color w:val="auto"/>
              </w:rPr>
              <w:t>(63,110)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(63,110)</w:t>
            </w:r>
          </w:p>
        </w:tc>
      </w:tr>
      <w:tr>
        <w:trPr>
          <w:trHeight w:val="222"/>
        </w:trPr>
        <w:tc>
          <w:tcPr>
            <w:tcW w:w="2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income</w:t>
            </w:r>
          </w:p>
        </w:tc>
        <w:tc>
          <w:tcPr>
            <w:tcW w:w="5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2,442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2,492</w:t>
            </w:r>
          </w:p>
        </w:tc>
        <w:tc>
          <w:tcPr>
            <w:tcW w:w="100" w:type="dxa"/>
            <w:vAlign w:val="bottom"/>
            <w:shd w:val="clear" w:color="auto" w:fill="CFF0FC"/>
          </w:tcPr>
          <w:p>
            <w:pPr>
              <w:spacing w:after="0"/>
              <w:rPr>
                <w:sz w:val="19"/>
                <w:szCs w:val="19"/>
                <w:color w:val="auto"/>
              </w:rPr>
            </w:pPr>
          </w:p>
        </w:tc>
      </w:tr>
      <w:tr>
        <w:trPr>
          <w:trHeight w:val="199"/>
        </w:trPr>
        <w:tc>
          <w:tcPr>
            <w:tcW w:w="2800" w:type="dxa"/>
            <w:vAlign w:val="bottom"/>
            <w:gridSpan w:val="2"/>
          </w:tcPr>
          <w:p>
            <w:pPr>
              <w:spacing w:after="0"/>
              <w:rPr>
                <w:sz w:val="20"/>
                <w:szCs w:val="20"/>
                <w:color w:val="auto"/>
              </w:rPr>
            </w:pPr>
            <w:r>
              <w:rPr>
                <w:rFonts w:ascii="Arial" w:cs="Arial" w:eastAsia="Arial" w:hAnsi="Arial"/>
                <w:sz w:val="16"/>
                <w:szCs w:val="16"/>
                <w:color w:val="auto"/>
                <w:w w:val="94"/>
              </w:rPr>
              <w:t>At-the-market issuance of common stock,</w:t>
            </w: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2800" w:type="dxa"/>
            <w:vAlign w:val="bottom"/>
            <w:gridSpan w:val="2"/>
          </w:tcPr>
          <w:p>
            <w:pPr>
              <w:spacing w:after="0"/>
              <w:rPr>
                <w:sz w:val="20"/>
                <w:szCs w:val="20"/>
                <w:color w:val="auto"/>
              </w:rPr>
            </w:pPr>
            <w:r>
              <w:rPr>
                <w:rFonts w:ascii="Arial" w:cs="Arial" w:eastAsia="Arial" w:hAnsi="Arial"/>
                <w:sz w:val="16"/>
                <w:szCs w:val="16"/>
                <w:color w:val="auto"/>
              </w:rPr>
              <w:t>net of offering costs</w:t>
            </w: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1,176,186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21,641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21,641</w:t>
            </w:r>
          </w:p>
        </w:tc>
        <w:tc>
          <w:tcPr>
            <w:tcW w:w="100" w:type="dxa"/>
            <w:vAlign w:val="bottom"/>
          </w:tcPr>
          <w:p>
            <w:pPr>
              <w:spacing w:after="0"/>
              <w:rPr>
                <w:sz w:val="17"/>
                <w:szCs w:val="17"/>
                <w:color w:val="auto"/>
              </w:rPr>
            </w:pPr>
          </w:p>
        </w:tc>
      </w:tr>
      <w:tr>
        <w:trPr>
          <w:trHeight w:val="202"/>
        </w:trPr>
        <w:tc>
          <w:tcPr>
            <w:tcW w:w="2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discount on convertible</w:t>
            </w:r>
          </w:p>
        </w:tc>
        <w:tc>
          <w:tcPr>
            <w:tcW w:w="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2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preferred stock</w:t>
            </w:r>
          </w:p>
        </w:tc>
        <w:tc>
          <w:tcPr>
            <w:tcW w:w="5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(745)</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(745)</w:t>
            </w:r>
          </w:p>
        </w:tc>
      </w:tr>
      <w:tr>
        <w:trPr>
          <w:trHeight w:val="217"/>
        </w:trPr>
        <w:tc>
          <w:tcPr>
            <w:tcW w:w="2800" w:type="dxa"/>
            <w:vAlign w:val="bottom"/>
            <w:gridSpan w:val="2"/>
          </w:tcPr>
          <w:p>
            <w:pPr>
              <w:spacing w:after="0"/>
              <w:rPr>
                <w:sz w:val="20"/>
                <w:szCs w:val="20"/>
                <w:color w:val="auto"/>
              </w:rPr>
            </w:pPr>
            <w:r>
              <w:rPr>
                <w:rFonts w:ascii="Arial" w:cs="Arial" w:eastAsia="Arial" w:hAnsi="Arial"/>
                <w:sz w:val="16"/>
                <w:szCs w:val="16"/>
                <w:color w:val="auto"/>
              </w:rPr>
              <w:t>Other comprehensive loss</w:t>
            </w: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(20,444)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(20,906)</w:t>
            </w:r>
          </w:p>
        </w:tc>
      </w:tr>
      <w:tr>
        <w:trPr>
          <w:trHeight w:val="202"/>
        </w:trPr>
        <w:tc>
          <w:tcPr>
            <w:tcW w:w="280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4"/>
              </w:rPr>
              <w:t>Common stock dividends declared ($0.05</w:t>
            </w:r>
          </w:p>
        </w:tc>
        <w:tc>
          <w:tcPr>
            <w:tcW w:w="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2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per share)</w:t>
            </w:r>
          </w:p>
        </w:tc>
        <w:tc>
          <w:tcPr>
            <w:tcW w:w="5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(8,022)</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(8,022)</w:t>
            </w:r>
          </w:p>
        </w:tc>
      </w:tr>
      <w:tr>
        <w:trPr>
          <w:trHeight w:val="217"/>
        </w:trPr>
        <w:tc>
          <w:tcPr>
            <w:tcW w:w="2800" w:type="dxa"/>
            <w:vAlign w:val="bottom"/>
            <w:gridSpan w:val="2"/>
          </w:tcPr>
          <w:p>
            <w:pPr>
              <w:spacing w:after="0"/>
              <w:rPr>
                <w:sz w:val="20"/>
                <w:szCs w:val="20"/>
                <w:color w:val="auto"/>
              </w:rPr>
            </w:pPr>
            <w:r>
              <w:rPr>
                <w:rFonts w:ascii="Arial" w:cs="Arial" w:eastAsia="Arial" w:hAnsi="Arial"/>
                <w:sz w:val="16"/>
                <w:szCs w:val="16"/>
                <w:color w:val="auto"/>
              </w:rPr>
              <w:t>Distributions to noncontrolling interest</w:t>
            </w: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(207)</w:t>
            </w:r>
          </w:p>
        </w:tc>
      </w:tr>
      <w:tr>
        <w:trPr>
          <w:trHeight w:val="222"/>
        </w:trPr>
        <w:tc>
          <w:tcPr>
            <w:tcW w:w="2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Convertible preferred stock dividends</w:t>
            </w:r>
          </w:p>
        </w:tc>
        <w:tc>
          <w:tcPr>
            <w:tcW w:w="5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(656)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(656)</w:t>
            </w:r>
          </w:p>
        </w:tc>
      </w:tr>
      <w:tr>
        <w:trPr>
          <w:trHeight w:val="217"/>
        </w:trPr>
        <w:tc>
          <w:tcPr>
            <w:tcW w:w="2800" w:type="dxa"/>
            <w:vAlign w:val="bottom"/>
            <w:gridSpan w:val="2"/>
          </w:tcPr>
          <w:p>
            <w:pPr>
              <w:spacing w:after="0"/>
              <w:rPr>
                <w:sz w:val="20"/>
                <w:szCs w:val="20"/>
                <w:color w:val="auto"/>
              </w:rPr>
            </w:pPr>
            <w:r>
              <w:rPr>
                <w:rFonts w:ascii="Arial" w:cs="Arial" w:eastAsia="Arial" w:hAnsi="Arial"/>
                <w:sz w:val="16"/>
                <w:szCs w:val="16"/>
                <w:color w:val="auto"/>
              </w:rPr>
              <w:t>Net share settlement</w:t>
            </w: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(1,579)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(1,579)</w:t>
            </w:r>
          </w:p>
        </w:tc>
      </w:tr>
      <w:tr>
        <w:trPr>
          <w:trHeight w:val="222"/>
        </w:trPr>
        <w:tc>
          <w:tcPr>
            <w:tcW w:w="2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5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279,152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1,888</w:t>
            </w:r>
          </w:p>
        </w:tc>
        <w:tc>
          <w:tcPr>
            <w:tcW w:w="100" w:type="dxa"/>
            <w:vAlign w:val="bottom"/>
            <w:shd w:val="clear" w:color="auto" w:fill="CFF0FC"/>
          </w:tcPr>
          <w:p>
            <w:pPr>
              <w:spacing w:after="0"/>
              <w:rPr>
                <w:sz w:val="19"/>
                <w:szCs w:val="19"/>
                <w:color w:val="auto"/>
              </w:rPr>
            </w:pPr>
          </w:p>
        </w:tc>
      </w:tr>
      <w:tr>
        <w:trPr>
          <w:trHeight w:val="217"/>
        </w:trPr>
        <w:tc>
          <w:tcPr>
            <w:tcW w:w="2800" w:type="dxa"/>
            <w:vAlign w:val="bottom"/>
            <w:gridSpan w:val="2"/>
          </w:tcPr>
          <w:p>
            <w:pPr>
              <w:spacing w:after="0"/>
              <w:rPr>
                <w:sz w:val="20"/>
                <w:szCs w:val="20"/>
                <w:color w:val="auto"/>
              </w:rPr>
            </w:pPr>
            <w:r>
              <w:rPr>
                <w:rFonts w:ascii="Arial" w:cs="Arial" w:eastAsia="Arial" w:hAnsi="Arial"/>
                <w:sz w:val="16"/>
                <w:szCs w:val="16"/>
                <w:color w:val="auto"/>
              </w:rPr>
              <w:t>Equity settled contingent consideration</w:t>
            </w: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645,385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11,178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11,178</w:t>
            </w:r>
          </w:p>
        </w:tc>
        <w:tc>
          <w:tcPr>
            <w:tcW w:w="100" w:type="dxa"/>
            <w:vAlign w:val="bottom"/>
          </w:tcPr>
          <w:p>
            <w:pPr>
              <w:spacing w:after="0"/>
              <w:rPr>
                <w:sz w:val="18"/>
                <w:szCs w:val="18"/>
                <w:color w:val="auto"/>
              </w:rPr>
            </w:pPr>
          </w:p>
        </w:tc>
      </w:tr>
      <w:tr>
        <w:trPr>
          <w:trHeight w:val="202"/>
        </w:trPr>
        <w:tc>
          <w:tcPr>
            <w:tcW w:w="2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Issuance of common stock - employee</w:t>
            </w:r>
          </w:p>
        </w:tc>
        <w:tc>
          <w:tcPr>
            <w:tcW w:w="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9"/>
        </w:trPr>
        <w:tc>
          <w:tcPr>
            <w:tcW w:w="2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stock purchase plan</w:t>
            </w:r>
          </w:p>
        </w:tc>
        <w:tc>
          <w:tcPr>
            <w:tcW w:w="5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33,800</w:t>
            </w:r>
          </w:p>
        </w:tc>
        <w:tc>
          <w:tcPr>
            <w:tcW w:w="200" w:type="dxa"/>
            <w:vAlign w:val="bottom"/>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FF0FC"/>
          </w:tcPr>
          <w:p>
            <w:pPr>
              <w:spacing w:after="0"/>
              <w:rPr>
                <w:sz w:val="17"/>
                <w:szCs w:val="17"/>
                <w:color w:val="auto"/>
              </w:rPr>
            </w:pPr>
          </w:p>
        </w:tc>
      </w:tr>
      <w:tr>
        <w:trPr>
          <w:trHeight w:val="213"/>
        </w:trPr>
        <w:tc>
          <w:tcPr>
            <w:tcW w:w="2800" w:type="dxa"/>
            <w:vAlign w:val="bottom"/>
            <w:gridSpan w:val="2"/>
          </w:tcPr>
          <w:p>
            <w:pPr>
              <w:spacing w:after="0"/>
              <w:rPr>
                <w:sz w:val="20"/>
                <w:szCs w:val="20"/>
                <w:color w:val="auto"/>
              </w:rPr>
            </w:pPr>
            <w:r>
              <w:rPr>
                <w:rFonts w:ascii="Arial" w:cs="Arial" w:eastAsia="Arial" w:hAnsi="Arial"/>
                <w:sz w:val="16"/>
                <w:szCs w:val="16"/>
                <w:color w:val="auto"/>
              </w:rPr>
              <w:t>Balance at March 31, 2019</w:t>
            </w: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w w:val="96"/>
              </w:rPr>
              <w:t>182,670,494</w:t>
            </w:r>
          </w:p>
        </w:tc>
        <w:tc>
          <w:tcPr>
            <w:tcW w:w="20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790,347</w:t>
            </w:r>
          </w:p>
        </w:tc>
        <w:tc>
          <w:tcPr>
            <w:tcW w:w="1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9,661</w:t>
            </w:r>
          </w:p>
        </w:tc>
        <w:tc>
          <w:tcPr>
            <w:tcW w:w="1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6"/>
                <w:szCs w:val="16"/>
                <w:color w:val="auto"/>
                <w:w w:val="98"/>
              </w:rPr>
              <w:t>$ (2,442,564)</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91,756</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(1,550,782)</w:t>
            </w: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58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25"/>
        </w:trPr>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30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 from operating activities</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120" w:type="dxa"/>
            <w:vAlign w:val="bottom"/>
          </w:tcPr>
          <w:p>
            <w:pPr>
              <w:spacing w:after="0"/>
              <w:rPr>
                <w:sz w:val="20"/>
                <w:szCs w:val="20"/>
                <w:color w:val="auto"/>
              </w:rPr>
            </w:pPr>
            <w:r>
              <w:rPr>
                <w:rFonts w:ascii="Arial" w:cs="Arial" w:eastAsia="Arial" w:hAnsi="Arial"/>
                <w:sz w:val="17"/>
                <w:szCs w:val="17"/>
                <w:color w:val="auto"/>
              </w:rPr>
              <w:t>Net income</w:t>
            </w:r>
          </w:p>
        </w:tc>
        <w:tc>
          <w:tcPr>
            <w:tcW w:w="7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2,492</w:t>
            </w:r>
          </w:p>
        </w:tc>
        <w:tc>
          <w:tcPr>
            <w:tcW w:w="100" w:type="dxa"/>
            <w:vAlign w:val="bottom"/>
          </w:tcPr>
          <w:p>
            <w:pPr>
              <w:spacing w:after="0"/>
              <w:rPr>
                <w:sz w:val="19"/>
                <w:szCs w:val="19"/>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20" w:type="dxa"/>
            <w:vAlign w:val="bottom"/>
          </w:tcPr>
          <w:p>
            <w:pPr>
              <w:ind w:left="24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103,827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114,721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Amortization of deferred financing costs and debt discount</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6,873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20" w:type="dxa"/>
            <w:vAlign w:val="bottom"/>
          </w:tcPr>
          <w:p>
            <w:pPr>
              <w:ind w:left="240"/>
              <w:spacing w:after="0"/>
              <w:rPr>
                <w:sz w:val="20"/>
                <w:szCs w:val="20"/>
                <w:color w:val="auto"/>
              </w:rPr>
            </w:pPr>
            <w:r>
              <w:rPr>
                <w:rFonts w:ascii="Arial" w:cs="Arial" w:eastAsia="Arial" w:hAnsi="Arial"/>
                <w:sz w:val="17"/>
                <w:szCs w:val="17"/>
                <w:color w:val="auto"/>
              </w:rPr>
              <w:t>Deferred income taxes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(2,063)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(1,502)</w:t>
            </w:r>
          </w:p>
        </w:tc>
        <w:tc>
          <w:tcPr>
            <w:tcW w:w="0" w:type="dxa"/>
            <w:vAlign w:val="bottom"/>
          </w:tcPr>
          <w:p>
            <w:pPr>
              <w:spacing w:after="0"/>
              <w:rPr>
                <w:sz w:val="1"/>
                <w:szCs w:val="1"/>
                <w:color w:val="auto"/>
              </w:rPr>
            </w:pPr>
          </w:p>
        </w:tc>
      </w:tr>
      <w:tr>
        <w:trPr>
          <w:trHeight w:val="220"/>
        </w:trPr>
        <w:tc>
          <w:tcPr>
            <w:tcW w:w="7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Straight-line revenues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(723)</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(4,592)</w:t>
            </w:r>
          </w:p>
        </w:tc>
        <w:tc>
          <w:tcPr>
            <w:tcW w:w="0" w:type="dxa"/>
            <w:vAlign w:val="bottom"/>
          </w:tcPr>
          <w:p>
            <w:pPr>
              <w:spacing w:after="0"/>
              <w:rPr>
                <w:sz w:val="1"/>
                <w:szCs w:val="1"/>
                <w:color w:val="auto"/>
              </w:rPr>
            </w:pPr>
          </w:p>
        </w:tc>
      </w:tr>
      <w:tr>
        <w:trPr>
          <w:trHeight w:val="220"/>
        </w:trPr>
        <w:tc>
          <w:tcPr>
            <w:tcW w:w="7120" w:type="dxa"/>
            <w:vAlign w:val="bottom"/>
          </w:tcPr>
          <w:p>
            <w:pPr>
              <w:ind w:left="240"/>
              <w:spacing w:after="0"/>
              <w:rPr>
                <w:sz w:val="20"/>
                <w:szCs w:val="20"/>
                <w:color w:val="auto"/>
              </w:rPr>
            </w:pPr>
            <w:r>
              <w:rPr>
                <w:rFonts w:ascii="Arial" w:cs="Arial" w:eastAsia="Arial" w:hAnsi="Arial"/>
                <w:sz w:val="17"/>
                <w:szCs w:val="17"/>
                <w:color w:val="auto"/>
              </w:rPr>
              <w:t>Stock-based compensation</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Change in fair value of contingent consideration</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(3,256)</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(3,864)</w:t>
            </w:r>
          </w:p>
        </w:tc>
        <w:tc>
          <w:tcPr>
            <w:tcW w:w="0" w:type="dxa"/>
            <w:vAlign w:val="bottom"/>
          </w:tcPr>
          <w:p>
            <w:pPr>
              <w:spacing w:after="0"/>
              <w:rPr>
                <w:sz w:val="1"/>
                <w:szCs w:val="1"/>
                <w:color w:val="auto"/>
              </w:rPr>
            </w:pPr>
          </w:p>
        </w:tc>
      </w:tr>
      <w:tr>
        <w:trPr>
          <w:trHeight w:val="220"/>
        </w:trPr>
        <w:tc>
          <w:tcPr>
            <w:tcW w:w="7120" w:type="dxa"/>
            <w:vAlign w:val="bottom"/>
          </w:tcPr>
          <w:p>
            <w:pPr>
              <w:ind w:left="240"/>
              <w:spacing w:after="0"/>
              <w:rPr>
                <w:sz w:val="20"/>
                <w:szCs w:val="20"/>
                <w:color w:val="auto"/>
              </w:rPr>
            </w:pPr>
            <w:r>
              <w:rPr>
                <w:rFonts w:ascii="Arial" w:cs="Arial" w:eastAsia="Arial" w:hAnsi="Arial"/>
                <w:sz w:val="17"/>
                <w:szCs w:val="17"/>
                <w:color w:val="auto"/>
              </w:rPr>
              <w:t>Other</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Changes in assets and liabilities, net of acquisitions: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20" w:type="dxa"/>
            <w:vAlign w:val="bottom"/>
          </w:tcPr>
          <w:p>
            <w:pPr>
              <w:ind w:left="360"/>
              <w:spacing w:after="0"/>
              <w:rPr>
                <w:sz w:val="20"/>
                <w:szCs w:val="20"/>
                <w:color w:val="auto"/>
              </w:rPr>
            </w:pPr>
            <w:r>
              <w:rPr>
                <w:rFonts w:ascii="Arial" w:cs="Arial" w:eastAsia="Arial" w:hAnsi="Arial"/>
                <w:sz w:val="17"/>
                <w:szCs w:val="17"/>
                <w:color w:val="auto"/>
              </w:rPr>
              <w:t>Accounts receivable</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25,603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20" w:type="dxa"/>
            <w:vAlign w:val="bottom"/>
            <w:shd w:val="clear" w:color="auto" w:fill="CFF0FC"/>
          </w:tcPr>
          <w:p>
            <w:pPr>
              <w:ind w:left="360"/>
              <w:spacing w:after="0"/>
              <w:rPr>
                <w:sz w:val="20"/>
                <w:szCs w:val="20"/>
                <w:color w:val="auto"/>
              </w:rPr>
            </w:pPr>
            <w:r>
              <w:rPr>
                <w:rFonts w:ascii="Arial" w:cs="Arial" w:eastAsia="Arial" w:hAnsi="Arial"/>
                <w:sz w:val="17"/>
                <w:szCs w:val="17"/>
                <w:color w:val="auto"/>
              </w:rPr>
              <w:t>Other assets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(974)</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(4,621)</w:t>
            </w:r>
          </w:p>
        </w:tc>
        <w:tc>
          <w:tcPr>
            <w:tcW w:w="0" w:type="dxa"/>
            <w:vAlign w:val="bottom"/>
          </w:tcPr>
          <w:p>
            <w:pPr>
              <w:spacing w:after="0"/>
              <w:rPr>
                <w:sz w:val="1"/>
                <w:szCs w:val="1"/>
                <w:color w:val="auto"/>
              </w:rPr>
            </w:pPr>
          </w:p>
        </w:tc>
      </w:tr>
      <w:tr>
        <w:trPr>
          <w:trHeight w:val="220"/>
        </w:trPr>
        <w:tc>
          <w:tcPr>
            <w:tcW w:w="7120" w:type="dxa"/>
            <w:vAlign w:val="bottom"/>
            <w:tcBorders>
              <w:bottom w:val="single" w:sz="8" w:color="CFF0FC"/>
            </w:tcBorders>
          </w:tcPr>
          <w:p>
            <w:pPr>
              <w:ind w:left="360"/>
              <w:spacing w:after="0"/>
              <w:rPr>
                <w:sz w:val="20"/>
                <w:szCs w:val="20"/>
                <w:color w:val="auto"/>
              </w:rPr>
            </w:pPr>
            <w:r>
              <w:rPr>
                <w:rFonts w:ascii="Arial" w:cs="Arial" w:eastAsia="Arial" w:hAnsi="Arial"/>
                <w:sz w:val="17"/>
                <w:szCs w:val="17"/>
                <w:color w:val="auto"/>
              </w:rPr>
              <w:t>Accounts payable, accrued expenses and other liabilities</w:t>
            </w:r>
          </w:p>
        </w:tc>
        <w:tc>
          <w:tcPr>
            <w:tcW w:w="3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54,598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188,902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156,866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120" w:type="dxa"/>
            <w:vAlign w:val="bottom"/>
          </w:tcPr>
          <w:p>
            <w:pPr>
              <w:spacing w:after="0"/>
              <w:rPr>
                <w:sz w:val="20"/>
                <w:szCs w:val="20"/>
                <w:color w:val="auto"/>
              </w:rPr>
            </w:pPr>
            <w:r>
              <w:rPr>
                <w:rFonts w:ascii="Arial" w:cs="Arial" w:eastAsia="Arial" w:hAnsi="Arial"/>
                <w:sz w:val="17"/>
                <w:szCs w:val="17"/>
                <w:b w:val="1"/>
                <w:bCs w:val="1"/>
                <w:color w:val="auto"/>
              </w:rPr>
              <w:t>Cash flow from investing activities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Acquisition of businesses, net of cash acquired</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(4,210)</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20" w:type="dxa"/>
            <w:vAlign w:val="bottom"/>
          </w:tcPr>
          <w:p>
            <w:pPr>
              <w:ind w:left="240"/>
              <w:spacing w:after="0"/>
              <w:rPr>
                <w:sz w:val="20"/>
                <w:szCs w:val="20"/>
                <w:color w:val="auto"/>
              </w:rPr>
            </w:pPr>
            <w:r>
              <w:rPr>
                <w:rFonts w:ascii="Arial" w:cs="Arial" w:eastAsia="Arial" w:hAnsi="Arial"/>
                <w:sz w:val="17"/>
                <w:szCs w:val="17"/>
                <w:color w:val="auto"/>
              </w:rPr>
              <w:t>NMS asset acquisitions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(962)</w:t>
            </w:r>
          </w:p>
        </w:tc>
        <w:tc>
          <w:tcPr>
            <w:tcW w:w="0" w:type="dxa"/>
            <w:vAlign w:val="bottom"/>
          </w:tcPr>
          <w:p>
            <w:pPr>
              <w:spacing w:after="0"/>
              <w:rPr>
                <w:sz w:val="1"/>
                <w:szCs w:val="1"/>
                <w:color w:val="auto"/>
              </w:rPr>
            </w:pPr>
          </w:p>
        </w:tc>
      </w:tr>
      <w:tr>
        <w:trPr>
          <w:trHeight w:val="220"/>
        </w:trPr>
        <w:tc>
          <w:tcPr>
            <w:tcW w:w="7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capital expenditures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(79,458)</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(51,143)</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(83,668)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(52,105)</w:t>
            </w:r>
          </w:p>
        </w:tc>
        <w:tc>
          <w:tcPr>
            <w:tcW w:w="0" w:type="dxa"/>
            <w:vAlign w:val="bottom"/>
          </w:tcPr>
          <w:p>
            <w:pPr>
              <w:spacing w:after="0"/>
              <w:rPr>
                <w:sz w:val="1"/>
                <w:szCs w:val="1"/>
                <w:color w:val="auto"/>
              </w:rPr>
            </w:pPr>
          </w:p>
        </w:tc>
      </w:tr>
      <w:tr>
        <w:trPr>
          <w:trHeight w:val="220"/>
        </w:trPr>
        <w:tc>
          <w:tcPr>
            <w:tcW w:w="71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 from financing activities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20" w:type="dxa"/>
            <w:vAlign w:val="bottom"/>
          </w:tcPr>
          <w:p>
            <w:pPr>
              <w:ind w:left="240"/>
              <w:spacing w:after="0"/>
              <w:rPr>
                <w:sz w:val="20"/>
                <w:szCs w:val="20"/>
                <w:color w:val="auto"/>
              </w:rPr>
            </w:pPr>
            <w:r>
              <w:rPr>
                <w:rFonts w:ascii="Arial" w:cs="Arial" w:eastAsia="Arial" w:hAnsi="Arial"/>
                <w:sz w:val="17"/>
                <w:szCs w:val="17"/>
                <w:color w:val="auto"/>
              </w:rPr>
              <w:t>Principal payments on debt</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(5,270)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(5,270)</w:t>
            </w:r>
          </w:p>
        </w:tc>
        <w:tc>
          <w:tcPr>
            <w:tcW w:w="0" w:type="dxa"/>
            <w:vAlign w:val="bottom"/>
          </w:tcPr>
          <w:p>
            <w:pPr>
              <w:spacing w:after="0"/>
              <w:rPr>
                <w:sz w:val="1"/>
                <w:szCs w:val="1"/>
                <w:color w:val="auto"/>
              </w:rPr>
            </w:pPr>
          </w:p>
        </w:tc>
      </w:tr>
      <w:tr>
        <w:trPr>
          <w:trHeight w:val="220"/>
        </w:trPr>
        <w:tc>
          <w:tcPr>
            <w:tcW w:w="7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Dividends paid</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(110,348)</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(105,920)</w:t>
            </w:r>
          </w:p>
        </w:tc>
        <w:tc>
          <w:tcPr>
            <w:tcW w:w="0" w:type="dxa"/>
            <w:vAlign w:val="bottom"/>
          </w:tcPr>
          <w:p>
            <w:pPr>
              <w:spacing w:after="0"/>
              <w:rPr>
                <w:sz w:val="1"/>
                <w:szCs w:val="1"/>
                <w:color w:val="auto"/>
              </w:rPr>
            </w:pPr>
          </w:p>
        </w:tc>
      </w:tr>
      <w:tr>
        <w:trPr>
          <w:trHeight w:val="220"/>
        </w:trPr>
        <w:tc>
          <w:tcPr>
            <w:tcW w:w="7120" w:type="dxa"/>
            <w:vAlign w:val="bottom"/>
          </w:tcPr>
          <w:p>
            <w:pPr>
              <w:ind w:left="240"/>
              <w:spacing w:after="0"/>
              <w:rPr>
                <w:sz w:val="20"/>
                <w:szCs w:val="20"/>
                <w:color w:val="auto"/>
              </w:rPr>
            </w:pPr>
            <w:r>
              <w:rPr>
                <w:rFonts w:ascii="Arial" w:cs="Arial" w:eastAsia="Arial" w:hAnsi="Arial"/>
                <w:sz w:val="17"/>
                <w:szCs w:val="17"/>
                <w:color w:val="auto"/>
              </w:rPr>
              <w:t>Payments of contingent consideration</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(8,170)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(12,662)</w:t>
            </w:r>
          </w:p>
        </w:tc>
        <w:tc>
          <w:tcPr>
            <w:tcW w:w="0" w:type="dxa"/>
            <w:vAlign w:val="bottom"/>
          </w:tcPr>
          <w:p>
            <w:pPr>
              <w:spacing w:after="0"/>
              <w:rPr>
                <w:sz w:val="1"/>
                <w:szCs w:val="1"/>
                <w:color w:val="auto"/>
              </w:rPr>
            </w:pPr>
          </w:p>
        </w:tc>
      </w:tr>
      <w:tr>
        <w:trPr>
          <w:trHeight w:val="220"/>
        </w:trPr>
        <w:tc>
          <w:tcPr>
            <w:tcW w:w="7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Distributions paid to noncontrolling interest</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(2,479)</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(2,479)</w:t>
            </w:r>
          </w:p>
        </w:tc>
        <w:tc>
          <w:tcPr>
            <w:tcW w:w="0" w:type="dxa"/>
            <w:vAlign w:val="bottom"/>
          </w:tcPr>
          <w:p>
            <w:pPr>
              <w:spacing w:after="0"/>
              <w:rPr>
                <w:sz w:val="1"/>
                <w:szCs w:val="1"/>
                <w:color w:val="auto"/>
              </w:rPr>
            </w:pPr>
          </w:p>
        </w:tc>
      </w:tr>
      <w:tr>
        <w:trPr>
          <w:trHeight w:val="220"/>
        </w:trPr>
        <w:tc>
          <w:tcPr>
            <w:tcW w:w="7120" w:type="dxa"/>
            <w:vAlign w:val="bottom"/>
          </w:tcPr>
          <w:p>
            <w:pPr>
              <w:ind w:left="240"/>
              <w:spacing w:after="0"/>
              <w:rPr>
                <w:sz w:val="20"/>
                <w:szCs w:val="20"/>
                <w:color w:val="auto"/>
              </w:rPr>
            </w:pPr>
            <w:r>
              <w:rPr>
                <w:rFonts w:ascii="Arial" w:cs="Arial" w:eastAsia="Arial" w:hAnsi="Arial"/>
                <w:sz w:val="17"/>
                <w:szCs w:val="17"/>
                <w:color w:val="auto"/>
              </w:rPr>
              <w:t>Borrowings under revolving credit facility</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139,000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Payments under revolving credit facility</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(30,000)</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(50,000)</w:t>
            </w:r>
          </w:p>
        </w:tc>
        <w:tc>
          <w:tcPr>
            <w:tcW w:w="0" w:type="dxa"/>
            <w:vAlign w:val="bottom"/>
          </w:tcPr>
          <w:p>
            <w:pPr>
              <w:spacing w:after="0"/>
              <w:rPr>
                <w:sz w:val="1"/>
                <w:szCs w:val="1"/>
                <w:color w:val="auto"/>
              </w:rPr>
            </w:pPr>
          </w:p>
        </w:tc>
      </w:tr>
      <w:tr>
        <w:trPr>
          <w:trHeight w:val="220"/>
        </w:trPr>
        <w:tc>
          <w:tcPr>
            <w:tcW w:w="7120" w:type="dxa"/>
            <w:vAlign w:val="bottom"/>
          </w:tcPr>
          <w:p>
            <w:pPr>
              <w:ind w:left="240"/>
              <w:spacing w:after="0"/>
              <w:rPr>
                <w:sz w:val="20"/>
                <w:szCs w:val="20"/>
                <w:color w:val="auto"/>
              </w:rPr>
            </w:pPr>
            <w:r>
              <w:rPr>
                <w:rFonts w:ascii="Arial" w:cs="Arial" w:eastAsia="Arial" w:hAnsi="Arial"/>
                <w:sz w:val="17"/>
                <w:szCs w:val="17"/>
                <w:color w:val="auto"/>
              </w:rPr>
              <w:t>Capital lease payments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(1,006)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(899)</w:t>
            </w:r>
          </w:p>
        </w:tc>
        <w:tc>
          <w:tcPr>
            <w:tcW w:w="0" w:type="dxa"/>
            <w:vAlign w:val="bottom"/>
          </w:tcPr>
          <w:p>
            <w:pPr>
              <w:spacing w:after="0"/>
              <w:rPr>
                <w:sz w:val="1"/>
                <w:szCs w:val="1"/>
                <w:color w:val="auto"/>
              </w:rPr>
            </w:pPr>
          </w:p>
        </w:tc>
      </w:tr>
      <w:tr>
        <w:trPr>
          <w:trHeight w:val="220"/>
        </w:trPr>
        <w:tc>
          <w:tcPr>
            <w:tcW w:w="7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Payments for financing costs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(36,191)</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20" w:type="dxa"/>
            <w:vAlign w:val="bottom"/>
          </w:tcPr>
          <w:p>
            <w:pPr>
              <w:ind w:left="240"/>
              <w:spacing w:after="0"/>
              <w:rPr>
                <w:sz w:val="20"/>
                <w:szCs w:val="20"/>
                <w:color w:val="auto"/>
              </w:rPr>
            </w:pPr>
            <w:r>
              <w:rPr>
                <w:rFonts w:ascii="Arial" w:cs="Arial" w:eastAsia="Arial" w:hAnsi="Arial"/>
                <w:sz w:val="17"/>
                <w:szCs w:val="17"/>
                <w:color w:val="auto"/>
              </w:rPr>
              <w:t>Common stock issuance, net of costs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21,641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Employee stock purchase program</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20" w:type="dxa"/>
            <w:vAlign w:val="bottom"/>
          </w:tcPr>
          <w:p>
            <w:pPr>
              <w:ind w:left="240"/>
              <w:spacing w:after="0"/>
              <w:rPr>
                <w:sz w:val="20"/>
                <w:szCs w:val="20"/>
                <w:color w:val="auto"/>
              </w:rPr>
            </w:pPr>
            <w:r>
              <w:rPr>
                <w:rFonts w:ascii="Arial" w:cs="Arial" w:eastAsia="Arial" w:hAnsi="Arial"/>
                <w:sz w:val="17"/>
                <w:szCs w:val="17"/>
                <w:color w:val="auto"/>
              </w:rPr>
              <w:t>Net share settlement</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(1,579)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(658)</w:t>
            </w:r>
          </w:p>
        </w:tc>
        <w:tc>
          <w:tcPr>
            <w:tcW w:w="0" w:type="dxa"/>
            <w:vAlign w:val="bottom"/>
          </w:tcPr>
          <w:p>
            <w:pPr>
              <w:spacing w:after="0"/>
              <w:rPr>
                <w:sz w:val="1"/>
                <w:szCs w:val="1"/>
                <w:color w:val="auto"/>
              </w:rPr>
            </w:pPr>
          </w:p>
        </w:tc>
      </w:tr>
      <w:tr>
        <w:trPr>
          <w:trHeight w:val="20"/>
        </w:trPr>
        <w:tc>
          <w:tcPr>
            <w:tcW w:w="71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cash used in financing activities</w:t>
            </w: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2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(33,956)</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(107,888)</w:t>
            </w:r>
          </w:p>
        </w:tc>
        <w:tc>
          <w:tcPr>
            <w:tcW w:w="0" w:type="dxa"/>
            <w:vAlign w:val="bottom"/>
          </w:tcPr>
          <w:p>
            <w:pPr>
              <w:spacing w:after="0"/>
              <w:rPr>
                <w:sz w:val="1"/>
                <w:szCs w:val="1"/>
                <w:color w:val="auto"/>
              </w:rPr>
            </w:pPr>
          </w:p>
        </w:tc>
      </w:tr>
      <w:tr>
        <w:trPr>
          <w:trHeight w:val="220"/>
        </w:trPr>
        <w:tc>
          <w:tcPr>
            <w:tcW w:w="7120" w:type="dxa"/>
            <w:vAlign w:val="bottom"/>
          </w:tcPr>
          <w:p>
            <w:pPr>
              <w:ind w:left="240"/>
              <w:spacing w:after="0"/>
              <w:rPr>
                <w:sz w:val="20"/>
                <w:szCs w:val="20"/>
                <w:color w:val="auto"/>
              </w:rPr>
            </w:pPr>
            <w:r>
              <w:rPr>
                <w:rFonts w:ascii="Arial" w:cs="Arial" w:eastAsia="Arial" w:hAnsi="Arial"/>
                <w:sz w:val="17"/>
                <w:szCs w:val="17"/>
                <w:color w:val="auto"/>
              </w:rPr>
              <w:t>Effect of exchange rates on cash and cash equivalents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 and cash equivalents, held for sale</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(4,774)</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ind w:left="240"/>
              <w:spacing w:after="0"/>
              <w:rPr>
                <w:sz w:val="20"/>
                <w:szCs w:val="20"/>
                <w:color w:val="auto"/>
              </w:rPr>
            </w:pPr>
            <w:r>
              <w:rPr>
                <w:rFonts w:ascii="Arial" w:cs="Arial" w:eastAsia="Arial" w:hAnsi="Arial"/>
                <w:sz w:val="17"/>
                <w:szCs w:val="17"/>
                <w:color w:val="auto"/>
              </w:rPr>
              <w:t>Net increase (decrease) in cash and cash equivalents</w:t>
            </w: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66,658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(2,864)</w:t>
            </w:r>
          </w:p>
        </w:tc>
        <w:tc>
          <w:tcPr>
            <w:tcW w:w="0" w:type="dxa"/>
            <w:vAlign w:val="bottom"/>
          </w:tcPr>
          <w:p>
            <w:pPr>
              <w:spacing w:after="0"/>
              <w:rPr>
                <w:sz w:val="1"/>
                <w:szCs w:val="1"/>
                <w:color w:val="auto"/>
              </w:rPr>
            </w:pPr>
          </w:p>
        </w:tc>
      </w:tr>
      <w:tr>
        <w:trPr>
          <w:trHeight w:val="220"/>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at beginning of period</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38,026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59,765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120" w:type="dxa"/>
            <w:vAlign w:val="bottom"/>
          </w:tcPr>
          <w:p>
            <w:pPr>
              <w:spacing w:after="0"/>
              <w:rPr>
                <w:sz w:val="20"/>
                <w:szCs w:val="20"/>
                <w:color w:val="auto"/>
              </w:rPr>
            </w:pPr>
            <w:r>
              <w:rPr>
                <w:rFonts w:ascii="Arial" w:cs="Arial" w:eastAsia="Arial" w:hAnsi="Arial"/>
                <w:sz w:val="17"/>
                <w:szCs w:val="17"/>
                <w:color w:val="auto"/>
              </w:rPr>
              <w:t>Cash and cash equivalents at end of period</w:t>
            </w:r>
          </w:p>
        </w:tc>
        <w:tc>
          <w:tcPr>
            <w:tcW w:w="7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104,684</w:t>
            </w:r>
          </w:p>
        </w:tc>
        <w:tc>
          <w:tcPr>
            <w:tcW w:w="100" w:type="dxa"/>
            <w:vAlign w:val="bottom"/>
          </w:tcPr>
          <w:p>
            <w:pPr>
              <w:spacing w:after="0"/>
              <w:rPr>
                <w:sz w:val="21"/>
                <w:szCs w:val="21"/>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56,901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7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Non-cash investing and financing activities:</w:t>
            </w:r>
          </w:p>
        </w:tc>
        <w:tc>
          <w:tcPr>
            <w:tcW w:w="30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120" w:type="dxa"/>
            <w:vAlign w:val="bottom"/>
          </w:tcPr>
          <w:p>
            <w:pPr>
              <w:ind w:left="240"/>
              <w:spacing w:after="0"/>
              <w:rPr>
                <w:sz w:val="20"/>
                <w:szCs w:val="20"/>
                <w:color w:val="auto"/>
              </w:rPr>
            </w:pPr>
            <w:r>
              <w:rPr>
                <w:rFonts w:ascii="Arial" w:cs="Arial" w:eastAsia="Arial" w:hAnsi="Arial"/>
                <w:sz w:val="17"/>
                <w:szCs w:val="17"/>
                <w:color w:val="auto"/>
              </w:rPr>
              <w:t>Property and equipment acquired but not yet paid</w:t>
            </w:r>
          </w:p>
        </w:tc>
        <w:tc>
          <w:tcPr>
            <w:tcW w:w="7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19,065</w:t>
            </w:r>
          </w:p>
        </w:tc>
        <w:tc>
          <w:tcPr>
            <w:tcW w:w="100" w:type="dxa"/>
            <w:vAlign w:val="bottom"/>
          </w:tcPr>
          <w:p>
            <w:pPr>
              <w:spacing w:after="0"/>
              <w:rPr>
                <w:sz w:val="20"/>
                <w:szCs w:val="20"/>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18,078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Tenant capital improvements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29,651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47,352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120" w:type="dxa"/>
            <w:vAlign w:val="bottom"/>
          </w:tcPr>
          <w:p>
            <w:pPr>
              <w:ind w:left="240"/>
              <w:spacing w:after="0"/>
              <w:rPr>
                <w:sz w:val="20"/>
                <w:szCs w:val="20"/>
                <w:color w:val="auto"/>
              </w:rPr>
            </w:pPr>
            <w:r>
              <w:rPr>
                <w:rFonts w:ascii="Arial" w:cs="Arial" w:eastAsia="Arial" w:hAnsi="Arial"/>
                <w:sz w:val="17"/>
                <w:szCs w:val="17"/>
                <w:color w:val="auto"/>
              </w:rPr>
              <w:t>Settlement of contingent consideration through non-cash consideration</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11,178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29424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9" w:name="page10"/>
    <w:bookmarkEnd w:id="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Organization and Description of Business</w:t>
      </w:r>
    </w:p>
    <w:p>
      <w:pPr>
        <w:spacing w:after="0" w:line="22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Uniti Group Inc. (the “Company,” “Uniti,” “we,” “us,” or “our”) was incorporated in the state of Maryland on September 4, 2014. We are an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 We manage our operations in four separate lines of business: Uniti Fiber, Uniti Towers, Uniti Leasing, and the Consumer CLEC Business.</w:t>
      </w:r>
    </w:p>
    <w:p>
      <w:pPr>
        <w:spacing w:after="0" w:line="160"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Company operates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The up-REIT structure is intended to facilitate future acquisition opportunities by providing the Company with the ability to use common units of the Operating Partnership as a tax-efficient acquisition currency. As of March 31, 2019, we are the sole general partner of the Operating Partnership and own approximately 97.7% of the partnership interests in the Operating Partnership.</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Basis of Presentation and Summary of Significant Accounting Policies</w:t>
      </w:r>
    </w:p>
    <w:p>
      <w:pPr>
        <w:spacing w:after="0" w:line="224"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 xml:space="preserve">The accompanying Condensed Consolidated Financial Statements include all accounts of the Company and its wholly owned and/or controlled subsidiaries, which consist of the Operating Partnership. Under the Accounting Standards Codification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spacing w:after="0" w:line="17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70"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for the year ended December 31, 2018 (“Annual Report”), filed with the SEC on March 18, 2019. Accordingly, significant accounting policies and other disclosures normally provided have been omitted from the accompanying Condensed Consolidated Financial Statements and related notes since such items are disclosed in our Annual Report.</w:t>
      </w:r>
    </w:p>
    <w:p>
      <w:pPr>
        <w:spacing w:after="0" w:line="150"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u w:val="single" w:color="auto"/>
          <w:color w:val="auto"/>
        </w:rPr>
        <w:t>Going Concern</w:t>
      </w:r>
      <w:r>
        <w:rPr>
          <w:rFonts w:ascii="Arial" w:cs="Arial" w:eastAsia="Arial" w:hAnsi="Arial"/>
          <w:sz w:val="19"/>
          <w:szCs w:val="19"/>
          <w:color w:val="auto"/>
        </w:rPr>
        <w:t>—</w:t>
      </w:r>
      <w:r>
        <w:rPr>
          <w:rFonts w:ascii="Arial" w:cs="Arial" w:eastAsia="Arial" w:hAnsi="Arial"/>
          <w:sz w:val="16"/>
          <w:szCs w:val="16"/>
          <w:color w:val="auto"/>
        </w:rPr>
        <w:t xml:space="preserve">In accordance with Accounting Standards Update ("ASU") 2014-15, </w:t>
      </w:r>
      <w:r>
        <w:rPr>
          <w:rFonts w:ascii="Arial" w:cs="Arial" w:eastAsia="Arial" w:hAnsi="Arial"/>
          <w:sz w:val="16"/>
          <w:szCs w:val="16"/>
          <w:i w:val="1"/>
          <w:iCs w:val="1"/>
          <w:color w:val="auto"/>
        </w:rPr>
        <w:t>Disclosure of Uncertainties about an Entity's Ability to Continue as a Going</w:t>
      </w:r>
      <w:r>
        <w:rPr>
          <w:rFonts w:ascii="Arial" w:cs="Arial" w:eastAsia="Arial" w:hAnsi="Arial"/>
          <w:sz w:val="16"/>
          <w:szCs w:val="16"/>
          <w:color w:val="auto"/>
        </w:rPr>
        <w:t xml:space="preserve"> </w:t>
      </w:r>
      <w:r>
        <w:rPr>
          <w:rFonts w:ascii="Arial" w:cs="Arial" w:eastAsia="Arial" w:hAnsi="Arial"/>
          <w:sz w:val="16"/>
          <w:szCs w:val="16"/>
          <w:i w:val="1"/>
          <w:iCs w:val="1"/>
          <w:color w:val="auto"/>
        </w:rPr>
        <w:t>Concern (Subtopic 205-40)</w:t>
      </w:r>
      <w:r>
        <w:rPr>
          <w:rFonts w:ascii="Arial" w:cs="Arial" w:eastAsia="Arial" w:hAnsi="Arial"/>
          <w:sz w:val="16"/>
          <w:szCs w:val="16"/>
          <w:color w:val="auto"/>
        </w:rPr>
        <w:t>, the Company’s management has evaluated whether there are conditions and events, considered in the aggregate, that raise substantial</w:t>
      </w:r>
      <w:r>
        <w:rPr>
          <w:rFonts w:ascii="Arial" w:cs="Arial" w:eastAsia="Arial" w:hAnsi="Arial"/>
          <w:sz w:val="16"/>
          <w:szCs w:val="16"/>
          <w:i w:val="1"/>
          <w:iCs w:val="1"/>
          <w:color w:val="auto"/>
        </w:rPr>
        <w:t xml:space="preserve"> </w:t>
      </w:r>
      <w:r>
        <w:rPr>
          <w:rFonts w:ascii="Arial" w:cs="Arial" w:eastAsia="Arial" w:hAnsi="Arial"/>
          <w:sz w:val="16"/>
          <w:szCs w:val="16"/>
          <w:color w:val="auto"/>
        </w:rPr>
        <w:t>doubt about the Company’s ability to continue as a going concern within one year after the date the financial statements are issued.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We are party to a Master Lease agreement (the “Master Lease”) with Windstream Holdings, Inc. (“Windstream Holdings” and together with its consolidated subsidiaries “Windstream”), from which 68.2% of our revenue for the year ended December 31, 2018 was derived. Windstream was involved in litigation with an entity who acquired certain Windstream debt securities and thereafter issued a notice of default as to such securities related to our spin-off from Windstream (the “Spin-Off”). Windstream challenged the matter in federal court and a trial was held in July 2018. On February 15, 2019, the federal court judge issued a ruling against Windstream, finding that Windstream’s attempts to waive such default were not valid, that an “event of default” occurred with respect to such debt securities, and that the holder’s acceleration of such debt in December 2017 was effective. In response to the adverse outcome, on February 25, 2019, Windstream filed a voluntary petition for relief under Chapter 11 of the Bankruptcy Code in the U.S. Bankruptcy Court for the Southern District of New York.</w:t>
      </w:r>
    </w:p>
    <w:p>
      <w:pPr>
        <w:spacing w:after="0" w:line="167"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In bankruptcy, Windstream has the option to assume or reject the Master Lease. Because the Master Lease is a single indivisible Master Lease with a single rent payment, it must be assumed or rejected in whole and cannot be sub-divided by facility or market. A significant amount of Windstream’s revenue is generated from the use of our network included in the Master Lease, and we believe that the Master Lease is essential to Windstream’s operations. Furthermore, Windstream is designated as a “carrier of last resort” in certain markets where it utilizes the Master Lease to provide service to its customers, and Windstream would require approval from the Public Utility Commissions and the Federal Communications Commission to cease providing service in those markets. As a result, we believe the probability of Windstream rejecting the Master Lease in bankruptcy to be remote. However, a rejection of the Master Lease, or even a temporary disruption in payments to us, may require us to fund certain expenses and obligations (e.g., real estate taxes, insurance and maintenance expenses) to preserve the value of our properties, and could materially adversely affect our consolidated results of operations, liquidity and financial condition, including our ability to service debt, comply with debt covenants and pay dividends to our stockholders as required to maintain our status as a REIT. As a result, conditions or events have been identified that raise substantial doubt about the Company’s ability to continue as a going concern.</w:t>
      </w:r>
    </w:p>
    <w:p>
      <w:pPr>
        <w:spacing w:after="0" w:line="17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Company has considered the mitigating effects of management’s plans to alleviate the substantial doubt about the ability to continue as going concern in the event there is a disruption in the payments due to us under the Master Lease prior to Windstream’s assumption or rejection of the lease. Those plans include deferring, reducing or delaying cash dividends and capital expenditures, if necessary, paying one or more dividends that are required to maintain our REIT status in shares to the extent allowed under the IRS REIT rules, curtailing acquisition activities, accessing the capital markets and identifying alternative sources of liquidity. Based on our analysis, including consideration of the timing of petitioners’ requirements to make post-petition lease payments under U.S. bankruptcy law, we believe that we have adequate liquidity to continue to fund our operations for twelve months after the issuance of the financial statements, however see discussion below regarding the upcoming maturity of our Revolving Credit Facility.</w:t>
      </w:r>
    </w:p>
    <w:p>
      <w:pPr>
        <w:spacing w:after="0" w:line="183"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Although management has concluded the probability of a rejection of the Master Lease to be remote, and has noted the absence of any provision in the Master Lease that contemplates renegotiation of the lease and the lack of any ability of the bankruptcy court to unilaterally reset the rent or terms of the lease, it is difficult to predict what could occur in Windstream’s bankruptcy restructuring, including potential claims against us by Windstream or its creditors. The Company has evaluated its ability to continue as a going concern in light of the possibility of a consensual renegotiation of the Master Lease, and the impact of any renegotiated lease on our compliance with our debt covenants. We note that our Credit Agreement prohibits the Company from amending the Master Lease that, among other provisions, pro forma for any such amendment, would result in a consolidated secured leverage ratio that exceeds 5.0 to 1.0. Furthermore, management has no intention to enter into a lease amendment that would violate our debt covenants.</w:t>
      </w:r>
    </w:p>
    <w:p>
      <w:pPr>
        <w:spacing w:after="0" w:line="167" w:lineRule="exact"/>
        <w:rPr>
          <w:sz w:val="20"/>
          <w:szCs w:val="20"/>
          <w:color w:val="auto"/>
        </w:rPr>
      </w:pPr>
    </w:p>
    <w:p>
      <w:pPr>
        <w:jc w:val="both"/>
        <w:ind w:right="40"/>
        <w:spacing w:after="0" w:line="309" w:lineRule="auto"/>
        <w:rPr>
          <w:rFonts w:ascii="Arial" w:cs="Arial" w:eastAsia="Arial" w:hAnsi="Arial"/>
          <w:sz w:val="15"/>
          <w:szCs w:val="15"/>
          <w:color w:val="auto"/>
        </w:rPr>
      </w:pPr>
      <w:r>
        <w:rPr>
          <w:rFonts w:ascii="Arial" w:cs="Arial" w:eastAsia="Arial" w:hAnsi="Arial"/>
          <w:sz w:val="15"/>
          <w:szCs w:val="15"/>
          <w:color w:val="auto"/>
        </w:rPr>
        <w:t xml:space="preserve">However, because there can be no certainty as of the outcome of Windstream’s decision to assume or reject the Master Lease, uncertainties exist as to the outcome or impacts of any potential consensual renegotiation of the Master Lease. In addition, our Revolving Credit Facility matures on April 24, 2020. </w:t>
      </w:r>
      <w:hyperlink w:anchor="page26">
        <w:r>
          <w:rPr>
            <w:rFonts w:ascii="Arial" w:cs="Arial" w:eastAsia="Arial" w:hAnsi="Arial"/>
            <w:sz w:val="15"/>
            <w:szCs w:val="15"/>
            <w:u w:val="single" w:color="auto"/>
            <w:color w:val="auto"/>
          </w:rPr>
          <w:t>See Note 11</w:t>
        </w:r>
      </w:hyperlink>
      <w:r>
        <w:rPr>
          <w:rFonts w:ascii="Arial" w:cs="Arial" w:eastAsia="Arial" w:hAnsi="Arial"/>
          <w:sz w:val="15"/>
          <w:szCs w:val="15"/>
          <w:color w:val="auto"/>
        </w:rPr>
        <w:t>. If we are not successful in extending or refinancing the Revolving Credit Facility, our current cash balances as of March 31, 2019 are not sufficient to repay all of outstanding borrowings. Therefore, substantial doubt exists about our ability to continue as a going concern within one year after the issuance of the financial statements.</w:t>
      </w:r>
    </w:p>
    <w:p>
      <w:pPr>
        <w:spacing w:after="0" w:line="14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accompanying consolidated financial statements have been prepared on a going concern basis, which contemplates the realization of assets and satisfaction of liabilities in the ordinary course of business. The financial statements do not include any adjustments that might be necessary if the Company is unable to continue as a going concern.</w:t>
      </w:r>
    </w:p>
    <w:p>
      <w:pPr>
        <w:spacing w:after="0" w:line="17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u w:val="single" w:color="auto"/>
          <w:color w:val="auto"/>
        </w:rPr>
        <w:t>Concentration of Credit Risks</w:t>
      </w:r>
      <w:r>
        <w:rPr>
          <w:rFonts w:ascii="Arial" w:cs="Arial" w:eastAsia="Arial" w:hAnsi="Arial"/>
          <w:sz w:val="17"/>
          <w:szCs w:val="17"/>
          <w:color w:val="auto"/>
        </w:rPr>
        <w:t>—Revenue under the Master Lease provided 65.5% and 70.0% of our revenue for the three months ended March 31, 2019 and 2018, respectively. Because a substantial portion of our revenue and cash flows are derived from lease payments by Windstream pursuant to the Master Lease, there could be a material adverse impact on our consolidated results 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ind w:right="700"/>
        <w:spacing w:after="0" w:line="283" w:lineRule="auto"/>
        <w:rPr>
          <w:sz w:val="20"/>
          <w:szCs w:val="20"/>
          <w:color w:val="auto"/>
        </w:rPr>
      </w:pPr>
      <w:r>
        <w:rPr>
          <w:rFonts w:ascii="Arial" w:cs="Arial" w:eastAsia="Arial" w:hAnsi="Arial"/>
          <w:sz w:val="17"/>
          <w:szCs w:val="17"/>
          <w:color w:val="auto"/>
        </w:rPr>
        <w:t>operations, liquidity, financial condition and/or ability to pay dividends and service debt if Windstream were to default under the Master Lease or otherwise experiences operating or liquidity difficulties and becomes unable to generate sufficient cash to make payments to us.</w:t>
      </w:r>
    </w:p>
    <w:p>
      <w:pPr>
        <w:spacing w:after="0" w:line="159"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Windstream is a publicly traded company and is subject to the periodic filing requirements of the Securities Exchange Act of 1934, as amended. Windstream filings can be found at www.sec.gov. Windstream filings are not incorporated by reference in this Quarterly Report on Form 10-Q.</w:t>
      </w:r>
    </w:p>
    <w:p>
      <w:pPr>
        <w:spacing w:after="0" w:line="159"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u w:val="single" w:color="auto"/>
          <w:color w:val="auto"/>
        </w:rPr>
        <w:t>Straight-Line Revenue Receivable</w:t>
      </w:r>
      <w:r>
        <w:rPr>
          <w:rFonts w:ascii="Arial" w:cs="Arial" w:eastAsia="Arial" w:hAnsi="Arial"/>
          <w:sz w:val="16"/>
          <w:szCs w:val="16"/>
          <w:color w:val="auto"/>
        </w:rPr>
        <w:t xml:space="preserve">—As discussed in “Recently Issued Accounting Standards” in this Note 2, we have adopted the Financial Accounting Standards Board (“FASB”) Accounting Standards Update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effective January 1, 2019. This standard supersedes prior guidance regarding the evaluation of collectability of lease receivables, including straight-line revenue receivables. We have evaluated the collectability of our straight-line revenue receivable associated with the Master Lease in accordance with ASC 842, and in light of Windstream’s pending bankruptcy, we concluded that the receivable should be written-off. As a result, effective January 1, 2019, the Master Lease will be accounted for on a cash basis in accordance with ASC 842, until a time at which there is more certainty regarding Windstream’s decision to assume or reject the Master Lease. We have reflected the write off as a $61.5 million adjustment to equity resulting from a change in accounting standard.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Reclassifications</w:t>
      </w:r>
      <w:r>
        <w:rPr>
          <w:rFonts w:ascii="Arial" w:cs="Arial" w:eastAsia="Arial" w:hAnsi="Arial"/>
          <w:sz w:val="17"/>
          <w:szCs w:val="17"/>
          <w:color w:val="auto"/>
        </w:rPr>
        <w:t>—Certain prior year asset categories and related amounts in Note 8 have been reclassified to conform with current year presentation.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Recently Issued Accounting Standards</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u w:val="single" w:color="auto"/>
          <w:color w:val="auto"/>
        </w:rPr>
        <w:t>Leases</w:t>
      </w:r>
      <w:r>
        <w:rPr>
          <w:rFonts w:ascii="Arial" w:cs="Arial" w:eastAsia="Arial" w:hAnsi="Arial"/>
          <w:sz w:val="16"/>
          <w:szCs w:val="16"/>
          <w:color w:val="auto"/>
        </w:rPr>
        <w:t>—Effective January 1, 2019, we account for leases in accordance with ASC 842. The standard requires lessees to apply a dual approach, classifying leases as either finance or operating leases based on the principle of whether or not the lease is effectively a financed purchase by the lessee. This classification will determine whether lease expense is comprised of amortization on the right-of-use asset (“ROU”) and interest expense recognized based on an effective interest method, or as a single lease cost recognized on a straight-line basis over the term of the lease, respectively. A lessee is also required to record a right-of-use asset and a lease liability for all leases with a term of greater than 12 months regardless of their classification. The accounting for lessors remains largely unchanged. Leases with a term of 12 months or less will be accounted for similar to existing guidance for operating leases today.</w:t>
      </w:r>
    </w:p>
    <w:p>
      <w:pPr>
        <w:spacing w:after="0" w:line="16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determine if an arrangement is a lease at contract inception. A lease exists when a contract conveys to the customer the right to control the use of identified property, plant, or equipment for a period of time in exchange for consideration. The definition of a lease embodies two conditions: (i) there is an identified asset in the contract that is land or a depreciable asset (i.e., property, plant, and equipment), and (ii) the customer has the right to control the use of the identified asset.</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enter into lease contracts including ground, towers, equipment, office, colocation and fiber lease arrangements, in which we are the lessee, and service contracts that may include embedded leases. Operating leases where we are the lessor are included in Leasing, Fiber Infrastructure and Tower revenues on our Condensed Consolidated Statements of Income.</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From time to time we enter into direct financing lease arrangements that include (i) a lessee obligation to purchase the leased equipment at the end of the lease term,</w:t>
      </w:r>
    </w:p>
    <w:p>
      <w:pPr>
        <w:spacing w:after="0" w:line="47" w:lineRule="exact"/>
        <w:rPr>
          <w:sz w:val="20"/>
          <w:szCs w:val="20"/>
          <w:color w:val="auto"/>
        </w:rPr>
      </w:pPr>
    </w:p>
    <w:p>
      <w:pPr>
        <w:ind w:firstLine="3"/>
        <w:spacing w:after="0" w:line="299" w:lineRule="auto"/>
        <w:tabs>
          <w:tab w:leader="none" w:pos="254" w:val="left"/>
        </w:tabs>
        <w:numPr>
          <w:ilvl w:val="0"/>
          <w:numId w:val="5"/>
        </w:numPr>
        <w:rPr>
          <w:rFonts w:ascii="Arial" w:cs="Arial" w:eastAsia="Arial" w:hAnsi="Arial"/>
          <w:sz w:val="16"/>
          <w:szCs w:val="16"/>
          <w:color w:val="auto"/>
        </w:rPr>
      </w:pPr>
      <w:r>
        <w:rPr>
          <w:rFonts w:ascii="Arial" w:cs="Arial" w:eastAsia="Arial" w:hAnsi="Arial"/>
          <w:sz w:val="16"/>
          <w:szCs w:val="16"/>
          <w:color w:val="auto"/>
        </w:rPr>
        <w:t>a bargain purchase option, (iii) a lease term having a duration that is for the major part of the remaining economic life of the leased equipment or (iv) provides for minimum lease payments with a present value amounting to substantially all of the fair value of the leased asset at the date of lease inception.</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ROU assets and lease liabilities related to operating leases where we are the lessee are included in other assets and accounts payable, accrued expenses and other liabilities, respectively, on our Condensed Consolidated Balance Sheets. The lease liabilities are initially and subsequently measured at the present value of the unpaid lease payments at the lease commencement date.</w:t>
      </w:r>
    </w:p>
    <w:p>
      <w:pPr>
        <w:spacing w:after="0" w:line="172"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ROU assets and lease liabilities related to finance leases where we are the lessee are included in property, plant and equipment, net and finance lease obligations, respectively, on our Condensed Consolidated Balance Sheets. The lease liabilities are initially measured in the same manner as operating leases and are subsequently measured at amortized cost using the effective interest method. ROU assets for finance leases are amortized on a straight-line basis over the remaining lease term.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Key estimates and judgments include how we determined (i) the discount rate we use to discount the unpaid lease payments to present value, (ii) lease term and (iii) lease payments.</w:t>
      </w:r>
    </w:p>
    <w:p>
      <w:pPr>
        <w:spacing w:after="0" w:line="159" w:lineRule="exact"/>
        <w:rPr>
          <w:sz w:val="20"/>
          <w:szCs w:val="20"/>
          <w:color w:val="auto"/>
        </w:rPr>
      </w:pPr>
    </w:p>
    <w:p>
      <w:pPr>
        <w:jc w:val="both"/>
        <w:ind w:left="760" w:hanging="382"/>
        <w:spacing w:after="0" w:line="261"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ASC 842 requires a lessor to discount its unpaid lease payments using the interest rate implicit in the lease and a lessee to discount its unpaid lease payments using the interest rate implicit in the lease or, if that rate cannot be readily determined, its incremental borrowing rate. As we generally do not know the implicit rate for our leases where we are the lessee, we use our incremental borrowing rate based on the information available at commencement date in determining the present value of lease payments. Our incremental borrowing rate for a lease is the rate of interest we would have to pay on a collateralized basis to borrow an amount equal to the lease payments under similar terms.</w:t>
      </w:r>
    </w:p>
    <w:p>
      <w:pPr>
        <w:spacing w:after="0" w:line="177" w:lineRule="exact"/>
        <w:rPr>
          <w:rFonts w:ascii="Arial" w:cs="Arial" w:eastAsia="Arial" w:hAnsi="Arial"/>
          <w:sz w:val="17"/>
          <w:szCs w:val="17"/>
          <w:color w:val="auto"/>
        </w:rPr>
      </w:pPr>
    </w:p>
    <w:p>
      <w:pPr>
        <w:jc w:val="both"/>
        <w:ind w:left="760" w:hanging="382"/>
        <w:spacing w:after="0" w:line="268"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lease term for all of our leases includes the noncancellable period of the lease plus any additional periods covered by either a lessee option to extend (or not to terminate) the lease that the lessee is reasonably certain to exercise, or an option to extend (or not to terminate) the lease controlled by the lessor.</w:t>
      </w:r>
    </w:p>
    <w:p>
      <w:pPr>
        <w:spacing w:after="0" w:line="172" w:lineRule="exact"/>
        <w:rPr>
          <w:rFonts w:ascii="Arial" w:cs="Arial" w:eastAsia="Arial" w:hAnsi="Arial"/>
          <w:sz w:val="17"/>
          <w:szCs w:val="17"/>
          <w:color w:val="auto"/>
        </w:rPr>
      </w:pPr>
    </w:p>
    <w:p>
      <w:pPr>
        <w:jc w:val="both"/>
        <w:ind w:left="760" w:hanging="382"/>
        <w:spacing w:after="0" w:line="268"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Lease payments included in the measurement of the lease asset or liability comprise the following: (i) fixed payments (including in-substance fixed payments), (ii) variable payments that depend on index or rate based on the index or rate at lease commencement, and (iii) the exercise price of a lessee option to purchase the underlying asset if the lessee is reasonably certain to exercise.</w:t>
      </w:r>
    </w:p>
    <w:p>
      <w:pPr>
        <w:spacing w:after="0" w:line="172"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For operating leases where we are the lessor, we continue recognizing the underlying asset and depreciating it over its estimated useful life. Lease income is recognized on a straight-line basis over the lease term. Leasing revenue is not recognized when collection of all contractual rents over the term of the agreement is not probable. When collection is not probable, the lessee is placed on non-accrual status and Leasing revenue is recognized when cash payments are received.</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ROU asset is initially measured at cost, which comprises the initial amount of the lease liability adjusted for lease payments made at or before the lease commencement date, plus any initial direct costs incurred less any lease incentives received.</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operating leases,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For finance leases, the ROU asset is subsequently amortized using the straight-line method from the lease commencement date to the earlier of the end of its useful life or the end of the lease term unless the lease transfers ownership of the underlying asset to us, or we are reasonably certain to exercise an option to purchase the underlying asset. In those cases, the ROU asset is amortized over the useful life of the underlying asset. Amortization of the ROU asset is recognized and presented separately from interest expense on the lease liability.</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Variable lease payments associated with our leases are recognized when the event, activity, or circumstance in the lease agreement on which those payments are assessed occurs. Variable lease payments are presented within Leasing, Fiber Infrastructure and Tower revenues and general and administrative expense and operating expense in our Condensed Consolidated Statements of Income in the same line item as revenue arising from fixed lease payments (operating leases where we are the lessor) and expense arising from fixed lease payments (operating leases where we are the lessee) or amortization of the ROU asset (finance leases), respectively.</w:t>
      </w:r>
    </w:p>
    <w:p>
      <w:pPr>
        <w:spacing w:after="0" w:line="126"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We monitor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profit or loss.</w:t>
      </w:r>
    </w:p>
    <w:p>
      <w:pPr>
        <w:spacing w:after="0" w:line="8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lease agreements which include lease and nonlease components. For both leases where we are a lessor and leases where we are a lessee, we have elected to combine lease and nonlease components for all lease contracts. Nonlease components that are combined with lease components are primarily maintenance services related to the leased asset. Where we are the lessor, we determine whether the lease or nonlease component is the predominant component on a case-by-case basis. For all existing leases where we are the lessor, ASC Topic 842 has been applied to all combined components.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We have elected not to recognize ROU assets and lease liabilities for all short-term leases that have a lease term of 12 months or less. We recognize the lease payments associated with our short-term leases as an expense on a straight-line basis over the lease term.</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We have elected to exclude sales taxes from lease payments in arrangements where we are a lessor.</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We adopted ASC 842 using a modified retrospective transition approach as of the effective date as permitted by the amendments in ASU 2018-11, </w:t>
      </w:r>
      <w:r>
        <w:rPr>
          <w:rFonts w:ascii="Arial" w:cs="Arial" w:eastAsia="Arial" w:hAnsi="Arial"/>
          <w:sz w:val="16"/>
          <w:szCs w:val="16"/>
          <w:i w:val="1"/>
          <w:iCs w:val="1"/>
          <w:color w:val="auto"/>
        </w:rPr>
        <w:t>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 Target Improvements</w:t>
      </w:r>
      <w:r>
        <w:rPr>
          <w:rFonts w:ascii="Arial" w:cs="Arial" w:eastAsia="Arial" w:hAnsi="Arial"/>
          <w:sz w:val="16"/>
          <w:szCs w:val="16"/>
          <w:color w:val="auto"/>
        </w:rPr>
        <w:t>, which provides an alternative modified retrospective transition method. As a result, we were not required to adjust our comparative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period financial information for effects of the standard or make the new required lease disclosures for periods before the date of adoption (i.e. January 1, 2019). We have elected to adopt the package of transition practical expedients and, therefore, have not reassessed (i) whether existing or expired contracts contain a lease, (ii) lease classification for existing or expired leases or (iii) the accounting for initial direct costs that were previously capitalized. We elected the practical expedient to use hindsight for leases existing at the adoption date. Further, we elected to adopt the amendments in ASU 2018-01: </w:t>
      </w:r>
      <w:r>
        <w:rPr>
          <w:rFonts w:ascii="Arial" w:cs="Arial" w:eastAsia="Arial" w:hAnsi="Arial"/>
          <w:sz w:val="16"/>
          <w:szCs w:val="16"/>
          <w:i w:val="1"/>
          <w:iCs w:val="1"/>
          <w:color w:val="auto"/>
        </w:rPr>
        <w:t>Land Easement Practical Expedient for</w:t>
      </w:r>
      <w:r>
        <w:rPr>
          <w:rFonts w:ascii="Arial" w:cs="Arial" w:eastAsia="Arial" w:hAnsi="Arial"/>
          <w:sz w:val="16"/>
          <w:szCs w:val="16"/>
          <w:color w:val="auto"/>
        </w:rPr>
        <w:t xml:space="preserve"> </w:t>
      </w:r>
      <w:r>
        <w:rPr>
          <w:rFonts w:ascii="Arial" w:cs="Arial" w:eastAsia="Arial" w:hAnsi="Arial"/>
          <w:sz w:val="16"/>
          <w:szCs w:val="16"/>
          <w:i w:val="1"/>
          <w:iCs w:val="1"/>
          <w:color w:val="auto"/>
        </w:rPr>
        <w:t>Transition to Topic 842</w:t>
      </w:r>
      <w:r>
        <w:rPr>
          <w:rFonts w:ascii="Arial" w:cs="Arial" w:eastAsia="Arial" w:hAnsi="Arial"/>
          <w:sz w:val="16"/>
          <w:szCs w:val="16"/>
          <w:color w:val="auto"/>
        </w:rPr>
        <w:t>, which permits an entity to elect an optional transaction practical expedient to not evaluate land easements that exist or expire before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Company’s adoption of ASC 842 and that were not previously accounted for as leases under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In connection with the adoption of ASC 842, we have recorded an adjustment to equity of $63.1 million, net of tax for the cumulative effect from a change in accounting standard. Of this amount, $61.5 million related to the write-off of the Master Lease straight-line revenue receivable, and $1.6 million relates to the establishment of the ROU assets and lease liabilities.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Revenues</w:t>
      </w:r>
    </w:p>
    <w:p>
      <w:pPr>
        <w:spacing w:after="0" w:line="224"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The following is a description of principal activities, separated by reportable segments (</w:t>
      </w:r>
      <w:hyperlink w:anchor="page30">
        <w:r>
          <w:rPr>
            <w:rFonts w:ascii="Arial" w:cs="Arial" w:eastAsia="Arial" w:hAnsi="Arial"/>
            <w:sz w:val="17"/>
            <w:szCs w:val="17"/>
            <w:u w:val="single" w:color="auto"/>
            <w:color w:val="0000EE"/>
          </w:rPr>
          <w:t>see Note 13</w:t>
        </w:r>
      </w:hyperlink>
      <w:r>
        <w:rPr>
          <w:rFonts w:ascii="Arial" w:cs="Arial" w:eastAsia="Arial" w:hAnsi="Arial"/>
          <w:sz w:val="17"/>
          <w:szCs w:val="17"/>
          <w:color w:val="auto"/>
        </w:rPr>
        <w:t>), from which the Company generates its revenues.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Leasing</w:t>
      </w:r>
    </w:p>
    <w:p>
      <w:pPr>
        <w:spacing w:after="0" w:line="218" w:lineRule="exact"/>
        <w:rPr>
          <w:sz w:val="20"/>
          <w:szCs w:val="20"/>
          <w:color w:val="auto"/>
        </w:rPr>
      </w:pPr>
    </w:p>
    <w:p>
      <w:pPr>
        <w:jc w:val="both"/>
        <w:ind w:right="160"/>
        <w:spacing w:after="0" w:line="320" w:lineRule="auto"/>
        <w:rPr>
          <w:rFonts w:ascii="Arial" w:cs="Arial" w:eastAsia="Arial" w:hAnsi="Arial"/>
          <w:sz w:val="15"/>
          <w:szCs w:val="15"/>
          <w:color w:val="auto"/>
        </w:rPr>
      </w:pPr>
      <w:r>
        <w:rPr>
          <w:rFonts w:ascii="Arial" w:cs="Arial" w:eastAsia="Arial" w:hAnsi="Arial"/>
          <w:sz w:val="15"/>
          <w:szCs w:val="15"/>
          <w:color w:val="auto"/>
        </w:rPr>
        <w:t xml:space="preserve">Leasing revenue represents the results from our leasing program, Uniti Leasing, which is engaged in the acquisition of mission-critical communications assets and leasing them back to anchor customers on either an exclusive or shared-tenant basis. Due to the nature of these activities, they are outside the scope of the guidance of Topic 606, and are recognized under other applicable guidance, including ASC 842 and ASC 840 for periods prior to January 1, 2019. </w:t>
      </w:r>
      <w:hyperlink w:anchor="page16">
        <w:r>
          <w:rPr>
            <w:rFonts w:ascii="Arial" w:cs="Arial" w:eastAsia="Arial" w:hAnsi="Arial"/>
            <w:sz w:val="15"/>
            <w:szCs w:val="15"/>
            <w:u w:val="single" w:color="auto"/>
            <w:color w:val="auto"/>
          </w:rPr>
          <w:t>See Note 4</w:t>
        </w:r>
      </w:hyperlink>
      <w:r>
        <w:rPr>
          <w:rFonts w:ascii="Arial" w:cs="Arial" w:eastAsia="Arial" w:hAnsi="Arial"/>
          <w:sz w:val="15"/>
          <w:szCs w:val="15"/>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Fiber Infrastructure</w:t>
      </w:r>
    </w:p>
    <w:p>
      <w:pPr>
        <w:spacing w:after="0" w:line="218" w:lineRule="exact"/>
        <w:rPr>
          <w:sz w:val="20"/>
          <w:szCs w:val="20"/>
          <w:color w:val="auto"/>
        </w:rPr>
      </w:pPr>
    </w:p>
    <w:p>
      <w:pPr>
        <w:ind w:right="360"/>
        <w:spacing w:after="0" w:line="283" w:lineRule="auto"/>
        <w:rPr>
          <w:sz w:val="20"/>
          <w:szCs w:val="20"/>
          <w:color w:val="auto"/>
        </w:rPr>
      </w:pPr>
      <w:r>
        <w:rPr>
          <w:rFonts w:ascii="Arial" w:cs="Arial" w:eastAsia="Arial" w:hAnsi="Arial"/>
          <w:sz w:val="17"/>
          <w:szCs w:val="17"/>
          <w:color w:val="auto"/>
        </w:rPr>
        <w:t>The Fiber Infrastructure segment represents the operations of our fiber business, Uniti Fiber, which provides (i) consumer, enterprise, wholesale and backhaul lit fiber, (ii) E-rate, (iii) small cell, (iv) construction services, (v) dark fiber and (vi) other revenue generating activities.</w:t>
      </w:r>
    </w:p>
    <w:p>
      <w:pPr>
        <w:spacing w:after="0" w:line="159" w:lineRule="exact"/>
        <w:rPr>
          <w:sz w:val="20"/>
          <w:szCs w:val="20"/>
          <w:color w:val="auto"/>
        </w:rPr>
      </w:pPr>
    </w:p>
    <w:p>
      <w:pPr>
        <w:ind w:left="1120" w:right="40" w:hanging="742"/>
        <w:spacing w:after="0" w:line="292" w:lineRule="auto"/>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Consumer, enterprise, wholesale, and backhaul lit fiber fall under the guidance of Topic 606. Revenue is recognized over the life of the contracts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55" w:lineRule="exact"/>
        <w:rPr>
          <w:rFonts w:ascii="Arial" w:cs="Arial" w:eastAsia="Arial" w:hAnsi="Arial"/>
          <w:sz w:val="16"/>
          <w:szCs w:val="16"/>
          <w:color w:val="auto"/>
        </w:rPr>
      </w:pPr>
    </w:p>
    <w:p>
      <w:pPr>
        <w:ind w:left="1120" w:right="60" w:hanging="742"/>
        <w:spacing w:after="0" w:line="263" w:lineRule="auto"/>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E-rate contracts involve providing lit fiber services to schools and libraries, and is governed by Topic 606. Revenue is recognized over the life of the contract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76" w:lineRule="exact"/>
        <w:rPr>
          <w:rFonts w:ascii="Arial" w:cs="Arial" w:eastAsia="Arial" w:hAnsi="Arial"/>
          <w:sz w:val="17"/>
          <w:szCs w:val="17"/>
          <w:color w:val="auto"/>
        </w:rPr>
      </w:pPr>
    </w:p>
    <w:p>
      <w:pPr>
        <w:jc w:val="both"/>
        <w:ind w:left="1120" w:right="100" w:hanging="742"/>
        <w:spacing w:after="0" w:line="263" w:lineRule="auto"/>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Small cell contracts provide improved network connection to areas that may not require or accommodate a tower. Small cell arrangements typically contain five streams of revenue: site development, radio frequency (“RF”) design, dark fiber lease, construction services, and maintenance services. Site development, RF design and construction are each separate services and are considered distinct performance obligations under Topic 606. Dark fiber and associated maintenance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services constitute a lease, and as such, they are outside the scope of Topic 606 and are governed by other applicable guidance.</w:t>
      </w:r>
    </w:p>
    <w:p>
      <w:pPr>
        <w:spacing w:after="0" w:line="218" w:lineRule="exact"/>
        <w:rPr>
          <w:sz w:val="20"/>
          <w:szCs w:val="20"/>
          <w:color w:val="auto"/>
        </w:rPr>
      </w:pPr>
    </w:p>
    <w:p>
      <w:pPr>
        <w:ind w:left="1120" w:right="40" w:hanging="742"/>
        <w:spacing w:after="0" w:line="285" w:lineRule="auto"/>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Construction revenue is generated from contracts to provide various construction services such as equipment installation or the laying of fiber. Construction revenue is recognized over time as construction activities occur as we are either enhancing a customer’s owned asset or constructing an asset with no alternative use to us and we would be entitled to our costs plus a reasonable profit margin if the contract was terminated early by the customer. We are utilizing our costs incurred as the measure of progress of satisfying our performance obligation.</w:t>
      </w:r>
    </w:p>
    <w:p>
      <w:pPr>
        <w:spacing w:after="0" w:line="159" w:lineRule="exact"/>
        <w:rPr>
          <w:rFonts w:ascii="Arial" w:cs="Arial" w:eastAsia="Arial" w:hAnsi="Arial"/>
          <w:sz w:val="16"/>
          <w:szCs w:val="16"/>
          <w:color w:val="auto"/>
        </w:rPr>
      </w:pPr>
    </w:p>
    <w:p>
      <w:pPr>
        <w:ind w:left="1120" w:right="180" w:hanging="742"/>
        <w:spacing w:after="0" w:line="263" w:lineRule="auto"/>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Dark fiber arrangements represent operating leases under ASC 842 and are outside the scope of Topic 606. When (i) a customer makes an advance payment or (ii) a customer is contractually obligated to pay any amounts in advance, which is not deemed a separate performance obligation, deferred leasing revenue is recorded. This leasing revenue is recognized ratably over the expected term of the contract, unless the pattern of service suggests otherwise.</w:t>
      </w:r>
    </w:p>
    <w:p>
      <w:pPr>
        <w:spacing w:after="0" w:line="176" w:lineRule="exact"/>
        <w:rPr>
          <w:rFonts w:ascii="Arial" w:cs="Arial" w:eastAsia="Arial" w:hAnsi="Arial"/>
          <w:sz w:val="17"/>
          <w:szCs w:val="17"/>
          <w:color w:val="auto"/>
        </w:rPr>
      </w:pPr>
    </w:p>
    <w:p>
      <w:pPr>
        <w:ind w:left="1120" w:right="100" w:hanging="742"/>
        <w:spacing w:after="0" w:line="264" w:lineRule="auto"/>
        <w:tabs>
          <w:tab w:leader="none" w:pos="1120" w:val="left"/>
        </w:tabs>
        <w:numPr>
          <w:ilvl w:val="0"/>
          <w:numId w:val="8"/>
        </w:numPr>
        <w:rPr>
          <w:rFonts w:ascii="Arial" w:cs="Arial" w:eastAsia="Arial" w:hAnsi="Arial"/>
          <w:sz w:val="20"/>
          <w:szCs w:val="20"/>
          <w:color w:val="auto"/>
        </w:rPr>
      </w:pPr>
      <w:r>
        <w:rPr>
          <w:rFonts w:ascii="Arial" w:cs="Arial" w:eastAsia="Arial" w:hAnsi="Arial"/>
          <w:sz w:val="16"/>
          <w:szCs w:val="16"/>
          <w:color w:val="auto"/>
        </w:rPr>
        <w:t>The Company generates revenues from other services, such as consultation services and equipment sales. Revenue from the sale of customer premise equipment and modems that are not provided as an essential part of the telecommunications services, including broadband, long distance, and enhanced services is recognized when products are delivered to and accepted by the customer. Revenue from customer premise equipment and modems provided as an essential part of the telecommunications services, including broadband, long distance, and enhanced services are recognized over time in a pattern that reflects the satisfaction of the service performance obligation.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Towers</w:t>
      </w:r>
    </w:p>
    <w:p>
      <w:pPr>
        <w:spacing w:after="0" w:line="218"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The Towers segment represents the operations of our towers business, Uniti Towers, through which we acquire and construct tower and tower-related real estate, which we then lease to our customers in the United States and Latin America. Revenue from our towers business qualifies as a lease under ASC 842, and ASC 840 for periods prior to January 1, 2019, and is outside the scope of Topic 606.</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Consumer CLEC</w:t>
      </w:r>
    </w:p>
    <w:p>
      <w:pPr>
        <w:spacing w:after="0" w:line="218"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Consumer CLEC segment represents the operations of Talk America Services (“Talk America”) through which we operate the Consumer CLEC Business, which provides local telephone, high-speed internet and long-distance services to customers in the eastern and central United States. Customers are billed monthly for services rendered based on actual usage or contracted amounts. The transaction price is equal to the monthly-recurring charge multiplied by the initial contract term (typically 12 months), plus any non-recurring or variable charges.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40" w:type="dxa"/>
            <w:vAlign w:val="bottom"/>
            <w:gridSpan w:val="2"/>
          </w:tcPr>
          <w:p>
            <w:pPr>
              <w:spacing w:after="0"/>
              <w:rPr>
                <w:sz w:val="20"/>
                <w:szCs w:val="20"/>
                <w:color w:val="auto"/>
              </w:rPr>
            </w:pPr>
            <w:r>
              <w:rPr>
                <w:rFonts w:ascii="Arial" w:cs="Arial" w:eastAsia="Arial" w:hAnsi="Arial"/>
                <w:sz w:val="17"/>
                <w:szCs w:val="17"/>
                <w:color w:val="auto"/>
              </w:rPr>
              <w:t>Disaggregation of Revenue</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440" w:type="dxa"/>
            <w:vAlign w:val="bottom"/>
            <w:gridSpan w:val="2"/>
          </w:tcPr>
          <w:p>
            <w:pPr>
              <w:spacing w:after="0"/>
              <w:rPr>
                <w:sz w:val="20"/>
                <w:szCs w:val="20"/>
                <w:color w:val="auto"/>
              </w:rPr>
            </w:pPr>
            <w:r>
              <w:rPr>
                <w:rFonts w:ascii="Arial" w:cs="Arial" w:eastAsia="Arial" w:hAnsi="Arial"/>
                <w:sz w:val="17"/>
                <w:szCs w:val="17"/>
                <w:color w:val="auto"/>
                <w:w w:val="93"/>
              </w:rPr>
              <w:t>The following table presents our revenues disaggregated by revenue stream.</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20" w:type="dxa"/>
            <w:vAlign w:val="bottom"/>
            <w:gridSpan w:val="5"/>
            <w:vMerge w:val="restart"/>
          </w:tcPr>
          <w:p>
            <w:pPr>
              <w:ind w:left="460"/>
              <w:spacing w:after="0"/>
              <w:rPr>
                <w:sz w:val="20"/>
                <w:szCs w:val="20"/>
                <w:color w:val="auto"/>
              </w:rPr>
            </w:pPr>
            <w:r>
              <w:rPr>
                <w:rFonts w:ascii="Arial" w:cs="Arial" w:eastAsia="Arial" w:hAnsi="Arial"/>
                <w:sz w:val="17"/>
                <w:szCs w:val="17"/>
                <w:b w:val="1"/>
                <w:bCs w:val="1"/>
                <w:color w:val="auto"/>
              </w:rPr>
              <w:t>Three Months Ended March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8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20" w:type="dxa"/>
            <w:vAlign w:val="bottom"/>
            <w:gridSpan w:val="5"/>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(Thousands)</w:t>
            </w:r>
          </w:p>
        </w:tc>
        <w:tc>
          <w:tcPr>
            <w:tcW w:w="150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2019</w:t>
            </w:r>
          </w:p>
        </w:tc>
        <w:tc>
          <w:tcPr>
            <w:tcW w:w="320" w:type="dxa"/>
            <w:vAlign w:val="bottom"/>
            <w:tcBorders>
              <w:top w:val="single" w:sz="8" w:color="auto"/>
              <w:bottom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FF0FC"/>
          </w:tcPr>
          <w:p>
            <w:pPr>
              <w:spacing w:after="0"/>
              <w:rPr>
                <w:sz w:val="20"/>
                <w:szCs w:val="20"/>
                <w:color w:val="auto"/>
              </w:rPr>
            </w:pPr>
            <w:r>
              <w:rPr>
                <w:rFonts w:ascii="Arial" w:cs="Arial" w:eastAsia="Arial" w:hAnsi="Arial"/>
                <w:sz w:val="17"/>
                <w:szCs w:val="17"/>
                <w:i w:val="1"/>
                <w:iCs w:val="1"/>
                <w:color w:val="auto"/>
              </w:rPr>
              <w:t>Revenue disaggregated by revenue stream</w:t>
            </w:r>
          </w:p>
        </w:tc>
        <w:tc>
          <w:tcPr>
            <w:tcW w:w="1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40" w:type="dxa"/>
            <w:vAlign w:val="bottom"/>
            <w:gridSpan w:val="2"/>
          </w:tcPr>
          <w:p>
            <w:pPr>
              <w:spacing w:after="0"/>
              <w:rPr>
                <w:sz w:val="20"/>
                <w:szCs w:val="20"/>
                <w:color w:val="auto"/>
              </w:rPr>
            </w:pPr>
            <w:r>
              <w:rPr>
                <w:rFonts w:ascii="Arial" w:cs="Arial" w:eastAsia="Arial" w:hAnsi="Arial"/>
                <w:sz w:val="17"/>
                <w:szCs w:val="17"/>
                <w:color w:val="auto"/>
              </w:rPr>
              <w:t>Revenue from contracts with customers</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Fiber Infrastructure</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40" w:type="dxa"/>
            <w:vAlign w:val="bottom"/>
            <w:gridSpan w:val="2"/>
          </w:tcPr>
          <w:p>
            <w:pPr>
              <w:ind w:left="360"/>
              <w:spacing w:after="0"/>
              <w:rPr>
                <w:sz w:val="20"/>
                <w:szCs w:val="20"/>
                <w:color w:val="auto"/>
              </w:rPr>
            </w:pPr>
            <w:r>
              <w:rPr>
                <w:rFonts w:ascii="Arial" w:cs="Arial" w:eastAsia="Arial" w:hAnsi="Arial"/>
                <w:sz w:val="17"/>
                <w:szCs w:val="17"/>
                <w:color w:val="auto"/>
              </w:rPr>
              <w:t>Lit backhaul</w:t>
            </w:r>
          </w:p>
        </w:tc>
        <w:tc>
          <w:tcPr>
            <w:tcW w:w="216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32,205</w:t>
            </w:r>
          </w:p>
        </w:tc>
        <w:tc>
          <w:tcPr>
            <w:tcW w:w="3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33,346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4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Enterprise and wholesale</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16,729</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15,418</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40" w:type="dxa"/>
            <w:vAlign w:val="bottom"/>
            <w:gridSpan w:val="2"/>
          </w:tcPr>
          <w:p>
            <w:pPr>
              <w:ind w:left="360"/>
              <w:spacing w:after="0"/>
              <w:rPr>
                <w:sz w:val="20"/>
                <w:szCs w:val="20"/>
                <w:color w:val="auto"/>
              </w:rPr>
            </w:pPr>
            <w:r>
              <w:rPr>
                <w:rFonts w:ascii="Arial" w:cs="Arial" w:eastAsia="Arial" w:hAnsi="Arial"/>
                <w:sz w:val="17"/>
                <w:szCs w:val="17"/>
                <w:color w:val="auto"/>
              </w:rPr>
              <w:t>E-Rate and government</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21,995</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14,230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4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Other</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1,009</w:t>
            </w:r>
          </w:p>
        </w:tc>
        <w:tc>
          <w:tcPr>
            <w:tcW w:w="3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990</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gridSpan w:val="2"/>
          </w:tcPr>
          <w:p>
            <w:pPr>
              <w:ind w:left="120"/>
              <w:spacing w:after="0"/>
              <w:rPr>
                <w:sz w:val="20"/>
                <w:szCs w:val="20"/>
                <w:color w:val="auto"/>
              </w:rPr>
            </w:pPr>
            <w:r>
              <w:rPr>
                <w:rFonts w:ascii="Arial" w:cs="Arial" w:eastAsia="Arial" w:hAnsi="Arial"/>
                <w:sz w:val="17"/>
                <w:szCs w:val="17"/>
                <w:color w:val="auto"/>
              </w:rPr>
              <w:t>Fiber Infrastructure</w:t>
            </w:r>
          </w:p>
        </w:tc>
        <w:tc>
          <w:tcPr>
            <w:tcW w:w="216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71,938</w:t>
            </w:r>
          </w:p>
        </w:tc>
        <w:tc>
          <w:tcPr>
            <w:tcW w:w="32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63,984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Consumer CLEC</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3,035</w:t>
            </w:r>
          </w:p>
        </w:tc>
        <w:tc>
          <w:tcPr>
            <w:tcW w:w="3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3,804</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gridSpan w:val="2"/>
          </w:tcPr>
          <w:p>
            <w:pPr>
              <w:spacing w:after="0"/>
              <w:rPr>
                <w:sz w:val="20"/>
                <w:szCs w:val="20"/>
                <w:color w:val="auto"/>
              </w:rPr>
            </w:pPr>
            <w:r>
              <w:rPr>
                <w:rFonts w:ascii="Arial" w:cs="Arial" w:eastAsia="Arial" w:hAnsi="Arial"/>
                <w:sz w:val="17"/>
                <w:szCs w:val="17"/>
                <w:color w:val="auto"/>
              </w:rPr>
              <w:t>Total revenue from contracts with customers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74,973</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67,788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Revenue accounted for under other applicable guidance</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186,058</w:t>
            </w:r>
          </w:p>
        </w:tc>
        <w:tc>
          <w:tcPr>
            <w:tcW w:w="3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179,127</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gridSpan w:val="2"/>
          </w:tcPr>
          <w:p>
            <w:pPr>
              <w:spacing w:after="0"/>
              <w:rPr>
                <w:sz w:val="20"/>
                <w:szCs w:val="20"/>
                <w:color w:val="auto"/>
              </w:rPr>
            </w:pPr>
            <w:r>
              <w:rPr>
                <w:rFonts w:ascii="Arial" w:cs="Arial" w:eastAsia="Arial" w:hAnsi="Arial"/>
                <w:sz w:val="17"/>
                <w:szCs w:val="17"/>
                <w:color w:val="auto"/>
              </w:rPr>
              <w:t>Total revenue</w:t>
            </w:r>
          </w:p>
        </w:tc>
        <w:tc>
          <w:tcPr>
            <w:tcW w:w="216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261,031</w:t>
            </w:r>
          </w:p>
        </w:tc>
        <w:tc>
          <w:tcPr>
            <w:tcW w:w="32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246,915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500" w:type="dxa"/>
            <w:vAlign w:val="bottom"/>
            <w:vMerge w:val="restart"/>
          </w:tcPr>
          <w:p>
            <w:pPr>
              <w:jc w:val="right"/>
              <w:ind w:right="1054"/>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1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88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47" w:lineRule="exact"/>
        <w:rPr>
          <w:sz w:val="20"/>
          <w:szCs w:val="20"/>
          <w:color w:val="auto"/>
        </w:rPr>
      </w:pPr>
    </w:p>
    <w:p>
      <w:pPr>
        <w:ind w:right="320"/>
        <w:spacing w:after="0" w:line="283" w:lineRule="auto"/>
        <w:rPr>
          <w:sz w:val="20"/>
          <w:szCs w:val="20"/>
          <w:color w:val="auto"/>
        </w:rPr>
      </w:pPr>
      <w:r>
        <w:rPr>
          <w:rFonts w:ascii="Arial" w:cs="Arial" w:eastAsia="Arial" w:hAnsi="Arial"/>
          <w:sz w:val="17"/>
          <w:szCs w:val="17"/>
          <w:color w:val="auto"/>
        </w:rPr>
        <w:t>At March 31, 2019, and December 31, 2018, lease receivables were $19.5 million and $45.5 million, respectively, and receivables from contracts with customers were $52.1 million and $57.1 million,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Contract Assets (Unbilled Revenue) and Liabilities (Deferred Revenue)</w:t>
      </w:r>
    </w:p>
    <w:p>
      <w:pPr>
        <w:spacing w:after="0" w:line="218"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Contract assets primarily consist of unbilled construction revenue where we are utilizing our costs incurred as the measure of progress of satisfying our performance obligation.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three months ended March 31, 2019, we recognized revenues of $1.4 million that was included in the December 31, 2018 contract liabilities balance.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about contract assets and contract liabilities accounted for under Topic 606.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(Thousands)</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w w:val="98"/>
              </w:rPr>
              <w:t>Contract Assets</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97"/>
              </w:rPr>
              <w:t>Contract Liabilities</w:t>
            </w:r>
          </w:p>
        </w:tc>
        <w:tc>
          <w:tcPr>
            <w:tcW w:w="100" w:type="dxa"/>
            <w:vAlign w:val="bottom"/>
            <w:tcBorders>
              <w:bottom w:val="single" w:sz="8" w:color="CFF0FC"/>
            </w:tcBorders>
          </w:tcPr>
          <w:p>
            <w:pPr>
              <w:spacing w:after="0"/>
              <w:rPr>
                <w:sz w:val="19"/>
                <w:szCs w:val="19"/>
                <w:color w:val="auto"/>
              </w:rPr>
            </w:pPr>
          </w:p>
        </w:tc>
      </w:tr>
      <w:tr>
        <w:trPr>
          <w:trHeight w:val="213"/>
        </w:trPr>
        <w:tc>
          <w:tcPr>
            <w:tcW w:w="71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Balance at December 31, 2018</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5,540</w:t>
            </w:r>
          </w:p>
        </w:tc>
        <w:tc>
          <w:tcPr>
            <w:tcW w:w="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15,473</w:t>
            </w:r>
          </w:p>
        </w:tc>
        <w:tc>
          <w:tcPr>
            <w:tcW w:w="100" w:type="dxa"/>
            <w:vAlign w:val="bottom"/>
            <w:shd w:val="clear" w:color="auto" w:fill="CFF0FC"/>
          </w:tcPr>
          <w:p>
            <w:pPr>
              <w:spacing w:after="0"/>
              <w:rPr>
                <w:sz w:val="18"/>
                <w:szCs w:val="18"/>
                <w:color w:val="auto"/>
              </w:rPr>
            </w:pPr>
          </w:p>
        </w:tc>
      </w:tr>
      <w:tr>
        <w:trPr>
          <w:trHeight w:val="213"/>
        </w:trPr>
        <w:tc>
          <w:tcPr>
            <w:tcW w:w="7180" w:type="dxa"/>
            <w:vAlign w:val="bottom"/>
            <w:gridSpan w:val="2"/>
          </w:tcPr>
          <w:p>
            <w:pPr>
              <w:spacing w:after="0"/>
              <w:rPr>
                <w:sz w:val="20"/>
                <w:szCs w:val="20"/>
                <w:color w:val="auto"/>
              </w:rPr>
            </w:pPr>
            <w:r>
              <w:rPr>
                <w:rFonts w:ascii="Arial" w:cs="Arial" w:eastAsia="Arial" w:hAnsi="Arial"/>
                <w:sz w:val="17"/>
                <w:szCs w:val="17"/>
                <w:color w:val="auto"/>
              </w:rPr>
              <w:t>Balance at March 31, 2019</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7,067</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16,057</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Transaction Price Allocated to Remaining Performance Obligations</w:t>
      </w:r>
    </w:p>
    <w:p>
      <w:pPr>
        <w:spacing w:after="0" w:line="218"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Performance obligations within contracts to stand ready to provide services are typically satisfied over time or as those services are provided. Contract liabilities primarily relate to deferred revenue from non-recurring charges. The deferred revenue is recognized, and the liability reduced, over the contract term as the Company completes the performance obligation. As of March 31, 2019, our future revenues (i.e., transaction price related to remaining performance obligations) under contract accounted for under Topic 606 totaled $632.7 million, of which $555.5 million is related to contracts that are currently being invoiced and have an average remaining contract term of 2.5 years, while $77.2 million represents our backlog for sales bookings which have yet to be installed and have an average remaining contract term of 4.3 years.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Practical Expedients and Exemptions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We do not disclose the value of unsatisfied performance obligations for contracts that have an original expected duration of one year or less.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We exclude from the transaction price any amounts collected from customers for sales taxes and therefore, they are not included in revenue.</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Leases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Lessor Accounting</w:t>
      </w:r>
    </w:p>
    <w:p>
      <w:pPr>
        <w:spacing w:after="0" w:line="218" w:lineRule="exact"/>
        <w:rPr>
          <w:sz w:val="20"/>
          <w:szCs w:val="20"/>
          <w:color w:val="auto"/>
        </w:rPr>
      </w:pPr>
    </w:p>
    <w:p>
      <w:pPr>
        <w:jc w:val="both"/>
        <w:ind w:right="240"/>
        <w:spacing w:after="0" w:line="263" w:lineRule="auto"/>
        <w:rPr>
          <w:sz w:val="20"/>
          <w:szCs w:val="20"/>
          <w:color w:val="auto"/>
        </w:rPr>
      </w:pPr>
      <w:r>
        <w:rPr>
          <w:rFonts w:ascii="Arial" w:cs="Arial" w:eastAsia="Arial" w:hAnsi="Arial"/>
          <w:sz w:val="17"/>
          <w:szCs w:val="17"/>
          <w:color w:val="auto"/>
        </w:rPr>
        <w:t>We lease communications towers, ground, communications equipment, office and dark fiber lease arrangements to tenants under operating leases. Our leases have initial lease terms ranging from 5 year to 20 years, most of which includes options to extend or renew the leases for 5 to 80 years, and some of which may include options to terminate the leases within 1 to 6 months. Certain lease agreements contain provisions for future rent increases. Payments due under the lease contracts include fixed payments plus, for some of our leases, variable payments.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lease income for the quarter ended March 31, 2019 are as follows: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Pr>
          <w:p>
            <w:pPr>
              <w:spacing w:after="0"/>
              <w:rPr>
                <w:sz w:val="17"/>
                <w:szCs w:val="17"/>
                <w:color w:val="auto"/>
              </w:rPr>
            </w:pPr>
          </w:p>
        </w:tc>
        <w:tc>
          <w:tcPr>
            <w:tcW w:w="6600" w:type="dxa"/>
            <w:vAlign w:val="bottom"/>
            <w:gridSpan w:val="3"/>
          </w:tcPr>
          <w:p>
            <w:pPr>
              <w:jc w:val="center"/>
              <w:ind w:right="460"/>
              <w:spacing w:after="0"/>
              <w:rPr>
                <w:sz w:val="20"/>
                <w:szCs w:val="20"/>
                <w:color w:val="auto"/>
              </w:rPr>
            </w:pPr>
            <w:r>
              <w:rPr>
                <w:rFonts w:ascii="Arial" w:cs="Arial" w:eastAsia="Arial" w:hAnsi="Arial"/>
                <w:sz w:val="17"/>
                <w:szCs w:val="17"/>
                <w:b w:val="1"/>
                <w:bCs w:val="1"/>
                <w:color w:val="auto"/>
                <w:w w:val="95"/>
              </w:rPr>
              <w:t>Uniti Group Inc.</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7"/>
        </w:trPr>
        <w:tc>
          <w:tcPr>
            <w:tcW w:w="2640" w:type="dxa"/>
            <w:vAlign w:val="bottom"/>
          </w:tcPr>
          <w:p>
            <w:pPr>
              <w:spacing w:after="0"/>
              <w:rPr>
                <w:sz w:val="17"/>
                <w:szCs w:val="17"/>
                <w:color w:val="auto"/>
              </w:rPr>
            </w:pPr>
          </w:p>
        </w:tc>
        <w:tc>
          <w:tcPr>
            <w:tcW w:w="6600" w:type="dxa"/>
            <w:vAlign w:val="bottom"/>
            <w:gridSpan w:val="3"/>
          </w:tcPr>
          <w:p>
            <w:pPr>
              <w:jc w:val="center"/>
              <w:ind w:right="460"/>
              <w:spacing w:after="0"/>
              <w:rPr>
                <w:sz w:val="20"/>
                <w:szCs w:val="20"/>
                <w:color w:val="auto"/>
              </w:rPr>
            </w:pPr>
            <w:r>
              <w:rPr>
                <w:rFonts w:ascii="Arial" w:cs="Arial" w:eastAsia="Arial" w:hAnsi="Arial"/>
                <w:sz w:val="17"/>
                <w:szCs w:val="17"/>
                <w:b w:val="1"/>
                <w:bCs w:val="1"/>
                <w:color w:val="auto"/>
                <w:w w:val="89"/>
              </w:rPr>
              <w:t>Notes to the Condensed Consolidated Financial Statements – Continued</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2640" w:type="dxa"/>
            <w:vAlign w:val="bottom"/>
          </w:tcPr>
          <w:p>
            <w:pPr>
              <w:spacing w:after="0"/>
              <w:rPr>
                <w:sz w:val="19"/>
                <w:szCs w:val="19"/>
                <w:color w:val="auto"/>
              </w:rPr>
            </w:pPr>
          </w:p>
        </w:tc>
        <w:tc>
          <w:tcPr>
            <w:tcW w:w="6600" w:type="dxa"/>
            <w:vAlign w:val="bottom"/>
            <w:gridSpan w:val="3"/>
          </w:tcPr>
          <w:p>
            <w:pPr>
              <w:jc w:val="center"/>
              <w:ind w:right="460"/>
              <w:spacing w:after="0"/>
              <w:rPr>
                <w:sz w:val="20"/>
                <w:szCs w:val="20"/>
                <w:color w:val="auto"/>
              </w:rPr>
            </w:pPr>
            <w:r>
              <w:rPr>
                <w:rFonts w:ascii="Arial" w:cs="Arial" w:eastAsia="Arial" w:hAnsi="Arial"/>
                <w:sz w:val="17"/>
                <w:szCs w:val="17"/>
                <w:b w:val="1"/>
                <w:bCs w:val="1"/>
                <w:color w:val="auto"/>
                <w:w w:val="92"/>
              </w:rPr>
              <w:t>(unaudited)</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39"/>
        </w:trPr>
        <w:tc>
          <w:tcPr>
            <w:tcW w:w="26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Three Months Ended</w:t>
            </w:r>
          </w:p>
        </w:tc>
      </w:tr>
      <w:tr>
        <w:trPr>
          <w:trHeight w:val="165"/>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604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center"/>
              <w:ind w:right="265"/>
              <w:spacing w:after="0"/>
              <w:rPr>
                <w:sz w:val="20"/>
                <w:szCs w:val="20"/>
                <w:color w:val="auto"/>
              </w:rPr>
            </w:pPr>
            <w:r>
              <w:rPr>
                <w:rFonts w:ascii="Arial" w:cs="Arial" w:eastAsia="Arial" w:hAnsi="Arial"/>
                <w:sz w:val="14"/>
                <w:szCs w:val="14"/>
                <w:b w:val="1"/>
                <w:bCs w:val="1"/>
                <w:color w:val="auto"/>
                <w:w w:val="92"/>
              </w:rPr>
              <w:t>March 31, 2019</w:t>
            </w:r>
          </w:p>
        </w:tc>
        <w:tc>
          <w:tcPr>
            <w:tcW w:w="120" w:type="dxa"/>
            <w:vAlign w:val="bottom"/>
            <w:tcBorders>
              <w:bottom w:val="single" w:sz="8" w:color="CFF0FC"/>
            </w:tcBorders>
          </w:tcPr>
          <w:p>
            <w:pPr>
              <w:spacing w:after="0"/>
              <w:rPr>
                <w:sz w:val="14"/>
                <w:szCs w:val="14"/>
                <w:color w:val="auto"/>
              </w:rPr>
            </w:pPr>
          </w:p>
        </w:tc>
      </w:tr>
      <w:tr>
        <w:trPr>
          <w:trHeight w:val="213"/>
        </w:trPr>
        <w:tc>
          <w:tcPr>
            <w:tcW w:w="2640" w:type="dxa"/>
            <w:vAlign w:val="bottom"/>
            <w:shd w:val="clear" w:color="auto" w:fill="CFF0FC"/>
          </w:tcPr>
          <w:p>
            <w:pPr>
              <w:spacing w:after="0"/>
              <w:rPr>
                <w:sz w:val="20"/>
                <w:szCs w:val="20"/>
                <w:color w:val="auto"/>
              </w:rPr>
            </w:pPr>
            <w:r>
              <w:rPr>
                <w:rFonts w:ascii="Arial" w:cs="Arial" w:eastAsia="Arial" w:hAnsi="Arial"/>
                <w:sz w:val="17"/>
                <w:szCs w:val="17"/>
                <w:color w:val="auto"/>
              </w:rPr>
              <w:t>Lease income - operating leases</w:t>
            </w:r>
          </w:p>
        </w:tc>
        <w:tc>
          <w:tcPr>
            <w:tcW w:w="6600" w:type="dxa"/>
            <w:vAlign w:val="bottom"/>
            <w:gridSpan w:val="3"/>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186,058</w:t>
            </w:r>
          </w:p>
        </w:tc>
        <w:tc>
          <w:tcPr>
            <w:tcW w:w="12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Future minimum lease payments to be received under non-cancellable operating leases where we are the lessor for the remainder of the lease terms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 xml:space="preserve">March 31, 2019 </w:t>
            </w:r>
            <w:r>
              <w:rPr>
                <w:rFonts w:ascii="Arial" w:cs="Arial" w:eastAsia="Arial" w:hAnsi="Arial"/>
                <w:sz w:val="11"/>
                <w:szCs w:val="11"/>
                <w:b w:val="1"/>
                <w:bCs w:val="1"/>
                <w:color w:val="auto"/>
              </w:rPr>
              <w:t>(1)</w:t>
            </w:r>
          </w:p>
        </w:tc>
        <w:tc>
          <w:tcPr>
            <w:tcW w:w="2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7"/>
              </w:rPr>
              <w:t xml:space="preserve">December 31, 2018 </w:t>
            </w:r>
            <w:r>
              <w:rPr>
                <w:rFonts w:ascii="Arial" w:cs="Arial" w:eastAsia="Arial" w:hAnsi="Arial"/>
                <w:sz w:val="11"/>
                <w:szCs w:val="11"/>
                <w:b w:val="1"/>
                <w:bCs w:val="1"/>
                <w:color w:val="auto"/>
                <w:w w:val="97"/>
              </w:rPr>
              <w:t>(2)</w:t>
            </w:r>
          </w:p>
        </w:tc>
        <w:tc>
          <w:tcPr>
            <w:tcW w:w="100" w:type="dxa"/>
            <w:vAlign w:val="bottom"/>
            <w:tcBorders>
              <w:bottom w:val="single" w:sz="8" w:color="CFF0FC"/>
            </w:tcBorders>
          </w:tcPr>
          <w:p>
            <w:pPr>
              <w:spacing w:after="0"/>
              <w:rPr>
                <w:sz w:val="14"/>
                <w:szCs w:val="14"/>
                <w:color w:val="auto"/>
              </w:rPr>
            </w:pPr>
          </w:p>
        </w:tc>
      </w:tr>
      <w:tr>
        <w:trPr>
          <w:trHeight w:val="213"/>
        </w:trPr>
        <w:tc>
          <w:tcPr>
            <w:tcW w:w="6920" w:type="dxa"/>
            <w:vAlign w:val="bottom"/>
            <w:shd w:val="clear" w:color="auto" w:fill="CFF0FC"/>
          </w:tcPr>
          <w:p>
            <w:pPr>
              <w:spacing w:after="0"/>
              <w:rPr>
                <w:sz w:val="20"/>
                <w:szCs w:val="20"/>
                <w:color w:val="auto"/>
              </w:rPr>
            </w:pPr>
            <w:r>
              <w:rPr>
                <w:rFonts w:ascii="Arial" w:cs="Arial" w:eastAsia="Arial" w:hAnsi="Arial"/>
                <w:sz w:val="17"/>
                <w:szCs w:val="17"/>
                <w:color w:val="auto"/>
              </w:rPr>
              <w:t>2019</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4"/>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531,571</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724,269</w:t>
            </w:r>
          </w:p>
        </w:tc>
        <w:tc>
          <w:tcPr>
            <w:tcW w:w="100" w:type="dxa"/>
            <w:vAlign w:val="bottom"/>
            <w:shd w:val="clear" w:color="auto" w:fill="CFF0FC"/>
          </w:tcPr>
          <w:p>
            <w:pPr>
              <w:spacing w:after="0"/>
              <w:rPr>
                <w:sz w:val="18"/>
                <w:szCs w:val="18"/>
                <w:color w:val="auto"/>
              </w:rPr>
            </w:pPr>
          </w:p>
        </w:tc>
      </w:tr>
      <w:tr>
        <w:trPr>
          <w:trHeight w:val="220"/>
        </w:trPr>
        <w:tc>
          <w:tcPr>
            <w:tcW w:w="6920" w:type="dxa"/>
            <w:vAlign w:val="bottom"/>
          </w:tcPr>
          <w:p>
            <w:pPr>
              <w:spacing w:after="0"/>
              <w:rPr>
                <w:sz w:val="20"/>
                <w:szCs w:val="20"/>
                <w:color w:val="auto"/>
              </w:rPr>
            </w:pPr>
            <w:r>
              <w:rPr>
                <w:rFonts w:ascii="Arial" w:cs="Arial" w:eastAsia="Arial" w:hAnsi="Arial"/>
                <w:sz w:val="17"/>
                <w:szCs w:val="17"/>
                <w:color w:val="auto"/>
              </w:rPr>
              <w:t>2020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702,017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693,596</w:t>
            </w:r>
          </w:p>
        </w:tc>
        <w:tc>
          <w:tcPr>
            <w:tcW w:w="100" w:type="dxa"/>
            <w:vAlign w:val="bottom"/>
          </w:tcPr>
          <w:p>
            <w:pPr>
              <w:spacing w:after="0"/>
              <w:rPr>
                <w:sz w:val="19"/>
                <w:szCs w:val="19"/>
                <w:color w:val="auto"/>
              </w:rPr>
            </w:pPr>
          </w:p>
        </w:tc>
      </w:tr>
      <w:tr>
        <w:trPr>
          <w:trHeight w:val="220"/>
        </w:trPr>
        <w:tc>
          <w:tcPr>
            <w:tcW w:w="692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704,644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696,713</w:t>
            </w:r>
          </w:p>
        </w:tc>
        <w:tc>
          <w:tcPr>
            <w:tcW w:w="100" w:type="dxa"/>
            <w:vAlign w:val="bottom"/>
            <w:shd w:val="clear" w:color="auto" w:fill="CFF0FC"/>
          </w:tcPr>
          <w:p>
            <w:pPr>
              <w:spacing w:after="0"/>
              <w:rPr>
                <w:sz w:val="19"/>
                <w:szCs w:val="19"/>
                <w:color w:val="auto"/>
              </w:rPr>
            </w:pPr>
          </w:p>
        </w:tc>
      </w:tr>
      <w:tr>
        <w:trPr>
          <w:trHeight w:val="220"/>
        </w:trPr>
        <w:tc>
          <w:tcPr>
            <w:tcW w:w="6920" w:type="dxa"/>
            <w:vAlign w:val="bottom"/>
          </w:tcPr>
          <w:p>
            <w:pPr>
              <w:spacing w:after="0"/>
              <w:rPr>
                <w:sz w:val="20"/>
                <w:szCs w:val="20"/>
                <w:color w:val="auto"/>
              </w:rPr>
            </w:pPr>
            <w:r>
              <w:rPr>
                <w:rFonts w:ascii="Arial" w:cs="Arial" w:eastAsia="Arial" w:hAnsi="Arial"/>
                <w:sz w:val="17"/>
                <w:szCs w:val="17"/>
                <w:color w:val="auto"/>
              </w:rPr>
              <w:t>2022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706,867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699,561</w:t>
            </w:r>
          </w:p>
        </w:tc>
        <w:tc>
          <w:tcPr>
            <w:tcW w:w="100" w:type="dxa"/>
            <w:vAlign w:val="bottom"/>
          </w:tcPr>
          <w:p>
            <w:pPr>
              <w:spacing w:after="0"/>
              <w:rPr>
                <w:sz w:val="19"/>
                <w:szCs w:val="19"/>
                <w:color w:val="auto"/>
              </w:rPr>
            </w:pPr>
          </w:p>
        </w:tc>
      </w:tr>
      <w:tr>
        <w:trPr>
          <w:trHeight w:val="220"/>
        </w:trPr>
        <w:tc>
          <w:tcPr>
            <w:tcW w:w="692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709,507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702,663</w:t>
            </w:r>
          </w:p>
        </w:tc>
        <w:tc>
          <w:tcPr>
            <w:tcW w:w="100" w:type="dxa"/>
            <w:vAlign w:val="bottom"/>
            <w:shd w:val="clear" w:color="auto" w:fill="CFF0FC"/>
          </w:tcPr>
          <w:p>
            <w:pPr>
              <w:spacing w:after="0"/>
              <w:rPr>
                <w:sz w:val="19"/>
                <w:szCs w:val="19"/>
                <w:color w:val="auto"/>
              </w:rPr>
            </w:pPr>
          </w:p>
        </w:tc>
      </w:tr>
      <w:tr>
        <w:trPr>
          <w:trHeight w:val="220"/>
        </w:trPr>
        <w:tc>
          <w:tcPr>
            <w:tcW w:w="710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Thereafter</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4,712,760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4,706,951</w:t>
            </w:r>
          </w:p>
        </w:tc>
        <w:tc>
          <w:tcPr>
            <w:tcW w:w="100" w:type="dxa"/>
            <w:vAlign w:val="bottom"/>
            <w:tcBorders>
              <w:bottom w:val="single" w:sz="8" w:color="CFF0FC"/>
            </w:tcBorders>
          </w:tcPr>
          <w:p>
            <w:pPr>
              <w:spacing w:after="0"/>
              <w:rPr>
                <w:sz w:val="19"/>
                <w:szCs w:val="19"/>
                <w:color w:val="auto"/>
              </w:rPr>
            </w:pPr>
          </w:p>
        </w:tc>
      </w:tr>
      <w:tr>
        <w:trPr>
          <w:trHeight w:val="213"/>
        </w:trPr>
        <w:tc>
          <w:tcPr>
            <w:tcW w:w="71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Total lease receivables</w:t>
            </w:r>
          </w:p>
        </w:tc>
        <w:tc>
          <w:tcPr>
            <w:tcW w:w="280" w:type="dxa"/>
            <w:vAlign w:val="bottom"/>
            <w:shd w:val="clear" w:color="auto" w:fill="CFF0FC"/>
          </w:tcPr>
          <w:p>
            <w:pPr>
              <w:jc w:val="right"/>
              <w:ind w:right="94"/>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8,067,366</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8,223,753</w:t>
            </w:r>
          </w:p>
        </w:tc>
        <w:tc>
          <w:tcPr>
            <w:tcW w:w="100" w:type="dxa"/>
            <w:vAlign w:val="bottom"/>
            <w:shd w:val="clear" w:color="auto" w:fill="CFF0FC"/>
          </w:tcPr>
          <w:p>
            <w:pPr>
              <w:spacing w:after="0"/>
              <w:rPr>
                <w:sz w:val="18"/>
                <w:szCs w:val="18"/>
                <w:color w:val="auto"/>
              </w:rPr>
            </w:pPr>
          </w:p>
        </w:tc>
      </w:tr>
      <w:tr>
        <w:trPr>
          <w:trHeight w:val="20"/>
        </w:trPr>
        <w:tc>
          <w:tcPr>
            <w:tcW w:w="69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3" w:lineRule="exact"/>
        <w:rPr>
          <w:sz w:val="20"/>
          <w:szCs w:val="20"/>
          <w:color w:val="auto"/>
        </w:rPr>
      </w:pPr>
    </w:p>
    <w:p>
      <w:pPr>
        <w:ind w:left="220" w:hanging="217"/>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6"/>
          <w:szCs w:val="16"/>
          <w:color w:val="auto"/>
        </w:rPr>
        <w:t>Total lease receivables include $7.5 billion relating to the Master Lease with Windstream, which is on non-accrual basis of accounting as of March 31, 2019.</w:t>
      </w:r>
    </w:p>
    <w:p>
      <w:pPr>
        <w:spacing w:after="0" w:line="48" w:lineRule="exact"/>
        <w:rPr>
          <w:rFonts w:ascii="Arial" w:cs="Arial" w:eastAsia="Arial" w:hAnsi="Arial"/>
          <w:sz w:val="14"/>
          <w:szCs w:val="14"/>
          <w:color w:val="auto"/>
        </w:rPr>
      </w:pPr>
    </w:p>
    <w:p>
      <w:pPr>
        <w:ind w:left="220" w:hanging="217"/>
        <w:spacing w:after="0"/>
        <w:tabs>
          <w:tab w:leader="none" w:pos="220" w:val="left"/>
        </w:tabs>
        <w:numPr>
          <w:ilvl w:val="0"/>
          <w:numId w:val="9"/>
        </w:numPr>
        <w:rPr>
          <w:rFonts w:ascii="Arial" w:cs="Arial" w:eastAsia="Arial" w:hAnsi="Arial"/>
          <w:sz w:val="15"/>
          <w:szCs w:val="15"/>
          <w:color w:val="auto"/>
        </w:rPr>
      </w:pPr>
      <w:r>
        <w:rPr>
          <w:rFonts w:ascii="Arial" w:cs="Arial" w:eastAsia="Arial" w:hAnsi="Arial"/>
          <w:sz w:val="17"/>
          <w:szCs w:val="17"/>
          <w:color w:val="auto"/>
        </w:rPr>
        <w:t>Prior period amounts have not been adjusted under the modified retrospective transition approach.</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underlying assets under operating leases where we are the lessor as of March 31, 2019 are summarized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2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4"/>
                <w:szCs w:val="14"/>
                <w:color w:val="auto"/>
              </w:rPr>
            </w:pPr>
          </w:p>
        </w:tc>
      </w:tr>
      <w:tr>
        <w:trPr>
          <w:trHeight w:val="213"/>
        </w:trPr>
        <w:tc>
          <w:tcPr>
            <w:tcW w:w="89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Land</w:t>
            </w:r>
          </w:p>
        </w:tc>
        <w:tc>
          <w:tcPr>
            <w:tcW w:w="420" w:type="dxa"/>
            <w:vAlign w:val="bottom"/>
            <w:shd w:val="clear" w:color="auto" w:fill="CFF0FC"/>
          </w:tcPr>
          <w:p>
            <w:pPr>
              <w:jc w:val="right"/>
              <w:ind w:right="234"/>
              <w:spacing w:after="0"/>
              <w:rPr>
                <w:sz w:val="20"/>
                <w:szCs w:val="20"/>
                <w:color w:val="auto"/>
              </w:rPr>
            </w:pPr>
            <w:r>
              <w:rPr>
                <w:rFonts w:ascii="Arial" w:cs="Arial" w:eastAsia="Arial" w:hAnsi="Arial"/>
                <w:sz w:val="17"/>
                <w:szCs w:val="17"/>
                <w:color w:val="auto"/>
                <w:w w:val="84"/>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26,672</w:t>
            </w:r>
          </w:p>
        </w:tc>
        <w:tc>
          <w:tcPr>
            <w:tcW w:w="120" w:type="dxa"/>
            <w:vAlign w:val="bottom"/>
            <w:shd w:val="clear" w:color="auto" w:fill="CFF0FC"/>
          </w:tcPr>
          <w:p>
            <w:pPr>
              <w:spacing w:after="0"/>
              <w:rPr>
                <w:sz w:val="18"/>
                <w:szCs w:val="18"/>
                <w:color w:val="auto"/>
              </w:rPr>
            </w:pPr>
          </w:p>
        </w:tc>
      </w:tr>
      <w:tr>
        <w:trPr>
          <w:trHeight w:val="220"/>
        </w:trPr>
        <w:tc>
          <w:tcPr>
            <w:tcW w:w="8900" w:type="dxa"/>
            <w:vAlign w:val="bottom"/>
            <w:gridSpan w:val="2"/>
          </w:tcPr>
          <w:p>
            <w:pPr>
              <w:spacing w:after="0"/>
              <w:rPr>
                <w:sz w:val="20"/>
                <w:szCs w:val="20"/>
                <w:color w:val="auto"/>
              </w:rPr>
            </w:pPr>
            <w:r>
              <w:rPr>
                <w:rFonts w:ascii="Arial" w:cs="Arial" w:eastAsia="Arial" w:hAnsi="Arial"/>
                <w:sz w:val="17"/>
                <w:szCs w:val="17"/>
                <w:color w:val="auto"/>
              </w:rPr>
              <w:t>Building and improvements</w:t>
            </w:r>
          </w:p>
        </w:tc>
        <w:tc>
          <w:tcPr>
            <w:tcW w:w="4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329,160</w:t>
            </w:r>
          </w:p>
        </w:tc>
        <w:tc>
          <w:tcPr>
            <w:tcW w:w="120" w:type="dxa"/>
            <w:vAlign w:val="bottom"/>
          </w:tcPr>
          <w:p>
            <w:pPr>
              <w:spacing w:after="0"/>
              <w:rPr>
                <w:sz w:val="19"/>
                <w:szCs w:val="19"/>
                <w:color w:val="auto"/>
              </w:rPr>
            </w:pPr>
          </w:p>
        </w:tc>
      </w:tr>
      <w:tr>
        <w:trPr>
          <w:trHeight w:val="220"/>
        </w:trPr>
        <w:tc>
          <w:tcPr>
            <w:tcW w:w="89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Real property interest</w:t>
            </w:r>
          </w:p>
        </w:tc>
        <w:tc>
          <w:tcPr>
            <w:tcW w:w="42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34,878</w:t>
            </w:r>
          </w:p>
        </w:tc>
        <w:tc>
          <w:tcPr>
            <w:tcW w:w="120" w:type="dxa"/>
            <w:vAlign w:val="bottom"/>
            <w:shd w:val="clear" w:color="auto" w:fill="CFF0FC"/>
          </w:tcPr>
          <w:p>
            <w:pPr>
              <w:spacing w:after="0"/>
              <w:rPr>
                <w:sz w:val="19"/>
                <w:szCs w:val="19"/>
                <w:color w:val="auto"/>
              </w:rPr>
            </w:pPr>
          </w:p>
        </w:tc>
      </w:tr>
      <w:tr>
        <w:trPr>
          <w:trHeight w:val="220"/>
        </w:trPr>
        <w:tc>
          <w:tcPr>
            <w:tcW w:w="8900" w:type="dxa"/>
            <w:vAlign w:val="bottom"/>
            <w:gridSpan w:val="2"/>
          </w:tcPr>
          <w:p>
            <w:pPr>
              <w:spacing w:after="0"/>
              <w:rPr>
                <w:sz w:val="20"/>
                <w:szCs w:val="20"/>
                <w:color w:val="auto"/>
              </w:rPr>
            </w:pPr>
            <w:r>
              <w:rPr>
                <w:rFonts w:ascii="Arial" w:cs="Arial" w:eastAsia="Arial" w:hAnsi="Arial"/>
                <w:sz w:val="17"/>
                <w:szCs w:val="17"/>
                <w:color w:val="auto"/>
              </w:rPr>
              <w:t>Poles</w:t>
            </w:r>
          </w:p>
        </w:tc>
        <w:tc>
          <w:tcPr>
            <w:tcW w:w="4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251,235</w:t>
            </w:r>
          </w:p>
        </w:tc>
        <w:tc>
          <w:tcPr>
            <w:tcW w:w="120" w:type="dxa"/>
            <w:vAlign w:val="bottom"/>
          </w:tcPr>
          <w:p>
            <w:pPr>
              <w:spacing w:after="0"/>
              <w:rPr>
                <w:sz w:val="19"/>
                <w:szCs w:val="19"/>
                <w:color w:val="auto"/>
              </w:rPr>
            </w:pPr>
          </w:p>
        </w:tc>
      </w:tr>
      <w:tr>
        <w:trPr>
          <w:trHeight w:val="220"/>
        </w:trPr>
        <w:tc>
          <w:tcPr>
            <w:tcW w:w="89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Fiber</w:t>
            </w:r>
          </w:p>
        </w:tc>
        <w:tc>
          <w:tcPr>
            <w:tcW w:w="42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2,546,030</w:t>
            </w:r>
          </w:p>
        </w:tc>
        <w:tc>
          <w:tcPr>
            <w:tcW w:w="120" w:type="dxa"/>
            <w:vAlign w:val="bottom"/>
            <w:shd w:val="clear" w:color="auto" w:fill="CFF0FC"/>
          </w:tcPr>
          <w:p>
            <w:pPr>
              <w:spacing w:after="0"/>
              <w:rPr>
                <w:sz w:val="19"/>
                <w:szCs w:val="19"/>
                <w:color w:val="auto"/>
              </w:rPr>
            </w:pPr>
          </w:p>
        </w:tc>
      </w:tr>
      <w:tr>
        <w:trPr>
          <w:trHeight w:val="220"/>
        </w:trPr>
        <w:tc>
          <w:tcPr>
            <w:tcW w:w="8900" w:type="dxa"/>
            <w:vAlign w:val="bottom"/>
            <w:gridSpan w:val="2"/>
          </w:tcPr>
          <w:p>
            <w:pPr>
              <w:spacing w:after="0"/>
              <w:rPr>
                <w:sz w:val="20"/>
                <w:szCs w:val="20"/>
                <w:color w:val="auto"/>
              </w:rPr>
            </w:pPr>
            <w:r>
              <w:rPr>
                <w:rFonts w:ascii="Arial" w:cs="Arial" w:eastAsia="Arial" w:hAnsi="Arial"/>
                <w:sz w:val="17"/>
                <w:szCs w:val="17"/>
                <w:color w:val="auto"/>
              </w:rPr>
              <w:t>Equipment</w:t>
            </w:r>
          </w:p>
        </w:tc>
        <w:tc>
          <w:tcPr>
            <w:tcW w:w="4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202</w:t>
            </w:r>
          </w:p>
        </w:tc>
        <w:tc>
          <w:tcPr>
            <w:tcW w:w="120" w:type="dxa"/>
            <w:vAlign w:val="bottom"/>
          </w:tcPr>
          <w:p>
            <w:pPr>
              <w:spacing w:after="0"/>
              <w:rPr>
                <w:sz w:val="19"/>
                <w:szCs w:val="19"/>
                <w:color w:val="auto"/>
              </w:rPr>
            </w:pPr>
          </w:p>
        </w:tc>
      </w:tr>
      <w:tr>
        <w:trPr>
          <w:trHeight w:val="220"/>
        </w:trPr>
        <w:tc>
          <w:tcPr>
            <w:tcW w:w="89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Copper</w:t>
            </w:r>
          </w:p>
        </w:tc>
        <w:tc>
          <w:tcPr>
            <w:tcW w:w="42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3,732,409</w:t>
            </w:r>
          </w:p>
        </w:tc>
        <w:tc>
          <w:tcPr>
            <w:tcW w:w="120" w:type="dxa"/>
            <w:vAlign w:val="bottom"/>
            <w:shd w:val="clear" w:color="auto" w:fill="CFF0FC"/>
          </w:tcPr>
          <w:p>
            <w:pPr>
              <w:spacing w:after="0"/>
              <w:rPr>
                <w:sz w:val="19"/>
                <w:szCs w:val="19"/>
                <w:color w:val="auto"/>
              </w:rPr>
            </w:pPr>
          </w:p>
        </w:tc>
      </w:tr>
      <w:tr>
        <w:trPr>
          <w:trHeight w:val="220"/>
        </w:trPr>
        <w:tc>
          <w:tcPr>
            <w:tcW w:w="8900" w:type="dxa"/>
            <w:vAlign w:val="bottom"/>
            <w:gridSpan w:val="2"/>
          </w:tcPr>
          <w:p>
            <w:pPr>
              <w:spacing w:after="0"/>
              <w:rPr>
                <w:sz w:val="20"/>
                <w:szCs w:val="20"/>
                <w:color w:val="auto"/>
              </w:rPr>
            </w:pPr>
            <w:r>
              <w:rPr>
                <w:rFonts w:ascii="Arial" w:cs="Arial" w:eastAsia="Arial" w:hAnsi="Arial"/>
                <w:sz w:val="17"/>
                <w:szCs w:val="17"/>
                <w:color w:val="auto"/>
              </w:rPr>
              <w:t>Conduit</w:t>
            </w:r>
          </w:p>
        </w:tc>
        <w:tc>
          <w:tcPr>
            <w:tcW w:w="4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89,740</w:t>
            </w:r>
          </w:p>
        </w:tc>
        <w:tc>
          <w:tcPr>
            <w:tcW w:w="120" w:type="dxa"/>
            <w:vAlign w:val="bottom"/>
          </w:tcPr>
          <w:p>
            <w:pPr>
              <w:spacing w:after="0"/>
              <w:rPr>
                <w:sz w:val="19"/>
                <w:szCs w:val="19"/>
                <w:color w:val="auto"/>
              </w:rPr>
            </w:pPr>
          </w:p>
        </w:tc>
      </w:tr>
      <w:tr>
        <w:trPr>
          <w:trHeight w:val="220"/>
        </w:trPr>
        <w:tc>
          <w:tcPr>
            <w:tcW w:w="89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Tower assets</w:t>
            </w:r>
          </w:p>
        </w:tc>
        <w:tc>
          <w:tcPr>
            <w:tcW w:w="42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94,219</w:t>
            </w:r>
          </w:p>
        </w:tc>
        <w:tc>
          <w:tcPr>
            <w:tcW w:w="120" w:type="dxa"/>
            <w:vAlign w:val="bottom"/>
            <w:shd w:val="clear" w:color="auto" w:fill="CFF0FC"/>
          </w:tcPr>
          <w:p>
            <w:pPr>
              <w:spacing w:after="0"/>
              <w:rPr>
                <w:sz w:val="19"/>
                <w:szCs w:val="19"/>
                <w:color w:val="auto"/>
              </w:rPr>
            </w:pPr>
          </w:p>
        </w:tc>
      </w:tr>
      <w:tr>
        <w:trPr>
          <w:trHeight w:val="220"/>
        </w:trPr>
        <w:tc>
          <w:tcPr>
            <w:tcW w:w="8900" w:type="dxa"/>
            <w:vAlign w:val="bottom"/>
            <w:gridSpan w:val="2"/>
          </w:tcPr>
          <w:p>
            <w:pPr>
              <w:spacing w:after="0"/>
              <w:rPr>
                <w:sz w:val="20"/>
                <w:szCs w:val="20"/>
                <w:color w:val="auto"/>
              </w:rPr>
            </w:pPr>
            <w:r>
              <w:rPr>
                <w:rFonts w:ascii="Arial" w:cs="Arial" w:eastAsia="Arial" w:hAnsi="Arial"/>
                <w:sz w:val="17"/>
                <w:szCs w:val="17"/>
                <w:color w:val="auto"/>
              </w:rPr>
              <w:t>Capital lease assets</w:t>
            </w:r>
          </w:p>
        </w:tc>
        <w:tc>
          <w:tcPr>
            <w:tcW w:w="4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26,524</w:t>
            </w:r>
          </w:p>
        </w:tc>
        <w:tc>
          <w:tcPr>
            <w:tcW w:w="120" w:type="dxa"/>
            <w:vAlign w:val="bottom"/>
          </w:tcPr>
          <w:p>
            <w:pPr>
              <w:spacing w:after="0"/>
              <w:rPr>
                <w:sz w:val="19"/>
                <w:szCs w:val="19"/>
                <w:color w:val="auto"/>
              </w:rPr>
            </w:pPr>
          </w:p>
        </w:tc>
      </w:tr>
      <w:tr>
        <w:trPr>
          <w:trHeight w:val="220"/>
        </w:trPr>
        <w:tc>
          <w:tcPr>
            <w:tcW w:w="89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assets</w:t>
            </w:r>
          </w:p>
        </w:tc>
        <w:tc>
          <w:tcPr>
            <w:tcW w:w="420" w:type="dxa"/>
            <w:vAlign w:val="bottom"/>
            <w:tcBorders>
              <w:bottom w:val="single" w:sz="8" w:color="auto"/>
            </w:tcBorders>
            <w:shd w:val="clear" w:color="auto" w:fill="CFF0FC"/>
          </w:tcPr>
          <w:p>
            <w:pPr>
              <w:spacing w:after="0"/>
              <w:rPr>
                <w:sz w:val="19"/>
                <w:szCs w:val="19"/>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10,279</w:t>
            </w:r>
          </w:p>
        </w:tc>
        <w:tc>
          <w:tcPr>
            <w:tcW w:w="120" w:type="dxa"/>
            <w:vAlign w:val="bottom"/>
            <w:shd w:val="clear" w:color="auto" w:fill="CFF0FC"/>
          </w:tcPr>
          <w:p>
            <w:pPr>
              <w:spacing w:after="0"/>
              <w:rPr>
                <w:sz w:val="19"/>
                <w:szCs w:val="19"/>
                <w:color w:val="auto"/>
              </w:rPr>
            </w:pPr>
          </w:p>
        </w:tc>
      </w:tr>
      <w:tr>
        <w:trPr>
          <w:trHeight w:val="213"/>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7,141,348</w:t>
            </w:r>
          </w:p>
        </w:tc>
        <w:tc>
          <w:tcPr>
            <w:tcW w:w="120" w:type="dxa"/>
            <w:vAlign w:val="bottom"/>
          </w:tcPr>
          <w:p>
            <w:pPr>
              <w:spacing w:after="0"/>
              <w:rPr>
                <w:sz w:val="18"/>
                <w:szCs w:val="18"/>
                <w:color w:val="auto"/>
              </w:rPr>
            </w:pPr>
          </w:p>
        </w:tc>
      </w:tr>
      <w:tr>
        <w:trPr>
          <w:trHeight w:val="220"/>
        </w:trPr>
        <w:tc>
          <w:tcPr>
            <w:tcW w:w="89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Less: accumulated depreciation</w:t>
            </w:r>
          </w:p>
        </w:tc>
        <w:tc>
          <w:tcPr>
            <w:tcW w:w="42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(4,816,500)</w:t>
            </w:r>
          </w:p>
        </w:tc>
      </w:tr>
      <w:tr>
        <w:trPr>
          <w:trHeight w:val="213"/>
        </w:trPr>
        <w:tc>
          <w:tcPr>
            <w:tcW w:w="8900" w:type="dxa"/>
            <w:vAlign w:val="bottom"/>
            <w:gridSpan w:val="2"/>
          </w:tcPr>
          <w:p>
            <w:pPr>
              <w:spacing w:after="0"/>
              <w:rPr>
                <w:sz w:val="20"/>
                <w:szCs w:val="20"/>
                <w:color w:val="auto"/>
              </w:rPr>
            </w:pPr>
            <w:r>
              <w:rPr>
                <w:rFonts w:ascii="Arial" w:cs="Arial" w:eastAsia="Arial" w:hAnsi="Arial"/>
                <w:sz w:val="17"/>
                <w:szCs w:val="17"/>
                <w:color w:val="auto"/>
              </w:rPr>
              <w:t>Underlying assets under operating leases, net</w:t>
            </w: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2,324,848</w:t>
            </w:r>
          </w:p>
        </w:tc>
        <w:tc>
          <w:tcPr>
            <w:tcW w:w="12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Depreciation expense for the underlying assets under operating leases where we are the lessor for the three months ended March 31, 2019 is summarized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Three Months Ended</w:t>
            </w:r>
          </w:p>
        </w:tc>
      </w:tr>
      <w:tr>
        <w:trPr>
          <w:trHeight w:val="165"/>
        </w:trPr>
        <w:tc>
          <w:tcPr>
            <w:tcW w:w="8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center"/>
              <w:ind w:right="265"/>
              <w:spacing w:after="0"/>
              <w:rPr>
                <w:sz w:val="20"/>
                <w:szCs w:val="20"/>
                <w:color w:val="auto"/>
              </w:rPr>
            </w:pPr>
            <w:r>
              <w:rPr>
                <w:rFonts w:ascii="Arial" w:cs="Arial" w:eastAsia="Arial" w:hAnsi="Arial"/>
                <w:sz w:val="14"/>
                <w:szCs w:val="14"/>
                <w:b w:val="1"/>
                <w:bCs w:val="1"/>
                <w:color w:val="auto"/>
                <w:w w:val="92"/>
              </w:rPr>
              <w:t>March 31, 2019</w:t>
            </w:r>
          </w:p>
        </w:tc>
        <w:tc>
          <w:tcPr>
            <w:tcW w:w="120" w:type="dxa"/>
            <w:vAlign w:val="bottom"/>
            <w:tcBorders>
              <w:bottom w:val="single" w:sz="8" w:color="CFF0FC"/>
            </w:tcBorders>
          </w:tcPr>
          <w:p>
            <w:pPr>
              <w:spacing w:after="0"/>
              <w:rPr>
                <w:sz w:val="14"/>
                <w:szCs w:val="14"/>
                <w:color w:val="auto"/>
              </w:rPr>
            </w:pPr>
          </w:p>
        </w:tc>
      </w:tr>
      <w:tr>
        <w:trPr>
          <w:trHeight w:val="213"/>
        </w:trPr>
        <w:tc>
          <w:tcPr>
            <w:tcW w:w="8680" w:type="dxa"/>
            <w:vAlign w:val="bottom"/>
            <w:shd w:val="clear" w:color="auto" w:fill="CFF0FC"/>
          </w:tcPr>
          <w:p>
            <w:pPr>
              <w:spacing w:after="0"/>
              <w:rPr>
                <w:sz w:val="20"/>
                <w:szCs w:val="20"/>
                <w:color w:val="auto"/>
              </w:rPr>
            </w:pPr>
            <w:r>
              <w:rPr>
                <w:rFonts w:ascii="Arial" w:cs="Arial" w:eastAsia="Arial" w:hAnsi="Arial"/>
                <w:sz w:val="17"/>
                <w:szCs w:val="17"/>
                <w:color w:val="auto"/>
              </w:rPr>
              <w:t>Depreciation expense for underlying assets under operating leases</w:t>
            </w: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76,274</w:t>
            </w:r>
          </w:p>
        </w:tc>
        <w:tc>
          <w:tcPr>
            <w:tcW w:w="12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Lessee Accounting</w:t>
      </w:r>
    </w:p>
    <w:p>
      <w:pPr>
        <w:spacing w:after="0" w:line="218"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We have commitments under operating leases for communications towers, ground, colocation and dark fiber lease arrangements. We also have finance leases for dark fiber lease arrangements and other communications equipment. Our leases have initial lease terms ranging from less than one year to 30 years, most of which includes options to extend or renew the leases for less than one year to 85 years, and some of which may include options to terminate the leases within 1 to 6 months. Certain lease agreements contain provisions for future rent increases. Payments due under the lease contracts include fixed payments plus, for some of our leases, variable payments.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2019, we have short term lease commitments amounting to approximately $1.0 million, for colocation and dark fiber arrangements.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lease cost for the quarter ended March 31, 2019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9"/>
              </w:rPr>
              <w:t>Three Months Ended</w:t>
            </w:r>
          </w:p>
        </w:tc>
      </w:tr>
      <w:tr>
        <w:trPr>
          <w:trHeight w:val="165"/>
        </w:trPr>
        <w:tc>
          <w:tcPr>
            <w:tcW w:w="58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2"/>
              </w:rPr>
              <w:t>March 31, 2019</w:t>
            </w:r>
          </w:p>
        </w:tc>
      </w:tr>
      <w:tr>
        <w:trPr>
          <w:trHeight w:val="213"/>
        </w:trPr>
        <w:tc>
          <w:tcPr>
            <w:tcW w:w="58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7"/>
                <w:szCs w:val="17"/>
                <w:i w:val="1"/>
                <w:iCs w:val="1"/>
                <w:color w:val="auto"/>
              </w:rPr>
              <w:t>Finance lease cost</w:t>
            </w:r>
          </w:p>
        </w:tc>
        <w:tc>
          <w:tcPr>
            <w:tcW w:w="2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0"/>
        </w:trPr>
        <w:tc>
          <w:tcPr>
            <w:tcW w:w="5840" w:type="dxa"/>
            <w:vAlign w:val="bottom"/>
            <w:gridSpan w:val="2"/>
          </w:tcPr>
          <w:p>
            <w:pPr>
              <w:spacing w:after="0"/>
              <w:rPr>
                <w:sz w:val="20"/>
                <w:szCs w:val="20"/>
                <w:color w:val="auto"/>
              </w:rPr>
            </w:pPr>
            <w:r>
              <w:rPr>
                <w:rFonts w:ascii="Arial" w:cs="Arial" w:eastAsia="Arial" w:hAnsi="Arial"/>
                <w:sz w:val="17"/>
                <w:szCs w:val="17"/>
                <w:color w:val="auto"/>
              </w:rPr>
              <w:t>Amortization of ROU assets</w:t>
            </w:r>
          </w:p>
        </w:tc>
        <w:tc>
          <w:tcPr>
            <w:tcW w:w="3460" w:type="dxa"/>
            <w:vAlign w:val="bottom"/>
            <w:gridSpan w:val="3"/>
          </w:tcPr>
          <w:p>
            <w:pPr>
              <w:jc w:val="right"/>
              <w:ind w:right="294"/>
              <w:spacing w:after="0"/>
              <w:rPr>
                <w:sz w:val="20"/>
                <w:szCs w:val="20"/>
                <w:color w:val="auto"/>
              </w:rPr>
            </w:pPr>
            <w:r>
              <w:rPr>
                <w:rFonts w:ascii="Arial" w:cs="Arial" w:eastAsia="Arial" w:hAnsi="Arial"/>
                <w:sz w:val="17"/>
                <w:szCs w:val="17"/>
                <w:color w:val="auto"/>
              </w:rPr>
              <w:t>$</w:t>
            </w:r>
          </w:p>
        </w:tc>
        <w:tc>
          <w:tcPr>
            <w:tcW w:w="2000" w:type="dxa"/>
            <w:vAlign w:val="bottom"/>
            <w:gridSpan w:val="3"/>
          </w:tcPr>
          <w:p>
            <w:pPr>
              <w:jc w:val="right"/>
              <w:spacing w:after="0"/>
              <w:rPr>
                <w:sz w:val="20"/>
                <w:szCs w:val="20"/>
                <w:color w:val="auto"/>
              </w:rPr>
            </w:pPr>
            <w:r>
              <w:rPr>
                <w:rFonts w:ascii="Arial" w:cs="Arial" w:eastAsia="Arial" w:hAnsi="Arial"/>
                <w:sz w:val="17"/>
                <w:szCs w:val="17"/>
                <w:color w:val="auto"/>
              </w:rPr>
              <w:t>1,006</w:t>
            </w:r>
          </w:p>
        </w:tc>
        <w:tc>
          <w:tcPr>
            <w:tcW w:w="120" w:type="dxa"/>
            <w:vAlign w:val="bottom"/>
          </w:tcPr>
          <w:p>
            <w:pPr>
              <w:spacing w:after="0"/>
              <w:rPr>
                <w:sz w:val="19"/>
                <w:szCs w:val="19"/>
                <w:color w:val="auto"/>
              </w:rPr>
            </w:pPr>
          </w:p>
        </w:tc>
      </w:tr>
      <w:tr>
        <w:trPr>
          <w:trHeight w:val="220"/>
        </w:trPr>
        <w:tc>
          <w:tcPr>
            <w:tcW w:w="58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Interest on lease liabilities</w:t>
            </w:r>
          </w:p>
        </w:tc>
        <w:tc>
          <w:tcPr>
            <w:tcW w:w="2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20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1,069</w:t>
            </w:r>
          </w:p>
        </w:tc>
        <w:tc>
          <w:tcPr>
            <w:tcW w:w="120" w:type="dxa"/>
            <w:vAlign w:val="bottom"/>
            <w:shd w:val="clear" w:color="auto" w:fill="CFF0FC"/>
          </w:tcPr>
          <w:p>
            <w:pPr>
              <w:spacing w:after="0"/>
              <w:rPr>
                <w:sz w:val="19"/>
                <w:szCs w:val="19"/>
                <w:color w:val="auto"/>
              </w:rPr>
            </w:pPr>
          </w:p>
        </w:tc>
      </w:tr>
      <w:tr>
        <w:trPr>
          <w:trHeight w:val="213"/>
        </w:trPr>
        <w:tc>
          <w:tcPr>
            <w:tcW w:w="5840" w:type="dxa"/>
            <w:vAlign w:val="bottom"/>
            <w:gridSpan w:val="2"/>
          </w:tcPr>
          <w:p>
            <w:pPr>
              <w:ind w:left="220"/>
              <w:spacing w:after="0"/>
              <w:rPr>
                <w:sz w:val="20"/>
                <w:szCs w:val="20"/>
                <w:color w:val="auto"/>
              </w:rPr>
            </w:pPr>
            <w:r>
              <w:rPr>
                <w:rFonts w:ascii="Arial" w:cs="Arial" w:eastAsia="Arial" w:hAnsi="Arial"/>
                <w:sz w:val="17"/>
                <w:szCs w:val="17"/>
                <w:color w:val="auto"/>
              </w:rPr>
              <w:t>Total Finance Lease Cost</w:t>
            </w:r>
          </w:p>
        </w:tc>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gridSpan w:val="3"/>
          </w:tcPr>
          <w:p>
            <w:pPr>
              <w:jc w:val="right"/>
              <w:spacing w:after="0"/>
              <w:rPr>
                <w:sz w:val="20"/>
                <w:szCs w:val="20"/>
                <w:color w:val="auto"/>
              </w:rPr>
            </w:pPr>
            <w:r>
              <w:rPr>
                <w:rFonts w:ascii="Arial" w:cs="Arial" w:eastAsia="Arial" w:hAnsi="Arial"/>
                <w:sz w:val="17"/>
                <w:szCs w:val="17"/>
                <w:color w:val="auto"/>
              </w:rPr>
              <w:t>2,075</w:t>
            </w:r>
          </w:p>
        </w:tc>
        <w:tc>
          <w:tcPr>
            <w:tcW w:w="120" w:type="dxa"/>
            <w:vAlign w:val="bottom"/>
          </w:tcPr>
          <w:p>
            <w:pPr>
              <w:spacing w:after="0"/>
              <w:rPr>
                <w:sz w:val="18"/>
                <w:szCs w:val="18"/>
                <w:color w:val="auto"/>
              </w:rPr>
            </w:pPr>
          </w:p>
        </w:tc>
      </w:tr>
      <w:tr>
        <w:trPr>
          <w:trHeight w:val="220"/>
        </w:trPr>
        <w:tc>
          <w:tcPr>
            <w:tcW w:w="58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Operating lease cost</w:t>
            </w:r>
          </w:p>
        </w:tc>
        <w:tc>
          <w:tcPr>
            <w:tcW w:w="2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6,587</w:t>
            </w:r>
          </w:p>
        </w:tc>
        <w:tc>
          <w:tcPr>
            <w:tcW w:w="120" w:type="dxa"/>
            <w:vAlign w:val="bottom"/>
            <w:shd w:val="clear" w:color="auto" w:fill="CFF0FC"/>
          </w:tcPr>
          <w:p>
            <w:pPr>
              <w:spacing w:after="0"/>
              <w:rPr>
                <w:sz w:val="19"/>
                <w:szCs w:val="19"/>
                <w:color w:val="auto"/>
              </w:rPr>
            </w:pPr>
          </w:p>
        </w:tc>
      </w:tr>
      <w:tr>
        <w:trPr>
          <w:trHeight w:val="220"/>
        </w:trPr>
        <w:tc>
          <w:tcPr>
            <w:tcW w:w="5840" w:type="dxa"/>
            <w:vAlign w:val="bottom"/>
            <w:gridSpan w:val="2"/>
          </w:tcPr>
          <w:p>
            <w:pPr>
              <w:spacing w:after="0"/>
              <w:rPr>
                <w:sz w:val="20"/>
                <w:szCs w:val="20"/>
                <w:color w:val="auto"/>
              </w:rPr>
            </w:pPr>
            <w:r>
              <w:rPr>
                <w:rFonts w:ascii="Arial" w:cs="Arial" w:eastAsia="Arial" w:hAnsi="Arial"/>
                <w:sz w:val="17"/>
                <w:szCs w:val="17"/>
                <w:color w:val="auto"/>
              </w:rPr>
              <w:t>Short-term lease cost</w:t>
            </w: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0" w:type="dxa"/>
            <w:vAlign w:val="bottom"/>
            <w:gridSpan w:val="3"/>
          </w:tcPr>
          <w:p>
            <w:pPr>
              <w:jc w:val="right"/>
              <w:spacing w:after="0"/>
              <w:rPr>
                <w:sz w:val="20"/>
                <w:szCs w:val="20"/>
                <w:color w:val="auto"/>
              </w:rPr>
            </w:pPr>
            <w:r>
              <w:rPr>
                <w:rFonts w:ascii="Arial" w:cs="Arial" w:eastAsia="Arial" w:hAnsi="Arial"/>
                <w:sz w:val="17"/>
                <w:szCs w:val="17"/>
                <w:color w:val="auto"/>
              </w:rPr>
              <w:t>1,191</w:t>
            </w:r>
          </w:p>
        </w:tc>
        <w:tc>
          <w:tcPr>
            <w:tcW w:w="120" w:type="dxa"/>
            <w:vAlign w:val="bottom"/>
          </w:tcPr>
          <w:p>
            <w:pPr>
              <w:spacing w:after="0"/>
              <w:rPr>
                <w:sz w:val="19"/>
                <w:szCs w:val="19"/>
                <w:color w:val="auto"/>
              </w:rPr>
            </w:pPr>
          </w:p>
        </w:tc>
      </w:tr>
      <w:tr>
        <w:trPr>
          <w:trHeight w:val="220"/>
        </w:trPr>
        <w:tc>
          <w:tcPr>
            <w:tcW w:w="58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Variable lease cost</w:t>
            </w:r>
          </w:p>
        </w:tc>
        <w:tc>
          <w:tcPr>
            <w:tcW w:w="2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20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798</w:t>
            </w:r>
          </w:p>
        </w:tc>
        <w:tc>
          <w:tcPr>
            <w:tcW w:w="120" w:type="dxa"/>
            <w:vAlign w:val="bottom"/>
            <w:shd w:val="clear" w:color="auto" w:fill="CFF0FC"/>
          </w:tcPr>
          <w:p>
            <w:pPr>
              <w:spacing w:after="0"/>
              <w:rPr>
                <w:sz w:val="19"/>
                <w:szCs w:val="19"/>
                <w:color w:val="auto"/>
              </w:rPr>
            </w:pPr>
          </w:p>
        </w:tc>
      </w:tr>
      <w:tr>
        <w:trPr>
          <w:trHeight w:val="213"/>
        </w:trPr>
        <w:tc>
          <w:tcPr>
            <w:tcW w:w="5840" w:type="dxa"/>
            <w:vAlign w:val="bottom"/>
            <w:gridSpan w:val="2"/>
          </w:tcPr>
          <w:p>
            <w:pPr>
              <w:spacing w:after="0"/>
              <w:rPr>
                <w:sz w:val="20"/>
                <w:szCs w:val="20"/>
                <w:color w:val="auto"/>
              </w:rPr>
            </w:pPr>
            <w:r>
              <w:rPr>
                <w:rFonts w:ascii="Arial" w:cs="Arial" w:eastAsia="Arial" w:hAnsi="Arial"/>
                <w:sz w:val="17"/>
                <w:szCs w:val="17"/>
                <w:color w:val="auto"/>
              </w:rPr>
              <w:t>Total lease cost</w:t>
            </w:r>
          </w:p>
        </w:tc>
        <w:tc>
          <w:tcPr>
            <w:tcW w:w="2980" w:type="dxa"/>
            <w:vAlign w:val="bottom"/>
            <w:gridSpan w:val="2"/>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10,651</w:t>
            </w:r>
          </w:p>
        </w:tc>
        <w:tc>
          <w:tcPr>
            <w:tcW w:w="12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3"/>
        </w:trPr>
        <w:tc>
          <w:tcPr>
            <w:tcW w:w="11420" w:type="dxa"/>
            <w:vAlign w:val="bottom"/>
            <w:gridSpan w:val="9"/>
          </w:tcPr>
          <w:p>
            <w:pPr>
              <w:spacing w:after="0"/>
              <w:rPr>
                <w:sz w:val="20"/>
                <w:szCs w:val="20"/>
                <w:color w:val="auto"/>
              </w:rPr>
            </w:pPr>
            <w:r>
              <w:rPr>
                <w:rFonts w:ascii="Arial" w:cs="Arial" w:eastAsia="Arial" w:hAnsi="Arial"/>
                <w:sz w:val="17"/>
                <w:szCs w:val="17"/>
                <w:color w:val="auto"/>
              </w:rPr>
              <w:t>Amounts reported in the Condensed Consolidated Balance Sheets for leases where we are the lessee as of March 31, 2019 were as follows:</w:t>
            </w:r>
          </w:p>
        </w:tc>
      </w:tr>
      <w:tr>
        <w:trPr>
          <w:trHeight w:val="258"/>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22"/>
                <w:szCs w:val="22"/>
                <w:color w:val="auto"/>
              </w:rPr>
            </w:pPr>
          </w:p>
        </w:tc>
        <w:tc>
          <w:tcPr>
            <w:tcW w:w="346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4"/>
                <w:szCs w:val="14"/>
                <w:b w:val="1"/>
                <w:bCs w:val="1"/>
                <w:color w:val="auto"/>
                <w:w w:val="90"/>
              </w:rPr>
              <w:t>Location on Condensed Consolidated Balance Sheets</w:t>
            </w:r>
          </w:p>
        </w:tc>
        <w:tc>
          <w:tcPr>
            <w:tcW w:w="180" w:type="dxa"/>
            <w:vAlign w:val="bottom"/>
          </w:tcPr>
          <w:p>
            <w:pPr>
              <w:spacing w:after="0"/>
              <w:rPr>
                <w:sz w:val="22"/>
                <w:szCs w:val="22"/>
                <w:color w:val="auto"/>
              </w:rPr>
            </w:pPr>
          </w:p>
        </w:tc>
        <w:tc>
          <w:tcPr>
            <w:tcW w:w="17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gridSpan w:val="2"/>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335" cy="147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335" cy="14795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leases</w:t>
      </w:r>
    </w:p>
    <w:p>
      <w:pPr>
        <w:spacing w:after="0" w:line="24"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ROU Asset</w:t>
      </w:r>
      <w:r>
        <w:rPr>
          <w:sz w:val="20"/>
          <w:szCs w:val="20"/>
          <w:color w:val="auto"/>
        </w:rPr>
        <w:tab/>
      </w:r>
      <w:r>
        <w:rPr>
          <w:rFonts w:ascii="Arial" w:cs="Arial" w:eastAsia="Arial" w:hAnsi="Arial"/>
          <w:sz w:val="14"/>
          <w:szCs w:val="14"/>
          <w:color w:val="auto"/>
        </w:rPr>
        <w:t>Other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252335" cy="270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335" cy="270510"/>
                    </a:xfrm>
                    <a:prstGeom prst="rect">
                      <a:avLst/>
                    </a:prstGeom>
                    <a:noFill/>
                  </pic:spPr>
                </pic:pic>
              </a:graphicData>
            </a:graphic>
          </wp:anchor>
        </w:drawing>
      </w:r>
    </w:p>
    <w:p>
      <w:pPr>
        <w:spacing w:after="0" w:line="4"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ROU Liability</w:t>
      </w:r>
      <w:r>
        <w:rPr>
          <w:sz w:val="20"/>
          <w:szCs w:val="20"/>
          <w:color w:val="auto"/>
        </w:rPr>
        <w:tab/>
      </w:r>
      <w:r>
        <w:rPr>
          <w:rFonts w:ascii="Arial" w:cs="Arial" w:eastAsia="Arial" w:hAnsi="Arial"/>
          <w:sz w:val="15"/>
          <w:szCs w:val="15"/>
          <w:color w:val="auto"/>
        </w:rPr>
        <w:t>Accounts payable, accrued expenses and other</w:t>
      </w:r>
    </w:p>
    <w:p>
      <w:pPr>
        <w:spacing w:after="0" w:line="2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liabilities,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139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335" cy="13970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Finance leases</w:t>
      </w:r>
    </w:p>
    <w:p>
      <w:pPr>
        <w:spacing w:after="0" w:line="24"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ROU Asset</w:t>
      </w:r>
      <w:r>
        <w:rPr>
          <w:sz w:val="20"/>
          <w:szCs w:val="20"/>
          <w:color w:val="auto"/>
        </w:rPr>
        <w:tab/>
      </w:r>
      <w:r>
        <w:rPr>
          <w:rFonts w:ascii="Arial" w:cs="Arial" w:eastAsia="Arial" w:hAnsi="Arial"/>
          <w:sz w:val="15"/>
          <w:szCs w:val="15"/>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252335" cy="139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335" cy="139700"/>
                    </a:xfrm>
                    <a:prstGeom prst="rect">
                      <a:avLst/>
                    </a:prstGeom>
                    <a:noFill/>
                  </pic:spPr>
                </pic:pic>
              </a:graphicData>
            </a:graphic>
          </wp:anchor>
        </w:drawing>
      </w:r>
    </w:p>
    <w:p>
      <w:pPr>
        <w:spacing w:after="0" w:line="4"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ROU Liability</w:t>
      </w:r>
      <w:r>
        <w:rPr>
          <w:sz w:val="20"/>
          <w:szCs w:val="20"/>
          <w:color w:val="auto"/>
        </w:rPr>
        <w:tab/>
      </w:r>
      <w:r>
        <w:rPr>
          <w:rFonts w:ascii="Arial" w:cs="Arial" w:eastAsia="Arial" w:hAnsi="Arial"/>
          <w:sz w:val="15"/>
          <w:szCs w:val="15"/>
          <w:color w:val="auto"/>
        </w:rPr>
        <w:t>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7252335" cy="139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335" cy="13970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Weighted-average remaining lease term</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252335" cy="139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335" cy="1397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7252335" cy="139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335" cy="13970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Weighted-average discount rate</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252335" cy="139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335" cy="1397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Finance leases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Other information related to leases as of March 31, 2019 are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300" w:hanging="1293"/>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97,039</w:t>
      </w:r>
    </w:p>
    <w:p>
      <w:pPr>
        <w:spacing w:after="0" w:line="127"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7"/>
          <w:szCs w:val="17"/>
          <w:color w:val="auto"/>
        </w:rPr>
        <w:t>103,868</w:t>
      </w:r>
    </w:p>
    <w:p>
      <w:pPr>
        <w:spacing w:after="0" w:line="200" w:lineRule="exact"/>
        <w:rPr>
          <w:sz w:val="20"/>
          <w:szCs w:val="20"/>
          <w:color w:val="auto"/>
        </w:rPr>
      </w:pPr>
    </w:p>
    <w:p>
      <w:pPr>
        <w:spacing w:after="0" w:line="367" w:lineRule="exact"/>
        <w:rPr>
          <w:sz w:val="20"/>
          <w:szCs w:val="20"/>
          <w:color w:val="auto"/>
        </w:rPr>
      </w:pPr>
    </w:p>
    <w:p>
      <w:pPr>
        <w:ind w:left="1200" w:hanging="1193"/>
        <w:spacing w:after="0"/>
        <w:tabs>
          <w:tab w:leader="none" w:pos="1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128,098</w:t>
      </w:r>
    </w:p>
    <w:p>
      <w:pPr>
        <w:spacing w:after="0" w:line="2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7"/>
          <w:szCs w:val="17"/>
          <w:color w:val="auto"/>
        </w:rPr>
        <w:t>54,276</w:t>
      </w: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9.5 years</w:t>
      </w:r>
    </w:p>
    <w:p>
      <w:pPr>
        <w:spacing w:after="0" w:line="2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13.9 years</w:t>
      </w:r>
    </w:p>
    <w:p>
      <w:pPr>
        <w:spacing w:after="0" w:line="200" w:lineRule="exact"/>
        <w:rPr>
          <w:sz w:val="20"/>
          <w:szCs w:val="20"/>
          <w:color w:val="auto"/>
        </w:rPr>
      </w:pPr>
    </w:p>
    <w:p>
      <w:pPr>
        <w:spacing w:after="0" w:line="263"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9.5%</w:t>
      </w:r>
    </w:p>
    <w:p>
      <w:pPr>
        <w:spacing w:after="0" w:line="24"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7.8%</w:t>
      </w:r>
    </w:p>
    <w:p>
      <w:pPr>
        <w:spacing w:after="0" w:line="200" w:lineRule="exact"/>
        <w:rPr>
          <w:sz w:val="20"/>
          <w:szCs w:val="20"/>
          <w:color w:val="auto"/>
        </w:rPr>
      </w:pPr>
    </w:p>
    <w:p>
      <w:pPr>
        <w:spacing w:after="0" w:line="228" w:lineRule="exact"/>
        <w:rPr>
          <w:sz w:val="20"/>
          <w:szCs w:val="20"/>
          <w:color w:val="auto"/>
        </w:rPr>
      </w:pPr>
    </w:p>
    <w:p>
      <w:pPr>
        <w:jc w:val="center"/>
        <w:ind w:right="740"/>
        <w:spacing w:after="0"/>
        <w:rPr>
          <w:sz w:val="20"/>
          <w:szCs w:val="20"/>
          <w:color w:val="auto"/>
        </w:rPr>
      </w:pPr>
      <w:r>
        <w:rPr>
          <w:rFonts w:ascii="Arial" w:cs="Arial" w:eastAsia="Arial" w:hAnsi="Arial"/>
          <w:sz w:val="11"/>
          <w:szCs w:val="11"/>
          <w:b w:val="1"/>
          <w:bCs w:val="1"/>
          <w:color w:val="auto"/>
        </w:rPr>
        <w:t>Three Months Ended</w:t>
      </w:r>
    </w:p>
    <w:p>
      <w:pPr>
        <w:spacing w:after="0" w:line="19"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sectPr>
          <w:pgSz w:w="11900" w:h="16838" w:orient="portrait"/>
          <w:cols w:equalWidth="0" w:num="2">
            <w:col w:w="9040" w:space="440"/>
            <w:col w:w="1980"/>
          </w:cols>
          <w:pgMar w:left="240" w:top="127" w:right="19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5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w w:val="99"/>
              </w:rPr>
              <w:t>Cash paid for amounts included in the measurement of lease liabilities</w:t>
            </w:r>
          </w:p>
        </w:tc>
        <w:tc>
          <w:tcPr>
            <w:tcW w:w="34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5240" w:type="dxa"/>
            <w:vAlign w:val="bottom"/>
          </w:tcPr>
          <w:p>
            <w:pPr>
              <w:spacing w:after="0"/>
              <w:rPr>
                <w:sz w:val="20"/>
                <w:szCs w:val="20"/>
                <w:color w:val="auto"/>
              </w:rPr>
            </w:pPr>
            <w:r>
              <w:rPr>
                <w:rFonts w:ascii="Arial" w:cs="Arial" w:eastAsia="Arial" w:hAnsi="Arial"/>
                <w:sz w:val="17"/>
                <w:szCs w:val="17"/>
                <w:color w:val="auto"/>
              </w:rPr>
              <w:t>Operating cash flows from finance leases</w:t>
            </w:r>
          </w:p>
        </w:tc>
        <w:tc>
          <w:tcPr>
            <w:tcW w:w="4700" w:type="dxa"/>
            <w:vAlign w:val="bottom"/>
            <w:gridSpan w:val="3"/>
          </w:tcPr>
          <w:p>
            <w:pPr>
              <w:jc w:val="right"/>
              <w:ind w:right="94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1,069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Operating cash flows from operating leases</w:t>
            </w:r>
          </w:p>
        </w:tc>
        <w:tc>
          <w:tcPr>
            <w:tcW w:w="3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6,519</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5240" w:type="dxa"/>
            <w:vAlign w:val="bottom"/>
          </w:tcPr>
          <w:p>
            <w:pPr>
              <w:spacing w:after="0"/>
              <w:rPr>
                <w:sz w:val="20"/>
                <w:szCs w:val="20"/>
                <w:color w:val="auto"/>
              </w:rPr>
            </w:pPr>
            <w:r>
              <w:rPr>
                <w:rFonts w:ascii="Arial" w:cs="Arial" w:eastAsia="Arial" w:hAnsi="Arial"/>
                <w:sz w:val="17"/>
                <w:szCs w:val="17"/>
                <w:color w:val="auto"/>
              </w:rPr>
              <w:t>Financing cash flows from finance leases</w:t>
            </w: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1,006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46"/>
        </w:trPr>
        <w:tc>
          <w:tcPr>
            <w:tcW w:w="5240" w:type="dxa"/>
            <w:vAlign w:val="bottom"/>
          </w:tcPr>
          <w:p>
            <w:pPr>
              <w:spacing w:after="0"/>
              <w:rPr>
                <w:sz w:val="24"/>
                <w:szCs w:val="24"/>
                <w:color w:val="auto"/>
              </w:rPr>
            </w:pPr>
          </w:p>
        </w:tc>
        <w:tc>
          <w:tcPr>
            <w:tcW w:w="3440" w:type="dxa"/>
            <w:vAlign w:val="bottom"/>
          </w:tcPr>
          <w:p>
            <w:pPr>
              <w:jc w:val="right"/>
              <w:ind w:right="2794"/>
              <w:spacing w:after="0"/>
              <w:rPr>
                <w:sz w:val="20"/>
                <w:szCs w:val="20"/>
                <w:color w:val="auto"/>
              </w:rPr>
            </w:pPr>
            <w:r>
              <w:rPr>
                <w:rFonts w:ascii="Arial" w:cs="Arial" w:eastAsia="Arial" w:hAnsi="Arial"/>
                <w:sz w:val="17"/>
                <w:szCs w:val="17"/>
                <w:color w:val="auto"/>
              </w:rPr>
              <w:t>18</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9"/>
        </w:trPr>
        <w:tc>
          <w:tcPr>
            <w:tcW w:w="524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type w:val="continuous"/>
        </w:sectPr>
      </w:pPr>
    </w:p>
    <w:bookmarkStart w:id="18" w:name="page19"/>
    <w:bookmarkEnd w:id="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Future lease payments under non-cancellable leases as of March 31, 2019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97"/>
              </w:rPr>
              <w:t xml:space="preserve">Operating Leases </w:t>
            </w:r>
            <w:r>
              <w:rPr>
                <w:rFonts w:ascii="Arial" w:cs="Arial" w:eastAsia="Arial" w:hAnsi="Arial"/>
                <w:sz w:val="11"/>
                <w:szCs w:val="11"/>
                <w:b w:val="1"/>
                <w:bCs w:val="1"/>
                <w:color w:val="auto"/>
                <w:w w:val="97"/>
              </w:rPr>
              <w:t>(1)</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 xml:space="preserve">Finance Leases </w:t>
            </w:r>
            <w:r>
              <w:rPr>
                <w:rFonts w:ascii="Arial" w:cs="Arial" w:eastAsia="Arial" w:hAnsi="Arial"/>
                <w:sz w:val="11"/>
                <w:szCs w:val="11"/>
                <w:b w:val="1"/>
                <w:bCs w:val="1"/>
                <w:color w:val="auto"/>
              </w:rPr>
              <w:t>(1)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920" w:type="dxa"/>
            <w:vAlign w:val="bottom"/>
            <w:shd w:val="clear" w:color="auto" w:fill="CFF0FC"/>
          </w:tcPr>
          <w:p>
            <w:pPr>
              <w:spacing w:after="0"/>
              <w:rPr>
                <w:sz w:val="20"/>
                <w:szCs w:val="20"/>
                <w:color w:val="auto"/>
              </w:rPr>
            </w:pPr>
            <w:r>
              <w:rPr>
                <w:rFonts w:ascii="Arial" w:cs="Arial" w:eastAsia="Arial" w:hAnsi="Arial"/>
                <w:sz w:val="17"/>
                <w:szCs w:val="17"/>
                <w:color w:val="auto"/>
              </w:rPr>
              <w:t>2019</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17,479</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920" w:type="dxa"/>
            <w:vAlign w:val="bottom"/>
          </w:tcPr>
          <w:p>
            <w:pPr>
              <w:spacing w:after="0"/>
              <w:rPr>
                <w:sz w:val="20"/>
                <w:szCs w:val="20"/>
                <w:color w:val="auto"/>
              </w:rPr>
            </w:pPr>
            <w:r>
              <w:rPr>
                <w:rFonts w:ascii="Arial" w:cs="Arial" w:eastAsia="Arial" w:hAnsi="Arial"/>
                <w:sz w:val="17"/>
                <w:szCs w:val="17"/>
                <w:color w:val="auto"/>
              </w:rPr>
              <w:t>2020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21,884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7,447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92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20,476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920" w:type="dxa"/>
            <w:vAlign w:val="bottom"/>
          </w:tcPr>
          <w:p>
            <w:pPr>
              <w:spacing w:after="0"/>
              <w:rPr>
                <w:sz w:val="20"/>
                <w:szCs w:val="20"/>
                <w:color w:val="auto"/>
              </w:rPr>
            </w:pPr>
            <w:r>
              <w:rPr>
                <w:rFonts w:ascii="Arial" w:cs="Arial" w:eastAsia="Arial" w:hAnsi="Arial"/>
                <w:sz w:val="17"/>
                <w:szCs w:val="17"/>
                <w:color w:val="auto"/>
              </w:rPr>
              <w:t>2022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17,900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6,566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92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0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79,497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Total undiscounted lease payments</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173,072</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88,904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100" w:type="dxa"/>
            <w:vAlign w:val="bottom"/>
            <w:gridSpan w:val="2"/>
          </w:tcPr>
          <w:p>
            <w:pPr>
              <w:spacing w:after="0"/>
              <w:rPr>
                <w:sz w:val="20"/>
                <w:szCs w:val="20"/>
                <w:color w:val="auto"/>
              </w:rPr>
            </w:pPr>
            <w:r>
              <w:rPr>
                <w:rFonts w:ascii="Arial" w:cs="Arial" w:eastAsia="Arial" w:hAnsi="Arial"/>
                <w:sz w:val="17"/>
                <w:szCs w:val="17"/>
                <w:color w:val="auto"/>
              </w:rPr>
              <w:t>Less: imputed interest</w:t>
            </w:r>
          </w:p>
        </w:tc>
        <w:tc>
          <w:tcPr>
            <w:tcW w:w="240" w:type="dxa"/>
            <w:vAlign w:val="bottom"/>
          </w:tcPr>
          <w:p>
            <w:pPr>
              <w:spacing w:after="0"/>
              <w:rPr>
                <w:sz w:val="19"/>
                <w:szCs w:val="19"/>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7"/>
                <w:szCs w:val="17"/>
                <w:color w:val="auto"/>
              </w:rPr>
              <w:t>(69,204)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7"/>
                <w:szCs w:val="17"/>
                <w:color w:val="auto"/>
              </w:rPr>
              <w:t>(34,628)</w:t>
            </w:r>
          </w:p>
        </w:tc>
        <w:tc>
          <w:tcPr>
            <w:tcW w:w="0" w:type="dxa"/>
            <w:vAlign w:val="bottom"/>
          </w:tcPr>
          <w:p>
            <w:pPr>
              <w:spacing w:after="0"/>
              <w:rPr>
                <w:sz w:val="1"/>
                <w:szCs w:val="1"/>
                <w:color w:val="auto"/>
              </w:rPr>
            </w:pPr>
          </w:p>
        </w:tc>
      </w:tr>
      <w:tr>
        <w:trPr>
          <w:trHeight w:val="20"/>
        </w:trPr>
        <w:tc>
          <w:tcPr>
            <w:tcW w:w="710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Total lease liabilities</w:t>
            </w:r>
          </w:p>
        </w:tc>
        <w:tc>
          <w:tcPr>
            <w:tcW w:w="2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0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103,868</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54,276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ind w:left="220" w:hanging="217"/>
        <w:spacing w:after="0"/>
        <w:tabs>
          <w:tab w:leader="none" w:pos="220" w:val="left"/>
        </w:tabs>
        <w:numPr>
          <w:ilvl w:val="0"/>
          <w:numId w:val="12"/>
        </w:numPr>
        <w:rPr>
          <w:rFonts w:ascii="Arial" w:cs="Arial" w:eastAsia="Arial" w:hAnsi="Arial"/>
          <w:sz w:val="15"/>
          <w:szCs w:val="15"/>
          <w:color w:val="auto"/>
        </w:rPr>
      </w:pPr>
      <w:r>
        <w:rPr>
          <w:rFonts w:ascii="Arial" w:cs="Arial" w:eastAsia="Arial" w:hAnsi="Arial"/>
          <w:sz w:val="17"/>
          <w:szCs w:val="17"/>
          <w:color w:val="auto"/>
        </w:rPr>
        <w:t>Amounts are exclusive of lease arrangements that are classified in Liabilities Held for Sale.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rental payments under non-cancellable operating leases as of December 31, 2018</w:t>
      </w:r>
      <w:r>
        <w:rPr>
          <w:rFonts w:ascii="Arial" w:cs="Arial" w:eastAsia="Arial" w:hAnsi="Arial"/>
          <w:sz w:val="14"/>
          <w:szCs w:val="14"/>
          <w:color w:val="auto"/>
        </w:rPr>
        <w:t>(1)</w:t>
      </w:r>
      <w:r>
        <w:rPr>
          <w:rFonts w:ascii="Arial" w:cs="Arial" w:eastAsia="Arial" w:hAnsi="Arial"/>
          <w:sz w:val="17"/>
          <w:szCs w:val="17"/>
          <w:color w:val="auto"/>
        </w:rPr>
        <w:t xml:space="preserve">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2019</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ind w:right="834"/>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10,585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600" w:type="dxa"/>
            <w:vAlign w:val="bottom"/>
          </w:tcPr>
          <w:p>
            <w:pPr>
              <w:spacing w:after="0"/>
              <w:rPr>
                <w:sz w:val="20"/>
                <w:szCs w:val="20"/>
                <w:color w:val="auto"/>
              </w:rPr>
            </w:pPr>
            <w:r>
              <w:rPr>
                <w:rFonts w:ascii="Arial" w:cs="Arial" w:eastAsia="Arial" w:hAnsi="Arial"/>
                <w:sz w:val="17"/>
                <w:szCs w:val="17"/>
                <w:color w:val="auto"/>
              </w:rPr>
              <w:t>2020</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0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00" w:type="dxa"/>
            <w:vAlign w:val="bottom"/>
          </w:tcPr>
          <w:p>
            <w:pPr>
              <w:spacing w:after="0"/>
              <w:rPr>
                <w:sz w:val="20"/>
                <w:szCs w:val="20"/>
                <w:color w:val="auto"/>
              </w:rPr>
            </w:pPr>
            <w:r>
              <w:rPr>
                <w:rFonts w:ascii="Arial" w:cs="Arial" w:eastAsia="Arial" w:hAnsi="Arial"/>
                <w:sz w:val="17"/>
                <w:szCs w:val="17"/>
                <w:color w:val="auto"/>
              </w:rPr>
              <w:t>2022</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0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82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Thereafter</w:t>
            </w:r>
          </w:p>
        </w:tc>
        <w:tc>
          <w:tcPr>
            <w:tcW w:w="10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Total</w:t>
            </w:r>
          </w:p>
        </w:tc>
        <w:tc>
          <w:tcPr>
            <w:tcW w:w="1020" w:type="dxa"/>
            <w:vAlign w:val="bottom"/>
            <w:tcBorders>
              <w:bottom w:val="single" w:sz="8" w:color="auto"/>
            </w:tcBorders>
            <w:shd w:val="clear" w:color="auto" w:fill="CFF0FC"/>
          </w:tcPr>
          <w:p>
            <w:pPr>
              <w:jc w:val="right"/>
              <w:ind w:right="83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43,780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Prior period amounts have not been adjusted under the modified retrospective transition approach.</w:t>
            </w: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82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8820" w:type="dxa"/>
            <w:vAlign w:val="bottom"/>
            <w:gridSpan w:val="2"/>
          </w:tcPr>
          <w:p>
            <w:pPr>
              <w:spacing w:after="0"/>
              <w:rPr>
                <w:sz w:val="20"/>
                <w:szCs w:val="20"/>
                <w:color w:val="auto"/>
              </w:rPr>
            </w:pPr>
            <w:r>
              <w:rPr>
                <w:rFonts w:ascii="Arial" w:cs="Arial" w:eastAsia="Arial" w:hAnsi="Arial"/>
                <w:sz w:val="17"/>
                <w:szCs w:val="17"/>
                <w:color w:val="auto"/>
              </w:rPr>
              <w:t>Future minimum rental payments under capital leases in effect as of December 31, 2018</w:t>
            </w:r>
            <w:r>
              <w:rPr>
                <w:rFonts w:ascii="Arial" w:cs="Arial" w:eastAsia="Arial" w:hAnsi="Arial"/>
                <w:sz w:val="14"/>
                <w:szCs w:val="14"/>
                <w:color w:val="auto"/>
              </w:rPr>
              <w:t>(1)</w:t>
            </w:r>
            <w:r>
              <w:rPr>
                <w:rFonts w:ascii="Arial" w:cs="Arial" w:eastAsia="Arial" w:hAnsi="Arial"/>
                <w:sz w:val="17"/>
                <w:szCs w:val="17"/>
                <w:color w:val="auto"/>
              </w:rPr>
              <w:t xml:space="preserve"> were as follows:</w:t>
            </w: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8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0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8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2019</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ind w:right="834"/>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8,683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600" w:type="dxa"/>
            <w:vAlign w:val="bottom"/>
          </w:tcPr>
          <w:p>
            <w:pPr>
              <w:spacing w:after="0"/>
              <w:rPr>
                <w:sz w:val="20"/>
                <w:szCs w:val="20"/>
                <w:color w:val="auto"/>
              </w:rPr>
            </w:pPr>
            <w:r>
              <w:rPr>
                <w:rFonts w:ascii="Arial" w:cs="Arial" w:eastAsia="Arial" w:hAnsi="Arial"/>
                <w:sz w:val="17"/>
                <w:szCs w:val="17"/>
                <w:color w:val="auto"/>
              </w:rPr>
              <w:t>2020</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7,357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0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00" w:type="dxa"/>
            <w:vAlign w:val="bottom"/>
          </w:tcPr>
          <w:p>
            <w:pPr>
              <w:spacing w:after="0"/>
              <w:rPr>
                <w:sz w:val="20"/>
                <w:szCs w:val="20"/>
                <w:color w:val="auto"/>
              </w:rPr>
            </w:pPr>
            <w:r>
              <w:rPr>
                <w:rFonts w:ascii="Arial" w:cs="Arial" w:eastAsia="Arial" w:hAnsi="Arial"/>
                <w:sz w:val="17"/>
                <w:szCs w:val="17"/>
                <w:color w:val="auto"/>
              </w:rPr>
              <w:t>2022</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0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82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Thereafter</w:t>
            </w:r>
          </w:p>
        </w:tc>
        <w:tc>
          <w:tcPr>
            <w:tcW w:w="10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Total minimum payments</w:t>
            </w:r>
          </w:p>
        </w:tc>
        <w:tc>
          <w:tcPr>
            <w:tcW w:w="10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88,152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820" w:type="dxa"/>
            <w:vAlign w:val="bottom"/>
            <w:gridSpan w:val="2"/>
          </w:tcPr>
          <w:p>
            <w:pPr>
              <w:spacing w:after="0"/>
              <w:rPr>
                <w:sz w:val="20"/>
                <w:szCs w:val="20"/>
                <w:color w:val="auto"/>
              </w:rPr>
            </w:pPr>
            <w:r>
              <w:rPr>
                <w:rFonts w:ascii="Arial" w:cs="Arial" w:eastAsia="Arial" w:hAnsi="Arial"/>
                <w:sz w:val="17"/>
                <w:szCs w:val="17"/>
                <w:color w:val="auto"/>
              </w:rPr>
              <w:t>Less amount representing interest</w:t>
            </w:r>
          </w:p>
        </w:tc>
        <w:tc>
          <w:tcPr>
            <w:tcW w:w="10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7"/>
                <w:szCs w:val="17"/>
                <w:color w:val="auto"/>
              </w:rPr>
              <w:t>(32,870)</w:t>
            </w:r>
          </w:p>
        </w:tc>
        <w:tc>
          <w:tcPr>
            <w:tcW w:w="0" w:type="dxa"/>
            <w:vAlign w:val="bottom"/>
          </w:tcPr>
          <w:p>
            <w:pPr>
              <w:spacing w:after="0"/>
              <w:rPr>
                <w:sz w:val="1"/>
                <w:szCs w:val="1"/>
                <w:color w:val="auto"/>
              </w:rPr>
            </w:pPr>
          </w:p>
        </w:tc>
      </w:tr>
      <w:tr>
        <w:trPr>
          <w:trHeight w:val="213"/>
        </w:trPr>
        <w:tc>
          <w:tcPr>
            <w:tcW w:w="88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Total</w:t>
            </w:r>
          </w:p>
        </w:tc>
        <w:tc>
          <w:tcPr>
            <w:tcW w:w="1020" w:type="dxa"/>
            <w:vAlign w:val="bottom"/>
            <w:tcBorders>
              <w:top w:val="single" w:sz="8" w:color="auto"/>
              <w:bottom w:val="single" w:sz="8" w:color="auto"/>
            </w:tcBorders>
            <w:shd w:val="clear" w:color="auto" w:fill="CFF0FC"/>
          </w:tcPr>
          <w:p>
            <w:pPr>
              <w:jc w:val="right"/>
              <w:ind w:right="834"/>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55,282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Prior period amounts have not been adjusted under the modified retrospective transition approach.</w:t>
            </w: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82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2019, we recognized $2.5 million of sublease income in our Condensed Consolidated Statement of Income.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Future sublease rentals as of March 31, 2019 are as follows: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7400" w:type="dxa"/>
            <w:vAlign w:val="bottom"/>
            <w:gridSpan w:val="3"/>
          </w:tcPr>
          <w:p>
            <w:pPr>
              <w:jc w:val="center"/>
              <w:ind w:left="134"/>
              <w:spacing w:after="0"/>
              <w:rPr>
                <w:sz w:val="20"/>
                <w:szCs w:val="20"/>
                <w:color w:val="auto"/>
              </w:rPr>
            </w:pPr>
            <w:r>
              <w:rPr>
                <w:rFonts w:ascii="Arial" w:cs="Arial" w:eastAsia="Arial" w:hAnsi="Arial"/>
                <w:sz w:val="17"/>
                <w:szCs w:val="17"/>
                <w:b w:val="1"/>
                <w:bCs w:val="1"/>
                <w:color w:val="auto"/>
                <w:w w:val="95"/>
              </w:rPr>
              <w:t>Uniti Group Inc.</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7"/>
        </w:trPr>
        <w:tc>
          <w:tcPr>
            <w:tcW w:w="1900" w:type="dxa"/>
            <w:vAlign w:val="bottom"/>
          </w:tcPr>
          <w:p>
            <w:pPr>
              <w:spacing w:after="0"/>
              <w:rPr>
                <w:sz w:val="17"/>
                <w:szCs w:val="17"/>
                <w:color w:val="auto"/>
              </w:rPr>
            </w:pPr>
          </w:p>
        </w:tc>
        <w:tc>
          <w:tcPr>
            <w:tcW w:w="7400" w:type="dxa"/>
            <w:vAlign w:val="bottom"/>
            <w:gridSpan w:val="3"/>
          </w:tcPr>
          <w:p>
            <w:pPr>
              <w:jc w:val="center"/>
              <w:ind w:left="134"/>
              <w:spacing w:after="0"/>
              <w:rPr>
                <w:sz w:val="20"/>
                <w:szCs w:val="20"/>
                <w:color w:val="auto"/>
              </w:rPr>
            </w:pPr>
            <w:r>
              <w:rPr>
                <w:rFonts w:ascii="Arial" w:cs="Arial" w:eastAsia="Arial" w:hAnsi="Arial"/>
                <w:sz w:val="17"/>
                <w:szCs w:val="17"/>
                <w:b w:val="1"/>
                <w:bCs w:val="1"/>
                <w:color w:val="auto"/>
                <w:w w:val="89"/>
              </w:rPr>
              <w:t>Notes to the Condensed Consolidated Financial Statements – Continued</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1900" w:type="dxa"/>
            <w:vAlign w:val="bottom"/>
          </w:tcPr>
          <w:p>
            <w:pPr>
              <w:spacing w:after="0"/>
              <w:rPr>
                <w:sz w:val="19"/>
                <w:szCs w:val="19"/>
                <w:color w:val="auto"/>
              </w:rPr>
            </w:pPr>
          </w:p>
        </w:tc>
        <w:tc>
          <w:tcPr>
            <w:tcW w:w="7400" w:type="dxa"/>
            <w:vAlign w:val="bottom"/>
            <w:gridSpan w:val="3"/>
          </w:tcPr>
          <w:p>
            <w:pPr>
              <w:jc w:val="center"/>
              <w:ind w:left="134"/>
              <w:spacing w:after="0"/>
              <w:rPr>
                <w:sz w:val="20"/>
                <w:szCs w:val="20"/>
                <w:color w:val="auto"/>
              </w:rPr>
            </w:pPr>
            <w:r>
              <w:rPr>
                <w:rFonts w:ascii="Arial" w:cs="Arial" w:eastAsia="Arial" w:hAnsi="Arial"/>
                <w:sz w:val="17"/>
                <w:szCs w:val="17"/>
                <w:b w:val="1"/>
                <w:bCs w:val="1"/>
                <w:color w:val="auto"/>
                <w:w w:val="92"/>
              </w:rPr>
              <w:t>(unaudited)</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568"/>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678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Sublease Rentals</w:t>
            </w:r>
          </w:p>
        </w:tc>
        <w:tc>
          <w:tcPr>
            <w:tcW w:w="120" w:type="dxa"/>
            <w:vAlign w:val="bottom"/>
            <w:tcBorders>
              <w:bottom w:val="single" w:sz="8" w:color="CFF0FC"/>
            </w:tcBorders>
          </w:tcPr>
          <w:p>
            <w:pPr>
              <w:spacing w:after="0"/>
              <w:rPr>
                <w:sz w:val="24"/>
                <w:szCs w:val="24"/>
                <w:color w:val="auto"/>
              </w:rPr>
            </w:pPr>
          </w:p>
        </w:tc>
      </w:tr>
      <w:tr>
        <w:trPr>
          <w:trHeight w:val="213"/>
        </w:trPr>
        <w:tc>
          <w:tcPr>
            <w:tcW w:w="1900" w:type="dxa"/>
            <w:vAlign w:val="bottom"/>
            <w:shd w:val="clear" w:color="auto" w:fill="CFF0FC"/>
          </w:tcPr>
          <w:p>
            <w:pPr>
              <w:spacing w:after="0"/>
              <w:rPr>
                <w:sz w:val="20"/>
                <w:szCs w:val="20"/>
                <w:color w:val="auto"/>
              </w:rPr>
            </w:pPr>
            <w:r>
              <w:rPr>
                <w:rFonts w:ascii="Arial" w:cs="Arial" w:eastAsia="Arial" w:hAnsi="Arial"/>
                <w:sz w:val="17"/>
                <w:szCs w:val="17"/>
                <w:color w:val="auto"/>
              </w:rPr>
              <w:t>2019</w:t>
            </w:r>
          </w:p>
        </w:tc>
        <w:tc>
          <w:tcPr>
            <w:tcW w:w="7400" w:type="dxa"/>
            <w:vAlign w:val="bottom"/>
            <w:gridSpan w:val="3"/>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13,021</w:t>
            </w:r>
          </w:p>
        </w:tc>
        <w:tc>
          <w:tcPr>
            <w:tcW w:w="120" w:type="dxa"/>
            <w:vAlign w:val="bottom"/>
            <w:shd w:val="clear" w:color="auto" w:fill="CFF0FC"/>
          </w:tcPr>
          <w:p>
            <w:pPr>
              <w:spacing w:after="0"/>
              <w:rPr>
                <w:sz w:val="18"/>
                <w:szCs w:val="18"/>
                <w:color w:val="auto"/>
              </w:rPr>
            </w:pPr>
          </w:p>
        </w:tc>
      </w:tr>
      <w:tr>
        <w:trPr>
          <w:trHeight w:val="220"/>
        </w:trPr>
        <w:tc>
          <w:tcPr>
            <w:tcW w:w="1900" w:type="dxa"/>
            <w:vAlign w:val="bottom"/>
          </w:tcPr>
          <w:p>
            <w:pPr>
              <w:spacing w:after="0"/>
              <w:rPr>
                <w:sz w:val="20"/>
                <w:szCs w:val="20"/>
                <w:color w:val="auto"/>
              </w:rPr>
            </w:pPr>
            <w:r>
              <w:rPr>
                <w:rFonts w:ascii="Arial" w:cs="Arial" w:eastAsia="Arial" w:hAnsi="Arial"/>
                <w:sz w:val="17"/>
                <w:szCs w:val="17"/>
                <w:color w:val="auto"/>
              </w:rPr>
              <w:t>2020</w:t>
            </w:r>
          </w:p>
        </w:tc>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8,372</w:t>
            </w:r>
          </w:p>
        </w:tc>
        <w:tc>
          <w:tcPr>
            <w:tcW w:w="120" w:type="dxa"/>
            <w:vAlign w:val="bottom"/>
          </w:tcPr>
          <w:p>
            <w:pPr>
              <w:spacing w:after="0"/>
              <w:rPr>
                <w:sz w:val="19"/>
                <w:szCs w:val="19"/>
                <w:color w:val="auto"/>
              </w:rPr>
            </w:pPr>
          </w:p>
        </w:tc>
      </w:tr>
      <w:tr>
        <w:trPr>
          <w:trHeight w:val="220"/>
        </w:trPr>
        <w:tc>
          <w:tcPr>
            <w:tcW w:w="190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6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8,396</w:t>
            </w:r>
          </w:p>
        </w:tc>
        <w:tc>
          <w:tcPr>
            <w:tcW w:w="120" w:type="dxa"/>
            <w:vAlign w:val="bottom"/>
            <w:shd w:val="clear" w:color="auto" w:fill="CFF0FC"/>
          </w:tcPr>
          <w:p>
            <w:pPr>
              <w:spacing w:after="0"/>
              <w:rPr>
                <w:sz w:val="19"/>
                <w:szCs w:val="19"/>
                <w:color w:val="auto"/>
              </w:rPr>
            </w:pPr>
          </w:p>
        </w:tc>
      </w:tr>
      <w:tr>
        <w:trPr>
          <w:trHeight w:val="220"/>
        </w:trPr>
        <w:tc>
          <w:tcPr>
            <w:tcW w:w="1900" w:type="dxa"/>
            <w:vAlign w:val="bottom"/>
          </w:tcPr>
          <w:p>
            <w:pPr>
              <w:spacing w:after="0"/>
              <w:rPr>
                <w:sz w:val="20"/>
                <w:szCs w:val="20"/>
                <w:color w:val="auto"/>
              </w:rPr>
            </w:pPr>
            <w:r>
              <w:rPr>
                <w:rFonts w:ascii="Arial" w:cs="Arial" w:eastAsia="Arial" w:hAnsi="Arial"/>
                <w:sz w:val="17"/>
                <w:szCs w:val="17"/>
                <w:color w:val="auto"/>
              </w:rPr>
              <w:t>2022</w:t>
            </w:r>
          </w:p>
        </w:tc>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8,421</w:t>
            </w:r>
          </w:p>
        </w:tc>
        <w:tc>
          <w:tcPr>
            <w:tcW w:w="120" w:type="dxa"/>
            <w:vAlign w:val="bottom"/>
          </w:tcPr>
          <w:p>
            <w:pPr>
              <w:spacing w:after="0"/>
              <w:rPr>
                <w:sz w:val="19"/>
                <w:szCs w:val="19"/>
                <w:color w:val="auto"/>
              </w:rPr>
            </w:pPr>
          </w:p>
        </w:tc>
      </w:tr>
      <w:tr>
        <w:trPr>
          <w:trHeight w:val="220"/>
        </w:trPr>
        <w:tc>
          <w:tcPr>
            <w:tcW w:w="190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6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8,446</w:t>
            </w:r>
          </w:p>
        </w:tc>
        <w:tc>
          <w:tcPr>
            <w:tcW w:w="120" w:type="dxa"/>
            <w:vAlign w:val="bottom"/>
            <w:shd w:val="clear" w:color="auto" w:fill="CFF0FC"/>
          </w:tcPr>
          <w:p>
            <w:pPr>
              <w:spacing w:after="0"/>
              <w:rPr>
                <w:sz w:val="19"/>
                <w:szCs w:val="19"/>
                <w:color w:val="auto"/>
              </w:rPr>
            </w:pPr>
          </w:p>
        </w:tc>
      </w:tr>
      <w:tr>
        <w:trPr>
          <w:trHeight w:val="220"/>
        </w:trPr>
        <w:tc>
          <w:tcPr>
            <w:tcW w:w="19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Thereafter</w:t>
            </w:r>
          </w:p>
        </w:tc>
        <w:tc>
          <w:tcPr>
            <w:tcW w:w="67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92,527</w:t>
            </w:r>
          </w:p>
        </w:tc>
        <w:tc>
          <w:tcPr>
            <w:tcW w:w="120" w:type="dxa"/>
            <w:vAlign w:val="bottom"/>
            <w:tcBorders>
              <w:bottom w:val="single" w:sz="8" w:color="CFF0FC"/>
            </w:tcBorders>
          </w:tcPr>
          <w:p>
            <w:pPr>
              <w:spacing w:after="0"/>
              <w:rPr>
                <w:sz w:val="19"/>
                <w:szCs w:val="19"/>
                <w:color w:val="auto"/>
              </w:rPr>
            </w:pPr>
          </w:p>
        </w:tc>
      </w:tr>
      <w:tr>
        <w:trPr>
          <w:trHeight w:val="213"/>
        </w:trPr>
        <w:tc>
          <w:tcPr>
            <w:tcW w:w="190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7400" w:type="dxa"/>
            <w:vAlign w:val="bottom"/>
            <w:gridSpan w:val="3"/>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139,183</w:t>
            </w:r>
          </w:p>
        </w:tc>
        <w:tc>
          <w:tcPr>
            <w:tcW w:w="120" w:type="dxa"/>
            <w:vAlign w:val="bottom"/>
            <w:shd w:val="clear" w:color="auto" w:fill="CFF0FC"/>
          </w:tcPr>
          <w:p>
            <w:pPr>
              <w:spacing w:after="0"/>
              <w:rPr>
                <w:sz w:val="18"/>
                <w:szCs w:val="18"/>
                <w:color w:val="auto"/>
              </w:rPr>
            </w:pPr>
          </w:p>
        </w:tc>
      </w:tr>
      <w:tr>
        <w:trPr>
          <w:trHeight w:val="20"/>
        </w:trPr>
        <w:tc>
          <w:tcPr>
            <w:tcW w:w="1900" w:type="dxa"/>
            <w:vAlign w:val="bottom"/>
            <w:tcBorders>
              <w:top w:val="single" w:sz="8" w:color="CFF0FC"/>
            </w:tcBorders>
          </w:tcPr>
          <w:p>
            <w:pPr>
              <w:spacing w:after="0" w:line="20" w:lineRule="exact"/>
              <w:rPr>
                <w:sz w:val="1"/>
                <w:szCs w:val="1"/>
                <w:color w:val="auto"/>
              </w:rPr>
            </w:pPr>
          </w:p>
        </w:tc>
        <w:tc>
          <w:tcPr>
            <w:tcW w:w="67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Business Combinations and Asset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2019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JKM Consulting Inc. (M</w:t>
      </w:r>
      <w:r>
        <w:rPr>
          <w:rFonts w:ascii="Arial" w:cs="Arial" w:eastAsia="Arial" w:hAnsi="Arial"/>
          <w:sz w:val="14"/>
          <w:szCs w:val="14"/>
          <w:i w:val="1"/>
          <w:iCs w:val="1"/>
          <w:color w:val="auto"/>
        </w:rPr>
        <w:t>2</w:t>
      </w:r>
      <w:r>
        <w:rPr>
          <w:rFonts w:ascii="Arial" w:cs="Arial" w:eastAsia="Arial" w:hAnsi="Arial"/>
          <w:sz w:val="17"/>
          <w:szCs w:val="17"/>
          <w:i w:val="1"/>
          <w:iCs w:val="1"/>
          <w:color w:val="auto"/>
        </w:rPr>
        <w:t xml:space="preserve"> Connections)</w:t>
      </w:r>
    </w:p>
    <w:p>
      <w:pPr>
        <w:spacing w:after="0" w:line="166" w:lineRule="exact"/>
        <w:rPr>
          <w:sz w:val="20"/>
          <w:szCs w:val="20"/>
          <w:color w:val="auto"/>
        </w:rPr>
      </w:pPr>
    </w:p>
    <w:p>
      <w:pPr>
        <w:ind w:right="60"/>
        <w:spacing w:after="0" w:line="277" w:lineRule="auto"/>
        <w:rPr>
          <w:rFonts w:ascii="Arial" w:cs="Arial" w:eastAsia="Arial" w:hAnsi="Arial"/>
          <w:sz w:val="16"/>
          <w:szCs w:val="16"/>
          <w:color w:val="auto"/>
        </w:rPr>
      </w:pPr>
      <w:r>
        <w:rPr>
          <w:rFonts w:ascii="Arial" w:cs="Arial" w:eastAsia="Arial" w:hAnsi="Arial"/>
          <w:sz w:val="16"/>
          <w:szCs w:val="16"/>
          <w:color w:val="auto"/>
        </w:rPr>
        <w:t>On March 25, 2019, we acquired 100% of the outstanding equity of JKM Consulting Inc. d/b/a M</w:t>
      </w:r>
      <w:r>
        <w:rPr>
          <w:rFonts w:ascii="Arial" w:cs="Arial" w:eastAsia="Arial" w:hAnsi="Arial"/>
          <w:sz w:val="13"/>
          <w:szCs w:val="13"/>
          <w:color w:val="auto"/>
        </w:rPr>
        <w:t>2</w:t>
      </w:r>
      <w:r>
        <w:rPr>
          <w:rFonts w:ascii="Arial" w:cs="Arial" w:eastAsia="Arial" w:hAnsi="Arial"/>
          <w:sz w:val="16"/>
          <w:szCs w:val="16"/>
          <w:color w:val="auto"/>
        </w:rPr>
        <w:t xml:space="preserve"> Connections (“M</w:t>
      </w:r>
      <w:r>
        <w:rPr>
          <w:rFonts w:ascii="Arial" w:cs="Arial" w:eastAsia="Arial" w:hAnsi="Arial"/>
          <w:sz w:val="13"/>
          <w:szCs w:val="13"/>
          <w:color w:val="auto"/>
        </w:rPr>
        <w:t>2</w:t>
      </w:r>
      <w:r>
        <w:rPr>
          <w:rFonts w:ascii="Arial" w:cs="Arial" w:eastAsia="Arial" w:hAnsi="Arial"/>
          <w:sz w:val="16"/>
          <w:szCs w:val="16"/>
          <w:color w:val="auto"/>
        </w:rPr>
        <w:t>”) for cash consideration of $5.5 million. M</w:t>
      </w:r>
      <w:r>
        <w:rPr>
          <w:rFonts w:ascii="Arial" w:cs="Arial" w:eastAsia="Arial" w:hAnsi="Arial"/>
          <w:sz w:val="13"/>
          <w:szCs w:val="13"/>
          <w:color w:val="auto"/>
        </w:rPr>
        <w:t>2</w:t>
      </w:r>
      <w:r>
        <w:rPr>
          <w:rFonts w:ascii="Arial" w:cs="Arial" w:eastAsia="Arial" w:hAnsi="Arial"/>
          <w:sz w:val="16"/>
          <w:szCs w:val="16"/>
          <w:color w:val="auto"/>
        </w:rPr>
        <w:t xml:space="preserve"> is a dark fiber and internet access provider primarily to educational institutions in Alabama. This acquisition strengthens Uniti Fiber’s relationships with new E-Rate customers. The acquisition was recorded by allocating the costs of the assets acquired based on their estimated fair values at the acquisition date. The excess of the cost of the acquisition over the fair value of the assets acquired is recorded as goodwill of $1.8 million within our Fiber Infrastructure segment. </w:t>
      </w:r>
      <w:hyperlink w:anchor="page30">
        <w:r>
          <w:rPr>
            <w:rFonts w:ascii="Arial" w:cs="Arial" w:eastAsia="Arial" w:hAnsi="Arial"/>
            <w:sz w:val="16"/>
            <w:szCs w:val="16"/>
            <w:u w:val="single" w:color="auto"/>
            <w:color w:val="auto"/>
          </w:rPr>
          <w:t>See Note 13</w:t>
        </w:r>
      </w:hyperlink>
      <w:r>
        <w:rPr>
          <w:rFonts w:ascii="Arial" w:cs="Arial" w:eastAsia="Arial" w:hAnsi="Arial"/>
          <w:sz w:val="16"/>
          <w:szCs w:val="16"/>
          <w:color w:val="auto"/>
        </w:rPr>
        <w:t>. For federal income tax purposes, the transaction was treated as a taxable acquisition. Thus, all of the goodwill is expected to be deductible for tax purposes. The financial results of M</w:t>
      </w:r>
      <w:r>
        <w:rPr>
          <w:rFonts w:ascii="Arial" w:cs="Arial" w:eastAsia="Arial" w:hAnsi="Arial"/>
          <w:sz w:val="13"/>
          <w:szCs w:val="13"/>
          <w:color w:val="auto"/>
        </w:rPr>
        <w:t>2</w:t>
      </w:r>
      <w:r>
        <w:rPr>
          <w:rFonts w:ascii="Arial" w:cs="Arial" w:eastAsia="Arial" w:hAnsi="Arial"/>
          <w:sz w:val="16"/>
          <w:szCs w:val="16"/>
          <w:color w:val="auto"/>
        </w:rPr>
        <w:t xml:space="preserve"> are included in the Fiber Infrastructure segment from the date of acquisition and were not material, individually or in the aggregate, to our results of operations and therefore, pro forma financial information has not been presented.</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2018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Transport Solutions, Inc.</w:t>
      </w:r>
    </w:p>
    <w:p>
      <w:pPr>
        <w:spacing w:after="0" w:line="166" w:lineRule="exact"/>
        <w:rPr>
          <w:sz w:val="20"/>
          <w:szCs w:val="20"/>
          <w:color w:val="auto"/>
        </w:rPr>
      </w:pPr>
    </w:p>
    <w:p>
      <w:pPr>
        <w:ind w:right="160"/>
        <w:spacing w:after="0" w:line="300" w:lineRule="auto"/>
        <w:rPr>
          <w:rFonts w:ascii="Arial" w:cs="Arial" w:eastAsia="Arial" w:hAnsi="Arial"/>
          <w:sz w:val="15"/>
          <w:szCs w:val="15"/>
          <w:color w:val="auto"/>
        </w:rPr>
      </w:pPr>
      <w:r>
        <w:rPr>
          <w:rFonts w:ascii="Arial" w:cs="Arial" w:eastAsia="Arial" w:hAnsi="Arial"/>
          <w:sz w:val="15"/>
          <w:szCs w:val="15"/>
          <w:color w:val="auto"/>
        </w:rPr>
        <w:t xml:space="preserve">On October 19, 2018, we acquired 100% of the outstanding equity of Information Transport Solutions, Inc. (“ITS”) for cash consideration of $58.3 million. ITS is a full-service managed services provider of technology solutions, primarily to educational institutions in Alabama and Florida. This acquisition expands Uniti Fiber’s product offerings and strengthens relationships with new and existing E-Rate customers.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w:t>
      </w:r>
      <w:hyperlink w:anchor="page30">
        <w:r>
          <w:rPr>
            <w:rFonts w:ascii="Arial" w:cs="Arial" w:eastAsia="Arial" w:hAnsi="Arial"/>
            <w:sz w:val="15"/>
            <w:szCs w:val="15"/>
            <w:u w:val="single" w:color="auto"/>
            <w:color w:val="auto"/>
          </w:rPr>
          <w:t>See Note 13</w:t>
        </w:r>
      </w:hyperlink>
      <w:r>
        <w:rPr>
          <w:rFonts w:ascii="Arial" w:cs="Arial" w:eastAsia="Arial" w:hAnsi="Arial"/>
          <w:sz w:val="15"/>
          <w:szCs w:val="15"/>
          <w:color w:val="auto"/>
        </w:rPr>
        <w:t>. During the first quarter of 2019, certain contractual working capital adjustments resulted in a $1.3 million reduction of the purchase price and goodwill. The following is a summary of the estimated fair values of the assets acquired and liabilities assumed: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6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FF0FC"/>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760" w:type="dxa"/>
            <w:vAlign w:val="bottom"/>
            <w:shd w:val="clear" w:color="auto" w:fill="CFF0FC"/>
          </w:tcPr>
          <w:p>
            <w:pPr>
              <w:spacing w:after="0"/>
              <w:rPr>
                <w:sz w:val="20"/>
                <w:szCs w:val="20"/>
                <w:color w:val="auto"/>
              </w:rPr>
            </w:pPr>
            <w:r>
              <w:rPr>
                <w:rFonts w:ascii="Arial" w:cs="Arial" w:eastAsia="Arial" w:hAnsi="Arial"/>
                <w:sz w:val="17"/>
                <w:szCs w:val="17"/>
                <w:color w:val="auto"/>
              </w:rPr>
              <w:t>Property, plant and equipment</w:t>
            </w:r>
          </w:p>
        </w:tc>
        <w:tc>
          <w:tcPr>
            <w:tcW w:w="4620" w:type="dxa"/>
            <w:vAlign w:val="bottom"/>
            <w:gridSpan w:val="3"/>
            <w:shd w:val="clear" w:color="auto" w:fill="CFF0FC"/>
          </w:tcPr>
          <w:p>
            <w:pPr>
              <w:jc w:val="right"/>
              <w:ind w:right="294"/>
              <w:spacing w:after="0"/>
              <w:rPr>
                <w:sz w:val="20"/>
                <w:szCs w:val="20"/>
                <w:color w:val="auto"/>
              </w:rPr>
            </w:pPr>
            <w:r>
              <w:rPr>
                <w:rFonts w:ascii="Arial" w:cs="Arial" w:eastAsia="Arial" w:hAnsi="Arial"/>
                <w:sz w:val="17"/>
                <w:szCs w:val="17"/>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4,270</w:t>
            </w:r>
          </w:p>
        </w:tc>
        <w:tc>
          <w:tcPr>
            <w:tcW w:w="12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7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5,931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shd w:val="clear" w:color="auto" w:fill="CFF0FC"/>
          </w:tcPr>
          <w:p>
            <w:pPr>
              <w:spacing w:after="0"/>
              <w:rPr>
                <w:sz w:val="20"/>
                <w:szCs w:val="20"/>
                <w:color w:val="auto"/>
              </w:rPr>
            </w:pPr>
            <w:r>
              <w:rPr>
                <w:rFonts w:ascii="Arial" w:cs="Arial" w:eastAsia="Arial" w:hAnsi="Arial"/>
                <w:sz w:val="17"/>
                <w:szCs w:val="17"/>
                <w:color w:val="auto"/>
              </w:rPr>
              <w:t>Accounts receivable</w:t>
            </w:r>
          </w:p>
        </w:tc>
        <w:tc>
          <w:tcPr>
            <w:tcW w:w="3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3,909</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tcPr>
          <w:p>
            <w:pPr>
              <w:spacing w:after="0"/>
              <w:rPr>
                <w:sz w:val="20"/>
                <w:szCs w:val="20"/>
                <w:color w:val="auto"/>
              </w:rPr>
            </w:pPr>
            <w:r>
              <w:rPr>
                <w:rFonts w:ascii="Arial" w:cs="Arial" w:eastAsia="Arial" w:hAnsi="Arial"/>
                <w:sz w:val="17"/>
                <w:szCs w:val="17"/>
                <w:color w:val="auto"/>
              </w:rPr>
              <w:t>Other assets</w:t>
            </w: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7,238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3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9,941</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tcPr>
          <w:p>
            <w:pPr>
              <w:spacing w:after="0"/>
              <w:rPr>
                <w:sz w:val="20"/>
                <w:szCs w:val="20"/>
                <w:color w:val="auto"/>
              </w:rPr>
            </w:pPr>
            <w:r>
              <w:rPr>
                <w:rFonts w:ascii="Arial" w:cs="Arial" w:eastAsia="Arial" w:hAnsi="Arial"/>
                <w:sz w:val="17"/>
                <w:szCs w:val="17"/>
                <w:color w:val="auto"/>
              </w:rPr>
              <w:t>Intangible assets</w:t>
            </w: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30,254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shd w:val="clear" w:color="auto" w:fill="CFF0FC"/>
          </w:tcPr>
          <w:p>
            <w:pPr>
              <w:spacing w:after="0"/>
              <w:rPr>
                <w:sz w:val="20"/>
                <w:szCs w:val="20"/>
                <w:color w:val="auto"/>
              </w:rPr>
            </w:pPr>
            <w:r>
              <w:rPr>
                <w:rFonts w:ascii="Arial" w:cs="Arial" w:eastAsia="Arial" w:hAnsi="Arial"/>
                <w:sz w:val="17"/>
                <w:szCs w:val="17"/>
                <w:color w:val="auto"/>
              </w:rPr>
              <w:t>Accounts payable, accrued expenses and other liabilities</w:t>
            </w:r>
          </w:p>
        </w:tc>
        <w:tc>
          <w:tcPr>
            <w:tcW w:w="3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(2,645)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tcPr>
          <w:p>
            <w:pPr>
              <w:spacing w:after="0"/>
              <w:rPr>
                <w:sz w:val="20"/>
                <w:szCs w:val="20"/>
                <w:color w:val="auto"/>
              </w:rPr>
            </w:pPr>
            <w:r>
              <w:rPr>
                <w:rFonts w:ascii="Arial" w:cs="Arial" w:eastAsia="Arial" w:hAnsi="Arial"/>
                <w:sz w:val="17"/>
                <w:szCs w:val="17"/>
                <w:color w:val="auto"/>
              </w:rPr>
              <w:t>Deferred revenue</w:t>
            </w: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40" w:type="dxa"/>
            <w:vAlign w:val="bottom"/>
            <w:gridSpan w:val="2"/>
          </w:tcPr>
          <w:p>
            <w:pPr>
              <w:jc w:val="right"/>
              <w:ind w:right="60"/>
              <w:spacing w:after="0"/>
              <w:rPr>
                <w:sz w:val="20"/>
                <w:szCs w:val="20"/>
                <w:color w:val="auto"/>
              </w:rPr>
            </w:pPr>
            <w:r>
              <w:rPr>
                <w:rFonts w:ascii="Arial" w:cs="Arial" w:eastAsia="Arial" w:hAnsi="Arial"/>
                <w:sz w:val="17"/>
                <w:szCs w:val="17"/>
                <w:color w:val="auto"/>
              </w:rPr>
              <w:t>(567)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purchase consideration</w:t>
            </w:r>
          </w:p>
        </w:tc>
        <w:tc>
          <w:tcPr>
            <w:tcW w:w="41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294"/>
              <w:spacing w:after="0"/>
              <w:rPr>
                <w:sz w:val="20"/>
                <w:szCs w:val="20"/>
                <w:color w:val="auto"/>
              </w:rPr>
            </w:pPr>
            <w:r>
              <w:rPr>
                <w:rFonts w:ascii="Arial" w:cs="Arial" w:eastAsia="Arial" w:hAnsi="Arial"/>
                <w:sz w:val="17"/>
                <w:szCs w:val="17"/>
                <w:color w:val="auto"/>
                <w:w w:val="84"/>
              </w:rPr>
              <w:t>$</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58,331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920" w:type="dxa"/>
            <w:vAlign w:val="bottom"/>
            <w:vMerge w:val="restart"/>
          </w:tcPr>
          <w:p>
            <w:pPr>
              <w:jc w:val="right"/>
              <w:ind w:right="2794"/>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76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76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goodwill arising from the transaction is primarily attributable to strategic opportunities that arose from the acquisition of ITS, including strengthening relationships with new and existing E-Rate customers and anticipated incremental sales and cost savings. For federal income tax purposes, the transaction was treated as a taxable acquisition. Thus, all of the goodwill is expected to be deductible for tax purposes.</w:t>
      </w:r>
    </w:p>
    <w:p>
      <w:pPr>
        <w:spacing w:after="0" w:line="172"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We acquired an intangible asset that was assigned to customer relationships of $30.3 million (14 year life). The Company determined the useful life for the customer relationship by applying an income approach (using the multi-period excess earnings method with a discount rate commensurate to the risk of the asset) and resulted from two key considerations: attrition rate and cumulative present value of cash flows, including assessing the period over which the asset is expected to contribute to the Company’s future cash flows.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Assets and Liabilities Held for Sale</w:t>
      </w:r>
    </w:p>
    <w:p>
      <w:pPr>
        <w:spacing w:after="0" w:line="224" w:lineRule="exact"/>
        <w:rPr>
          <w:sz w:val="20"/>
          <w:szCs w:val="20"/>
          <w:color w:val="auto"/>
        </w:rPr>
      </w:pPr>
    </w:p>
    <w:p>
      <w:pPr>
        <w:jc w:val="both"/>
        <w:ind w:right="220"/>
        <w:spacing w:after="0" w:line="292" w:lineRule="auto"/>
        <w:rPr>
          <w:sz w:val="20"/>
          <w:szCs w:val="20"/>
          <w:color w:val="auto"/>
        </w:rPr>
      </w:pPr>
      <w:r>
        <w:rPr>
          <w:rFonts w:ascii="Arial" w:cs="Arial" w:eastAsia="Arial" w:hAnsi="Arial"/>
          <w:sz w:val="16"/>
          <w:szCs w:val="16"/>
          <w:color w:val="auto"/>
        </w:rPr>
        <w:t>On February 19, 2019, the Company announced it had agreed to sell Uniti Towers’ Latin America business (“LATAM”) to an entity controlled by Phoenix Towers International (“PTI”) for cash consideration of approximately $100 million. As of March 31, 2019, the sale of LATAM met the criteria to be classified as held for sale. The Company classified LATAM’s assets and liabilities separately on the Condensed Consolidated Balance Sheet as of March 31, 2019.</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assets and liabilities associated with the LATAM business classified as held for sale as of March 31, 2019:</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600" w:type="dxa"/>
            <w:vAlign w:val="bottom"/>
          </w:tcPr>
          <w:p>
            <w:pPr>
              <w:spacing w:after="0"/>
              <w:rPr>
                <w:sz w:val="14"/>
                <w:szCs w:val="14"/>
                <w:color w:val="auto"/>
              </w:rPr>
            </w:pPr>
          </w:p>
        </w:tc>
        <w:tc>
          <w:tcPr>
            <w:tcW w:w="2680" w:type="dxa"/>
            <w:vAlign w:val="bottom"/>
            <w:gridSpan w:val="2"/>
          </w:tcPr>
          <w:p>
            <w:pPr>
              <w:ind w:left="540"/>
              <w:spacing w:after="0"/>
              <w:rPr>
                <w:sz w:val="20"/>
                <w:szCs w:val="20"/>
                <w:color w:val="auto"/>
              </w:rPr>
            </w:pPr>
            <w:r>
              <w:rPr>
                <w:rFonts w:ascii="Arial" w:cs="Arial" w:eastAsia="Arial" w:hAnsi="Arial"/>
                <w:sz w:val="14"/>
                <w:szCs w:val="14"/>
                <w:b w:val="1"/>
                <w:bCs w:val="1"/>
                <w:color w:val="auto"/>
              </w:rPr>
              <w:t>March 31, 2019</w:t>
            </w:r>
          </w:p>
        </w:tc>
      </w:tr>
      <w:tr>
        <w:trPr>
          <w:trHeight w:val="213"/>
        </w:trPr>
        <w:tc>
          <w:tcPr>
            <w:tcW w:w="7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36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0"/>
        </w:trPr>
        <w:tc>
          <w:tcPr>
            <w:tcW w:w="8140" w:type="dxa"/>
            <w:vAlign w:val="bottom"/>
            <w:gridSpan w:val="2"/>
          </w:tcPr>
          <w:p>
            <w:pPr>
              <w:ind w:left="240"/>
              <w:spacing w:after="0"/>
              <w:rPr>
                <w:sz w:val="20"/>
                <w:szCs w:val="20"/>
                <w:color w:val="auto"/>
              </w:rPr>
            </w:pPr>
            <w:r>
              <w:rPr>
                <w:rFonts w:ascii="Arial" w:cs="Arial" w:eastAsia="Arial" w:hAnsi="Arial"/>
                <w:sz w:val="17"/>
                <w:szCs w:val="17"/>
                <w:color w:val="auto"/>
              </w:rPr>
              <w:t>Cash and cash equivalents</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2580" w:type="dxa"/>
            <w:vAlign w:val="bottom"/>
          </w:tcPr>
          <w:p>
            <w:pPr>
              <w:jc w:val="right"/>
              <w:spacing w:after="0"/>
              <w:rPr>
                <w:sz w:val="20"/>
                <w:szCs w:val="20"/>
                <w:color w:val="auto"/>
              </w:rPr>
            </w:pPr>
            <w:r>
              <w:rPr>
                <w:rFonts w:ascii="Arial" w:cs="Arial" w:eastAsia="Arial" w:hAnsi="Arial"/>
                <w:sz w:val="17"/>
                <w:szCs w:val="17"/>
                <w:color w:val="auto"/>
              </w:rPr>
              <w:t>4,774</w:t>
            </w:r>
          </w:p>
        </w:tc>
        <w:tc>
          <w:tcPr>
            <w:tcW w:w="100" w:type="dxa"/>
            <w:vAlign w:val="bottom"/>
          </w:tcPr>
          <w:p>
            <w:pPr>
              <w:spacing w:after="0"/>
              <w:rPr>
                <w:sz w:val="19"/>
                <w:szCs w:val="19"/>
                <w:color w:val="auto"/>
              </w:rPr>
            </w:pPr>
          </w:p>
        </w:tc>
      </w:tr>
      <w:tr>
        <w:trPr>
          <w:trHeight w:val="220"/>
        </w:trPr>
        <w:tc>
          <w:tcPr>
            <w:tcW w:w="81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Property, plant and equipment, net</w:t>
            </w:r>
          </w:p>
        </w:tc>
        <w:tc>
          <w:tcPr>
            <w:tcW w:w="600" w:type="dxa"/>
            <w:vAlign w:val="bottom"/>
            <w:shd w:val="clear" w:color="auto" w:fill="CFF0FC"/>
          </w:tcPr>
          <w:p>
            <w:pPr>
              <w:spacing w:after="0"/>
              <w:rPr>
                <w:sz w:val="19"/>
                <w:szCs w:val="19"/>
                <w:color w:val="auto"/>
              </w:rPr>
            </w:pPr>
          </w:p>
        </w:tc>
        <w:tc>
          <w:tcPr>
            <w:tcW w:w="2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48,125</w:t>
            </w:r>
          </w:p>
        </w:tc>
        <w:tc>
          <w:tcPr>
            <w:tcW w:w="100" w:type="dxa"/>
            <w:vAlign w:val="bottom"/>
            <w:shd w:val="clear" w:color="auto" w:fill="CFF0FC"/>
          </w:tcPr>
          <w:p>
            <w:pPr>
              <w:spacing w:after="0"/>
              <w:rPr>
                <w:sz w:val="19"/>
                <w:szCs w:val="19"/>
                <w:color w:val="auto"/>
              </w:rPr>
            </w:pPr>
          </w:p>
        </w:tc>
      </w:tr>
      <w:tr>
        <w:trPr>
          <w:trHeight w:val="220"/>
        </w:trPr>
        <w:tc>
          <w:tcPr>
            <w:tcW w:w="8140" w:type="dxa"/>
            <w:vAlign w:val="bottom"/>
            <w:gridSpan w:val="2"/>
          </w:tcPr>
          <w:p>
            <w:pPr>
              <w:ind w:left="240"/>
              <w:spacing w:after="0"/>
              <w:rPr>
                <w:sz w:val="20"/>
                <w:szCs w:val="20"/>
                <w:color w:val="auto"/>
              </w:rPr>
            </w:pPr>
            <w:r>
              <w:rPr>
                <w:rFonts w:ascii="Arial" w:cs="Arial" w:eastAsia="Arial" w:hAnsi="Arial"/>
                <w:sz w:val="17"/>
                <w:szCs w:val="17"/>
                <w:color w:val="auto"/>
              </w:rPr>
              <w:t>Intangible assets, net</w:t>
            </w:r>
          </w:p>
        </w:tc>
        <w:tc>
          <w:tcPr>
            <w:tcW w:w="6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7"/>
                <w:szCs w:val="17"/>
                <w:color w:val="auto"/>
              </w:rPr>
              <w:t>49,513</w:t>
            </w:r>
          </w:p>
        </w:tc>
        <w:tc>
          <w:tcPr>
            <w:tcW w:w="100" w:type="dxa"/>
            <w:vAlign w:val="bottom"/>
          </w:tcPr>
          <w:p>
            <w:pPr>
              <w:spacing w:after="0"/>
              <w:rPr>
                <w:sz w:val="19"/>
                <w:szCs w:val="19"/>
                <w:color w:val="auto"/>
              </w:rPr>
            </w:pPr>
          </w:p>
        </w:tc>
      </w:tr>
      <w:tr>
        <w:trPr>
          <w:trHeight w:val="220"/>
        </w:trPr>
        <w:tc>
          <w:tcPr>
            <w:tcW w:w="81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ROU assets, net</w:t>
            </w:r>
          </w:p>
        </w:tc>
        <w:tc>
          <w:tcPr>
            <w:tcW w:w="600" w:type="dxa"/>
            <w:vAlign w:val="bottom"/>
            <w:shd w:val="clear" w:color="auto" w:fill="CFF0FC"/>
          </w:tcPr>
          <w:p>
            <w:pPr>
              <w:spacing w:after="0"/>
              <w:rPr>
                <w:sz w:val="19"/>
                <w:szCs w:val="19"/>
                <w:color w:val="auto"/>
              </w:rPr>
            </w:pPr>
          </w:p>
        </w:tc>
        <w:tc>
          <w:tcPr>
            <w:tcW w:w="2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26,786</w:t>
            </w:r>
          </w:p>
        </w:tc>
        <w:tc>
          <w:tcPr>
            <w:tcW w:w="100" w:type="dxa"/>
            <w:vAlign w:val="bottom"/>
            <w:shd w:val="clear" w:color="auto" w:fill="CFF0FC"/>
          </w:tcPr>
          <w:p>
            <w:pPr>
              <w:spacing w:after="0"/>
              <w:rPr>
                <w:sz w:val="19"/>
                <w:szCs w:val="19"/>
                <w:color w:val="auto"/>
              </w:rPr>
            </w:pPr>
          </w:p>
        </w:tc>
      </w:tr>
      <w:tr>
        <w:trPr>
          <w:trHeight w:val="220"/>
        </w:trPr>
        <w:tc>
          <w:tcPr>
            <w:tcW w:w="814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Other assets</w:t>
            </w:r>
          </w:p>
        </w:tc>
        <w:tc>
          <w:tcPr>
            <w:tcW w:w="6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4,152</w:t>
            </w:r>
          </w:p>
        </w:tc>
        <w:tc>
          <w:tcPr>
            <w:tcW w:w="100" w:type="dxa"/>
            <w:vAlign w:val="bottom"/>
            <w:tcBorders>
              <w:bottom w:val="single" w:sz="8" w:color="CFF0FC"/>
            </w:tcBorders>
          </w:tcPr>
          <w:p>
            <w:pPr>
              <w:spacing w:after="0"/>
              <w:rPr>
                <w:sz w:val="19"/>
                <w:szCs w:val="19"/>
                <w:color w:val="auto"/>
              </w:rPr>
            </w:pPr>
          </w:p>
        </w:tc>
      </w:tr>
      <w:tr>
        <w:trPr>
          <w:trHeight w:val="213"/>
        </w:trPr>
        <w:tc>
          <w:tcPr>
            <w:tcW w:w="81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b w:val="1"/>
                <w:bCs w:val="1"/>
                <w:color w:val="auto"/>
              </w:rPr>
              <w:t>Total Assets</w:t>
            </w:r>
          </w:p>
        </w:tc>
        <w:tc>
          <w:tcPr>
            <w:tcW w:w="600" w:type="dxa"/>
            <w:vAlign w:val="bottom"/>
            <w:tcBorders>
              <w:bottom w:val="single" w:sz="8" w:color="auto"/>
            </w:tcBorders>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2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133,350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7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814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Liabilities:</w:t>
            </w:r>
          </w:p>
        </w:tc>
        <w:tc>
          <w:tcPr>
            <w:tcW w:w="600" w:type="dxa"/>
            <w:vAlign w:val="bottom"/>
            <w:shd w:val="clear" w:color="auto" w:fill="CFF0FC"/>
          </w:tcPr>
          <w:p>
            <w:pPr>
              <w:spacing w:after="0"/>
              <w:rPr>
                <w:sz w:val="19"/>
                <w:szCs w:val="19"/>
                <w:color w:val="auto"/>
              </w:rPr>
            </w:pPr>
          </w:p>
        </w:tc>
        <w:tc>
          <w:tcPr>
            <w:tcW w:w="2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140" w:type="dxa"/>
            <w:vAlign w:val="bottom"/>
            <w:gridSpan w:val="2"/>
          </w:tcPr>
          <w:p>
            <w:pPr>
              <w:ind w:left="240"/>
              <w:spacing w:after="0"/>
              <w:rPr>
                <w:sz w:val="20"/>
                <w:szCs w:val="20"/>
                <w:color w:val="auto"/>
              </w:rPr>
            </w:pPr>
            <w:r>
              <w:rPr>
                <w:rFonts w:ascii="Arial" w:cs="Arial" w:eastAsia="Arial" w:hAnsi="Arial"/>
                <w:sz w:val="17"/>
                <w:szCs w:val="17"/>
                <w:color w:val="auto"/>
              </w:rPr>
              <w:t>Intangible liabilities, net</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2580" w:type="dxa"/>
            <w:vAlign w:val="bottom"/>
          </w:tcPr>
          <w:p>
            <w:pPr>
              <w:jc w:val="right"/>
              <w:spacing w:after="0"/>
              <w:rPr>
                <w:sz w:val="20"/>
                <w:szCs w:val="20"/>
                <w:color w:val="auto"/>
              </w:rPr>
            </w:pPr>
            <w:r>
              <w:rPr>
                <w:rFonts w:ascii="Arial" w:cs="Arial" w:eastAsia="Arial" w:hAnsi="Arial"/>
                <w:sz w:val="17"/>
                <w:szCs w:val="17"/>
                <w:color w:val="auto"/>
              </w:rPr>
              <w:t>2,649</w:t>
            </w:r>
          </w:p>
        </w:tc>
        <w:tc>
          <w:tcPr>
            <w:tcW w:w="100" w:type="dxa"/>
            <w:vAlign w:val="bottom"/>
          </w:tcPr>
          <w:p>
            <w:pPr>
              <w:spacing w:after="0"/>
              <w:rPr>
                <w:sz w:val="19"/>
                <w:szCs w:val="19"/>
                <w:color w:val="auto"/>
              </w:rPr>
            </w:pPr>
          </w:p>
        </w:tc>
      </w:tr>
      <w:tr>
        <w:trPr>
          <w:trHeight w:val="220"/>
        </w:trPr>
        <w:tc>
          <w:tcPr>
            <w:tcW w:w="81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Deferred tax liability</w:t>
            </w:r>
          </w:p>
        </w:tc>
        <w:tc>
          <w:tcPr>
            <w:tcW w:w="600" w:type="dxa"/>
            <w:vAlign w:val="bottom"/>
            <w:shd w:val="clear" w:color="auto" w:fill="CFF0FC"/>
          </w:tcPr>
          <w:p>
            <w:pPr>
              <w:spacing w:after="0"/>
              <w:rPr>
                <w:sz w:val="19"/>
                <w:szCs w:val="19"/>
                <w:color w:val="auto"/>
              </w:rPr>
            </w:pPr>
          </w:p>
        </w:tc>
        <w:tc>
          <w:tcPr>
            <w:tcW w:w="2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18,287</w:t>
            </w:r>
          </w:p>
        </w:tc>
        <w:tc>
          <w:tcPr>
            <w:tcW w:w="100" w:type="dxa"/>
            <w:vAlign w:val="bottom"/>
            <w:shd w:val="clear" w:color="auto" w:fill="CFF0FC"/>
          </w:tcPr>
          <w:p>
            <w:pPr>
              <w:spacing w:after="0"/>
              <w:rPr>
                <w:sz w:val="19"/>
                <w:szCs w:val="19"/>
                <w:color w:val="auto"/>
              </w:rPr>
            </w:pPr>
          </w:p>
        </w:tc>
      </w:tr>
      <w:tr>
        <w:trPr>
          <w:trHeight w:val="220"/>
        </w:trPr>
        <w:tc>
          <w:tcPr>
            <w:tcW w:w="8140" w:type="dxa"/>
            <w:vAlign w:val="bottom"/>
            <w:gridSpan w:val="2"/>
          </w:tcPr>
          <w:p>
            <w:pPr>
              <w:ind w:left="240"/>
              <w:spacing w:after="0"/>
              <w:rPr>
                <w:sz w:val="20"/>
                <w:szCs w:val="20"/>
                <w:color w:val="auto"/>
              </w:rPr>
            </w:pPr>
            <w:r>
              <w:rPr>
                <w:rFonts w:ascii="Arial" w:cs="Arial" w:eastAsia="Arial" w:hAnsi="Arial"/>
                <w:sz w:val="17"/>
                <w:szCs w:val="17"/>
                <w:color w:val="auto"/>
              </w:rPr>
              <w:t>ROU Liabilities</w:t>
            </w:r>
          </w:p>
        </w:tc>
        <w:tc>
          <w:tcPr>
            <w:tcW w:w="6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7"/>
                <w:szCs w:val="17"/>
                <w:color w:val="auto"/>
              </w:rPr>
              <w:t>26,538</w:t>
            </w:r>
          </w:p>
        </w:tc>
        <w:tc>
          <w:tcPr>
            <w:tcW w:w="100" w:type="dxa"/>
            <w:vAlign w:val="bottom"/>
          </w:tcPr>
          <w:p>
            <w:pPr>
              <w:spacing w:after="0"/>
              <w:rPr>
                <w:sz w:val="19"/>
                <w:szCs w:val="19"/>
                <w:color w:val="auto"/>
              </w:rPr>
            </w:pPr>
          </w:p>
        </w:tc>
      </w:tr>
      <w:tr>
        <w:trPr>
          <w:trHeight w:val="220"/>
        </w:trPr>
        <w:tc>
          <w:tcPr>
            <w:tcW w:w="81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Other liabilities</w:t>
            </w:r>
          </w:p>
        </w:tc>
        <w:tc>
          <w:tcPr>
            <w:tcW w:w="600" w:type="dxa"/>
            <w:vAlign w:val="bottom"/>
            <w:tcBorders>
              <w:bottom w:val="single" w:sz="8" w:color="auto"/>
            </w:tcBorders>
            <w:shd w:val="clear" w:color="auto" w:fill="CFF0FC"/>
          </w:tcPr>
          <w:p>
            <w:pPr>
              <w:spacing w:after="0"/>
              <w:rPr>
                <w:sz w:val="19"/>
                <w:szCs w:val="19"/>
                <w:color w:val="auto"/>
              </w:rPr>
            </w:pPr>
          </w:p>
        </w:tc>
        <w:tc>
          <w:tcPr>
            <w:tcW w:w="2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8,608</w:t>
            </w:r>
          </w:p>
        </w:tc>
        <w:tc>
          <w:tcPr>
            <w:tcW w:w="100" w:type="dxa"/>
            <w:vAlign w:val="bottom"/>
            <w:shd w:val="clear" w:color="auto" w:fill="CFF0FC"/>
          </w:tcPr>
          <w:p>
            <w:pPr>
              <w:spacing w:after="0"/>
              <w:rPr>
                <w:sz w:val="19"/>
                <w:szCs w:val="19"/>
                <w:color w:val="auto"/>
              </w:rPr>
            </w:pPr>
          </w:p>
        </w:tc>
      </w:tr>
      <w:tr>
        <w:trPr>
          <w:trHeight w:val="213"/>
        </w:trPr>
        <w:tc>
          <w:tcPr>
            <w:tcW w:w="814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w:t>
            </w: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56,082</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right="180"/>
        <w:spacing w:after="0" w:line="268"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The LATAM business is included in the results of the Towers segment. The sale does not represent a strategic shift that will have a major effect on operations and </w:t>
      </w:r>
      <w:hyperlink w:anchor="page32">
        <w:r>
          <w:rPr>
            <w:rFonts w:ascii="Arial" w:cs="Arial" w:eastAsia="Arial" w:hAnsi="Arial"/>
            <w:sz w:val="17"/>
            <w:szCs w:val="17"/>
            <w:color w:val="auto"/>
          </w:rPr>
          <w:t xml:space="preserve">financial results and, therefore, did not qualify for presentation as a discontinued operation. The transaction closed on April 2, 2019. </w:t>
        </w:r>
        <w:r>
          <w:rPr>
            <w:rFonts w:ascii="Arial" w:cs="Arial" w:eastAsia="Arial" w:hAnsi="Arial"/>
            <w:sz w:val="17"/>
            <w:szCs w:val="17"/>
            <w:u w:val="single" w:color="auto"/>
            <w:color w:val="0000EE"/>
          </w:rPr>
          <w:t>See Note 17 for further details</w:t>
        </w:r>
      </w:hyperlink>
      <w:r>
        <w:rPr>
          <w:rFonts w:ascii="Arial" w:cs="Arial" w:eastAsia="Arial" w:hAnsi="Arial"/>
          <w:sz w:val="17"/>
          <w:szCs w:val="17"/>
          <w:color w:val="auto"/>
        </w:rPr>
        <w:t xml:space="preserve"> </w:t>
      </w:r>
      <w:hyperlink w:anchor="page32">
        <w:r>
          <w:rPr>
            <w:rFonts w:ascii="Arial" w:cs="Arial" w:eastAsia="Arial" w:hAnsi="Arial"/>
            <w:sz w:val="17"/>
            <w:szCs w:val="17"/>
            <w:u w:val="single" w:color="auto"/>
            <w:color w:val="0000EE"/>
          </w:rPr>
          <w:t>on the subsequent completed sale of LATAM.</w:t>
        </w:r>
      </w:hyperlink>
    </w:p>
    <w:p>
      <w:pPr>
        <w:spacing w:after="0" w:line="17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On January 15, 2019, the Company entered into an operating company/property company (“OpCo-PropCo”) transaction with Macquarie Infrastructure Partners (“MIP”) to acquire Bluebird Network, LLC (“Bluebird”). MIP operates within the Macquarie Infrastructure and Real Assets ("MIRA") division of Macquarie Group. In the transaction, Uniti has agreed to purchase the Bluebird fiber network and MIP has agreed to purchase the Bluebird operations. In addition, Uniti has agreed to sell Uniti Fiber’s Midwest operations to MIP, while Uniti will retain its existing Midwest fiber network. As of March 31, 2019, the sale of the Midwest operations met the criteria to be classified as held for sale. As a result, the Company classified $7.5 million of net property, plant and equipment to assets held for sale on the Condensed Consolidated Balance Sheet as of March 31, 2019. The Midwest operations that will be sold to MIP are currently reported in our Fiber Infrastructure segment. The sale does not represent a strategic shift that will have a major effect on operations and financial results and, therefore, did not qualify for presentation as a discontinued operation. These transactions are subject to regulatory and other closing conditions and are expected to close by the end of the third quarter of 2019.</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no assets or liabilities classified as held for sale as of December 31, 2018.</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Fair Value of Financial Instruments</w:t>
      </w:r>
    </w:p>
    <w:p>
      <w:pPr>
        <w:spacing w:after="0" w:line="121" w:lineRule="exact"/>
        <w:rPr>
          <w:sz w:val="20"/>
          <w:szCs w:val="20"/>
          <w:color w:val="auto"/>
        </w:rPr>
      </w:pPr>
    </w:p>
    <w:p>
      <w:pPr>
        <w:ind w:right="440"/>
        <w:spacing w:after="0" w:line="268"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69" w:lineRule="exact"/>
        <w:rPr>
          <w:sz w:val="20"/>
          <w:szCs w:val="20"/>
          <w:color w:val="auto"/>
        </w:rPr>
      </w:pPr>
    </w:p>
    <w:p>
      <w:pPr>
        <w:ind w:right="1420"/>
        <w:spacing w:after="0" w:line="395" w:lineRule="auto"/>
        <w:rPr>
          <w:sz w:val="20"/>
          <w:szCs w:val="20"/>
          <w:color w:val="auto"/>
        </w:rPr>
      </w:pPr>
      <w:r>
        <w:rPr>
          <w:rFonts w:ascii="Arial" w:cs="Arial" w:eastAsia="Arial" w:hAnsi="Arial"/>
          <w:sz w:val="17"/>
          <w:szCs w:val="17"/>
          <w:b w:val="1"/>
          <w:bCs w:val="1"/>
          <w:i w:val="1"/>
          <w:iCs w:val="1"/>
          <w:color w:val="auto"/>
        </w:rPr>
        <w:t xml:space="preserve">Level 1 </w:t>
      </w:r>
      <w:r>
        <w:rPr>
          <w:rFonts w:ascii="Arial" w:cs="Arial" w:eastAsia="Arial" w:hAnsi="Arial"/>
          <w:sz w:val="17"/>
          <w:szCs w:val="17"/>
          <w:color w:val="auto"/>
        </w:rPr>
        <w:t>– Quoted prices (unadjusted) in active markets for identical assets or liabilities that the reporting entity can access at the assessment date;</w:t>
      </w:r>
      <w:r>
        <w:rPr>
          <w:rFonts w:ascii="Arial" w:cs="Arial" w:eastAsia="Arial" w:hAnsi="Arial"/>
          <w:sz w:val="17"/>
          <w:szCs w:val="17"/>
          <w:b w:val="1"/>
          <w:bCs w:val="1"/>
          <w:i w:val="1"/>
          <w:iCs w:val="1"/>
          <w:color w:val="auto"/>
        </w:rPr>
        <w:t xml:space="preserve"> Level 2 </w:t>
      </w:r>
      <w:r>
        <w:rPr>
          <w:rFonts w:ascii="Arial" w:cs="Arial" w:eastAsia="Arial" w:hAnsi="Arial"/>
          <w:sz w:val="17"/>
          <w:szCs w:val="17"/>
          <w:color w:val="auto"/>
        </w:rPr>
        <w:t>– Inputs other than quoted prices included within Level 1 that are observable for the asset or liability, either directly or indirectly; and</w:t>
      </w:r>
      <w:r>
        <w:rPr>
          <w:rFonts w:ascii="Arial" w:cs="Arial" w:eastAsia="Arial" w:hAnsi="Arial"/>
          <w:sz w:val="17"/>
          <w:szCs w:val="17"/>
          <w:b w:val="1"/>
          <w:bCs w:val="1"/>
          <w:i w:val="1"/>
          <w:iCs w:val="1"/>
          <w:color w:val="auto"/>
        </w:rPr>
        <w:t xml:space="preserve"> Level 3 </w:t>
      </w:r>
      <w:r>
        <w:rPr>
          <w:rFonts w:ascii="Arial" w:cs="Arial" w:eastAsia="Arial" w:hAnsi="Arial"/>
          <w:sz w:val="17"/>
          <w:szCs w:val="17"/>
          <w:color w:val="auto"/>
        </w:rPr>
        <w:t>– Unobservable inputs for the asset or liability.</w:t>
      </w:r>
    </w:p>
    <w:p>
      <w:pPr>
        <w:spacing w:after="0" w:line="68"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color w:val="auto"/>
        </w:rPr>
        <w:t>Our financial instruments consist of cash and cash equivalents, accounts and other receivables, a derivative asset, our outstanding notes and other debt, contingent consideration and accounts, interest and dividends payable.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our financial instruments at March 31, 2019 and December 31, 2018:</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Quoted Prices 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Prices with Other</w:t>
            </w: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Prices with</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Active Markets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9"/>
              </w:rPr>
              <w:t>Observable Inputs</w:t>
            </w:r>
          </w:p>
        </w:tc>
        <w:tc>
          <w:tcPr>
            <w:tcW w:w="80" w:type="dxa"/>
            <w:vAlign w:val="bottom"/>
          </w:tcPr>
          <w:p>
            <w:pPr>
              <w:spacing w:after="0"/>
              <w:rPr>
                <w:sz w:val="12"/>
                <w:szCs w:val="12"/>
                <w:color w:val="auto"/>
              </w:rPr>
            </w:pPr>
          </w:p>
        </w:tc>
        <w:tc>
          <w:tcPr>
            <w:tcW w:w="11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65"/>
        </w:trPr>
        <w:tc>
          <w:tcPr>
            <w:tcW w:w="626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40" w:type="dxa"/>
            <w:vAlign w:val="bottom"/>
          </w:tcPr>
          <w:p>
            <w:pPr>
              <w:jc w:val="center"/>
              <w:ind w:left="7"/>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(Level 2)</w:t>
            </w: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Inputs (Level 3)</w:t>
            </w:r>
          </w:p>
        </w:tc>
        <w:tc>
          <w:tcPr>
            <w:tcW w:w="0" w:type="dxa"/>
            <w:vAlign w:val="bottom"/>
          </w:tcPr>
          <w:p>
            <w:pPr>
              <w:spacing w:after="0"/>
              <w:rPr>
                <w:sz w:val="1"/>
                <w:szCs w:val="1"/>
                <w:color w:val="auto"/>
              </w:rPr>
            </w:pPr>
          </w:p>
        </w:tc>
      </w:tr>
      <w:tr>
        <w:trPr>
          <w:trHeight w:val="213"/>
        </w:trPr>
        <w:tc>
          <w:tcPr>
            <w:tcW w:w="6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At March 31, 2019</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60" w:type="dxa"/>
            <w:vAlign w:val="bottom"/>
          </w:tcPr>
          <w:p>
            <w:pPr>
              <w:spacing w:after="0"/>
              <w:rPr>
                <w:sz w:val="20"/>
                <w:szCs w:val="20"/>
                <w:color w:val="auto"/>
              </w:rPr>
            </w:pPr>
            <w:r>
              <w:rPr>
                <w:rFonts w:ascii="Arial" w:cs="Arial" w:eastAsia="Arial" w:hAnsi="Arial"/>
                <w:sz w:val="17"/>
                <w:szCs w:val="17"/>
                <w:color w:val="auto"/>
              </w:rPr>
              <w:t>Assets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Derivative asset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9,357</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6260" w:type="dxa"/>
            <w:vAlign w:val="bottom"/>
            <w:vMerge w:val="continue"/>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9,357</w:t>
            </w:r>
          </w:p>
        </w:tc>
        <w:tc>
          <w:tcPr>
            <w:tcW w:w="120" w:type="dxa"/>
            <w:vAlign w:val="bottom"/>
          </w:tcPr>
          <w:p>
            <w:pPr>
              <w:spacing w:after="0"/>
              <w:rPr>
                <w:sz w:val="21"/>
                <w:szCs w:val="21"/>
                <w:color w:val="auto"/>
              </w:rPr>
            </w:pPr>
          </w:p>
        </w:tc>
        <w:tc>
          <w:tcPr>
            <w:tcW w:w="1040" w:type="dxa"/>
            <w:vAlign w:val="bottom"/>
          </w:tcPr>
          <w:p>
            <w:pPr>
              <w:jc w:val="right"/>
              <w:ind w:right="887"/>
              <w:spacing w:after="0"/>
              <w:rPr>
                <w:sz w:val="20"/>
                <w:szCs w:val="20"/>
                <w:color w:val="auto"/>
              </w:rPr>
            </w:pPr>
            <w:r>
              <w:rPr>
                <w:rFonts w:ascii="Arial" w:cs="Arial" w:eastAsia="Arial" w:hAnsi="Arial"/>
                <w:sz w:val="15"/>
                <w:szCs w:val="15"/>
                <w:color w:val="auto"/>
                <w:w w:val="71"/>
              </w:rPr>
              <w:t>$</w:t>
            </w: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9,357</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2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60" w:type="dxa"/>
            <w:vAlign w:val="bottom"/>
          </w:tcPr>
          <w:p>
            <w:pPr>
              <w:spacing w:after="0"/>
              <w:rPr>
                <w:sz w:val="20"/>
                <w:szCs w:val="20"/>
                <w:color w:val="auto"/>
              </w:rPr>
            </w:pPr>
            <w:r>
              <w:rPr>
                <w:rFonts w:ascii="Arial" w:cs="Arial" w:eastAsia="Arial" w:hAnsi="Arial"/>
                <w:sz w:val="17"/>
                <w:szCs w:val="17"/>
                <w:color w:val="auto"/>
              </w:rPr>
              <w:t>Liabilities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Senior secured term loan B - variable rate, due October 24, 2022</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2,009,024</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2,009,024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tcPr>
          <w:p>
            <w:pPr>
              <w:ind w:left="120"/>
              <w:spacing w:after="0"/>
              <w:rPr>
                <w:sz w:val="20"/>
                <w:szCs w:val="20"/>
                <w:color w:val="auto"/>
              </w:rPr>
            </w:pPr>
            <w:r>
              <w:rPr>
                <w:rFonts w:ascii="Arial" w:cs="Arial" w:eastAsia="Arial" w:hAnsi="Arial"/>
                <w:sz w:val="17"/>
                <w:szCs w:val="17"/>
                <w:color w:val="auto"/>
              </w:rPr>
              <w:t>Senior secured notes - 6.00%, due April 15, 2023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518,375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518,375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Senior unsecured notes - 8.25%, due October 15, 2023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996,225</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996,225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tcPr>
          <w:p>
            <w:pPr>
              <w:ind w:left="120"/>
              <w:spacing w:after="0"/>
              <w:rPr>
                <w:sz w:val="20"/>
                <w:szCs w:val="20"/>
                <w:color w:val="auto"/>
              </w:rPr>
            </w:pPr>
            <w:r>
              <w:rPr>
                <w:rFonts w:ascii="Arial" w:cs="Arial" w:eastAsia="Arial" w:hAnsi="Arial"/>
                <w:sz w:val="17"/>
                <w:szCs w:val="17"/>
                <w:color w:val="auto"/>
              </w:rPr>
              <w:t>Senior unsecured notes - 7.125%, due December 15, 2024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516,000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516,000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Senior secured revolving credit facility, variable rate, due April 24, 2020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748,925</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748,925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tcBorders>
              <w:bottom w:val="single" w:sz="8" w:color="CFF0FC"/>
            </w:tcBorders>
          </w:tcPr>
          <w:p>
            <w:pPr>
              <w:ind w:left="120"/>
              <w:spacing w:after="0"/>
              <w:rPr>
                <w:sz w:val="20"/>
                <w:szCs w:val="20"/>
                <w:color w:val="auto"/>
              </w:rPr>
            </w:pPr>
            <w:r>
              <w:rPr>
                <w:rFonts w:ascii="Arial" w:cs="Arial" w:eastAsia="Arial" w:hAnsi="Arial"/>
                <w:sz w:val="17"/>
                <w:szCs w:val="17"/>
                <w:color w:val="auto"/>
              </w:rPr>
              <w:t>Contingent consideration</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60,797</w:t>
            </w: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Total</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4,849,346</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4,788,549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60,797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0"/>
              <w:spacing w:after="0"/>
              <w:rPr>
                <w:sz w:val="20"/>
                <w:szCs w:val="20"/>
                <w:color w:val="auto"/>
              </w:rPr>
            </w:pPr>
            <w:r>
              <w:rPr>
                <w:rFonts w:ascii="Arial" w:cs="Arial" w:eastAsia="Arial" w:hAnsi="Arial"/>
                <w:sz w:val="14"/>
                <w:szCs w:val="14"/>
                <w:b w:val="1"/>
                <w:bCs w:val="1"/>
                <w:color w:val="auto"/>
                <w:w w:val="86"/>
              </w:rPr>
              <w:t>Prices with</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center"/>
              <w:ind w:left="27"/>
              <w:spacing w:after="0"/>
              <w:rPr>
                <w:sz w:val="20"/>
                <w:szCs w:val="20"/>
                <w:color w:val="auto"/>
              </w:rPr>
            </w:pPr>
            <w:r>
              <w:rPr>
                <w:rFonts w:ascii="Arial" w:cs="Arial" w:eastAsia="Arial" w:hAnsi="Arial"/>
                <w:sz w:val="14"/>
                <w:szCs w:val="14"/>
                <w:b w:val="1"/>
                <w:bCs w:val="1"/>
                <w:color w:val="auto"/>
                <w:w w:val="88"/>
              </w:rPr>
              <w:t>Quoted Prices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0"/>
              <w:spacing w:after="0" w:line="142"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Prices with</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0"/>
              <w:spacing w:after="0" w:line="142" w:lineRule="exact"/>
              <w:rPr>
                <w:sz w:val="20"/>
                <w:szCs w:val="20"/>
                <w:color w:val="auto"/>
              </w:rPr>
            </w:pPr>
            <w:r>
              <w:rPr>
                <w:rFonts w:ascii="Arial" w:cs="Arial" w:eastAsia="Arial" w:hAnsi="Arial"/>
                <w:sz w:val="14"/>
                <w:szCs w:val="14"/>
                <w:b w:val="1"/>
                <w:bCs w:val="1"/>
                <w:color w:val="auto"/>
                <w:w w:val="89"/>
              </w:rPr>
              <w:t>Observable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120" w:type="dxa"/>
            <w:vAlign w:val="bottom"/>
          </w:tcPr>
          <w:p>
            <w:pPr>
              <w:jc w:val="center"/>
              <w:ind w:left="27"/>
              <w:spacing w:after="0" w:line="142" w:lineRule="exact"/>
              <w:rPr>
                <w:sz w:val="20"/>
                <w:szCs w:val="20"/>
                <w:color w:val="auto"/>
              </w:rPr>
            </w:pPr>
            <w:r>
              <w:rPr>
                <w:rFonts w:ascii="Arial" w:cs="Arial" w:eastAsia="Arial" w:hAnsi="Arial"/>
                <w:sz w:val="14"/>
                <w:szCs w:val="14"/>
                <w:b w:val="1"/>
                <w:bCs w:val="1"/>
                <w:color w:val="auto"/>
                <w:w w:val="91"/>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80"/>
              <w:spacing w:after="0" w:line="142"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14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Unobservable Inputs</w:t>
            </w:r>
          </w:p>
        </w:tc>
        <w:tc>
          <w:tcPr>
            <w:tcW w:w="0" w:type="dxa"/>
            <w:vAlign w:val="bottom"/>
          </w:tcPr>
          <w:p>
            <w:pPr>
              <w:spacing w:after="0"/>
              <w:rPr>
                <w:sz w:val="1"/>
                <w:szCs w:val="1"/>
                <w:color w:val="auto"/>
              </w:rPr>
            </w:pPr>
          </w:p>
        </w:tc>
      </w:tr>
      <w:tr>
        <w:trPr>
          <w:trHeight w:val="165"/>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1120" w:type="dxa"/>
            <w:vAlign w:val="bottom"/>
            <w:tcBorders>
              <w:bottom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3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At December 31, 2018</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300" w:type="dxa"/>
            <w:vAlign w:val="bottom"/>
            <w:gridSpan w:val="2"/>
          </w:tcPr>
          <w:p>
            <w:pPr>
              <w:spacing w:after="0"/>
              <w:rPr>
                <w:sz w:val="20"/>
                <w:szCs w:val="20"/>
                <w:color w:val="auto"/>
              </w:rPr>
            </w:pPr>
            <w:r>
              <w:rPr>
                <w:rFonts w:ascii="Arial" w:cs="Arial" w:eastAsia="Arial" w:hAnsi="Arial"/>
                <w:sz w:val="17"/>
                <w:szCs w:val="17"/>
                <w:color w:val="auto"/>
              </w:rPr>
              <w:t>Assets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0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Derivative asset</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31,043</w:t>
            </w:r>
          </w:p>
        </w:tc>
        <w:tc>
          <w:tcPr>
            <w:tcW w:w="1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31,043</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300" w:type="dxa"/>
            <w:vAlign w:val="bottom"/>
            <w:gridSpan w:val="2"/>
          </w:tcPr>
          <w:p>
            <w:pPr>
              <w:spacing w:after="0"/>
              <w:rPr>
                <w:sz w:val="20"/>
                <w:szCs w:val="20"/>
                <w:color w:val="auto"/>
              </w:rPr>
            </w:pPr>
            <w:r>
              <w:rPr>
                <w:rFonts w:ascii="Arial" w:cs="Arial" w:eastAsia="Arial" w:hAnsi="Arial"/>
                <w:sz w:val="17"/>
                <w:szCs w:val="17"/>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31,043</w:t>
            </w:r>
          </w:p>
        </w:tc>
        <w:tc>
          <w:tcPr>
            <w:tcW w:w="100" w:type="dxa"/>
            <w:vAlign w:val="bottom"/>
          </w:tcPr>
          <w:p>
            <w:pPr>
              <w:spacing w:after="0"/>
              <w:rPr>
                <w:sz w:val="21"/>
                <w:szCs w:val="21"/>
                <w:color w:val="auto"/>
              </w:rPr>
            </w:pPr>
          </w:p>
        </w:tc>
        <w:tc>
          <w:tcPr>
            <w:tcW w:w="1120" w:type="dxa"/>
            <w:vAlign w:val="bottom"/>
          </w:tcPr>
          <w:p>
            <w:pPr>
              <w:jc w:val="right"/>
              <w:ind w:right="967"/>
              <w:spacing w:after="0"/>
              <w:rPr>
                <w:sz w:val="20"/>
                <w:szCs w:val="20"/>
                <w:color w:val="auto"/>
              </w:rPr>
            </w:pPr>
            <w:r>
              <w:rPr>
                <w:rFonts w:ascii="Arial" w:cs="Arial" w:eastAsia="Arial" w:hAnsi="Arial"/>
                <w:sz w:val="15"/>
                <w:szCs w:val="15"/>
                <w:color w:val="auto"/>
                <w:w w:val="71"/>
              </w:rPr>
              <w:t>$</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31,043</w:t>
            </w:r>
          </w:p>
        </w:tc>
        <w:tc>
          <w:tcPr>
            <w:tcW w:w="320" w:type="dxa"/>
            <w:vAlign w:val="bottom"/>
            <w:gridSpan w:val="2"/>
          </w:tcPr>
          <w:p>
            <w:pPr>
              <w:jc w:val="right"/>
              <w:ind w:right="4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300" w:type="dxa"/>
            <w:vAlign w:val="bottom"/>
            <w:gridSpan w:val="2"/>
          </w:tcPr>
          <w:p>
            <w:pPr>
              <w:spacing w:after="0"/>
              <w:rPr>
                <w:sz w:val="20"/>
                <w:szCs w:val="20"/>
                <w:color w:val="auto"/>
              </w:rPr>
            </w:pPr>
            <w:r>
              <w:rPr>
                <w:rFonts w:ascii="Arial" w:cs="Arial" w:eastAsia="Arial" w:hAnsi="Arial"/>
                <w:sz w:val="17"/>
                <w:szCs w:val="17"/>
                <w:color w:val="auto"/>
              </w:rPr>
              <w:t>Liabilities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0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Senior secured term loan B - variable rate, due October 24, 2022</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1,877,303</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1,877,303</w:t>
            </w:r>
          </w:p>
        </w:tc>
        <w:tc>
          <w:tcPr>
            <w:tcW w:w="320" w:type="dxa"/>
            <w:vAlign w:val="bottom"/>
            <w:gridSpan w:val="2"/>
            <w:shd w:val="clear" w:color="auto" w:fill="CFF0FC"/>
          </w:tcPr>
          <w:p>
            <w:pPr>
              <w:jc w:val="right"/>
              <w:ind w:right="4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00" w:type="dxa"/>
            <w:vAlign w:val="bottom"/>
            <w:gridSpan w:val="2"/>
          </w:tcPr>
          <w:p>
            <w:pPr>
              <w:ind w:left="120"/>
              <w:spacing w:after="0"/>
              <w:rPr>
                <w:sz w:val="20"/>
                <w:szCs w:val="20"/>
                <w:color w:val="auto"/>
              </w:rPr>
            </w:pPr>
            <w:r>
              <w:rPr>
                <w:rFonts w:ascii="Arial" w:cs="Arial" w:eastAsia="Arial" w:hAnsi="Arial"/>
                <w:sz w:val="17"/>
                <w:szCs w:val="17"/>
                <w:color w:val="auto"/>
              </w:rPr>
              <w:t>Senior secured notes - 6.00%, due April 15, 2023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504,625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504,625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0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Senior unsecured notes - 8.25%, due October 15, 2023</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965,700</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965,700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00" w:type="dxa"/>
            <w:vAlign w:val="bottom"/>
            <w:gridSpan w:val="2"/>
          </w:tcPr>
          <w:p>
            <w:pPr>
              <w:ind w:left="120"/>
              <w:spacing w:after="0"/>
              <w:rPr>
                <w:sz w:val="20"/>
                <w:szCs w:val="20"/>
                <w:color w:val="auto"/>
              </w:rPr>
            </w:pPr>
            <w:r>
              <w:rPr>
                <w:rFonts w:ascii="Arial" w:cs="Arial" w:eastAsia="Arial" w:hAnsi="Arial"/>
                <w:sz w:val="17"/>
                <w:szCs w:val="17"/>
                <w:color w:val="auto"/>
              </w:rPr>
              <w:t>Senior unsecured notes - 7.125%, due December 15, 2024</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496,500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496,500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0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Senior secured revolving credit facility, variable rate, due April 24, 2020</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639,936</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639,936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300" w:type="dxa"/>
            <w:vAlign w:val="bottom"/>
            <w:tcBorders>
              <w:bottom w:val="single" w:sz="8" w:color="CFF0FC"/>
            </w:tcBorders>
            <w:gridSpan w:val="2"/>
          </w:tcPr>
          <w:p>
            <w:pPr>
              <w:ind w:left="120"/>
              <w:spacing w:after="0"/>
              <w:rPr>
                <w:sz w:val="20"/>
                <w:szCs w:val="20"/>
                <w:color w:val="auto"/>
              </w:rPr>
            </w:pPr>
            <w:r>
              <w:rPr>
                <w:rFonts w:ascii="Arial" w:cs="Arial" w:eastAsia="Arial" w:hAnsi="Arial"/>
                <w:sz w:val="17"/>
                <w:szCs w:val="17"/>
                <w:color w:val="auto"/>
              </w:rPr>
              <w:t>Contingent consideration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83,401</w:t>
            </w:r>
          </w:p>
        </w:tc>
        <w:tc>
          <w:tcPr>
            <w:tcW w:w="1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83,401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4,567,465</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4,484,064</w:t>
            </w:r>
          </w:p>
        </w:tc>
        <w:tc>
          <w:tcPr>
            <w:tcW w:w="320" w:type="dxa"/>
            <w:vAlign w:val="bottom"/>
            <w:gridSpan w:val="2"/>
            <w:shd w:val="clear" w:color="auto" w:fill="CFF0FC"/>
          </w:tcPr>
          <w:p>
            <w:pPr>
              <w:jc w:val="right"/>
              <w:ind w:right="4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83,401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color w:val="auto"/>
        </w:rPr>
        <w:t>The carrying value of cash and cash equivalents, accounts and other receivables, and accounts, interest and dividends payable approximate fair values due to the short-term nature of these financial instruments.</w:t>
      </w:r>
    </w:p>
    <w:p>
      <w:pPr>
        <w:spacing w:after="0" w:line="159"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The total principal balance of our outstanding notes and other debt was $5.07 billion at March 31, 2019, with a fair value of $4.79 billion. The estimated fair value of our outstanding notes and other debt was based on available external pricing data and current market rates for similar debt instruments, among other factors, which are classified as Level 2 inputs within the fair value hierarchy. Derivative assets are carried at fair value. See Note 9. The fair value of an interest rate swap is determined based on the present value of expected future cash flows using observable, quoted LIBOR swap rates for the full term of the swap and also incorporate credit valuation adjustments to appropriately reflect both Uniti’s own non-performance risk and non-performance risk of the respective counterparties. The Company has determined that the majority of the inputs used to value its derivative assets fall within Level 2 of the fair value hierarchy; however the associated credit valuation adjustments utilized Level 3 inputs, such as estimates of credit spreads, to evaluate the likelihood of default by the Company and its counterparties. As of March 31, 2019, the Company has 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assets valuation in Level 2 of the fair value hierarchy.</w:t>
      </w:r>
    </w:p>
    <w:p>
      <w:pPr>
        <w:spacing w:after="0" w:line="17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merger agreement related to the July 3, 2017 acquisition of Hunt Telecommunications, LLC (“Hunt”) contained a contingent consideration arrangement (the “Hunt Contingent Consideration”) upon the achievement of certain defined revenue milestones. The fair value of the Hunt Contingent Consideration was determined using the closing price of our common shares in the active market and probability of expected declared dividends and is classified as Level 3. In accordance with the merger agreement, Uniti common shares will be used to satisfy the contingent consideration payment, and on January 4, 2019, we settled the Hunt Contingent Consideration in full satisfaction of the obligation through the issuance of 645,385 common shares having a fair value of $11.2 million.</w:t>
      </w:r>
    </w:p>
    <w:p>
      <w:pPr>
        <w:spacing w:after="0" w:line="163"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We acquired Tower Cloud, Inc. (“Tower Cloud”) on August 31, 2016. As part of the Tower Cloud acquisition, we may be obligated to pay contingent consideration upon achievement of certain defined operational and financial milestones. At the Company’s discretion, a combination of cash and Uniti common shares may be used to satisfy the contingent consideration payments, provided that at least 50% of the aggregate amount of payments is satisfied in cash. We recorded the estimated fair value of future contingent consideration of $60.8 million as of March 31, 2019. The fair value of the contingent consideration as of March 31, 2019, was determined using a discounted cash flow model and probability adjusted estimates of the future operational milestones and is classified as Level 3. During the three months ended March 31, 2019 and 2018, we paid $8.2 million and $12.7 million, respectively, for the achievement of certain milestones in accordance with the Tower Cloud merger agreement.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Changes in the fair value of contingent consideration arrangements are recorded in our Condensed Consolidated Statement of Income in the period in which the change occurs. For the three months ended March 31, 2019, there was a $3.3 million decrease in the fair value of the contingent consideration that was recorded in Other (income) expense on the Condensed Consolidated Statements of Income.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roll forward of our liabilities measured at fair value on a recurring basis using unobservable inputs (Level 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0"/>
              </w:rPr>
              <w:t>December 31, 2018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8"/>
              </w:rPr>
              <w:t>(Gain)/Loss included</w:t>
            </w:r>
          </w:p>
        </w:tc>
        <w:tc>
          <w:tcPr>
            <w:tcW w:w="1340" w:type="dxa"/>
            <w:vAlign w:val="bottom"/>
            <w:gridSpan w:val="3"/>
            <w:vMerge w:val="restart"/>
          </w:tcPr>
          <w:p>
            <w:pPr>
              <w:jc w:val="right"/>
              <w:ind w:right="254"/>
              <w:spacing w:after="0"/>
              <w:rPr>
                <w:sz w:val="20"/>
                <w:szCs w:val="20"/>
                <w:color w:val="auto"/>
              </w:rPr>
            </w:pPr>
            <w:r>
              <w:rPr>
                <w:rFonts w:ascii="Arial" w:cs="Arial" w:eastAsia="Arial" w:hAnsi="Arial"/>
                <w:sz w:val="14"/>
                <w:szCs w:val="14"/>
                <w:b w:val="1"/>
                <w:bCs w:val="1"/>
                <w:color w:val="auto"/>
              </w:rPr>
              <w:t>Settlements</w:t>
            </w:r>
          </w:p>
        </w:tc>
        <w:tc>
          <w:tcPr>
            <w:tcW w:w="24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w w:val="87"/>
              </w:rPr>
              <w:t>Transfers into Level 3</w:t>
            </w:r>
          </w:p>
        </w:tc>
        <w:tc>
          <w:tcPr>
            <w:tcW w:w="240" w:type="dxa"/>
            <w:vAlign w:val="bottom"/>
            <w:tcBorders>
              <w:bottom w:val="single" w:sz="8" w:color="CFF0FC"/>
            </w:tcBorders>
            <w:gridSpan w:val="2"/>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in earnings</w:t>
            </w:r>
          </w:p>
        </w:tc>
        <w:tc>
          <w:tcPr>
            <w:tcW w:w="22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Contingent consideration</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83,401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0" w:type="dxa"/>
            <w:vAlign w:val="bottom"/>
            <w:gridSpan w:val="5"/>
            <w:shd w:val="clear" w:color="auto" w:fill="CFF0FC"/>
          </w:tcPr>
          <w:p>
            <w:pPr>
              <w:jc w:val="right"/>
              <w:ind w:right="31"/>
              <w:spacing w:after="0"/>
              <w:rPr>
                <w:sz w:val="20"/>
                <w:szCs w:val="20"/>
                <w:color w:val="auto"/>
              </w:rPr>
            </w:pPr>
            <w:r>
              <w:rPr>
                <w:rFonts w:ascii="Arial" w:cs="Arial" w:eastAsia="Arial" w:hAnsi="Arial"/>
                <w:sz w:val="17"/>
                <w:szCs w:val="17"/>
                <w:color w:val="auto"/>
              </w:rPr>
              <w:t>-   $</w:t>
            </w:r>
          </w:p>
        </w:tc>
        <w:tc>
          <w:tcPr>
            <w:tcW w:w="1300" w:type="dxa"/>
            <w:vAlign w:val="bottom"/>
            <w:gridSpan w:val="3"/>
            <w:shd w:val="clear" w:color="auto" w:fill="CFF0FC"/>
          </w:tcPr>
          <w:p>
            <w:pPr>
              <w:jc w:val="right"/>
              <w:ind w:right="160"/>
              <w:spacing w:after="0"/>
              <w:rPr>
                <w:sz w:val="20"/>
                <w:szCs w:val="20"/>
                <w:color w:val="auto"/>
              </w:rPr>
            </w:pPr>
            <w:r>
              <w:rPr>
                <w:rFonts w:ascii="Arial" w:cs="Arial" w:eastAsia="Arial" w:hAnsi="Arial"/>
                <w:sz w:val="17"/>
                <w:szCs w:val="17"/>
                <w:color w:val="auto"/>
              </w:rPr>
              <w:t>(3,256)</w:t>
            </w:r>
          </w:p>
        </w:tc>
        <w:tc>
          <w:tcPr>
            <w:tcW w:w="800" w:type="dxa"/>
            <w:vAlign w:val="bottom"/>
            <w:shd w:val="clear" w:color="auto" w:fill="CFF0FC"/>
          </w:tcPr>
          <w:p>
            <w:pPr>
              <w:jc w:val="right"/>
              <w:ind w:right="615"/>
              <w:spacing w:after="0"/>
              <w:rPr>
                <w:sz w:val="20"/>
                <w:szCs w:val="20"/>
                <w:color w:val="auto"/>
              </w:rPr>
            </w:pPr>
            <w:r>
              <w:rPr>
                <w:rFonts w:ascii="Arial" w:cs="Arial" w:eastAsia="Arial" w:hAnsi="Arial"/>
                <w:sz w:val="17"/>
                <w:szCs w:val="17"/>
                <w:color w:val="auto"/>
                <w:w w:val="84"/>
              </w:rPr>
              <w:t>$</w:t>
            </w:r>
          </w:p>
        </w:tc>
        <w:tc>
          <w:tcPr>
            <w:tcW w:w="780" w:type="dxa"/>
            <w:vAlign w:val="bottom"/>
            <w:gridSpan w:val="3"/>
            <w:shd w:val="clear" w:color="auto" w:fill="CFF0FC"/>
          </w:tcPr>
          <w:p>
            <w:pPr>
              <w:jc w:val="right"/>
              <w:ind w:right="180"/>
              <w:spacing w:after="0"/>
              <w:rPr>
                <w:sz w:val="20"/>
                <w:szCs w:val="20"/>
                <w:color w:val="auto"/>
              </w:rPr>
            </w:pPr>
            <w:r>
              <w:rPr>
                <w:rFonts w:ascii="Arial" w:cs="Arial" w:eastAsia="Arial" w:hAnsi="Arial"/>
                <w:sz w:val="17"/>
                <w:szCs w:val="17"/>
                <w:color w:val="auto"/>
                <w:w w:val="91"/>
              </w:rPr>
              <w:t>(19,348)</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60,797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711"/>
        </w:trPr>
        <w:tc>
          <w:tcPr>
            <w:tcW w:w="3260" w:type="dxa"/>
            <w:vAlign w:val="bottom"/>
            <w:gridSpan w:val="2"/>
          </w:tcPr>
          <w:p>
            <w:pPr>
              <w:spacing w:after="0"/>
              <w:rPr>
                <w:sz w:val="20"/>
                <w:szCs w:val="20"/>
                <w:color w:val="auto"/>
              </w:rPr>
            </w:pPr>
            <w:r>
              <w:rPr>
                <w:rFonts w:ascii="Arial" w:cs="Arial" w:eastAsia="Arial" w:hAnsi="Arial"/>
                <w:sz w:val="17"/>
                <w:szCs w:val="17"/>
                <w:b w:val="1"/>
                <w:bCs w:val="1"/>
                <w:color w:val="auto"/>
              </w:rPr>
              <w:t>Note 8. Property, Plant and Equipment</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740" w:type="dxa"/>
            <w:vAlign w:val="bottom"/>
            <w:gridSpan w:val="4"/>
          </w:tcPr>
          <w:p>
            <w:pPr>
              <w:spacing w:after="0"/>
              <w:rPr>
                <w:sz w:val="20"/>
                <w:szCs w:val="20"/>
                <w:color w:val="auto"/>
              </w:rPr>
            </w:pPr>
            <w:r>
              <w:rPr>
                <w:rFonts w:ascii="Arial" w:cs="Arial" w:eastAsia="Arial" w:hAnsi="Arial"/>
                <w:sz w:val="17"/>
                <w:szCs w:val="17"/>
                <w:color w:val="auto"/>
                <w:w w:val="96"/>
              </w:rPr>
              <w:t>The carrying value of property, plant and equipment is as follows: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Depreciable Lives</w:t>
            </w:r>
          </w:p>
        </w:tc>
        <w:tc>
          <w:tcPr>
            <w:tcW w:w="220" w:type="dxa"/>
            <w:vAlign w:val="bottom"/>
            <w:gridSpan w:val="2"/>
            <w:vMerge w:val="restart"/>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3"/>
            <w:vMerge w:val="restart"/>
          </w:tcPr>
          <w:p>
            <w:pPr>
              <w:jc w:val="right"/>
              <w:ind w:right="455"/>
              <w:spacing w:after="0"/>
              <w:rPr>
                <w:sz w:val="20"/>
                <w:szCs w:val="20"/>
                <w:color w:val="auto"/>
              </w:rPr>
            </w:pPr>
            <w:r>
              <w:rPr>
                <w:rFonts w:ascii="Arial" w:cs="Arial" w:eastAsia="Arial" w:hAnsi="Arial"/>
                <w:sz w:val="14"/>
                <w:szCs w:val="14"/>
                <w:b w:val="1"/>
                <w:bCs w:val="1"/>
                <w:color w:val="auto"/>
              </w:rPr>
              <w:t>March 31, 2019</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gridSpan w:val="2"/>
            <w:vMerge w:val="continue"/>
          </w:tcPr>
          <w:p>
            <w:pPr>
              <w:spacing w:after="0"/>
              <w:rPr>
                <w:sz w:val="13"/>
                <w:szCs w:val="13"/>
                <w:color w:val="auto"/>
              </w:rPr>
            </w:pPr>
          </w:p>
        </w:tc>
        <w:tc>
          <w:tcPr>
            <w:tcW w:w="220" w:type="dxa"/>
            <w:vAlign w:val="bottom"/>
            <w:tcBorders>
              <w:bottom w:val="single" w:sz="8" w:color="CFF0FC"/>
            </w:tcBorders>
            <w:gridSpan w:val="2"/>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98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Land</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gridSpan w:val="4"/>
            <w:shd w:val="clear" w:color="auto" w:fill="CFF0FC"/>
          </w:tcPr>
          <w:p>
            <w:pPr>
              <w:jc w:val="right"/>
              <w:ind w:right="151"/>
              <w:spacing w:after="0"/>
              <w:rPr>
                <w:sz w:val="20"/>
                <w:szCs w:val="20"/>
                <w:color w:val="auto"/>
              </w:rPr>
            </w:pPr>
            <w:r>
              <w:rPr>
                <w:rFonts w:ascii="Arial" w:cs="Arial" w:eastAsia="Arial" w:hAnsi="Arial"/>
                <w:sz w:val="17"/>
                <w:szCs w:val="17"/>
                <w:color w:val="auto"/>
              </w:rPr>
              <w:t>Indefinite</w:t>
            </w:r>
          </w:p>
        </w:tc>
        <w:tc>
          <w:tcPr>
            <w:tcW w:w="108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27,567</w:t>
            </w:r>
          </w:p>
        </w:tc>
        <w:tc>
          <w:tcPr>
            <w:tcW w:w="540" w:type="dxa"/>
            <w:vAlign w:val="bottom"/>
            <w:gridSpan w:val="2"/>
            <w:shd w:val="clear" w:color="auto" w:fill="CFF0FC"/>
          </w:tcPr>
          <w:p>
            <w:pPr>
              <w:jc w:val="right"/>
              <w:ind w:right="14"/>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60" w:type="dxa"/>
            <w:vAlign w:val="bottom"/>
            <w:gridSpan w:val="2"/>
          </w:tcPr>
          <w:p>
            <w:pPr>
              <w:spacing w:after="0"/>
              <w:rPr>
                <w:sz w:val="20"/>
                <w:szCs w:val="20"/>
                <w:color w:val="auto"/>
              </w:rPr>
            </w:pPr>
            <w:r>
              <w:rPr>
                <w:rFonts w:ascii="Arial" w:cs="Arial" w:eastAsia="Arial" w:hAnsi="Arial"/>
                <w:sz w:val="17"/>
                <w:szCs w:val="17"/>
                <w:color w:val="auto"/>
              </w:rPr>
              <w:t>Building and improvements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4"/>
          </w:tcPr>
          <w:p>
            <w:pPr>
              <w:jc w:val="right"/>
              <w:ind w:right="151"/>
              <w:spacing w:after="0"/>
              <w:rPr>
                <w:sz w:val="20"/>
                <w:szCs w:val="20"/>
                <w:color w:val="auto"/>
              </w:rPr>
            </w:pPr>
            <w:r>
              <w:rPr>
                <w:rFonts w:ascii="Arial" w:cs="Arial" w:eastAsia="Arial" w:hAnsi="Arial"/>
                <w:sz w:val="17"/>
                <w:szCs w:val="17"/>
                <w:color w:val="auto"/>
              </w:rPr>
              <w:t>3 - 40 years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342,883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340,238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Real property interests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gridSpan w:val="5"/>
            <w:shd w:val="clear" w:color="auto" w:fill="CFF0FC"/>
          </w:tcPr>
          <w:p>
            <w:pPr>
              <w:jc w:val="right"/>
              <w:ind w:right="91"/>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34,878</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tcPr>
          <w:p>
            <w:pPr>
              <w:spacing w:after="0"/>
              <w:rPr>
                <w:sz w:val="20"/>
                <w:szCs w:val="20"/>
                <w:color w:val="auto"/>
              </w:rPr>
            </w:pPr>
            <w:r>
              <w:rPr>
                <w:rFonts w:ascii="Arial" w:cs="Arial" w:eastAsia="Arial" w:hAnsi="Arial"/>
                <w:sz w:val="17"/>
                <w:szCs w:val="17"/>
                <w:color w:val="auto"/>
              </w:rPr>
              <w:t>Poles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4"/>
          </w:tcPr>
          <w:p>
            <w:pPr>
              <w:jc w:val="right"/>
              <w:ind w:right="151"/>
              <w:spacing w:after="0"/>
              <w:rPr>
                <w:sz w:val="20"/>
                <w:szCs w:val="20"/>
                <w:color w:val="auto"/>
              </w:rPr>
            </w:pPr>
            <w:r>
              <w:rPr>
                <w:rFonts w:ascii="Arial" w:cs="Arial" w:eastAsia="Arial" w:hAnsi="Arial"/>
                <w:sz w:val="17"/>
                <w:szCs w:val="17"/>
                <w:color w:val="auto"/>
              </w:rPr>
              <w:t>30 years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251,235</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248,989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Fiber</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gridSpan w:val="4"/>
            <w:shd w:val="clear" w:color="auto" w:fill="CFF0FC"/>
          </w:tcPr>
          <w:p>
            <w:pPr>
              <w:jc w:val="right"/>
              <w:ind w:right="151"/>
              <w:spacing w:after="0"/>
              <w:rPr>
                <w:sz w:val="20"/>
                <w:szCs w:val="20"/>
                <w:color w:val="auto"/>
              </w:rPr>
            </w:pPr>
            <w:r>
              <w:rPr>
                <w:rFonts w:ascii="Arial" w:cs="Arial" w:eastAsia="Arial" w:hAnsi="Arial"/>
                <w:sz w:val="17"/>
                <w:szCs w:val="17"/>
                <w:color w:val="auto"/>
              </w:rPr>
              <w:t>30 years</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3,086,635</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3,005,304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tcPr>
          <w:p>
            <w:pPr>
              <w:spacing w:after="0"/>
              <w:rPr>
                <w:sz w:val="20"/>
                <w:szCs w:val="20"/>
                <w:color w:val="auto"/>
              </w:rPr>
            </w:pPr>
            <w:r>
              <w:rPr>
                <w:rFonts w:ascii="Arial" w:cs="Arial" w:eastAsia="Arial" w:hAnsi="Arial"/>
                <w:sz w:val="17"/>
                <w:szCs w:val="17"/>
                <w:color w:val="auto"/>
              </w:rPr>
              <w:t>Equipment</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4"/>
          </w:tcPr>
          <w:p>
            <w:pPr>
              <w:jc w:val="right"/>
              <w:ind w:right="151"/>
              <w:spacing w:after="0"/>
              <w:rPr>
                <w:sz w:val="20"/>
                <w:szCs w:val="20"/>
                <w:color w:val="auto"/>
              </w:rPr>
            </w:pPr>
            <w:r>
              <w:rPr>
                <w:rFonts w:ascii="Arial" w:cs="Arial" w:eastAsia="Arial" w:hAnsi="Arial"/>
                <w:sz w:val="17"/>
                <w:szCs w:val="17"/>
                <w:color w:val="auto"/>
              </w:rPr>
              <w:t>5 - 7 years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251,894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256,838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Copper</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gridSpan w:val="4"/>
            <w:shd w:val="clear" w:color="auto" w:fill="CFF0FC"/>
          </w:tcPr>
          <w:p>
            <w:pPr>
              <w:jc w:val="right"/>
              <w:ind w:right="151"/>
              <w:spacing w:after="0"/>
              <w:rPr>
                <w:sz w:val="20"/>
                <w:szCs w:val="20"/>
                <w:color w:val="auto"/>
              </w:rPr>
            </w:pPr>
            <w:r>
              <w:rPr>
                <w:rFonts w:ascii="Arial" w:cs="Arial" w:eastAsia="Arial" w:hAnsi="Arial"/>
                <w:sz w:val="17"/>
                <w:szCs w:val="17"/>
                <w:color w:val="auto"/>
              </w:rPr>
              <w:t>20 years</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3,732,409</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3,721,649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tcPr>
          <w:p>
            <w:pPr>
              <w:spacing w:after="0"/>
              <w:rPr>
                <w:sz w:val="20"/>
                <w:szCs w:val="20"/>
                <w:color w:val="auto"/>
              </w:rPr>
            </w:pPr>
            <w:r>
              <w:rPr>
                <w:rFonts w:ascii="Arial" w:cs="Arial" w:eastAsia="Arial" w:hAnsi="Arial"/>
                <w:sz w:val="17"/>
                <w:szCs w:val="17"/>
                <w:color w:val="auto"/>
              </w:rPr>
              <w:t>Conduit</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4"/>
          </w:tcPr>
          <w:p>
            <w:pPr>
              <w:jc w:val="right"/>
              <w:ind w:right="151"/>
              <w:spacing w:after="0"/>
              <w:rPr>
                <w:sz w:val="20"/>
                <w:szCs w:val="20"/>
                <w:color w:val="auto"/>
              </w:rPr>
            </w:pPr>
            <w:r>
              <w:rPr>
                <w:rFonts w:ascii="Arial" w:cs="Arial" w:eastAsia="Arial" w:hAnsi="Arial"/>
                <w:sz w:val="17"/>
                <w:szCs w:val="17"/>
                <w:color w:val="auto"/>
              </w:rPr>
              <w:t>30 years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89,740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89,692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Tower assets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gridSpan w:val="4"/>
            <w:shd w:val="clear" w:color="auto" w:fill="CFF0FC"/>
          </w:tcPr>
          <w:p>
            <w:pPr>
              <w:jc w:val="right"/>
              <w:ind w:right="151"/>
              <w:spacing w:after="0"/>
              <w:rPr>
                <w:sz w:val="20"/>
                <w:szCs w:val="20"/>
                <w:color w:val="auto"/>
              </w:rPr>
            </w:pPr>
            <w:r>
              <w:rPr>
                <w:rFonts w:ascii="Arial" w:cs="Arial" w:eastAsia="Arial" w:hAnsi="Arial"/>
                <w:sz w:val="17"/>
                <w:szCs w:val="17"/>
                <w:color w:val="auto"/>
              </w:rPr>
              <w:t>20 years</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98,941</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120,073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tcPr>
          <w:p>
            <w:pPr>
              <w:spacing w:after="0"/>
              <w:rPr>
                <w:sz w:val="20"/>
                <w:szCs w:val="20"/>
                <w:color w:val="auto"/>
              </w:rPr>
            </w:pPr>
            <w:r>
              <w:rPr>
                <w:rFonts w:ascii="Arial" w:cs="Arial" w:eastAsia="Arial" w:hAnsi="Arial"/>
                <w:sz w:val="17"/>
                <w:szCs w:val="17"/>
                <w:color w:val="auto"/>
              </w:rPr>
              <w:t>Capital lease assets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5"/>
          </w:tcPr>
          <w:p>
            <w:pPr>
              <w:jc w:val="right"/>
              <w:ind w:right="91"/>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128,098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123,017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gridSpan w:val="4"/>
            <w:shd w:val="clear" w:color="auto" w:fill="CFF0FC"/>
          </w:tcPr>
          <w:p>
            <w:pPr>
              <w:jc w:val="right"/>
              <w:ind w:right="151"/>
              <w:spacing w:after="0"/>
              <w:rPr>
                <w:sz w:val="20"/>
                <w:szCs w:val="20"/>
                <w:color w:val="auto"/>
              </w:rPr>
            </w:pPr>
            <w:r>
              <w:rPr>
                <w:rFonts w:ascii="Arial" w:cs="Arial" w:eastAsia="Arial" w:hAnsi="Arial"/>
                <w:sz w:val="17"/>
                <w:szCs w:val="17"/>
                <w:color w:val="auto"/>
              </w:rPr>
              <w:t>15 - 20 years</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11,762</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tcPr>
          <w:p>
            <w:pPr>
              <w:spacing w:after="0"/>
              <w:rPr>
                <w:sz w:val="20"/>
                <w:szCs w:val="20"/>
                <w:color w:val="auto"/>
              </w:rPr>
            </w:pPr>
            <w:r>
              <w:rPr>
                <w:rFonts w:ascii="Arial" w:cs="Arial" w:eastAsia="Arial" w:hAnsi="Arial"/>
                <w:sz w:val="17"/>
                <w:szCs w:val="17"/>
                <w:color w:val="auto"/>
              </w:rPr>
              <w:t>Corporate assets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4"/>
          </w:tcPr>
          <w:p>
            <w:pPr>
              <w:jc w:val="right"/>
              <w:ind w:right="151"/>
              <w:spacing w:after="0"/>
              <w:rPr>
                <w:sz w:val="20"/>
                <w:szCs w:val="20"/>
                <w:color w:val="auto"/>
              </w:rPr>
            </w:pPr>
            <w:r>
              <w:rPr>
                <w:rFonts w:ascii="Arial" w:cs="Arial" w:eastAsia="Arial" w:hAnsi="Arial"/>
                <w:sz w:val="17"/>
                <w:szCs w:val="17"/>
                <w:color w:val="auto"/>
              </w:rPr>
              <w:t>3 - 7 years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4,140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Construction in progress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gridSpan w:val="5"/>
            <w:shd w:val="clear" w:color="auto" w:fill="CFF0FC"/>
          </w:tcPr>
          <w:p>
            <w:pPr>
              <w:jc w:val="right"/>
              <w:ind w:right="91"/>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114,814</w:t>
            </w:r>
          </w:p>
        </w:tc>
        <w:tc>
          <w:tcPr>
            <w:tcW w:w="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137,585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8,174,996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8,123,305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Less accumulated depreciation</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94"/>
              <w:spacing w:after="0"/>
              <w:rPr>
                <w:sz w:val="20"/>
                <w:szCs w:val="20"/>
                <w:color w:val="auto"/>
              </w:rPr>
            </w:pPr>
            <w:r>
              <w:rPr>
                <w:rFonts w:ascii="Arial" w:cs="Arial" w:eastAsia="Arial" w:hAnsi="Arial"/>
                <w:sz w:val="17"/>
                <w:szCs w:val="17"/>
                <w:color w:val="auto"/>
                <w:w w:val="96"/>
              </w:rPr>
              <w:t>(5,000,252)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(4,914,299)</w:t>
            </w:r>
          </w:p>
        </w:tc>
        <w:tc>
          <w:tcPr>
            <w:tcW w:w="0" w:type="dxa"/>
            <w:vAlign w:val="bottom"/>
          </w:tcPr>
          <w:p>
            <w:pPr>
              <w:spacing w:after="0"/>
              <w:rPr>
                <w:sz w:val="1"/>
                <w:szCs w:val="1"/>
                <w:color w:val="auto"/>
              </w:rPr>
            </w:pPr>
          </w:p>
        </w:tc>
      </w:tr>
      <w:tr>
        <w:trPr>
          <w:trHeight w:val="213"/>
        </w:trPr>
        <w:tc>
          <w:tcPr>
            <w:tcW w:w="3260" w:type="dxa"/>
            <w:vAlign w:val="bottom"/>
            <w:gridSpan w:val="2"/>
          </w:tcPr>
          <w:p>
            <w:pPr>
              <w:spacing w:after="0"/>
              <w:rPr>
                <w:sz w:val="20"/>
                <w:szCs w:val="20"/>
                <w:color w:val="auto"/>
              </w:rPr>
            </w:pPr>
            <w:r>
              <w:rPr>
                <w:rFonts w:ascii="Arial" w:cs="Arial" w:eastAsia="Arial" w:hAnsi="Arial"/>
                <w:sz w:val="17"/>
                <w:szCs w:val="17"/>
                <w:color w:val="auto"/>
              </w:rPr>
              <w:t>Net property, plant and equipment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3,174,744</w:t>
            </w:r>
          </w:p>
        </w:tc>
        <w:tc>
          <w:tcPr>
            <w:tcW w:w="34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3,209,006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4432300</wp:posOffset>
            </wp:positionH>
            <wp:positionV relativeFrom="paragraph">
              <wp:posOffset>0</wp:posOffset>
            </wp:positionV>
            <wp:extent cx="2748280"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48280" cy="2476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See our Annual Report for property, plant and equipment accounting policies.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three months ended March 31, 2019 and 2018 was $97.5 million and $108.2 million,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Derivative Instruments and Hedging Activities</w:t>
      </w:r>
    </w:p>
    <w:p>
      <w:pPr>
        <w:spacing w:after="0" w:line="121" w:lineRule="exact"/>
        <w:rPr>
          <w:sz w:val="20"/>
          <w:szCs w:val="20"/>
          <w:color w:val="auto"/>
        </w:rPr>
      </w:pPr>
    </w:p>
    <w:p>
      <w:pPr>
        <w:ind w:right="400"/>
        <w:spacing w:after="0" w:line="315" w:lineRule="auto"/>
        <w:rPr>
          <w:sz w:val="20"/>
          <w:szCs w:val="20"/>
          <w:color w:val="auto"/>
        </w:rPr>
      </w:pPr>
      <w:r>
        <w:rPr>
          <w:rFonts w:ascii="Arial" w:cs="Arial" w:eastAsia="Arial" w:hAnsi="Arial"/>
          <w:sz w:val="16"/>
          <w:szCs w:val="16"/>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3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On April 27, 2015, we entered into fixed for floating interest rate swap agreements to mitigate the interest rate risk inherent in our variable rate Senior Secured Term Loan B facility. These interest rate swaps are designated as cash flow hedges and have a notional value of $2.06 billion and mature on October 24, 2022. The weighted average fixed rate paid is 2.105%, and the variable rate received resets monthly to the one-month LIBOR subject to a minimum rate of 1.0%. The Company does not currently have any master netting arrangements related to its derivative contracts.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and the presentation in our Condensed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Location on Condensed Consolidated</w:t>
            </w:r>
          </w:p>
        </w:tc>
        <w:tc>
          <w:tcPr>
            <w:tcW w:w="240" w:type="dxa"/>
            <w:vAlign w:val="bottom"/>
          </w:tcPr>
          <w:p>
            <w:pPr>
              <w:spacing w:after="0"/>
              <w:rPr>
                <w:sz w:val="14"/>
                <w:szCs w:val="14"/>
                <w:color w:val="auto"/>
              </w:rPr>
            </w:pPr>
          </w:p>
        </w:tc>
        <w:tc>
          <w:tcPr>
            <w:tcW w:w="150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auto"/>
                <w:w w:val="95"/>
              </w:rPr>
              <w:t>December 31, 2018</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80" w:type="dxa"/>
            <w:vAlign w:val="bottom"/>
            <w:tcBorders>
              <w:bottom w:val="single" w:sz="8" w:color="CFF0FC"/>
            </w:tcBorders>
          </w:tcPr>
          <w:p>
            <w:pPr>
              <w:spacing w:after="0"/>
              <w:rPr>
                <w:sz w:val="14"/>
                <w:szCs w:val="14"/>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Balance Sheets</w:t>
            </w:r>
          </w:p>
        </w:tc>
        <w:tc>
          <w:tcPr>
            <w:tcW w:w="1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8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Interest rate swaps</w:t>
            </w:r>
          </w:p>
        </w:tc>
        <w:tc>
          <w:tcPr>
            <w:tcW w:w="276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0"/>
              </w:rPr>
              <w:t>Derivative asset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9,357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31,043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As of March 31, 2019 and December 31, 2018, all of the interest rate swaps were valued in net unrealized gain positions and recognized as asset balances within the derivative asset balance. For the three months ended March 31, 2019, the amount recorded in other comprehensive income related to the unrealized loss on derivative instruments was $19.6 million. For the three months ended March 31, 2018, the amount recorded in other comprehensive income related to the unrealized gain on derivative instruments was $32.7 million. The amount reclassified out of other comprehensive income into interest expense on our Condensed Consolidated Statement of Income for the three months ended March 31, 2019, was a benefit of $2.1 million. The amount reclassified out of other comprehensive income into interest expense on our Condensed Consolidated Statement of Income for the three months ended March 31, 2018, was $2.6 million. For the three months ended March 31, 2019 and 2018, there was no ineffective portion of the change in fair value derivatives.</w:t>
      </w:r>
    </w:p>
    <w:p>
      <w:pPr>
        <w:spacing w:after="0" w:line="167" w:lineRule="exact"/>
        <w:rPr>
          <w:sz w:val="20"/>
          <w:szCs w:val="20"/>
          <w:color w:val="auto"/>
        </w:rPr>
      </w:pPr>
    </w:p>
    <w:p>
      <w:pPr>
        <w:ind w:right="180"/>
        <w:spacing w:after="0" w:line="352" w:lineRule="auto"/>
        <w:rPr>
          <w:sz w:val="20"/>
          <w:szCs w:val="20"/>
          <w:color w:val="auto"/>
        </w:rPr>
      </w:pPr>
      <w:r>
        <w:rPr>
          <w:rFonts w:ascii="Arial" w:cs="Arial" w:eastAsia="Arial" w:hAnsi="Arial"/>
          <w:sz w:val="15"/>
          <w:szCs w:val="15"/>
          <w:color w:val="auto"/>
        </w:rPr>
        <w:t>Amounts reported in accumulated other comprehensive income (loss) related to derivatives will be reclassified to interest expense as interest payments are made on our variable-rate debt. During the next twelve months, beginning April 1, 2019, we estimate that $8.2 million will be reclassified as a benefit to interest expense.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Goodwill and Intangible Assets and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carrying amount of goodwill occurring during the three months ended March 31, 2019,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6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Fiber Infrastructure</w:t>
            </w: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1037"/>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00" w:type="dxa"/>
            <w:vAlign w:val="bottom"/>
            <w:shd w:val="clear" w:color="auto" w:fill="CFF0FC"/>
          </w:tcPr>
          <w:p>
            <w:pPr>
              <w:spacing w:after="0"/>
              <w:rPr>
                <w:sz w:val="20"/>
                <w:szCs w:val="20"/>
                <w:color w:val="auto"/>
              </w:rPr>
            </w:pPr>
            <w:r>
              <w:rPr>
                <w:rFonts w:ascii="Arial" w:cs="Arial" w:eastAsia="Arial" w:hAnsi="Arial"/>
                <w:sz w:val="17"/>
                <w:szCs w:val="17"/>
                <w:color w:val="auto"/>
              </w:rPr>
              <w:t>Goodwill at December 31, 2018</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692,385</w:t>
            </w:r>
          </w:p>
        </w:tc>
        <w:tc>
          <w:tcPr>
            <w:tcW w:w="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520"/>
              <w:spacing w:after="0"/>
              <w:rPr>
                <w:sz w:val="20"/>
                <w:szCs w:val="20"/>
                <w:color w:val="auto"/>
              </w:rPr>
            </w:pPr>
            <w:r>
              <w:rPr>
                <w:rFonts w:ascii="Arial" w:cs="Arial" w:eastAsia="Arial" w:hAnsi="Arial"/>
                <w:sz w:val="17"/>
                <w:szCs w:val="17"/>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692,385</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00" w:type="dxa"/>
            <w:vAlign w:val="bottom"/>
          </w:tcPr>
          <w:p>
            <w:pPr>
              <w:spacing w:after="0"/>
              <w:rPr>
                <w:sz w:val="20"/>
                <w:szCs w:val="20"/>
                <w:color w:val="auto"/>
              </w:rPr>
            </w:pPr>
            <w:r>
              <w:rPr>
                <w:rFonts w:ascii="Arial" w:cs="Arial" w:eastAsia="Arial" w:hAnsi="Arial"/>
                <w:sz w:val="17"/>
                <w:szCs w:val="17"/>
                <w:color w:val="auto"/>
              </w:rPr>
              <w:t>Goodwill purchase accounting adjustments - See Note 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17"/>
                <w:szCs w:val="17"/>
                <w:color w:val="auto"/>
              </w:rPr>
              <w:t>(1,269)</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7"/>
                <w:szCs w:val="17"/>
                <w:color w:val="auto"/>
              </w:rPr>
              <w:t>(1,269)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00" w:type="dxa"/>
            <w:vAlign w:val="bottom"/>
            <w:shd w:val="clear" w:color="auto" w:fill="CFF0FC"/>
          </w:tcPr>
          <w:p>
            <w:pPr>
              <w:spacing w:after="0"/>
              <w:rPr>
                <w:sz w:val="20"/>
                <w:szCs w:val="20"/>
                <w:color w:val="auto"/>
              </w:rPr>
            </w:pPr>
            <w:r>
              <w:rPr>
                <w:rFonts w:ascii="Arial" w:cs="Arial" w:eastAsia="Arial" w:hAnsi="Arial"/>
                <w:sz w:val="17"/>
                <w:szCs w:val="17"/>
                <w:color w:val="auto"/>
              </w:rPr>
              <w:t>Goodwill associated with 2019 acquisitions</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1,770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1,770</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00" w:type="dxa"/>
            <w:vAlign w:val="bottom"/>
          </w:tcPr>
          <w:p>
            <w:pPr>
              <w:spacing w:after="0"/>
              <w:rPr>
                <w:sz w:val="20"/>
                <w:szCs w:val="20"/>
                <w:color w:val="auto"/>
              </w:rPr>
            </w:pPr>
            <w:r>
              <w:rPr>
                <w:rFonts w:ascii="Arial" w:cs="Arial" w:eastAsia="Arial" w:hAnsi="Arial"/>
                <w:sz w:val="17"/>
                <w:szCs w:val="17"/>
                <w:color w:val="auto"/>
              </w:rPr>
              <w:t>Goodwill at March 31, 2019</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692,886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692,886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7"/>
                <w:szCs w:val="17"/>
                <w:color w:val="auto"/>
                <w:w w:val="94"/>
              </w:rPr>
              <w:t>25</w:t>
            </w:r>
          </w:p>
        </w:tc>
        <w:tc>
          <w:tcPr>
            <w:tcW w:w="3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560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of the intangible assets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0"/>
              </w:rPr>
              <w:t>March 31, 2019</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Original</w:t>
            </w:r>
          </w:p>
        </w:tc>
        <w:tc>
          <w:tcPr>
            <w:tcW w:w="80" w:type="dxa"/>
            <w:vAlign w:val="bottom"/>
          </w:tcPr>
          <w:p>
            <w:pPr>
              <w:spacing w:after="0"/>
              <w:rPr>
                <w:sz w:val="10"/>
                <w:szCs w:val="10"/>
                <w:color w:val="auto"/>
              </w:rPr>
            </w:pPr>
          </w:p>
        </w:tc>
        <w:tc>
          <w:tcPr>
            <w:tcW w:w="1120" w:type="dxa"/>
            <w:vAlign w:val="bottom"/>
          </w:tcPr>
          <w:p>
            <w:pPr>
              <w:jc w:val="center"/>
              <w:ind w:left="31"/>
              <w:spacing w:after="0" w:line="126" w:lineRule="exact"/>
              <w:rPr>
                <w:sz w:val="20"/>
                <w:szCs w:val="20"/>
                <w:color w:val="auto"/>
              </w:rPr>
            </w:pPr>
            <w:r>
              <w:rPr>
                <w:rFonts w:ascii="Arial" w:cs="Arial" w:eastAsia="Arial" w:hAnsi="Arial"/>
                <w:sz w:val="14"/>
                <w:szCs w:val="14"/>
                <w:b w:val="1"/>
                <w:bCs w:val="1"/>
                <w:color w:val="auto"/>
                <w:w w:val="92"/>
              </w:rPr>
              <w:t>Cumulative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0"/>
                <w:szCs w:val="10"/>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Original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right"/>
              <w:ind w:right="460"/>
              <w:spacing w:after="0" w:line="126" w:lineRule="exact"/>
              <w:rPr>
                <w:sz w:val="20"/>
                <w:szCs w:val="20"/>
                <w:color w:val="auto"/>
              </w:rPr>
            </w:pPr>
            <w:r>
              <w:rPr>
                <w:rFonts w:ascii="Arial" w:cs="Arial" w:eastAsia="Arial" w:hAnsi="Arial"/>
                <w:sz w:val="14"/>
                <w:szCs w:val="14"/>
                <w:b w:val="1"/>
                <w:bCs w:val="1"/>
                <w:color w:val="auto"/>
              </w:rPr>
              <w:t>Cumulative</w:t>
            </w:r>
          </w:p>
        </w:tc>
        <w:tc>
          <w:tcPr>
            <w:tcW w:w="140" w:type="dxa"/>
            <w:vAlign w:val="bottom"/>
          </w:tcPr>
          <w:p>
            <w:pPr>
              <w:spacing w:after="0"/>
              <w:rPr>
                <w:sz w:val="10"/>
                <w:szCs w:val="10"/>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left="51"/>
              <w:spacing w:after="0" w:line="142" w:lineRule="exact"/>
              <w:rPr>
                <w:sz w:val="20"/>
                <w:szCs w:val="20"/>
                <w:color w:val="auto"/>
              </w:rPr>
            </w:pPr>
            <w:r>
              <w:rPr>
                <w:rFonts w:ascii="Arial" w:cs="Arial" w:eastAsia="Arial" w:hAnsi="Arial"/>
                <w:sz w:val="14"/>
                <w:szCs w:val="14"/>
                <w:b w:val="1"/>
                <w:bCs w:val="1"/>
                <w:color w:val="auto"/>
                <w:w w:val="90"/>
              </w:rPr>
              <w:t>Translation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8"/>
              </w:rPr>
              <w:t>Translation</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120" w:type="dxa"/>
            <w:vAlign w:val="bottom"/>
          </w:tcPr>
          <w:p>
            <w:pPr>
              <w:jc w:val="center"/>
              <w:ind w:left="31"/>
              <w:spacing w:after="0"/>
              <w:rPr>
                <w:sz w:val="20"/>
                <w:szCs w:val="20"/>
                <w:color w:val="auto"/>
              </w:rPr>
            </w:pPr>
            <w:r>
              <w:rPr>
                <w:rFonts w:ascii="Arial" w:cs="Arial" w:eastAsia="Arial" w:hAnsi="Arial"/>
                <w:sz w:val="14"/>
                <w:szCs w:val="14"/>
                <w:b w:val="1"/>
                <w:bCs w:val="1"/>
                <w:color w:val="auto"/>
                <w:w w:val="90"/>
              </w:rPr>
              <w:t>Adjustment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Adjustment</w:t>
            </w:r>
          </w:p>
        </w:tc>
        <w:tc>
          <w:tcPr>
            <w:tcW w:w="14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25"/>
        </w:trPr>
        <w:tc>
          <w:tcPr>
            <w:tcW w:w="28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Indefinite life intangible assets:</w:t>
            </w: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gridSpan w:val="2"/>
          </w:tcPr>
          <w:p>
            <w:pPr>
              <w:spacing w:after="0"/>
              <w:rPr>
                <w:sz w:val="20"/>
                <w:szCs w:val="20"/>
                <w:color w:val="auto"/>
              </w:rPr>
            </w:pPr>
            <w:r>
              <w:rPr>
                <w:rFonts w:ascii="Arial" w:cs="Arial" w:eastAsia="Arial" w:hAnsi="Arial"/>
                <w:sz w:val="17"/>
                <w:szCs w:val="17"/>
                <w:color w:val="auto"/>
              </w:rPr>
              <w:t>Trade name</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2,000</w:t>
            </w:r>
          </w:p>
        </w:tc>
        <w:tc>
          <w:tcPr>
            <w:tcW w:w="140" w:type="dxa"/>
            <w:vAlign w:val="bottom"/>
          </w:tcPr>
          <w:p>
            <w:pPr>
              <w:spacing w:after="0"/>
              <w:rPr>
                <w:sz w:val="19"/>
                <w:szCs w:val="19"/>
                <w:color w:val="auto"/>
              </w:rPr>
            </w:pPr>
          </w:p>
        </w:tc>
        <w:tc>
          <w:tcPr>
            <w:tcW w:w="1200" w:type="dxa"/>
            <w:vAlign w:val="bottom"/>
            <w:gridSpan w:val="2"/>
          </w:tcPr>
          <w:p>
            <w:pPr>
              <w:jc w:val="right"/>
              <w:ind w:right="951"/>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2,000</w:t>
            </w:r>
          </w:p>
        </w:tc>
        <w:tc>
          <w:tcPr>
            <w:tcW w:w="14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80" w:type="dxa"/>
            <w:vAlign w:val="bottom"/>
            <w:gridSpan w:val="2"/>
          </w:tcPr>
          <w:p>
            <w:pPr>
              <w:spacing w:after="0"/>
              <w:rPr>
                <w:sz w:val="20"/>
                <w:szCs w:val="20"/>
                <w:color w:val="auto"/>
              </w:rPr>
            </w:pPr>
            <w:r>
              <w:rPr>
                <w:rFonts w:ascii="Arial" w:cs="Arial" w:eastAsia="Arial" w:hAnsi="Arial"/>
                <w:sz w:val="17"/>
                <w:szCs w:val="17"/>
                <w:color w:val="auto"/>
              </w:rPr>
              <w:t>Finite life intangible assets: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Customer lists</w:t>
            </w:r>
            <w:r>
              <w:rPr>
                <w:rFonts w:ascii="Arial" w:cs="Arial" w:eastAsia="Arial" w:hAnsi="Arial"/>
                <w:sz w:val="14"/>
                <w:szCs w:val="14"/>
                <w:color w:val="auto"/>
              </w:rPr>
              <w:t>(3)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450,597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(75,122)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451,997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(69,393)</w:t>
            </w:r>
          </w:p>
        </w:tc>
        <w:tc>
          <w:tcPr>
            <w:tcW w:w="0" w:type="dxa"/>
            <w:vAlign w:val="bottom"/>
          </w:tcPr>
          <w:p>
            <w:pPr>
              <w:spacing w:after="0"/>
              <w:rPr>
                <w:sz w:val="1"/>
                <w:szCs w:val="1"/>
                <w:color w:val="auto"/>
              </w:rPr>
            </w:pPr>
          </w:p>
        </w:tc>
      </w:tr>
      <w:tr>
        <w:trPr>
          <w:trHeight w:val="233"/>
        </w:trPr>
        <w:tc>
          <w:tcPr>
            <w:tcW w:w="2880" w:type="dxa"/>
            <w:vAlign w:val="bottom"/>
            <w:gridSpan w:val="2"/>
          </w:tcPr>
          <w:p>
            <w:pPr>
              <w:spacing w:after="0"/>
              <w:rPr>
                <w:sz w:val="20"/>
                <w:szCs w:val="20"/>
                <w:color w:val="auto"/>
              </w:rPr>
            </w:pPr>
            <w:r>
              <w:rPr>
                <w:rFonts w:ascii="Arial" w:cs="Arial" w:eastAsia="Arial" w:hAnsi="Arial"/>
                <w:sz w:val="17"/>
                <w:szCs w:val="17"/>
                <w:color w:val="auto"/>
              </w:rPr>
              <w:t>Tenant contracts</w:t>
            </w:r>
            <w:r>
              <w:rPr>
                <w:rFonts w:ascii="Arial" w:cs="Arial" w:eastAsia="Arial" w:hAnsi="Arial"/>
                <w:sz w:val="14"/>
                <w:szCs w:val="14"/>
                <w:color w:val="auto"/>
              </w:rPr>
              <w:t>(3)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37,386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(3,293)</w:t>
            </w:r>
          </w:p>
        </w:tc>
        <w:tc>
          <w:tcPr>
            <w:tcW w:w="0" w:type="dxa"/>
            <w:vAlign w:val="bottom"/>
          </w:tcPr>
          <w:p>
            <w:pPr>
              <w:spacing w:after="0"/>
              <w:rPr>
                <w:sz w:val="1"/>
                <w:szCs w:val="1"/>
                <w:color w:val="auto"/>
              </w:rPr>
            </w:pPr>
          </w:p>
        </w:tc>
      </w:tr>
      <w:tr>
        <w:trPr>
          <w:trHeight w:val="233"/>
        </w:trPr>
        <w:tc>
          <w:tcPr>
            <w:tcW w:w="2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Network</w:t>
            </w:r>
            <w:r>
              <w:rPr>
                <w:rFonts w:ascii="Arial" w:cs="Arial" w:eastAsia="Arial" w:hAnsi="Arial"/>
                <w:sz w:val="14"/>
                <w:szCs w:val="14"/>
                <w:color w:val="auto"/>
              </w:rPr>
              <w:t>(1)(3)</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13,541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(1,192)</w:t>
            </w:r>
          </w:p>
        </w:tc>
        <w:tc>
          <w:tcPr>
            <w:tcW w:w="0" w:type="dxa"/>
            <w:vAlign w:val="bottom"/>
          </w:tcPr>
          <w:p>
            <w:pPr>
              <w:spacing w:after="0"/>
              <w:rPr>
                <w:sz w:val="1"/>
                <w:szCs w:val="1"/>
                <w:color w:val="auto"/>
              </w:rPr>
            </w:pPr>
          </w:p>
        </w:tc>
      </w:tr>
      <w:tr>
        <w:trPr>
          <w:trHeight w:val="220"/>
        </w:trPr>
        <w:tc>
          <w:tcPr>
            <w:tcW w:w="2880" w:type="dxa"/>
            <w:vAlign w:val="bottom"/>
            <w:gridSpan w:val="2"/>
          </w:tcPr>
          <w:p>
            <w:pPr>
              <w:spacing w:after="0"/>
              <w:rPr>
                <w:sz w:val="20"/>
                <w:szCs w:val="20"/>
                <w:color w:val="auto"/>
              </w:rPr>
            </w:pPr>
            <w:r>
              <w:rPr>
                <w:rFonts w:ascii="Arial" w:cs="Arial" w:eastAsia="Arial" w:hAnsi="Arial"/>
                <w:sz w:val="17"/>
                <w:szCs w:val="17"/>
                <w:color w:val="auto"/>
              </w:rPr>
              <w:t>Acquired below-market leases</w:t>
            </w:r>
            <w:r>
              <w:rPr>
                <w:rFonts w:ascii="Arial" w:cs="Arial" w:eastAsia="Arial" w:hAnsi="Arial"/>
                <w:sz w:val="14"/>
                <w:szCs w:val="14"/>
                <w:color w:val="auto"/>
              </w:rPr>
              <w:t>(3)</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25"/>
        </w:trPr>
        <w:tc>
          <w:tcPr>
            <w:tcW w:w="27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80" w:type="dxa"/>
            <w:vAlign w:val="bottom"/>
            <w:gridSpan w:val="2"/>
          </w:tcPr>
          <w:p>
            <w:pPr>
              <w:spacing w:after="0"/>
              <w:rPr>
                <w:sz w:val="20"/>
                <w:szCs w:val="20"/>
                <w:color w:val="auto"/>
              </w:rPr>
            </w:pPr>
            <w:r>
              <w:rPr>
                <w:rFonts w:ascii="Arial" w:cs="Arial" w:eastAsia="Arial" w:hAnsi="Arial"/>
                <w:sz w:val="17"/>
                <w:szCs w:val="17"/>
                <w:color w:val="auto"/>
              </w:rPr>
              <w:t>Total intangible assets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452,597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506,988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Less: Accumulated amortization</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(75,122)</w:t>
            </w:r>
          </w:p>
        </w:tc>
        <w:tc>
          <w:tcPr>
            <w:tcW w:w="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(74,167)</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88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Total intangible assets, net</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377,475</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12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22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1080" w:type="dxa"/>
            <w:vAlign w:val="bottom"/>
            <w:tcBorders>
              <w:bottom w:val="single" w:sz="8" w:color="CFF0FC"/>
            </w:tcBorders>
          </w:tcPr>
          <w:p>
            <w:pPr>
              <w:spacing w:after="0"/>
              <w:rPr>
                <w:sz w:val="23"/>
                <w:szCs w:val="23"/>
                <w:color w:val="auto"/>
              </w:rPr>
            </w:pPr>
          </w:p>
        </w:tc>
        <w:tc>
          <w:tcPr>
            <w:tcW w:w="220" w:type="dxa"/>
            <w:vAlign w:val="bottom"/>
            <w:tcBorders>
              <w:bottom w:val="single" w:sz="8" w:color="CFF0FC"/>
            </w:tcBorders>
          </w:tcPr>
          <w:p>
            <w:pPr>
              <w:spacing w:after="0"/>
              <w:rPr>
                <w:sz w:val="23"/>
                <w:szCs w:val="23"/>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432,821</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1040" w:type="dxa"/>
            <w:vAlign w:val="bottom"/>
            <w:tcBorders>
              <w:bottom w:val="single" w:sz="8" w:color="CFF0FC"/>
            </w:tcBorders>
          </w:tcPr>
          <w:p>
            <w:pPr>
              <w:spacing w:after="0"/>
              <w:rPr>
                <w:sz w:val="23"/>
                <w:szCs w:val="23"/>
                <w:color w:val="auto"/>
              </w:rPr>
            </w:pPr>
          </w:p>
        </w:tc>
        <w:tc>
          <w:tcPr>
            <w:tcW w:w="20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10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880" w:type="dxa"/>
            <w:vAlign w:val="bottom"/>
            <w:gridSpan w:val="2"/>
          </w:tcPr>
          <w:p>
            <w:pPr>
              <w:spacing w:after="0"/>
              <w:rPr>
                <w:sz w:val="20"/>
                <w:szCs w:val="20"/>
                <w:color w:val="auto"/>
              </w:rPr>
            </w:pPr>
            <w:r>
              <w:rPr>
                <w:rFonts w:ascii="Arial" w:cs="Arial" w:eastAsia="Arial" w:hAnsi="Arial"/>
                <w:sz w:val="17"/>
                <w:szCs w:val="17"/>
                <w:color w:val="auto"/>
              </w:rPr>
              <w:t>Finite life intangible liabilities: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Acquired above-market leases</w:t>
            </w:r>
            <w:r>
              <w:rPr>
                <w:rFonts w:ascii="Arial" w:cs="Arial" w:eastAsia="Arial" w:hAnsi="Arial"/>
                <w:sz w:val="14"/>
                <w:szCs w:val="14"/>
                <w:color w:val="auto"/>
              </w:rPr>
              <w:t>(3)</w:t>
            </w: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951"/>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3,440</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(182)</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(624)</w:t>
            </w:r>
          </w:p>
        </w:tc>
        <w:tc>
          <w:tcPr>
            <w:tcW w:w="0" w:type="dxa"/>
            <w:vAlign w:val="bottom"/>
          </w:tcPr>
          <w:p>
            <w:pPr>
              <w:spacing w:after="0"/>
              <w:rPr>
                <w:sz w:val="1"/>
                <w:szCs w:val="1"/>
                <w:color w:val="auto"/>
              </w:rPr>
            </w:pPr>
          </w:p>
        </w:tc>
      </w:tr>
      <w:tr>
        <w:trPr>
          <w:trHeight w:val="225"/>
        </w:trPr>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880" w:type="dxa"/>
            <w:vAlign w:val="bottom"/>
            <w:gridSpan w:val="2"/>
          </w:tcPr>
          <w:p>
            <w:pPr>
              <w:spacing w:after="0"/>
              <w:rPr>
                <w:sz w:val="20"/>
                <w:szCs w:val="20"/>
                <w:color w:val="auto"/>
              </w:rPr>
            </w:pPr>
            <w:r>
              <w:rPr>
                <w:rFonts w:ascii="Arial" w:cs="Arial" w:eastAsia="Arial" w:hAnsi="Arial"/>
                <w:sz w:val="17"/>
                <w:szCs w:val="17"/>
                <w:color w:val="auto"/>
              </w:rPr>
              <w:t>Total intangible liabilities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3,258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Less: Accumulated amortization</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(624)</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880" w:type="dxa"/>
            <w:vAlign w:val="bottom"/>
            <w:gridSpan w:val="2"/>
          </w:tcPr>
          <w:p>
            <w:pPr>
              <w:spacing w:after="0"/>
              <w:rPr>
                <w:sz w:val="20"/>
                <w:szCs w:val="20"/>
                <w:color w:val="auto"/>
              </w:rPr>
            </w:pPr>
            <w:r>
              <w:rPr>
                <w:rFonts w:ascii="Arial" w:cs="Arial" w:eastAsia="Arial" w:hAnsi="Arial"/>
                <w:sz w:val="17"/>
                <w:szCs w:val="17"/>
                <w:color w:val="auto"/>
              </w:rPr>
              <w:t>Total intangible liabilities, net</w:t>
            </w:r>
            <w:r>
              <w:rPr>
                <w:rFonts w:ascii="Arial" w:cs="Arial" w:eastAsia="Arial" w:hAnsi="Arial"/>
                <w:sz w:val="14"/>
                <w:szCs w:val="14"/>
                <w:color w:val="auto"/>
              </w:rPr>
              <w:t>(2)</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380" w:right="440" w:hanging="377"/>
        <w:spacing w:after="0" w:line="261"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Reflects the potential to lease additional tower capacity on the existing towers due to their geographical location and capacity that currently exists on these towers as of the valuation date.</w:t>
      </w:r>
    </w:p>
    <w:p>
      <w:pPr>
        <w:spacing w:after="0" w:line="1" w:lineRule="exact"/>
        <w:rPr>
          <w:rFonts w:ascii="Arial" w:cs="Arial" w:eastAsia="Arial" w:hAnsi="Arial"/>
          <w:sz w:val="17"/>
          <w:szCs w:val="17"/>
          <w:color w:val="auto"/>
        </w:rPr>
      </w:pPr>
    </w:p>
    <w:p>
      <w:pPr>
        <w:ind w:left="380" w:hanging="377"/>
        <w:spacing w:after="0"/>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Recorded in accounts payable, accrued expenses and other liabilities on the Condensed Consolidated Balance Sheet.</w:t>
      </w:r>
    </w:p>
    <w:p>
      <w:pPr>
        <w:spacing w:after="0" w:line="11" w:lineRule="exact"/>
        <w:rPr>
          <w:rFonts w:ascii="Arial" w:cs="Arial" w:eastAsia="Arial" w:hAnsi="Arial"/>
          <w:sz w:val="17"/>
          <w:szCs w:val="17"/>
          <w:color w:val="auto"/>
        </w:rPr>
      </w:pPr>
    </w:p>
    <w:p>
      <w:pPr>
        <w:ind w:left="380" w:hanging="377"/>
        <w:spacing w:after="0"/>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Uniti Towers’ Latin American intangible assets were recorded as held for sale as of March 31, 2019. </w:t>
      </w:r>
      <w:hyperlink w:anchor="page21">
        <w:r>
          <w:rPr>
            <w:rFonts w:ascii="Arial" w:cs="Arial" w:eastAsia="Arial" w:hAnsi="Arial"/>
            <w:sz w:val="17"/>
            <w:szCs w:val="17"/>
            <w:u w:val="single" w:color="auto"/>
            <w:color w:val="0000EE"/>
          </w:rPr>
          <w:t>See Note 6.</w:t>
        </w:r>
      </w:hyperlink>
    </w:p>
    <w:p>
      <w:pPr>
        <w:spacing w:after="0" w:line="102"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color w:val="auto"/>
        </w:rPr>
        <w:t>As of March 31, 2019, the remaining weighted average amortization period of the Company’s intangible assets was 17.9 years. Amortization expense for the three months ended March 31, 2019 and 2018 was $6.3 million and $6.5 million, respectively.</w:t>
      </w:r>
    </w:p>
    <w:p>
      <w:pPr>
        <w:spacing w:after="0" w:line="56" w:lineRule="exact"/>
        <w:rPr>
          <w:sz w:val="20"/>
          <w:szCs w:val="20"/>
          <w:color w:val="auto"/>
        </w:rPr>
      </w:pPr>
    </w:p>
    <w:p>
      <w:pPr>
        <w:ind w:right="540"/>
        <w:spacing w:after="0" w:line="283" w:lineRule="auto"/>
        <w:rPr>
          <w:sz w:val="20"/>
          <w:szCs w:val="20"/>
          <w:color w:val="auto"/>
        </w:rPr>
      </w:pPr>
      <w:r>
        <w:rPr>
          <w:rFonts w:ascii="Arial" w:cs="Arial" w:eastAsia="Arial" w:hAnsi="Arial"/>
          <w:sz w:val="17"/>
          <w:szCs w:val="17"/>
          <w:color w:val="auto"/>
        </w:rPr>
        <w:t>Amortization expense is estimated to be $23.2 million for the full year of 2019, $23.7 million in 2020, $23.3 million in 2021, $22.9 million in 2022, and $22.8 million for 2023.</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Notes and Other Debt</w:t>
      </w:r>
    </w:p>
    <w:p>
      <w:pPr>
        <w:spacing w:after="0" w:line="121" w:lineRule="exact"/>
        <w:rPr>
          <w:sz w:val="20"/>
          <w:szCs w:val="20"/>
          <w:color w:val="auto"/>
        </w:rPr>
      </w:pPr>
    </w:p>
    <w:p>
      <w:pPr>
        <w:ind w:right="720"/>
        <w:spacing w:after="0" w:line="283" w:lineRule="auto"/>
        <w:rPr>
          <w:sz w:val="20"/>
          <w:szCs w:val="20"/>
          <w:color w:val="auto"/>
        </w:rPr>
      </w:pPr>
      <w:r>
        <w:rPr>
          <w:rFonts w:ascii="Arial" w:cs="Arial" w:eastAsia="Arial" w:hAnsi="Arial"/>
          <w:sz w:val="17"/>
          <w:szCs w:val="17"/>
          <w:color w:val="auto"/>
        </w:rPr>
        <w:t>All debt, including the senior secured credit facility and notes described below, are obligations of the Operating Partnership and certain of its subsidiaries as discussed below. The Company is, however, a guarantor of such debt.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Notes and other debt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3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w w:val="99"/>
              </w:rPr>
              <w:t>December 31, 2018</w:t>
            </w:r>
          </w:p>
        </w:tc>
        <w:tc>
          <w:tcPr>
            <w:tcW w:w="100" w:type="dxa"/>
            <w:vAlign w:val="bottom"/>
            <w:tcBorders>
              <w:bottom w:val="single" w:sz="8" w:color="CFF0FC"/>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620" w:type="dxa"/>
            <w:vAlign w:val="bottom"/>
            <w:shd w:val="clear" w:color="auto" w:fill="CFF0FC"/>
          </w:tcPr>
          <w:p>
            <w:pPr>
              <w:spacing w:after="0"/>
              <w:rPr>
                <w:sz w:val="20"/>
                <w:szCs w:val="20"/>
                <w:color w:val="auto"/>
              </w:rPr>
            </w:pPr>
            <w:r>
              <w:rPr>
                <w:rFonts w:ascii="Arial" w:cs="Arial" w:eastAsia="Arial" w:hAnsi="Arial"/>
                <w:sz w:val="17"/>
                <w:szCs w:val="17"/>
                <w:color w:val="auto"/>
              </w:rPr>
              <w:t>Principal amount</w:t>
            </w:r>
          </w:p>
        </w:tc>
        <w:tc>
          <w:tcPr>
            <w:tcW w:w="184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5,069,538</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4,965,808</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20" w:type="dxa"/>
            <w:vAlign w:val="bottom"/>
          </w:tcPr>
          <w:p>
            <w:pPr>
              <w:spacing w:after="0"/>
              <w:rPr>
                <w:sz w:val="20"/>
                <w:szCs w:val="20"/>
                <w:color w:val="auto"/>
              </w:rPr>
            </w:pPr>
            <w:r>
              <w:rPr>
                <w:rFonts w:ascii="Arial" w:cs="Arial" w:eastAsia="Arial" w:hAnsi="Arial"/>
                <w:sz w:val="17"/>
                <w:szCs w:val="17"/>
                <w:color w:val="auto"/>
              </w:rPr>
              <w:t>Less unamortized discount, premium and debt issuance costs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(148,893)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7"/>
                <w:szCs w:val="17"/>
                <w:color w:val="auto"/>
              </w:rPr>
              <w:t>(119,575)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w w:val="89"/>
              </w:rPr>
              <w:t>Notes and other debt less unamortized discount, premium and debt issuance costs</w:t>
            </w:r>
          </w:p>
        </w:tc>
        <w:tc>
          <w:tcPr>
            <w:tcW w:w="13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620" w:type="dxa"/>
            <w:vAlign w:val="bottom"/>
            <w:vMerge w:val="continue"/>
            <w:shd w:val="clear" w:color="auto" w:fill="CFF0FC"/>
          </w:tcPr>
          <w:p>
            <w:pPr>
              <w:spacing w:after="0"/>
              <w:rPr>
                <w:sz w:val="19"/>
                <w:szCs w:val="19"/>
                <w:color w:val="auto"/>
              </w:rPr>
            </w:pPr>
          </w:p>
        </w:tc>
        <w:tc>
          <w:tcPr>
            <w:tcW w:w="184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4,920,645</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4,846,233</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bottom w:val="single" w:sz="8" w:color="CFF0FC"/>
            </w:tcBorders>
            <w:vMerge w:val="restart"/>
          </w:tcPr>
          <w:p>
            <w:pPr>
              <w:jc w:val="right"/>
              <w:ind w:right="1114"/>
              <w:spacing w:after="0"/>
              <w:rPr>
                <w:sz w:val="20"/>
                <w:szCs w:val="20"/>
                <w:color w:val="auto"/>
              </w:rPr>
            </w:pPr>
            <w:r>
              <w:rPr>
                <w:rFonts w:ascii="Arial" w:cs="Arial" w:eastAsia="Arial" w:hAnsi="Arial"/>
                <w:sz w:val="17"/>
                <w:szCs w:val="17"/>
                <w:color w:val="auto"/>
                <w:w w:val="84"/>
              </w:rPr>
              <w:t>26</w:t>
            </w: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56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6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Notes and other debt at March 31, 2019 and December 31, 2018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20" w:type="dxa"/>
            <w:vAlign w:val="bottom"/>
            <w:gridSpan w:val="5"/>
          </w:tcPr>
          <w:p>
            <w:pPr>
              <w:jc w:val="right"/>
              <w:ind w:right="1300"/>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Pr>
          <w:p>
            <w:pPr>
              <w:spacing w:after="0"/>
              <w:rPr>
                <w:sz w:val="14"/>
                <w:szCs w:val="14"/>
                <w:color w:val="auto"/>
              </w:rPr>
            </w:pPr>
          </w:p>
        </w:tc>
        <w:tc>
          <w:tcPr>
            <w:tcW w:w="292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26"/>
        </w:trPr>
        <w:tc>
          <w:tcPr>
            <w:tcW w:w="4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4"/>
                <w:szCs w:val="14"/>
                <w:b w:val="1"/>
                <w:bCs w:val="1"/>
                <w:color w:val="auto"/>
                <w:w w:val="89"/>
              </w:rPr>
              <w:t>Unamortized Discount,</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4"/>
                <w:szCs w:val="14"/>
                <w:b w:val="1"/>
                <w:bCs w:val="1"/>
                <w:color w:val="auto"/>
                <w:w w:val="89"/>
              </w:rPr>
              <w:t>Unamortized Discount,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ind w:right="358"/>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0"/>
              </w:rPr>
              <w:t>Premium and Debt</w:t>
            </w:r>
          </w:p>
        </w:tc>
        <w:tc>
          <w:tcPr>
            <w:tcW w:w="260" w:type="dxa"/>
            <w:vAlign w:val="bottom"/>
          </w:tcPr>
          <w:p>
            <w:pPr>
              <w:spacing w:after="0"/>
              <w:rPr>
                <w:sz w:val="12"/>
                <w:szCs w:val="12"/>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0"/>
              </w:rPr>
              <w:t>Premium and Debt</w:t>
            </w:r>
          </w:p>
        </w:tc>
        <w:tc>
          <w:tcPr>
            <w:tcW w:w="0" w:type="dxa"/>
            <w:vAlign w:val="bottom"/>
          </w:tcPr>
          <w:p>
            <w:pPr>
              <w:spacing w:after="0"/>
              <w:rPr>
                <w:sz w:val="1"/>
                <w:szCs w:val="1"/>
                <w:color w:val="auto"/>
              </w:rPr>
            </w:pPr>
          </w:p>
        </w:tc>
      </w:tr>
      <w:tr>
        <w:trPr>
          <w:trHeight w:val="165"/>
        </w:trPr>
        <w:tc>
          <w:tcPr>
            <w:tcW w:w="4840" w:type="dxa"/>
            <w:vAlign w:val="bottom"/>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Issuance Costs</w:t>
            </w: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Issuance Costs</w:t>
            </w:r>
          </w:p>
        </w:tc>
        <w:tc>
          <w:tcPr>
            <w:tcW w:w="0" w:type="dxa"/>
            <w:vAlign w:val="bottom"/>
          </w:tcPr>
          <w:p>
            <w:pPr>
              <w:spacing w:after="0"/>
              <w:rPr>
                <w:sz w:val="1"/>
                <w:szCs w:val="1"/>
                <w:color w:val="auto"/>
              </w:rPr>
            </w:pPr>
          </w:p>
        </w:tc>
      </w:tr>
      <w:tr>
        <w:trPr>
          <w:trHeight w:val="200"/>
        </w:trPr>
        <w:tc>
          <w:tcPr>
            <w:tcW w:w="4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w w:val="98"/>
              </w:rPr>
              <w:t>Senior secured term loan B - variable rate, due October 24, 2022</w:t>
            </w: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(discount is based on imputed interest rate of 7.47%)</w:t>
            </w:r>
          </w:p>
        </w:tc>
        <w:tc>
          <w:tcPr>
            <w:tcW w:w="380" w:type="dxa"/>
            <w:vAlign w:val="bottom"/>
            <w:gridSpan w:val="2"/>
            <w:shd w:val="clear" w:color="auto" w:fill="CFF0FC"/>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2,060,538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(92,264)</w:t>
            </w: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2,065,808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(70,337)</w:t>
            </w:r>
          </w:p>
        </w:tc>
        <w:tc>
          <w:tcPr>
            <w:tcW w:w="0" w:type="dxa"/>
            <w:vAlign w:val="bottom"/>
          </w:tcPr>
          <w:p>
            <w:pPr>
              <w:spacing w:after="0"/>
              <w:rPr>
                <w:sz w:val="1"/>
                <w:szCs w:val="1"/>
                <w:color w:val="auto"/>
              </w:rPr>
            </w:pPr>
          </w:p>
        </w:tc>
      </w:tr>
      <w:tr>
        <w:trPr>
          <w:trHeight w:val="207"/>
        </w:trPr>
        <w:tc>
          <w:tcPr>
            <w:tcW w:w="4840" w:type="dxa"/>
            <w:vAlign w:val="bottom"/>
          </w:tcPr>
          <w:p>
            <w:pPr>
              <w:spacing w:after="0"/>
              <w:rPr>
                <w:sz w:val="20"/>
                <w:szCs w:val="20"/>
                <w:color w:val="auto"/>
              </w:rPr>
            </w:pPr>
            <w:r>
              <w:rPr>
                <w:rFonts w:ascii="Arial" w:cs="Arial" w:eastAsia="Arial" w:hAnsi="Arial"/>
                <w:sz w:val="17"/>
                <w:szCs w:val="17"/>
                <w:color w:val="auto"/>
              </w:rPr>
              <w:t>Senior secured notes - 6.00%, due April 15, 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40" w:type="dxa"/>
            <w:vAlign w:val="bottom"/>
          </w:tcPr>
          <w:p>
            <w:pPr>
              <w:spacing w:after="0"/>
              <w:rPr>
                <w:sz w:val="20"/>
                <w:szCs w:val="20"/>
                <w:color w:val="auto"/>
              </w:rPr>
            </w:pPr>
            <w:r>
              <w:rPr>
                <w:rFonts w:ascii="Arial" w:cs="Arial" w:eastAsia="Arial" w:hAnsi="Arial"/>
                <w:sz w:val="17"/>
                <w:szCs w:val="17"/>
                <w:color w:val="auto"/>
              </w:rPr>
              <w:t>(discount is based on imputed interest rate of 6.29%)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550,000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(6,754)</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550,000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(7,116)</w:t>
            </w:r>
          </w:p>
        </w:tc>
        <w:tc>
          <w:tcPr>
            <w:tcW w:w="0" w:type="dxa"/>
            <w:vAlign w:val="bottom"/>
          </w:tcPr>
          <w:p>
            <w:pPr>
              <w:spacing w:after="0"/>
              <w:rPr>
                <w:sz w:val="1"/>
                <w:szCs w:val="1"/>
                <w:color w:val="auto"/>
              </w:rPr>
            </w:pPr>
          </w:p>
        </w:tc>
      </w:tr>
      <w:tr>
        <w:trPr>
          <w:trHeight w:val="207"/>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Senior unsecured notes - 8.25%, due October 15, 2023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(discount is based on imputed interest rate of 9.06%)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1,110,000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(33,428)</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1,110,000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(34,900)</w:t>
            </w:r>
          </w:p>
        </w:tc>
        <w:tc>
          <w:tcPr>
            <w:tcW w:w="0" w:type="dxa"/>
            <w:vAlign w:val="bottom"/>
          </w:tcPr>
          <w:p>
            <w:pPr>
              <w:spacing w:after="0"/>
              <w:rPr>
                <w:sz w:val="1"/>
                <w:szCs w:val="1"/>
                <w:color w:val="auto"/>
              </w:rPr>
            </w:pPr>
          </w:p>
        </w:tc>
      </w:tr>
      <w:tr>
        <w:trPr>
          <w:trHeight w:val="233"/>
        </w:trPr>
        <w:tc>
          <w:tcPr>
            <w:tcW w:w="4840" w:type="dxa"/>
            <w:vAlign w:val="bottom"/>
          </w:tcPr>
          <w:p>
            <w:pPr>
              <w:spacing w:after="0"/>
              <w:rPr>
                <w:sz w:val="20"/>
                <w:szCs w:val="20"/>
                <w:color w:val="auto"/>
              </w:rPr>
            </w:pPr>
            <w:r>
              <w:rPr>
                <w:rFonts w:ascii="Arial" w:cs="Arial" w:eastAsia="Arial" w:hAnsi="Arial"/>
                <w:sz w:val="17"/>
                <w:szCs w:val="17"/>
                <w:color w:val="auto"/>
              </w:rPr>
              <w:t>Senior unsecured notes - 7.125% due December 15, 2024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600,000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(6,999)</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600,000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(7,222)</w:t>
            </w:r>
          </w:p>
        </w:tc>
        <w:tc>
          <w:tcPr>
            <w:tcW w:w="0" w:type="dxa"/>
            <w:vAlign w:val="bottom"/>
          </w:tcPr>
          <w:p>
            <w:pPr>
              <w:spacing w:after="0"/>
              <w:rPr>
                <w:sz w:val="1"/>
                <w:szCs w:val="1"/>
                <w:color w:val="auto"/>
              </w:rPr>
            </w:pPr>
          </w:p>
        </w:tc>
      </w:tr>
      <w:tr>
        <w:trPr>
          <w:trHeight w:val="207"/>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w w:val="97"/>
              </w:rPr>
              <w:t>Senior secured revolving credit facility, variable rate, due April 24,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2020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749,000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(9,448)</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640,000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ind w:left="120"/>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5,069,538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(148,893)</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4,965,808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(119,575)</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80"/>
        <w:spacing w:after="0" w:line="298" w:lineRule="auto"/>
        <w:rPr>
          <w:sz w:val="20"/>
          <w:szCs w:val="20"/>
          <w:color w:val="auto"/>
        </w:rPr>
      </w:pPr>
      <w:r>
        <w:rPr>
          <w:rFonts w:ascii="Arial" w:cs="Arial" w:eastAsia="Arial" w:hAnsi="Arial"/>
          <w:sz w:val="15"/>
          <w:szCs w:val="15"/>
          <w:color w:val="auto"/>
        </w:rPr>
        <w:t>At March 31, 2019, notes and other debt included the following: (i) $2.1 billion under the Senior Secured Term Loan B facility that matures on October 24, 2022 (“Term Loan Facility”) pursuant to the credit agreement by and among the Operating Partnership, CSL Capital, LLC and Uniti Group Finance Inc., the guarantors and lenders party thereto and Bank of America, N.A., as administrative agent and collateral agent (the “Credit Agreement”); (ii) $550.0 million aggregate principal amount of 6.00% Senior Secured Notes due April 15, 2023 (the “Secured Notes”); (iii) $1.11 billion aggregate principal amount of 8.25% Senior Notes due October 15, 2023 (the “2023 Notes”); (iv) $600 million aggregate principal amount of 7.125% Senior Unsecured Notes due December 15, 2024 (the “2024 Notes,” and together with the Secured Notes and 2023 Notes, the “Notes”), and (v) $749 million under the senior secured revolving credit facility, variable rate, that matures April 24, 2020 pursuant to the Credit Agreement (the “Revolving Credit Facility” and, together with the Term Loan Facility, the “Facilities”).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Credit Agreement</w:t>
      </w:r>
    </w:p>
    <w:p>
      <w:pPr>
        <w:spacing w:after="0" w:line="218"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The Operating Partnership and its wholly owned subsidiaries, CSL Capital, LLC, and Uniti Group Finance Inc. (collectively, the “Borrowers”) are party to the Credit Agreement, which provides for the Term Loan Facility (in an initial principal amount of $2.14 billion) and the Revolving Credit Facility. The term loans bear interest at a rate equal to LIBOR, subject to a 1.0% floor, plus an applicable margin equal to 5.00% and are subject to amortization of 1.0% per annum. All obligations under the Credit Agreement are guaranteed by (i) the Company and (ii) certain of the Operating Partnership’s wholly owned subsidiaries (the “Subsidiary Guarantors”) and are secured by substantially all of the assets of the Borrowers and the Subsidiary Guarantors, which assets also secure the Secured Notes. The Revolving Credit Facility bears interest at a rate equal to LIBOR plus 1.75% to 2.25% based on our consolidated secured leverage ratio, as defined in the Credit Agreement.</w:t>
      </w:r>
    </w:p>
    <w:p>
      <w:pPr>
        <w:spacing w:after="0" w:line="153"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(i) incremental term loan borrowings and/or increased commitments under the Credit Agreement in an unlimited amount, so long as, on a pro forma basis after giving effect to any such borrowings or increases, our consolidated secured leverage ratio, as defined in the Credit Agreement, does not exceed 4.00 to 1.00 and (ii) other indebtedness, so long as, on a pro forma basis after giving effect to any such indebtedness, our consolidated total leverage ratio, as defined in the Credit Agreement, does not exceed 6.50 to 1.00 and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prior to its stated maturity. As of March 31, 2019, the Borrowers were in compliance with all of the covenants under the Credit Agreement.</w:t>
      </w:r>
    </w:p>
    <w:p>
      <w:pPr>
        <w:spacing w:after="0" w:line="218"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On March 18, 2019, we received a limited waiver from our lenders under our Credit Agreement, waiving an event of default related solely to the receipt of a going concern opinion from our auditors for our 2018 audited financial statements. The limited waiver was issued in connection with the fourth amendment (the “Amendment”) to our Credit Agreement. During the pendency of Windstream’s bankruptcy, or at such earlier time when certain other conditions are specified, the Amendment generally limits our ability under the Credit Agreement to (i) prepay unsecured indebtedness and (ii) pay cash dividends in excess of 90% of our REIT taxable income, determined without regard to the dividends paid deduction and excluding any net capital gains. The Amendment also increased the interest rate on our Term Loan Facility, which will now bear a rate of LIBOR, subject to a 1.0% floor, plus an applicable margin equal to 5.0%, a 200 basis point increase over our previous rate. This increase will be in effect through the remaining term of the facility, which matures on October 24, 2022.</w:t>
      </w:r>
    </w:p>
    <w:p>
      <w:pPr>
        <w:spacing w:after="0" w:line="167" w:lineRule="exact"/>
        <w:rPr>
          <w:sz w:val="20"/>
          <w:szCs w:val="20"/>
          <w:color w:val="auto"/>
        </w:rPr>
      </w:pPr>
    </w:p>
    <w:p>
      <w:pPr>
        <w:ind w:right="220"/>
        <w:spacing w:after="0" w:line="352" w:lineRule="auto"/>
        <w:rPr>
          <w:sz w:val="20"/>
          <w:szCs w:val="20"/>
          <w:color w:val="auto"/>
        </w:rPr>
      </w:pPr>
      <w:r>
        <w:rPr>
          <w:rFonts w:ascii="Arial" w:cs="Arial" w:eastAsia="Arial" w:hAnsi="Arial"/>
          <w:sz w:val="15"/>
          <w:szCs w:val="15"/>
          <w:color w:val="auto"/>
        </w:rPr>
        <w:t>A termination of the Master Lease would result in an “event of default” under the Credit Agreement if a replacement lease was not entered into within ninety (90) calendar days and we do not maintain pro forma compliance with a consolidated secured leverage ratio, as defined in the Credit Agreement, of 5.00 to 1.00.</w:t>
      </w:r>
    </w:p>
    <w:p>
      <w:pPr>
        <w:spacing w:after="0" w:line="114" w:lineRule="exact"/>
        <w:rPr>
          <w:sz w:val="20"/>
          <w:szCs w:val="20"/>
          <w:color w:val="auto"/>
        </w:rPr>
      </w:pPr>
    </w:p>
    <w:p>
      <w:pPr>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Our Revolving Credit Facility matures on April 24, 2020, and we have begun evaluating potential refinancing options. However, there can be no assurances that any debt refinancing would be on similar or more favorable terms than our existing arrangements. This would include the risk that interest rates could increase and/or there may be changes to our existing covenants and/or available borrowings. If we are unsuccessful in refinancing the Revolving Credit Facility on terms acceptable to the Company, there could be a material adverse impact on our consolidated results of operations, financial condition and/or liquidity. </w:t>
      </w:r>
      <w:hyperlink w:anchor="page10">
        <w:r>
          <w:rPr>
            <w:rFonts w:ascii="Arial" w:cs="Arial" w:eastAsia="Arial" w:hAnsi="Arial"/>
            <w:sz w:val="16"/>
            <w:szCs w:val="16"/>
            <w:u w:val="single" w:color="auto"/>
            <w:color w:val="0000EE"/>
          </w:rPr>
          <w:t>See Note 2</w:t>
        </w:r>
      </w:hyperlink>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The Notes</w:t>
      </w:r>
    </w:p>
    <w:p>
      <w:pPr>
        <w:spacing w:after="0" w:line="218"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Borrowers, as co-issuers, have outstanding $550 million aggregate principal amount of the Secured Notes, of which $400 million was originally issued on April 24, 2015 at an issue price of 100% of par value and the remaining $150 million was issued on June 9, 2016 at an issue price of 99.25% of the par value as an add-on to the existing Secured Notes. The Borrowers, as co-issuers, also have outstanding $1.11 billion aggregate principal amount of the 2023 Notes that were originally issued on April 24, 2015 at an issue price of 97.055% of par value. The Secured Notes and the 2023 Notes are guaranteed by the Company and the Subsidiary Guarantors.</w:t>
      </w:r>
    </w:p>
    <w:p>
      <w:pPr>
        <w:spacing w:after="0" w:line="17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Operating Partnership and its wholly owned subsidiaries, CSL Capital, LLC and Uniti Fiber Holdings Inc., as co-issuers, have outstanding $600 million aggregate principal amount of the 2024 Notes, of which $400 million was originally issued on December 15, 2016 at an issue price of 100% of par value and the remaining $200 million of which was issued on May 8, 2017 at an issue price of 100.50% of par value under a separate indenture and was mandatorily exchanged on August 11, 2017 for 2024 Notes issued as “additional notes” under the indenture governing the 2024 Notes. The 2024 Notes are guaranteed by the Company, Uniti Group Finance Inc. and the Subsidiary Guarantors.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Deferred Financing Cost</w:t>
      </w:r>
    </w:p>
    <w:p>
      <w:pPr>
        <w:spacing w:after="0" w:line="218"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Deferred financing costs were incurred in connection with the issuance of the Notes and the Facilities. These costs are amortized using the effective interest method over the term of the related indebtedness, and are included in interest expense in our Condensed Consolidated Statements of Income. For the three months ended March 31, 2019 and 2018, we recognized $3.8 million and $3.6 million, respectively, of non-cash interest expense related to the amortization of deferred financing costs.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Earnings Per Share</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Our time-based restricted stock awards are considered participating securities as they receive non-forfeitable rights to dividends at the same rate as common stock.</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As participating securities, we included these instruments in the computation of earnings per share under the two-class method described in FASB ASC 260,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Earnings per Share </w:t>
      </w:r>
      <w:r>
        <w:rPr>
          <w:rFonts w:ascii="Arial" w:cs="Arial" w:eastAsia="Arial" w:hAnsi="Arial"/>
          <w:sz w:val="17"/>
          <w:szCs w:val="17"/>
          <w:color w:val="auto"/>
        </w:rPr>
        <w:t>(“ASC 260”).</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ind w:right="400"/>
        <w:spacing w:after="0" w:line="283" w:lineRule="auto"/>
        <w:rPr>
          <w:sz w:val="20"/>
          <w:szCs w:val="20"/>
          <w:color w:val="auto"/>
        </w:rPr>
      </w:pPr>
      <w:r>
        <w:rPr>
          <w:rFonts w:ascii="Arial" w:cs="Arial" w:eastAsia="Arial" w:hAnsi="Arial"/>
          <w:sz w:val="17"/>
          <w:szCs w:val="17"/>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59"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 earnings-per-share impact of the Company’s 3% Convertible Preferred Stock, $0.0001 par value (“Series A Shares”), issued in connection with the May 2, 2016 acquisition of PEG Bandwidth, LLC, is calculated using the net share settlement method, whereby the redemption value of the instrument is assumed to be settled in cash and only the conversion premium, if any, is assumed to be settled in shares. The Series A Shares provide Uniti the option to settle the instrument in cash or shares, and it is our policy to settle the instrument in cash upon conversion.</w:t>
      </w:r>
    </w:p>
    <w:p>
      <w:pPr>
        <w:spacing w:after="0" w:line="177" w:lineRule="exact"/>
        <w:rPr>
          <w:sz w:val="20"/>
          <w:szCs w:val="20"/>
          <w:color w:val="auto"/>
        </w:rPr>
      </w:pPr>
    </w:p>
    <w:p>
      <w:pPr>
        <w:ind w:right="28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The July 3, 2017 merger agreement for our acquisition of Hunt provides for the issuance of additional common shares upon the achievement of certain defined revenue milestones. </w:t>
      </w:r>
      <w:hyperlink w:anchor="page22">
        <w:r>
          <w:rPr>
            <w:rFonts w:ascii="Arial" w:cs="Arial" w:eastAsia="Arial" w:hAnsi="Arial"/>
            <w:sz w:val="16"/>
            <w:szCs w:val="16"/>
            <w:u w:val="single" w:color="auto"/>
            <w:color w:val="0000EE"/>
          </w:rPr>
          <w:t>See Note 7</w:t>
        </w:r>
      </w:hyperlink>
      <w:r>
        <w:rPr>
          <w:rFonts w:ascii="Arial" w:cs="Arial" w:eastAsia="Arial" w:hAnsi="Arial"/>
          <w:sz w:val="16"/>
          <w:szCs w:val="16"/>
          <w:color w:val="auto"/>
        </w:rPr>
        <w:t>. The earnings per share impact of the Hunt Contingent Consideration is calculated under the method described in ASC 260 for the treatment of contingently issuable shares in weighted-average shares outstanding. On January 4, 2019, we settled the Hunt Contingent Consideration in full satisfaction of the obligation through the issuance of 645,385 common shares having a fair value of $11.2 million.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sets forth the computation of basic and diluted earnings per share under the two-class method: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40" w:type="dxa"/>
            <w:vAlign w:val="bottom"/>
            <w:vMerge w:val="restart"/>
          </w:tcPr>
          <w:p>
            <w:pPr>
              <w:spacing w:after="0"/>
              <w:rPr>
                <w:sz w:val="20"/>
                <w:szCs w:val="20"/>
                <w:color w:val="auto"/>
              </w:rPr>
            </w:pPr>
            <w:r>
              <w:rPr>
                <w:rFonts w:ascii="Arial" w:cs="Arial" w:eastAsia="Arial" w:hAnsi="Arial"/>
                <w:sz w:val="14"/>
                <w:szCs w:val="14"/>
                <w:color w:val="auto"/>
              </w:rPr>
              <w:t>(Thousands, except per share data)</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March 31,</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837"/>
              <w:spacing w:after="0" w:line="148"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836"/>
              <w:spacing w:after="0" w:line="148"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Basic earnings per share:</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Pr>
          <w:p>
            <w:pPr>
              <w:spacing w:after="0"/>
              <w:rPr>
                <w:sz w:val="20"/>
                <w:szCs w:val="20"/>
                <w:color w:val="auto"/>
              </w:rPr>
            </w:pPr>
            <w:r>
              <w:rPr>
                <w:rFonts w:ascii="Arial" w:cs="Arial" w:eastAsia="Arial" w:hAnsi="Arial"/>
                <w:sz w:val="17"/>
                <w:szCs w:val="17"/>
                <w:color w:val="auto"/>
              </w:rPr>
              <w:t>Numerator:</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income attributable to shareholders</w:t>
            </w:r>
          </w:p>
        </w:tc>
        <w:tc>
          <w:tcPr>
            <w:tcW w:w="700" w:type="dxa"/>
            <w:vAlign w:val="bottom"/>
            <w:gridSpan w:val="2"/>
            <w:shd w:val="clear" w:color="auto" w:fill="CFF0FC"/>
          </w:tcPr>
          <w:p>
            <w:pPr>
              <w:jc w:val="right"/>
              <w:ind w:right="42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2,442</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7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1,210</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360"/>
              <w:spacing w:after="0"/>
              <w:rPr>
                <w:sz w:val="20"/>
                <w:szCs w:val="20"/>
                <w:color w:val="auto"/>
              </w:rPr>
            </w:pPr>
            <w:r>
              <w:rPr>
                <w:rFonts w:ascii="Arial" w:cs="Arial" w:eastAsia="Arial" w:hAnsi="Arial"/>
                <w:sz w:val="17"/>
                <w:szCs w:val="17"/>
                <w:color w:val="auto"/>
              </w:rPr>
              <w:t>Less: Income allocated to participating securities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(469)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600"/>
              <w:spacing w:after="0"/>
              <w:rPr>
                <w:sz w:val="20"/>
                <w:szCs w:val="20"/>
                <w:color w:val="auto"/>
              </w:rPr>
            </w:pPr>
            <w:r>
              <w:rPr>
                <w:rFonts w:ascii="Arial" w:cs="Arial" w:eastAsia="Arial" w:hAnsi="Arial"/>
                <w:sz w:val="17"/>
                <w:szCs w:val="17"/>
                <w:color w:val="auto"/>
                <w:w w:val="94"/>
              </w:rPr>
              <w:t>Income allocated to participating securities on share settled contingent consideration</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3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6640" w:type="dxa"/>
            <w:vAlign w:val="bottom"/>
            <w:vMerge w:val="restart"/>
            <w:shd w:val="clear" w:color="auto" w:fill="CFF0FC"/>
          </w:tcPr>
          <w:p>
            <w:pPr>
              <w:ind w:left="600"/>
              <w:spacing w:after="0"/>
              <w:rPr>
                <w:sz w:val="20"/>
                <w:szCs w:val="20"/>
                <w:color w:val="auto"/>
              </w:rPr>
            </w:pPr>
            <w:r>
              <w:rPr>
                <w:rFonts w:ascii="Arial" w:cs="Arial" w:eastAsia="Arial" w:hAnsi="Arial"/>
                <w:sz w:val="17"/>
                <w:szCs w:val="17"/>
                <w:color w:val="auto"/>
              </w:rPr>
              <w:t>arrangements</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60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340" w:type="dxa"/>
            <w:vAlign w:val="bottom"/>
            <w:gridSpan w:val="2"/>
            <w:vMerge w:val="continue"/>
            <w:shd w:val="clear" w:color="auto" w:fill="CFF0FC"/>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6640" w:type="dxa"/>
            <w:vAlign w:val="bottom"/>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6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600"/>
              <w:spacing w:after="0"/>
              <w:rPr>
                <w:sz w:val="20"/>
                <w:szCs w:val="20"/>
                <w:color w:val="auto"/>
              </w:rPr>
            </w:pPr>
            <w:r>
              <w:rPr>
                <w:rFonts w:ascii="Arial" w:cs="Arial" w:eastAsia="Arial" w:hAnsi="Arial"/>
                <w:sz w:val="17"/>
                <w:szCs w:val="17"/>
                <w:color w:val="auto"/>
              </w:rPr>
              <w:t>Dividends declared on convertible preferred stock</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7"/>
                <w:szCs w:val="17"/>
                <w:color w:val="auto"/>
              </w:rPr>
              <w:t>(656)</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(656)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ind w:left="600"/>
              <w:spacing w:after="0"/>
              <w:rPr>
                <w:sz w:val="20"/>
                <w:szCs w:val="20"/>
                <w:color w:val="auto"/>
              </w:rPr>
            </w:pPr>
            <w:r>
              <w:rPr>
                <w:rFonts w:ascii="Arial" w:cs="Arial" w:eastAsia="Arial" w:hAnsi="Arial"/>
                <w:sz w:val="17"/>
                <w:szCs w:val="17"/>
                <w:color w:val="auto"/>
              </w:rPr>
              <w:t>Amortization of discount on convertible preferred stock</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(745)</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240"/>
              <w:spacing w:after="0"/>
              <w:rPr>
                <w:sz w:val="20"/>
                <w:szCs w:val="20"/>
                <w:color w:val="auto"/>
              </w:rPr>
            </w:pPr>
            <w:r>
              <w:rPr>
                <w:rFonts w:ascii="Arial" w:cs="Arial" w:eastAsia="Arial" w:hAnsi="Arial"/>
                <w:sz w:val="17"/>
                <w:szCs w:val="17"/>
                <w:color w:val="auto"/>
              </w:rPr>
              <w:t>Net income (loss) attributable to common shares</w:t>
            </w: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1,013</w:t>
            </w:r>
          </w:p>
        </w:tc>
        <w:tc>
          <w:tcPr>
            <w:tcW w:w="160" w:type="dxa"/>
            <w:vAlign w:val="bottom"/>
          </w:tcPr>
          <w:p>
            <w:pPr>
              <w:spacing w:after="0"/>
              <w:rPr>
                <w:sz w:val="18"/>
                <w:szCs w:val="18"/>
                <w:color w:val="auto"/>
              </w:rPr>
            </w:pPr>
          </w:p>
        </w:tc>
        <w:tc>
          <w:tcPr>
            <w:tcW w:w="980" w:type="dxa"/>
            <w:vAlign w:val="bottom"/>
            <w:gridSpan w:val="2"/>
          </w:tcPr>
          <w:p>
            <w:pPr>
              <w:jc w:val="right"/>
              <w:ind w:right="7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(870)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Denominator:</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Basic weighted-average common shares outstanding</w:t>
            </w:r>
          </w:p>
        </w:tc>
        <w:tc>
          <w:tcPr>
            <w:tcW w:w="2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182,219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174,892</w:t>
            </w:r>
          </w:p>
        </w:tc>
        <w:tc>
          <w:tcPr>
            <w:tcW w:w="10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Basic earnings per common share</w:t>
            </w:r>
          </w:p>
        </w:tc>
        <w:tc>
          <w:tcPr>
            <w:tcW w:w="700" w:type="dxa"/>
            <w:vAlign w:val="bottom"/>
            <w:gridSpan w:val="2"/>
            <w:shd w:val="clear" w:color="auto" w:fill="CFF0FC"/>
          </w:tcPr>
          <w:p>
            <w:pPr>
              <w:jc w:val="right"/>
              <w:ind w:right="42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0.01</w:t>
            </w: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7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640" w:type="dxa"/>
            <w:vAlign w:val="bottom"/>
            <w:vMerge w:val="restart"/>
          </w:tcPr>
          <w:p>
            <w:pPr>
              <w:spacing w:after="0"/>
              <w:rPr>
                <w:sz w:val="20"/>
                <w:szCs w:val="20"/>
                <w:color w:val="auto"/>
              </w:rPr>
            </w:pPr>
            <w:r>
              <w:rPr>
                <w:rFonts w:ascii="Arial" w:cs="Arial" w:eastAsia="Arial" w:hAnsi="Arial"/>
                <w:sz w:val="14"/>
                <w:szCs w:val="14"/>
                <w:color w:val="auto"/>
              </w:rPr>
              <w:t>(Thousands, except per share data)</w:t>
            </w:r>
          </w:p>
        </w:tc>
        <w:tc>
          <w:tcPr>
            <w:tcW w:w="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March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6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837"/>
              <w:spacing w:after="0" w:line="148"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836"/>
              <w:spacing w:after="0" w:line="148"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Diluted earnings per share:</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40" w:type="dxa"/>
            <w:vAlign w:val="bottom"/>
          </w:tcPr>
          <w:p>
            <w:pPr>
              <w:spacing w:after="0"/>
              <w:rPr>
                <w:sz w:val="20"/>
                <w:szCs w:val="20"/>
                <w:color w:val="auto"/>
              </w:rPr>
            </w:pPr>
            <w:r>
              <w:rPr>
                <w:rFonts w:ascii="Arial" w:cs="Arial" w:eastAsia="Arial" w:hAnsi="Arial"/>
                <w:sz w:val="17"/>
                <w:szCs w:val="17"/>
                <w:color w:val="auto"/>
              </w:rPr>
              <w:t>Numerator:</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income attributable to shareholders</w:t>
            </w:r>
          </w:p>
        </w:tc>
        <w:tc>
          <w:tcPr>
            <w:tcW w:w="700" w:type="dxa"/>
            <w:vAlign w:val="bottom"/>
            <w:gridSpan w:val="2"/>
            <w:shd w:val="clear" w:color="auto" w:fill="CFF0FC"/>
          </w:tcPr>
          <w:p>
            <w:pPr>
              <w:jc w:val="right"/>
              <w:ind w:right="42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2,442</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7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1,210</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360"/>
              <w:spacing w:after="0"/>
              <w:rPr>
                <w:sz w:val="20"/>
                <w:szCs w:val="20"/>
                <w:color w:val="auto"/>
              </w:rPr>
            </w:pPr>
            <w:r>
              <w:rPr>
                <w:rFonts w:ascii="Arial" w:cs="Arial" w:eastAsia="Arial" w:hAnsi="Arial"/>
                <w:sz w:val="17"/>
                <w:szCs w:val="17"/>
                <w:color w:val="auto"/>
              </w:rPr>
              <w:t>Less: Income allocated to participating securities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(469)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ind w:left="600"/>
              <w:spacing w:after="0"/>
              <w:rPr>
                <w:sz w:val="20"/>
                <w:szCs w:val="20"/>
                <w:color w:val="auto"/>
              </w:rPr>
            </w:pPr>
            <w:r>
              <w:rPr>
                <w:rFonts w:ascii="Arial" w:cs="Arial" w:eastAsia="Arial" w:hAnsi="Arial"/>
                <w:sz w:val="17"/>
                <w:szCs w:val="17"/>
                <w:color w:val="auto"/>
              </w:rPr>
              <w:t>Dividends declared on convertible preferred stock</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(656)</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600"/>
              <w:spacing w:after="0"/>
              <w:rPr>
                <w:sz w:val="20"/>
                <w:szCs w:val="20"/>
                <w:color w:val="auto"/>
              </w:rPr>
            </w:pPr>
            <w:r>
              <w:rPr>
                <w:rFonts w:ascii="Arial" w:cs="Arial" w:eastAsia="Arial" w:hAnsi="Arial"/>
                <w:sz w:val="17"/>
                <w:szCs w:val="17"/>
                <w:color w:val="auto"/>
              </w:rPr>
              <w:t>Amortization of discount on convertible preferred stock</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7"/>
                <w:szCs w:val="17"/>
                <w:color w:val="auto"/>
              </w:rPr>
              <w:t>(745)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(745)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ind w:left="600"/>
              <w:spacing w:after="0"/>
              <w:rPr>
                <w:sz w:val="20"/>
                <w:szCs w:val="20"/>
                <w:color w:val="auto"/>
              </w:rPr>
            </w:pPr>
            <w:r>
              <w:rPr>
                <w:rFonts w:ascii="Arial" w:cs="Arial" w:eastAsia="Arial" w:hAnsi="Arial"/>
                <w:sz w:val="17"/>
                <w:szCs w:val="17"/>
                <w:color w:val="auto"/>
              </w:rPr>
              <w:t>Mark-to-market gain on share settled contingent consideration arrangements</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240"/>
              <w:spacing w:after="0"/>
              <w:rPr>
                <w:sz w:val="20"/>
                <w:szCs w:val="20"/>
                <w:color w:val="auto"/>
              </w:rPr>
            </w:pPr>
            <w:r>
              <w:rPr>
                <w:rFonts w:ascii="Arial" w:cs="Arial" w:eastAsia="Arial" w:hAnsi="Arial"/>
                <w:sz w:val="17"/>
                <w:szCs w:val="17"/>
                <w:color w:val="auto"/>
              </w:rPr>
              <w:t>Net income (loss) attributable to common shares</w:t>
            </w: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1,013</w:t>
            </w:r>
          </w:p>
        </w:tc>
        <w:tc>
          <w:tcPr>
            <w:tcW w:w="160" w:type="dxa"/>
            <w:vAlign w:val="bottom"/>
          </w:tcPr>
          <w:p>
            <w:pPr>
              <w:spacing w:after="0"/>
              <w:rPr>
                <w:sz w:val="18"/>
                <w:szCs w:val="18"/>
                <w:color w:val="auto"/>
              </w:rPr>
            </w:pPr>
          </w:p>
        </w:tc>
        <w:tc>
          <w:tcPr>
            <w:tcW w:w="980" w:type="dxa"/>
            <w:vAlign w:val="bottom"/>
            <w:gridSpan w:val="2"/>
          </w:tcPr>
          <w:p>
            <w:pPr>
              <w:jc w:val="right"/>
              <w:ind w:right="7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(1,654)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Denominator:</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240"/>
              <w:spacing w:after="0"/>
              <w:rPr>
                <w:sz w:val="20"/>
                <w:szCs w:val="20"/>
                <w:color w:val="auto"/>
              </w:rPr>
            </w:pPr>
            <w:r>
              <w:rPr>
                <w:rFonts w:ascii="Arial" w:cs="Arial" w:eastAsia="Arial" w:hAnsi="Arial"/>
                <w:sz w:val="17"/>
                <w:szCs w:val="17"/>
                <w:color w:val="auto"/>
              </w:rPr>
              <w:t>Basic weighted-average common shares outstanding</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182,219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174,892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ind w:left="360"/>
              <w:spacing w:after="0"/>
              <w:rPr>
                <w:sz w:val="20"/>
                <w:szCs w:val="20"/>
                <w:color w:val="auto"/>
              </w:rPr>
            </w:pPr>
            <w:r>
              <w:rPr>
                <w:rFonts w:ascii="Arial" w:cs="Arial" w:eastAsia="Arial" w:hAnsi="Arial"/>
                <w:sz w:val="17"/>
                <w:szCs w:val="17"/>
                <w:color w:val="auto"/>
              </w:rPr>
              <w:t>Contingent consideration (See Note 4)</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607</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Borders>
              <w:bottom w:val="single" w:sz="8" w:color="CFF0FC"/>
            </w:tcBorders>
          </w:tcPr>
          <w:p>
            <w:pPr>
              <w:ind w:left="360"/>
              <w:spacing w:after="0"/>
              <w:rPr>
                <w:sz w:val="20"/>
                <w:szCs w:val="20"/>
                <w:color w:val="auto"/>
              </w:rPr>
            </w:pPr>
            <w:r>
              <w:rPr>
                <w:rFonts w:ascii="Arial" w:cs="Arial" w:eastAsia="Arial" w:hAnsi="Arial"/>
                <w:sz w:val="17"/>
                <w:szCs w:val="17"/>
                <w:color w:val="auto"/>
              </w:rPr>
              <w:t>Effect of dilutive non-participating securities</w:t>
            </w:r>
          </w:p>
        </w:tc>
        <w:tc>
          <w:tcPr>
            <w:tcW w:w="2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Weighted-average shares for dilutive earnings per common share</w:t>
            </w:r>
          </w:p>
        </w:tc>
        <w:tc>
          <w:tcPr>
            <w:tcW w:w="20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182,222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175,499</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7"/>
                <w:szCs w:val="17"/>
                <w:color w:val="auto"/>
              </w:rPr>
              <w:t>Dilutive earnings (loss) per common share</w:t>
            </w:r>
          </w:p>
        </w:tc>
        <w:tc>
          <w:tcPr>
            <w:tcW w:w="7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0.01</w:t>
            </w:r>
          </w:p>
        </w:tc>
        <w:tc>
          <w:tcPr>
            <w:tcW w:w="160" w:type="dxa"/>
            <w:vAlign w:val="bottom"/>
          </w:tcPr>
          <w:p>
            <w:pPr>
              <w:spacing w:after="0"/>
              <w:rPr>
                <w:sz w:val="18"/>
                <w:szCs w:val="18"/>
                <w:color w:val="auto"/>
              </w:rPr>
            </w:pPr>
          </w:p>
        </w:tc>
        <w:tc>
          <w:tcPr>
            <w:tcW w:w="980" w:type="dxa"/>
            <w:vAlign w:val="bottom"/>
            <w:gridSpan w:val="2"/>
          </w:tcPr>
          <w:p>
            <w:pPr>
              <w:jc w:val="right"/>
              <w:ind w:right="7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5620"/>
              <w:spacing w:after="0"/>
              <w:rPr>
                <w:sz w:val="20"/>
                <w:szCs w:val="20"/>
                <w:color w:val="auto"/>
              </w:rPr>
            </w:pPr>
            <w:r>
              <w:rPr>
                <w:rFonts w:ascii="Arial" w:cs="Arial" w:eastAsia="Arial" w:hAnsi="Arial"/>
                <w:sz w:val="17"/>
                <w:szCs w:val="17"/>
                <w:color w:val="auto"/>
              </w:rPr>
              <w:t>29</w:t>
            </w: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6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6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For the three months ended March 31, 2019, 261,543 non-participating securities were excluded from the computation of diluted earnings per share, as the performance conditions were not met. For the three months ended March 31, 2018, 405,063 non-participating securities were excluded from the computation of diluted earnings per share, as their effect would have been anti-dilutive.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Segment Information</w:t>
      </w:r>
    </w:p>
    <w:p>
      <w:pPr>
        <w:spacing w:after="0" w:line="224"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Our management, including our chief executive officer, who is our chief operating decision maker, manages our operations as four reportable segments in addition to our corporate operations, which include:</w:t>
      </w:r>
    </w:p>
    <w:p>
      <w:pPr>
        <w:spacing w:after="0" w:line="159" w:lineRule="exact"/>
        <w:rPr>
          <w:sz w:val="20"/>
          <w:szCs w:val="20"/>
          <w:color w:val="auto"/>
        </w:rPr>
      </w:pPr>
    </w:p>
    <w:p>
      <w:pPr>
        <w:ind w:right="80"/>
        <w:spacing w:after="0" w:line="283" w:lineRule="auto"/>
        <w:rPr>
          <w:sz w:val="20"/>
          <w:szCs w:val="20"/>
          <w:color w:val="auto"/>
        </w:rPr>
      </w:pPr>
      <w:r>
        <w:rPr>
          <w:rFonts w:ascii="Arial" w:cs="Arial" w:eastAsia="Arial" w:hAnsi="Arial"/>
          <w:sz w:val="17"/>
          <w:szCs w:val="17"/>
          <w:i w:val="1"/>
          <w:iCs w:val="1"/>
          <w:u w:val="single" w:color="auto"/>
          <w:color w:val="auto"/>
        </w:rPr>
        <w:t>Leasing</w:t>
      </w:r>
      <w:r>
        <w:rPr>
          <w:rFonts w:ascii="Arial" w:cs="Arial" w:eastAsia="Arial" w:hAnsi="Arial"/>
          <w:sz w:val="17"/>
          <w:szCs w:val="17"/>
          <w:color w:val="auto"/>
        </w:rPr>
        <w:t>: Represents the results from our leasing programs, Uniti Leasing, which is engaged in the acquisition of mission-critical communications assets and leasing</w:t>
      </w:r>
      <w:r>
        <w:rPr>
          <w:rFonts w:ascii="Arial" w:cs="Arial" w:eastAsia="Arial" w:hAnsi="Arial"/>
          <w:sz w:val="17"/>
          <w:szCs w:val="17"/>
          <w:i w:val="1"/>
          <w:iCs w:val="1"/>
          <w:color w:val="auto"/>
        </w:rPr>
        <w:t xml:space="preserve"> </w:t>
      </w:r>
      <w:r>
        <w:rPr>
          <w:rFonts w:ascii="Arial" w:cs="Arial" w:eastAsia="Arial" w:hAnsi="Arial"/>
          <w:sz w:val="17"/>
          <w:szCs w:val="17"/>
          <w:color w:val="auto"/>
        </w:rPr>
        <w:t>them back to anchor customers on either an exclusive or shared-tenant basis.</w:t>
      </w:r>
    </w:p>
    <w:p>
      <w:pPr>
        <w:spacing w:after="0" w:line="159" w:lineRule="exact"/>
        <w:rPr>
          <w:sz w:val="20"/>
          <w:szCs w:val="20"/>
          <w:color w:val="auto"/>
        </w:rPr>
      </w:pPr>
    </w:p>
    <w:p>
      <w:pPr>
        <w:ind w:right="80"/>
        <w:spacing w:after="0" w:line="283" w:lineRule="auto"/>
        <w:rPr>
          <w:sz w:val="20"/>
          <w:szCs w:val="20"/>
          <w:color w:val="auto"/>
        </w:rPr>
      </w:pPr>
      <w:r>
        <w:rPr>
          <w:rFonts w:ascii="Arial" w:cs="Arial" w:eastAsia="Arial" w:hAnsi="Arial"/>
          <w:sz w:val="17"/>
          <w:szCs w:val="17"/>
          <w:i w:val="1"/>
          <w:iCs w:val="1"/>
          <w:u w:val="single" w:color="auto"/>
          <w:color w:val="auto"/>
        </w:rPr>
        <w:t>Fiber Infrastructure</w:t>
      </w:r>
      <w:r>
        <w:rPr>
          <w:rFonts w:ascii="Arial" w:cs="Arial" w:eastAsia="Arial" w:hAnsi="Arial"/>
          <w:sz w:val="17"/>
          <w:szCs w:val="17"/>
          <w:color w:val="auto"/>
        </w:rPr>
        <w:t>: Represents the operations of our fiber business, Uniti Fiber, which is a leading provider of infrastructure solutions, including cell site backhaul</w:t>
      </w:r>
      <w:r>
        <w:rPr>
          <w:rFonts w:ascii="Arial" w:cs="Arial" w:eastAsia="Arial" w:hAnsi="Arial"/>
          <w:sz w:val="17"/>
          <w:szCs w:val="17"/>
          <w:i w:val="1"/>
          <w:iCs w:val="1"/>
          <w:color w:val="auto"/>
        </w:rPr>
        <w:t xml:space="preserve"> </w:t>
      </w:r>
      <w:r>
        <w:rPr>
          <w:rFonts w:ascii="Arial" w:cs="Arial" w:eastAsia="Arial" w:hAnsi="Arial"/>
          <w:sz w:val="17"/>
          <w:szCs w:val="17"/>
          <w:color w:val="auto"/>
        </w:rPr>
        <w:t>and dark fiber, to the telecommunications industry.</w:t>
      </w:r>
    </w:p>
    <w:p>
      <w:pPr>
        <w:spacing w:after="0" w:line="159"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i w:val="1"/>
          <w:iCs w:val="1"/>
          <w:u w:val="single" w:color="auto"/>
          <w:color w:val="auto"/>
        </w:rPr>
        <w:t>Towers</w:t>
      </w:r>
      <w:r>
        <w:rPr>
          <w:rFonts w:ascii="Arial" w:cs="Arial" w:eastAsia="Arial" w:hAnsi="Arial"/>
          <w:sz w:val="17"/>
          <w:szCs w:val="17"/>
          <w:color w:val="auto"/>
        </w:rPr>
        <w:t>: Represents the operations of our towers business, Uniti Towers, through which we acquire and construct tower and tower-related real estate, which we then</w:t>
      </w:r>
      <w:r>
        <w:rPr>
          <w:rFonts w:ascii="Arial" w:cs="Arial" w:eastAsia="Arial" w:hAnsi="Arial"/>
          <w:sz w:val="17"/>
          <w:szCs w:val="17"/>
          <w:i w:val="1"/>
          <w:iCs w:val="1"/>
          <w:color w:val="auto"/>
        </w:rPr>
        <w:t xml:space="preserve"> </w:t>
      </w:r>
      <w:r>
        <w:rPr>
          <w:rFonts w:ascii="Arial" w:cs="Arial" w:eastAsia="Arial" w:hAnsi="Arial"/>
          <w:sz w:val="17"/>
          <w:szCs w:val="17"/>
          <w:color w:val="auto"/>
        </w:rPr>
        <w:t>lease to our customers in the United States and Latin America.</w:t>
      </w:r>
    </w:p>
    <w:p>
      <w:pPr>
        <w:spacing w:after="0" w:line="159"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u w:val="single" w:color="auto"/>
          <w:color w:val="auto"/>
        </w:rPr>
        <w:t>Consumer CLEC</w:t>
      </w:r>
      <w:r>
        <w:rPr>
          <w:rFonts w:ascii="Arial" w:cs="Arial" w:eastAsia="Arial" w:hAnsi="Arial"/>
          <w:sz w:val="17"/>
          <w:szCs w:val="17"/>
          <w:color w:val="auto"/>
        </w:rPr>
        <w:t>: Represents the operations of Talk America Services (“Talk America”) through which we operate the Consumer CLEC Business, which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Spin-Off was reported as an integrated operation within Windstream. Talk America provides local telephone, high-speed internet and long distance services to customers in the eastern and central United States.</w:t>
      </w:r>
    </w:p>
    <w:p>
      <w:pPr>
        <w:spacing w:after="0" w:line="172"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i w:val="1"/>
          <w:iCs w:val="1"/>
          <w:u w:val="single" w:color="auto"/>
          <w:color w:val="auto"/>
        </w:rPr>
        <w:t>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our corporate and back office functions. Certain costs and expenses, primarily related to headcount, insurance, professional fees and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charges, that are directly attributable to operations of our business segments are allocated to the respective segments.</w:t>
      </w:r>
    </w:p>
    <w:p>
      <w:pPr>
        <w:spacing w:after="0" w:line="159"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the impact, which may be recurring in nature, of transaction and integration related expenses, the write off of unamortized deferred financing costs, costs incurred as a result of the early repayment of debt, changes in the fair value of contingent consideration and financial instruments, and other similar items.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Selected financial data related to our segments is presented below for the three months ended March 31, 2019 and 2018:</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4"/>
                <w:szCs w:val="14"/>
                <w:b w:val="1"/>
                <w:bCs w:val="1"/>
                <w:color w:val="auto"/>
                <w:w w:val="90"/>
              </w:rPr>
              <w:t>Three Months Ended March 31, 2019</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center"/>
              <w:ind w:right="118"/>
              <w:spacing w:after="0" w:line="126" w:lineRule="exact"/>
              <w:rPr>
                <w:sz w:val="20"/>
                <w:szCs w:val="20"/>
                <w:color w:val="auto"/>
              </w:rPr>
            </w:pPr>
            <w:r>
              <w:rPr>
                <w:rFonts w:ascii="Arial" w:cs="Arial" w:eastAsia="Arial" w:hAnsi="Arial"/>
                <w:sz w:val="14"/>
                <w:szCs w:val="14"/>
                <w:b w:val="1"/>
                <w:bCs w:val="1"/>
                <w:color w:val="auto"/>
                <w:w w:val="87"/>
              </w:rPr>
              <w:t>Subtotal 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Leasing</w:t>
            </w:r>
          </w:p>
        </w:tc>
        <w:tc>
          <w:tcPr>
            <w:tcW w:w="2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w w:val="94"/>
              </w:rPr>
              <w:t>Fiber Infrastructure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Towers</w:t>
            </w:r>
          </w:p>
        </w:tc>
        <w:tc>
          <w:tcPr>
            <w:tcW w:w="2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w w:val="89"/>
              </w:rPr>
              <w:t>Consumer CLEC</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Corporate</w:t>
            </w:r>
          </w:p>
        </w:tc>
        <w:tc>
          <w:tcPr>
            <w:tcW w:w="1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0"/>
              </w:rPr>
              <w:t>Reportable</w:t>
            </w:r>
          </w:p>
        </w:tc>
        <w:tc>
          <w:tcPr>
            <w:tcW w:w="0" w:type="dxa"/>
            <w:vAlign w:val="bottom"/>
          </w:tcPr>
          <w:p>
            <w:pPr>
              <w:spacing w:after="0"/>
              <w:rPr>
                <w:sz w:val="1"/>
                <w:szCs w:val="1"/>
                <w:color w:val="auto"/>
              </w:rPr>
            </w:pPr>
          </w:p>
        </w:tc>
      </w:tr>
      <w:tr>
        <w:trPr>
          <w:trHeight w:val="165"/>
        </w:trPr>
        <w:tc>
          <w:tcPr>
            <w:tcW w:w="2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3"/>
              </w:rPr>
              <w:t>Segments</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Revenues</w:t>
            </w: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176,083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76,833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5,080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3,035</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261,031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Adjusted EBITDA</w:t>
            </w: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174,751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646</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(5,447)</w:t>
            </w:r>
          </w:p>
        </w:tc>
        <w:tc>
          <w:tcPr>
            <w:tcW w:w="280" w:type="dxa"/>
            <w:vAlign w:val="bottom"/>
            <w:gridSpan w:val="2"/>
            <w:shd w:val="clear" w:color="auto" w:fill="CFF0FC"/>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200,275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80" w:type="dxa"/>
            <w:vAlign w:val="bottom"/>
            <w:gridSpan w:val="2"/>
          </w:tcPr>
          <w:p>
            <w:pPr>
              <w:spacing w:after="0"/>
              <w:rPr>
                <w:sz w:val="20"/>
                <w:szCs w:val="20"/>
                <w:color w:val="auto"/>
              </w:rPr>
            </w:pPr>
            <w:r>
              <w:rPr>
                <w:rFonts w:ascii="Arial" w:cs="Arial" w:eastAsia="Arial" w:hAnsi="Arial"/>
                <w:sz w:val="17"/>
                <w:szCs w:val="17"/>
                <w:color w:val="auto"/>
              </w:rPr>
              <w:t>Less: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8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Interest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84,458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80" w:type="dxa"/>
            <w:vAlign w:val="bottom"/>
            <w:gridSpan w:val="2"/>
          </w:tcPr>
          <w:p>
            <w:pPr>
              <w:ind w:left="12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73,754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28,258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1,414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103,827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8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Other income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(3,113)</w:t>
            </w:r>
          </w:p>
        </w:tc>
        <w:tc>
          <w:tcPr>
            <w:tcW w:w="0" w:type="dxa"/>
            <w:vAlign w:val="bottom"/>
          </w:tcPr>
          <w:p>
            <w:pPr>
              <w:spacing w:after="0"/>
              <w:rPr>
                <w:sz w:val="1"/>
                <w:szCs w:val="1"/>
                <w:color w:val="auto"/>
              </w:rPr>
            </w:pPr>
          </w:p>
        </w:tc>
      </w:tr>
      <w:tr>
        <w:trPr>
          <w:trHeight w:val="220"/>
        </w:trPr>
        <w:tc>
          <w:tcPr>
            <w:tcW w:w="2480" w:type="dxa"/>
            <w:vAlign w:val="bottom"/>
            <w:gridSpan w:val="2"/>
          </w:tcPr>
          <w:p>
            <w:pPr>
              <w:ind w:left="120"/>
              <w:spacing w:after="0"/>
              <w:rPr>
                <w:sz w:val="20"/>
                <w:szCs w:val="20"/>
                <w:color w:val="auto"/>
              </w:rPr>
            </w:pPr>
            <w:r>
              <w:rPr>
                <w:rFonts w:ascii="Arial" w:cs="Arial" w:eastAsia="Arial" w:hAnsi="Arial"/>
                <w:sz w:val="17"/>
                <w:szCs w:val="17"/>
                <w:color w:val="auto"/>
              </w:rPr>
              <w:t>Transaction related costs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8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Stock-based compensation</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80" w:type="dxa"/>
            <w:vAlign w:val="bottom"/>
            <w:tcBorders>
              <w:bottom w:val="single" w:sz="8" w:color="CFF0FC"/>
            </w:tcBorders>
            <w:gridSpan w:val="2"/>
          </w:tcPr>
          <w:p>
            <w:pPr>
              <w:ind w:left="120"/>
              <w:spacing w:after="0"/>
              <w:rPr>
                <w:sz w:val="20"/>
                <w:szCs w:val="20"/>
                <w:color w:val="auto"/>
              </w:rPr>
            </w:pPr>
            <w:r>
              <w:rPr>
                <w:rFonts w:ascii="Arial" w:cs="Arial" w:eastAsia="Arial" w:hAnsi="Arial"/>
                <w:sz w:val="17"/>
                <w:szCs w:val="17"/>
                <w:color w:val="auto"/>
              </w:rPr>
              <w:t>Income tax expense</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 income</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580" w:type="dxa"/>
            <w:vAlign w:val="bottom"/>
            <w:tcBorders>
              <w:top w:val="single" w:sz="8" w:color="CFF0FC"/>
              <w:bottom w:val="single" w:sz="8" w:color="CFF0FC"/>
            </w:tcBorders>
            <w:gridSpan w:val="4"/>
            <w:vMerge w:val="restart"/>
          </w:tcPr>
          <w:p>
            <w:pPr>
              <w:jc w:val="right"/>
              <w:ind w:right="298"/>
              <w:spacing w:after="0"/>
              <w:rPr>
                <w:sz w:val="20"/>
                <w:szCs w:val="20"/>
                <w:color w:val="auto"/>
              </w:rPr>
            </w:pPr>
            <w:r>
              <w:rPr>
                <w:rFonts w:ascii="Arial" w:cs="Arial" w:eastAsia="Arial" w:hAnsi="Arial"/>
                <w:sz w:val="14"/>
                <w:szCs w:val="14"/>
                <w:b w:val="1"/>
                <w:bCs w:val="1"/>
                <w:color w:val="auto"/>
                <w:w w:val="90"/>
              </w:rPr>
              <w:t>Three Months Ended March 31, 2018</w:t>
            </w: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center"/>
              <w:ind w:right="118"/>
              <w:spacing w:after="0" w:line="126" w:lineRule="exact"/>
              <w:rPr>
                <w:sz w:val="20"/>
                <w:szCs w:val="20"/>
                <w:color w:val="auto"/>
              </w:rPr>
            </w:pPr>
            <w:r>
              <w:rPr>
                <w:rFonts w:ascii="Arial" w:cs="Arial" w:eastAsia="Arial" w:hAnsi="Arial"/>
                <w:sz w:val="14"/>
                <w:szCs w:val="14"/>
                <w:b w:val="1"/>
                <w:bCs w:val="1"/>
                <w:color w:val="auto"/>
                <w:w w:val="87"/>
              </w:rPr>
              <w:t>Subtotal 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Leasing</w:t>
            </w:r>
          </w:p>
        </w:tc>
        <w:tc>
          <w:tcPr>
            <w:tcW w:w="2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w w:val="94"/>
              </w:rPr>
              <w:t>Fiber Infrastructure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Towers</w:t>
            </w:r>
          </w:p>
        </w:tc>
        <w:tc>
          <w:tcPr>
            <w:tcW w:w="2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w w:val="89"/>
              </w:rPr>
              <w:t>Consumer CLEC</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Corporate</w:t>
            </w:r>
          </w:p>
        </w:tc>
        <w:tc>
          <w:tcPr>
            <w:tcW w:w="1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0"/>
              </w:rPr>
              <w:t>Reportable</w:t>
            </w:r>
          </w:p>
        </w:tc>
        <w:tc>
          <w:tcPr>
            <w:tcW w:w="0" w:type="dxa"/>
            <w:vAlign w:val="bottom"/>
          </w:tcPr>
          <w:p>
            <w:pPr>
              <w:spacing w:after="0"/>
              <w:rPr>
                <w:sz w:val="1"/>
                <w:szCs w:val="1"/>
                <w:color w:val="auto"/>
              </w:rPr>
            </w:pPr>
          </w:p>
        </w:tc>
      </w:tr>
      <w:tr>
        <w:trPr>
          <w:trHeight w:val="165"/>
        </w:trPr>
        <w:tc>
          <w:tcPr>
            <w:tcW w:w="2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3"/>
              </w:rPr>
              <w:t>Segments</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Revenues</w:t>
            </w: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172,774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66,967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3,370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3,804</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246,915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180" w:type="dxa"/>
            <w:vAlign w:val="bottom"/>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Adjusted EBITDA</w:t>
            </w: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172,369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29,195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(463)</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913</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(5,313)</w:t>
            </w:r>
          </w:p>
        </w:tc>
        <w:tc>
          <w:tcPr>
            <w:tcW w:w="280" w:type="dxa"/>
            <w:vAlign w:val="bottom"/>
            <w:gridSpan w:val="2"/>
            <w:shd w:val="clear" w:color="auto" w:fill="CFF0FC"/>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196,701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80" w:type="dxa"/>
            <w:vAlign w:val="bottom"/>
            <w:gridSpan w:val="2"/>
          </w:tcPr>
          <w:p>
            <w:pPr>
              <w:spacing w:after="0"/>
              <w:rPr>
                <w:sz w:val="20"/>
                <w:szCs w:val="20"/>
                <w:color w:val="auto"/>
              </w:rPr>
            </w:pPr>
            <w:r>
              <w:rPr>
                <w:rFonts w:ascii="Arial" w:cs="Arial" w:eastAsia="Arial" w:hAnsi="Arial"/>
                <w:sz w:val="17"/>
                <w:szCs w:val="17"/>
                <w:color w:val="auto"/>
              </w:rPr>
              <w:t>Less: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8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Interest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80" w:type="dxa"/>
            <w:vAlign w:val="bottom"/>
            <w:gridSpan w:val="2"/>
          </w:tcPr>
          <w:p>
            <w:pPr>
              <w:ind w:left="12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86,744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25,905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1,477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114,721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8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Other income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(3,885)</w:t>
            </w:r>
          </w:p>
        </w:tc>
        <w:tc>
          <w:tcPr>
            <w:tcW w:w="0" w:type="dxa"/>
            <w:vAlign w:val="bottom"/>
          </w:tcPr>
          <w:p>
            <w:pPr>
              <w:spacing w:after="0"/>
              <w:rPr>
                <w:sz w:val="1"/>
                <w:szCs w:val="1"/>
                <w:color w:val="auto"/>
              </w:rPr>
            </w:pPr>
          </w:p>
        </w:tc>
      </w:tr>
      <w:tr>
        <w:trPr>
          <w:trHeight w:val="220"/>
        </w:trPr>
        <w:tc>
          <w:tcPr>
            <w:tcW w:w="2480" w:type="dxa"/>
            <w:vAlign w:val="bottom"/>
            <w:gridSpan w:val="2"/>
          </w:tcPr>
          <w:p>
            <w:pPr>
              <w:ind w:left="120"/>
              <w:spacing w:after="0"/>
              <w:rPr>
                <w:sz w:val="20"/>
                <w:szCs w:val="20"/>
                <w:color w:val="auto"/>
              </w:rPr>
            </w:pPr>
            <w:r>
              <w:rPr>
                <w:rFonts w:ascii="Arial" w:cs="Arial" w:eastAsia="Arial" w:hAnsi="Arial"/>
                <w:sz w:val="17"/>
                <w:szCs w:val="17"/>
                <w:color w:val="auto"/>
              </w:rPr>
              <w:t>Transaction related costs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5,913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8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Stock-based compensation</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80" w:type="dxa"/>
            <w:vAlign w:val="bottom"/>
            <w:gridSpan w:val="2"/>
          </w:tcPr>
          <w:p>
            <w:pPr>
              <w:ind w:left="120"/>
              <w:spacing w:after="0"/>
              <w:rPr>
                <w:sz w:val="20"/>
                <w:szCs w:val="20"/>
                <w:color w:val="auto"/>
              </w:rPr>
            </w:pPr>
            <w:r>
              <w:rPr>
                <w:rFonts w:ascii="Arial" w:cs="Arial" w:eastAsia="Arial" w:hAnsi="Arial"/>
                <w:sz w:val="17"/>
                <w:szCs w:val="17"/>
                <w:color w:val="auto"/>
              </w:rPr>
              <w:t>Income tax benefit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(1,096)</w:t>
            </w:r>
          </w:p>
        </w:tc>
        <w:tc>
          <w:tcPr>
            <w:tcW w:w="0" w:type="dxa"/>
            <w:vAlign w:val="bottom"/>
          </w:tcPr>
          <w:p>
            <w:pPr>
              <w:spacing w:after="0"/>
              <w:rPr>
                <w:sz w:val="1"/>
                <w:szCs w:val="1"/>
                <w:color w:val="auto"/>
              </w:rPr>
            </w:pPr>
          </w:p>
        </w:tc>
      </w:tr>
      <w:tr>
        <w:trPr>
          <w:trHeight w:val="213"/>
        </w:trPr>
        <w:tc>
          <w:tcPr>
            <w:tcW w:w="24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Net income</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Commitments and Contingencies</w:t>
      </w:r>
    </w:p>
    <w:p>
      <w:pPr>
        <w:spacing w:after="0" w:line="224" w:lineRule="exact"/>
        <w:rPr>
          <w:sz w:val="20"/>
          <w:szCs w:val="20"/>
          <w:color w:val="auto"/>
        </w:rPr>
      </w:pPr>
    </w:p>
    <w:p>
      <w:pPr>
        <w:jc w:val="both"/>
        <w:ind w:right="60"/>
        <w:spacing w:after="0" w:line="283"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59"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Pursuant to the Separation and Distribution Agreement entered into with Windstream in connection with the Spin-Off,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to us by Windstream. If Windstream assumes the Separation and Distribution Agreement and/or the Master Lease in bankruptcy, it would be obligated to honor all indemnification claims arising under such agreement. If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Separation and Distribution Agreement and or the Master Lease are rejected in Windstream’s bankruptcy, any claims on the applicable indemnity would be treated as unsecured claims, and, if that were to occur, there can be no assurance we would receive any related indemnification payments from Windstream in connection with the applicable indemnity claims.</w:t>
      </w:r>
    </w:p>
    <w:p>
      <w:pPr>
        <w:spacing w:after="0" w:line="172"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Under the terms of the tax matters agreement entered into on April 24, 2015 by the Company, Windstream Services, LLC and Windstream (the “Tax Matters Agreement”),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condensed consolidated balance sheet.</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Accumulated Other Comprehensive (Loss) Income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Changes in accumulated other comprehensive (loss) income by component is as follows for the three months ended March 31, 2019 and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3"/>
        </w:trPr>
        <w:tc>
          <w:tcPr>
            <w:tcW w:w="7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w w:val="76"/>
              </w:rPr>
              <w:t>2018</w:t>
            </w:r>
          </w:p>
        </w:tc>
        <w:tc>
          <w:tcPr>
            <w:tcW w:w="100" w:type="dxa"/>
            <w:vAlign w:val="bottom"/>
            <w:tcBorders>
              <w:bottom w:val="single" w:sz="8" w:color="CFF0FC"/>
            </w:tcBorders>
          </w:tcPr>
          <w:p>
            <w:pPr>
              <w:spacing w:after="0"/>
              <w:rPr>
                <w:sz w:val="18"/>
                <w:szCs w:val="18"/>
                <w:color w:val="auto"/>
              </w:rPr>
            </w:pPr>
          </w:p>
        </w:tc>
      </w:tr>
      <w:tr>
        <w:trPr>
          <w:trHeight w:val="213"/>
        </w:trPr>
        <w:tc>
          <w:tcPr>
            <w:tcW w:w="7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Cash flow hedge changes in fair value gain (loss):</w:t>
            </w: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260" w:type="dxa"/>
            <w:vAlign w:val="bottom"/>
            <w:gridSpan w:val="2"/>
          </w:tcPr>
          <w:p>
            <w:pPr>
              <w:ind w:left="120"/>
              <w:spacing w:after="0"/>
              <w:rPr>
                <w:sz w:val="20"/>
                <w:szCs w:val="20"/>
                <w:color w:val="auto"/>
              </w:rPr>
            </w:pPr>
            <w:r>
              <w:rPr>
                <w:rFonts w:ascii="Arial" w:cs="Arial" w:eastAsia="Arial" w:hAnsi="Arial"/>
                <w:sz w:val="17"/>
                <w:szCs w:val="17"/>
                <w:color w:val="auto"/>
              </w:rPr>
              <w:t>Balance at beginning of period attributable to common shareholders</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30,042</w:t>
            </w:r>
          </w:p>
        </w:tc>
        <w:tc>
          <w:tcPr>
            <w:tcW w:w="280" w:type="dxa"/>
            <w:vAlign w:val="bottom"/>
          </w:tcPr>
          <w:p>
            <w:pPr>
              <w:spacing w:after="0"/>
              <w:rPr>
                <w:sz w:val="19"/>
                <w:szCs w:val="19"/>
                <w:color w:val="auto"/>
              </w:rPr>
            </w:pPr>
          </w:p>
        </w:tc>
        <w:tc>
          <w:tcPr>
            <w:tcW w:w="800" w:type="dxa"/>
            <w:vAlign w:val="bottom"/>
          </w:tcPr>
          <w:p>
            <w:pPr>
              <w:jc w:val="right"/>
              <w:ind w:right="6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6,793</w:t>
            </w:r>
          </w:p>
        </w:tc>
        <w:tc>
          <w:tcPr>
            <w:tcW w:w="100" w:type="dxa"/>
            <w:vAlign w:val="bottom"/>
          </w:tcPr>
          <w:p>
            <w:pPr>
              <w:spacing w:after="0"/>
              <w:rPr>
                <w:sz w:val="19"/>
                <w:szCs w:val="19"/>
                <w:color w:val="auto"/>
              </w:rPr>
            </w:pPr>
          </w:p>
        </w:tc>
      </w:tr>
      <w:tr>
        <w:trPr>
          <w:trHeight w:val="220"/>
        </w:trPr>
        <w:tc>
          <w:tcPr>
            <w:tcW w:w="726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Other comprehensive (loss) income before reclassifications</w:t>
            </w:r>
          </w:p>
        </w:tc>
        <w:tc>
          <w:tcPr>
            <w:tcW w:w="4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(19,626)</w:t>
            </w:r>
          </w:p>
        </w:tc>
        <w:tc>
          <w:tcPr>
            <w:tcW w:w="8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32,670</w:t>
            </w:r>
          </w:p>
        </w:tc>
        <w:tc>
          <w:tcPr>
            <w:tcW w:w="100" w:type="dxa"/>
            <w:vAlign w:val="bottom"/>
            <w:shd w:val="clear" w:color="auto" w:fill="CFF0FC"/>
          </w:tcPr>
          <w:p>
            <w:pPr>
              <w:spacing w:after="0"/>
              <w:rPr>
                <w:sz w:val="19"/>
                <w:szCs w:val="19"/>
                <w:color w:val="auto"/>
              </w:rPr>
            </w:pPr>
          </w:p>
        </w:tc>
      </w:tr>
      <w:tr>
        <w:trPr>
          <w:trHeight w:val="220"/>
        </w:trPr>
        <w:tc>
          <w:tcPr>
            <w:tcW w:w="7260" w:type="dxa"/>
            <w:vAlign w:val="bottom"/>
            <w:gridSpan w:val="2"/>
          </w:tcPr>
          <w:p>
            <w:pPr>
              <w:ind w:left="120"/>
              <w:spacing w:after="0"/>
              <w:rPr>
                <w:sz w:val="20"/>
                <w:szCs w:val="20"/>
                <w:color w:val="auto"/>
              </w:rPr>
            </w:pPr>
            <w:r>
              <w:rPr>
                <w:rFonts w:ascii="Arial" w:cs="Arial" w:eastAsia="Arial" w:hAnsi="Arial"/>
                <w:sz w:val="17"/>
                <w:szCs w:val="17"/>
                <w:color w:val="auto"/>
              </w:rPr>
              <w:t>Amounts reclassified from accumulated other comprehensive income</w:t>
            </w:r>
          </w:p>
        </w:tc>
        <w:tc>
          <w:tcPr>
            <w:tcW w:w="44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7"/>
                <w:szCs w:val="17"/>
                <w:color w:val="auto"/>
              </w:rPr>
              <w:t>(2,060)</w:t>
            </w:r>
          </w:p>
        </w:tc>
        <w:tc>
          <w:tcPr>
            <w:tcW w:w="8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2,598</w:t>
            </w:r>
          </w:p>
        </w:tc>
        <w:tc>
          <w:tcPr>
            <w:tcW w:w="100" w:type="dxa"/>
            <w:vAlign w:val="bottom"/>
          </w:tcPr>
          <w:p>
            <w:pPr>
              <w:spacing w:after="0"/>
              <w:rPr>
                <w:sz w:val="19"/>
                <w:szCs w:val="19"/>
                <w:color w:val="auto"/>
              </w:rPr>
            </w:pPr>
          </w:p>
        </w:tc>
      </w:tr>
      <w:tr>
        <w:trPr>
          <w:trHeight w:val="213"/>
        </w:trPr>
        <w:tc>
          <w:tcPr>
            <w:tcW w:w="7260" w:type="dxa"/>
            <w:vAlign w:val="bottom"/>
            <w:tcBorders>
              <w:top w:val="single" w:sz="8" w:color="CFF0FC"/>
            </w:tcBorders>
            <w:gridSpan w:val="2"/>
            <w:shd w:val="clear" w:color="auto" w:fill="CFF0FC"/>
          </w:tcPr>
          <w:p>
            <w:pPr>
              <w:ind w:left="120"/>
              <w:spacing w:after="0"/>
              <w:rPr>
                <w:sz w:val="20"/>
                <w:szCs w:val="20"/>
                <w:color w:val="auto"/>
              </w:rPr>
            </w:pPr>
            <w:r>
              <w:rPr>
                <w:rFonts w:ascii="Arial" w:cs="Arial" w:eastAsia="Arial" w:hAnsi="Arial"/>
                <w:sz w:val="17"/>
                <w:szCs w:val="17"/>
                <w:color w:val="auto"/>
              </w:rPr>
              <w:t>Balance at end of period</w:t>
            </w:r>
          </w:p>
        </w:tc>
        <w:tc>
          <w:tcPr>
            <w:tcW w:w="44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8,356</w:t>
            </w:r>
          </w:p>
        </w:tc>
        <w:tc>
          <w:tcPr>
            <w:tcW w:w="2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42,061</w:t>
            </w:r>
          </w:p>
        </w:tc>
        <w:tc>
          <w:tcPr>
            <w:tcW w:w="100" w:type="dxa"/>
            <w:vAlign w:val="bottom"/>
            <w:tcBorders>
              <w:top w:val="single" w:sz="8" w:color="CFF0FC"/>
            </w:tcBorders>
            <w:shd w:val="clear" w:color="auto" w:fill="CFF0FC"/>
          </w:tcPr>
          <w:p>
            <w:pPr>
              <w:spacing w:after="0"/>
              <w:rPr>
                <w:sz w:val="18"/>
                <w:szCs w:val="18"/>
                <w:color w:val="auto"/>
              </w:rPr>
            </w:pPr>
          </w:p>
        </w:tc>
      </w:tr>
      <w:tr>
        <w:trPr>
          <w:trHeight w:val="220"/>
        </w:trPr>
        <w:tc>
          <w:tcPr>
            <w:tcW w:w="7260" w:type="dxa"/>
            <w:vAlign w:val="bottom"/>
            <w:gridSpan w:val="2"/>
          </w:tcPr>
          <w:p>
            <w:pPr>
              <w:ind w:left="120"/>
              <w:spacing w:after="0"/>
              <w:rPr>
                <w:sz w:val="20"/>
                <w:szCs w:val="20"/>
                <w:color w:val="auto"/>
              </w:rPr>
            </w:pPr>
            <w:r>
              <w:rPr>
                <w:rFonts w:ascii="Arial" w:cs="Arial" w:eastAsia="Arial" w:hAnsi="Arial"/>
                <w:sz w:val="17"/>
                <w:szCs w:val="17"/>
                <w:color w:val="auto"/>
              </w:rPr>
              <w:t>Less: Other comprehensive (loss) income attributable to noncontrolling interest</w:t>
            </w:r>
          </w:p>
        </w:tc>
        <w:tc>
          <w:tcPr>
            <w:tcW w:w="44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7"/>
                <w:szCs w:val="17"/>
                <w:color w:val="auto"/>
              </w:rPr>
              <w:t>(479)</w:t>
            </w:r>
          </w:p>
        </w:tc>
        <w:tc>
          <w:tcPr>
            <w:tcW w:w="8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1,256</w:t>
            </w:r>
          </w:p>
        </w:tc>
        <w:tc>
          <w:tcPr>
            <w:tcW w:w="100" w:type="dxa"/>
            <w:vAlign w:val="bottom"/>
          </w:tcPr>
          <w:p>
            <w:pPr>
              <w:spacing w:after="0"/>
              <w:rPr>
                <w:sz w:val="19"/>
                <w:szCs w:val="19"/>
                <w:color w:val="auto"/>
              </w:rPr>
            </w:pPr>
          </w:p>
        </w:tc>
      </w:tr>
      <w:tr>
        <w:trPr>
          <w:trHeight w:val="213"/>
        </w:trPr>
        <w:tc>
          <w:tcPr>
            <w:tcW w:w="7260" w:type="dxa"/>
            <w:vAlign w:val="bottom"/>
            <w:tcBorders>
              <w:top w:val="single" w:sz="8" w:color="CFF0FC"/>
            </w:tcBorders>
            <w:gridSpan w:val="2"/>
            <w:shd w:val="clear" w:color="auto" w:fill="CFF0FC"/>
          </w:tcPr>
          <w:p>
            <w:pPr>
              <w:ind w:left="120"/>
              <w:spacing w:after="0"/>
              <w:rPr>
                <w:sz w:val="20"/>
                <w:szCs w:val="20"/>
                <w:color w:val="auto"/>
              </w:rPr>
            </w:pPr>
            <w:r>
              <w:rPr>
                <w:rFonts w:ascii="Arial" w:cs="Arial" w:eastAsia="Arial" w:hAnsi="Arial"/>
                <w:sz w:val="17"/>
                <w:szCs w:val="17"/>
                <w:color w:val="auto"/>
              </w:rPr>
              <w:t>Balance at end of period attributable to common shareholders</w:t>
            </w:r>
          </w:p>
        </w:tc>
        <w:tc>
          <w:tcPr>
            <w:tcW w:w="44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8,835</w:t>
            </w:r>
          </w:p>
        </w:tc>
        <w:tc>
          <w:tcPr>
            <w:tcW w:w="2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40,805</w:t>
            </w:r>
          </w:p>
        </w:tc>
        <w:tc>
          <w:tcPr>
            <w:tcW w:w="100" w:type="dxa"/>
            <w:vAlign w:val="bottom"/>
            <w:tcBorders>
              <w:top w:val="single" w:sz="8" w:color="CFF0FC"/>
            </w:tcBorders>
            <w:shd w:val="clear" w:color="auto" w:fill="CFF0FC"/>
          </w:tcPr>
          <w:p>
            <w:pPr>
              <w:spacing w:after="0"/>
              <w:rPr>
                <w:sz w:val="18"/>
                <w:szCs w:val="18"/>
                <w:color w:val="auto"/>
              </w:rPr>
            </w:pPr>
          </w:p>
        </w:tc>
      </w:tr>
      <w:tr>
        <w:trPr>
          <w:trHeight w:val="220"/>
        </w:trPr>
        <w:tc>
          <w:tcPr>
            <w:tcW w:w="7260" w:type="dxa"/>
            <w:vAlign w:val="bottom"/>
            <w:gridSpan w:val="2"/>
          </w:tcPr>
          <w:p>
            <w:pPr>
              <w:spacing w:after="0"/>
              <w:rPr>
                <w:sz w:val="20"/>
                <w:szCs w:val="20"/>
                <w:color w:val="auto"/>
              </w:rPr>
            </w:pPr>
            <w:r>
              <w:rPr>
                <w:rFonts w:ascii="Arial" w:cs="Arial" w:eastAsia="Arial" w:hAnsi="Arial"/>
                <w:sz w:val="17"/>
                <w:szCs w:val="17"/>
                <w:color w:val="auto"/>
              </w:rPr>
              <w:t>Foreign currency translation gain (loss):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726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Balance at beginning of period attributable to common shareholders</w:t>
            </w: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1,393</w:t>
            </w:r>
          </w:p>
        </w:tc>
        <w:tc>
          <w:tcPr>
            <w:tcW w:w="100" w:type="dxa"/>
            <w:vAlign w:val="bottom"/>
            <w:shd w:val="clear" w:color="auto" w:fill="CFF0FC"/>
          </w:tcPr>
          <w:p>
            <w:pPr>
              <w:spacing w:after="0"/>
              <w:rPr>
                <w:sz w:val="19"/>
                <w:szCs w:val="19"/>
                <w:color w:val="auto"/>
              </w:rPr>
            </w:pPr>
          </w:p>
        </w:tc>
      </w:tr>
      <w:tr>
        <w:trPr>
          <w:trHeight w:val="220"/>
        </w:trPr>
        <w:tc>
          <w:tcPr>
            <w:tcW w:w="7260" w:type="dxa"/>
            <w:vAlign w:val="bottom"/>
            <w:tcBorders>
              <w:bottom w:val="single" w:sz="8" w:color="CFF0FC"/>
            </w:tcBorders>
            <w:gridSpan w:val="2"/>
          </w:tcPr>
          <w:p>
            <w:pPr>
              <w:ind w:left="120"/>
              <w:spacing w:after="0"/>
              <w:rPr>
                <w:sz w:val="20"/>
                <w:szCs w:val="20"/>
                <w:color w:val="auto"/>
              </w:rPr>
            </w:pPr>
            <w:r>
              <w:rPr>
                <w:rFonts w:ascii="Arial" w:cs="Arial" w:eastAsia="Arial" w:hAnsi="Arial"/>
                <w:sz w:val="17"/>
                <w:szCs w:val="17"/>
                <w:color w:val="auto"/>
              </w:rPr>
              <w:t>Translation adjustments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w:t>
            </w:r>
          </w:p>
        </w:tc>
        <w:tc>
          <w:tcPr>
            <w:tcW w:w="2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4,565</w:t>
            </w:r>
          </w:p>
        </w:tc>
        <w:tc>
          <w:tcPr>
            <w:tcW w:w="100" w:type="dxa"/>
            <w:vAlign w:val="bottom"/>
            <w:tcBorders>
              <w:bottom w:val="single" w:sz="8" w:color="CFF0FC"/>
            </w:tcBorders>
          </w:tcPr>
          <w:p>
            <w:pPr>
              <w:spacing w:after="0"/>
              <w:rPr>
                <w:sz w:val="19"/>
                <w:szCs w:val="19"/>
                <w:color w:val="auto"/>
              </w:rPr>
            </w:pPr>
          </w:p>
        </w:tc>
      </w:tr>
      <w:tr>
        <w:trPr>
          <w:trHeight w:val="213"/>
        </w:trPr>
        <w:tc>
          <w:tcPr>
            <w:tcW w:w="726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Balance at end of period</w:t>
            </w: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843</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5,958</w:t>
            </w:r>
          </w:p>
        </w:tc>
        <w:tc>
          <w:tcPr>
            <w:tcW w:w="100" w:type="dxa"/>
            <w:vAlign w:val="bottom"/>
            <w:shd w:val="clear" w:color="auto" w:fill="CFF0FC"/>
          </w:tcPr>
          <w:p>
            <w:pPr>
              <w:spacing w:after="0"/>
              <w:rPr>
                <w:sz w:val="18"/>
                <w:szCs w:val="18"/>
                <w:color w:val="auto"/>
              </w:rPr>
            </w:pPr>
          </w:p>
        </w:tc>
      </w:tr>
      <w:tr>
        <w:trPr>
          <w:trHeight w:val="220"/>
        </w:trPr>
        <w:tc>
          <w:tcPr>
            <w:tcW w:w="7260" w:type="dxa"/>
            <w:vAlign w:val="bottom"/>
            <w:tcBorders>
              <w:bottom w:val="single" w:sz="8" w:color="CFF0FC"/>
            </w:tcBorders>
            <w:gridSpan w:val="2"/>
          </w:tcPr>
          <w:p>
            <w:pPr>
              <w:ind w:left="120"/>
              <w:spacing w:after="0"/>
              <w:rPr>
                <w:sz w:val="20"/>
                <w:szCs w:val="20"/>
                <w:color w:val="auto"/>
              </w:rPr>
            </w:pPr>
            <w:r>
              <w:rPr>
                <w:rFonts w:ascii="Arial" w:cs="Arial" w:eastAsia="Arial" w:hAnsi="Arial"/>
                <w:sz w:val="17"/>
                <w:szCs w:val="17"/>
                <w:color w:val="auto"/>
              </w:rPr>
              <w:t>Less: Other comprehensive income attributable to noncontrolling interest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2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FF0FC"/>
            </w:tcBorders>
          </w:tcPr>
          <w:p>
            <w:pPr>
              <w:spacing w:after="0"/>
              <w:rPr>
                <w:sz w:val="19"/>
                <w:szCs w:val="19"/>
                <w:color w:val="auto"/>
              </w:rPr>
            </w:pPr>
          </w:p>
        </w:tc>
      </w:tr>
      <w:tr>
        <w:trPr>
          <w:trHeight w:val="213"/>
        </w:trPr>
        <w:tc>
          <w:tcPr>
            <w:tcW w:w="726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Balance at end of period attributable to common shareholders</w:t>
            </w:r>
          </w:p>
        </w:tc>
        <w:tc>
          <w:tcPr>
            <w:tcW w:w="4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826</w:t>
            </w:r>
          </w:p>
        </w:tc>
        <w:tc>
          <w:tcPr>
            <w:tcW w:w="28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5,930</w:t>
            </w:r>
          </w:p>
        </w:tc>
        <w:tc>
          <w:tcPr>
            <w:tcW w:w="100" w:type="dxa"/>
            <w:vAlign w:val="bottom"/>
            <w:shd w:val="clear" w:color="auto" w:fill="CFF0FC"/>
          </w:tcPr>
          <w:p>
            <w:pPr>
              <w:spacing w:after="0"/>
              <w:rPr>
                <w:sz w:val="18"/>
                <w:szCs w:val="18"/>
                <w:color w:val="auto"/>
              </w:rPr>
            </w:pPr>
          </w:p>
        </w:tc>
      </w:tr>
      <w:tr>
        <w:trPr>
          <w:trHeight w:val="213"/>
        </w:trPr>
        <w:tc>
          <w:tcPr>
            <w:tcW w:w="7260" w:type="dxa"/>
            <w:vAlign w:val="bottom"/>
            <w:gridSpan w:val="2"/>
          </w:tcPr>
          <w:p>
            <w:pPr>
              <w:spacing w:after="0"/>
              <w:rPr>
                <w:sz w:val="20"/>
                <w:szCs w:val="20"/>
                <w:color w:val="auto"/>
              </w:rPr>
            </w:pPr>
            <w:r>
              <w:rPr>
                <w:rFonts w:ascii="Arial" w:cs="Arial" w:eastAsia="Arial" w:hAnsi="Arial"/>
                <w:sz w:val="17"/>
                <w:szCs w:val="17"/>
                <w:color w:val="auto"/>
              </w:rPr>
              <w:t>Accumulated other comprehensive income at end of period</w:t>
            </w: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9,661</w:t>
            </w:r>
          </w:p>
        </w:tc>
        <w:tc>
          <w:tcPr>
            <w:tcW w:w="280" w:type="dxa"/>
            <w:vAlign w:val="bottom"/>
          </w:tcPr>
          <w:p>
            <w:pPr>
              <w:spacing w:after="0"/>
              <w:rPr>
                <w:sz w:val="18"/>
                <w:szCs w:val="18"/>
                <w:color w:val="auto"/>
              </w:rPr>
            </w:pPr>
          </w:p>
        </w:tc>
        <w:tc>
          <w:tcPr>
            <w:tcW w:w="800" w:type="dxa"/>
            <w:vAlign w:val="bottom"/>
            <w:tcBorders>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46,735</w:t>
            </w:r>
          </w:p>
        </w:tc>
        <w:tc>
          <w:tcPr>
            <w:tcW w:w="100" w:type="dxa"/>
            <w:vAlign w:val="bottom"/>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Capital Stock</w:t>
      </w:r>
    </w:p>
    <w:p>
      <w:pPr>
        <w:spacing w:after="0" w:line="224"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$250.0 million. As of March 31, 2019, the Company has issued and sold an aggregate of 6.7 million shares of common stock at a weighted average price of $19.92 per share under the ATM Program, receiving net proceeds of $131.2 million, after commissions of $1.7 million and other offering costs.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Subsequent Events</w:t>
      </w:r>
    </w:p>
    <w:p>
      <w:pPr>
        <w:spacing w:after="0" w:line="224" w:lineRule="exact"/>
        <w:rPr>
          <w:sz w:val="20"/>
          <w:szCs w:val="20"/>
          <w:color w:val="auto"/>
        </w:rPr>
      </w:pPr>
    </w:p>
    <w:p>
      <w:pPr>
        <w:ind w:right="40"/>
        <w:spacing w:after="0" w:line="315" w:lineRule="auto"/>
        <w:rPr>
          <w:sz w:val="20"/>
          <w:szCs w:val="20"/>
          <w:color w:val="auto"/>
        </w:rPr>
      </w:pPr>
      <w:r>
        <w:rPr>
          <w:rFonts w:ascii="Arial" w:cs="Arial" w:eastAsia="Arial" w:hAnsi="Arial"/>
          <w:sz w:val="16"/>
          <w:szCs w:val="16"/>
          <w:color w:val="auto"/>
        </w:rPr>
        <w:t>On April 2, 2019, the Company completed the sale of the Uniti Towers’ Latin American business to an entity controlled by Phoenix Towers International (“PTI”). At closing, PTI acquired approximately 500 towers located across Mexico, Colombia and Nicaragua. Total consideration was approximately $100 million.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2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describes the principal factors affecting the results of our operations, financial condition, and changes in financial condition for the three months ended March 31, 2019. This discussion should be read in conjunction with the accompanying unaudited financial statements, and the notes thereto set forth in Part I, Item 1 of this Quarterly Report on Form 10-Q and our Annual Report on Form 10-K for the year ended December 31, 2018, filed with the Securities and Exchange Commission (the “SEC”) on March 18, 2019.</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Company Description</w:t>
      </w:r>
    </w:p>
    <w:p>
      <w:pPr>
        <w:spacing w:after="0" w:line="218"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w:t>
      </w:r>
    </w:p>
    <w:p>
      <w:pPr>
        <w:spacing w:after="0" w:line="172"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On April 24, 2015, we were separated and spun-off (the “Spin-Off”) from Windstream Holdings, Inc. (“Windstream Holdings” and together with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w:t>
      </w:r>
    </w:p>
    <w:p>
      <w:pPr>
        <w:spacing w:after="0" w:line="16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Uniti operates as a REIT for U.S. federal income tax purposes. As a REIT, the Company is generally not subject to U.S. federal income taxes on income generated by its REIT operations, which includes income derived from the Master Lease. We have elected to treat the subsidiaries through which we operate our fiber business, Uniti Fiber, and Talk America Services, LLC, which operates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77"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March 31, 2019, we are the sole general partner of the Operating Partnership and own approximately 97.7% of the partnership interests in the Operating Partnership.</w:t>
      </w:r>
    </w:p>
    <w:p>
      <w:pPr>
        <w:spacing w:after="0" w:line="160"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We expect to grow and diversify our portfolio and tenant base by pursuing a range of transaction structures with communication service providers, including, (i) sale leaseback transactions, whereby we acquire existing infrastructure assets from third parties, including communication service providers, and lease them back on a long-term triple-net basis; (ii) whole company acquisitions, which may include the use of one or more TRSs that are permitted under the tax laws to acquire and operate non-REIT businesses and assets subject to certain limitations; (iii) capital investment financing, whereby we offer communication service providers a cost efficient method of raising funds for discrete capital investments to upgrade or expand their network; and (iv) mergers and acquisitions financing, whereby we facilitate mergers and acquisition transactions as a capital partner, including through operating company/property company (“OpCo-PropCo”) structures.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We manage our operations as four reportable business segments in addition to our corporate operations:</w:t>
      </w:r>
    </w:p>
    <w:p>
      <w:pPr>
        <w:spacing w:after="0" w:line="218"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i w:val="1"/>
          <w:iCs w:val="1"/>
          <w:u w:val="single" w:color="auto"/>
          <w:color w:val="auto"/>
        </w:rPr>
        <w:t>Leasing Segment</w:t>
      </w:r>
      <w:r>
        <w:rPr>
          <w:rFonts w:ascii="Arial" w:cs="Arial" w:eastAsia="Arial" w:hAnsi="Arial"/>
          <w:sz w:val="17"/>
          <w:szCs w:val="17"/>
          <w:color w:val="auto"/>
        </w:rPr>
        <w:t>: Represents our REIT operations and includes the results from our leasing business, Uniti Leasing, which is engaged in the acquisition of mission-critical communications assets and leasing them to anchor customers on either an exclusive or shared-tenant basis.</w:t>
      </w:r>
    </w:p>
    <w:p>
      <w:pPr>
        <w:spacing w:after="0" w:line="159"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i w:val="1"/>
          <w:iCs w:val="1"/>
          <w:u w:val="single" w:color="auto"/>
          <w:color w:val="auto"/>
        </w:rPr>
        <w:t>Fiber Infrastructure Segment</w:t>
      </w:r>
      <w:r>
        <w:rPr>
          <w:rFonts w:ascii="Arial" w:cs="Arial" w:eastAsia="Arial" w:hAnsi="Arial"/>
          <w:sz w:val="17"/>
          <w:szCs w:val="17"/>
          <w:color w:val="auto"/>
        </w:rPr>
        <w:t>: Represents the operations of our fiber business, Uniti Fiber, which is a leading provider of infrastructure solutions, including cell site</w:t>
      </w:r>
      <w:r>
        <w:rPr>
          <w:rFonts w:ascii="Arial" w:cs="Arial" w:eastAsia="Arial" w:hAnsi="Arial"/>
          <w:sz w:val="17"/>
          <w:szCs w:val="17"/>
          <w:i w:val="1"/>
          <w:iCs w:val="1"/>
          <w:color w:val="auto"/>
        </w:rPr>
        <w:t xml:space="preserve"> </w:t>
      </w:r>
      <w:r>
        <w:rPr>
          <w:rFonts w:ascii="Arial" w:cs="Arial" w:eastAsia="Arial" w:hAnsi="Arial"/>
          <w:sz w:val="17"/>
          <w:szCs w:val="17"/>
          <w:color w:val="auto"/>
        </w:rPr>
        <w:t>backhaul and dark fiber, to the telecommunications industry.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right="300"/>
        <w:spacing w:after="0" w:line="315" w:lineRule="auto"/>
        <w:rPr>
          <w:sz w:val="20"/>
          <w:szCs w:val="20"/>
          <w:color w:val="auto"/>
        </w:rPr>
      </w:pPr>
      <w:r>
        <w:rPr>
          <w:rFonts w:ascii="Arial" w:cs="Arial" w:eastAsia="Arial" w:hAnsi="Arial"/>
          <w:sz w:val="16"/>
          <w:szCs w:val="16"/>
          <w:i w:val="1"/>
          <w:iCs w:val="1"/>
          <w:u w:val="single" w:color="auto"/>
          <w:color w:val="auto"/>
        </w:rPr>
        <w:t>Towers Segment</w:t>
      </w:r>
      <w:r>
        <w:rPr>
          <w:rFonts w:ascii="Arial" w:cs="Arial" w:eastAsia="Arial" w:hAnsi="Arial"/>
          <w:sz w:val="16"/>
          <w:szCs w:val="16"/>
          <w:color w:val="auto"/>
        </w:rPr>
        <w:t>: Represents the operations of our towers business, Uniti Towers, through which we acquire and construct tower and tower-related real estate and</w:t>
      </w:r>
      <w:r>
        <w:rPr>
          <w:rFonts w:ascii="Arial" w:cs="Arial" w:eastAsia="Arial" w:hAnsi="Arial"/>
          <w:sz w:val="16"/>
          <w:szCs w:val="16"/>
          <w:i w:val="1"/>
          <w:iCs w:val="1"/>
          <w:color w:val="auto"/>
        </w:rPr>
        <w:t xml:space="preserve"> </w:t>
      </w:r>
      <w:r>
        <w:rPr>
          <w:rFonts w:ascii="Arial" w:cs="Arial" w:eastAsia="Arial" w:hAnsi="Arial"/>
          <w:sz w:val="16"/>
          <w:szCs w:val="16"/>
          <w:color w:val="auto"/>
        </w:rPr>
        <w:t>lease space on communications towers to wireless service providers and other tenants. Uniti Towers is a component of our REIT operations.</w:t>
      </w:r>
    </w:p>
    <w:p>
      <w:pPr>
        <w:spacing w:after="0" w:line="137"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i w:val="1"/>
          <w:iCs w:val="1"/>
          <w:u w:val="single" w:color="auto"/>
          <w:color w:val="auto"/>
        </w:rPr>
        <w:t>Consumer CLEC Segment</w:t>
      </w:r>
      <w:r>
        <w:rPr>
          <w:rFonts w:ascii="Arial" w:cs="Arial" w:eastAsia="Arial" w:hAnsi="Arial"/>
          <w:sz w:val="17"/>
          <w:szCs w:val="17"/>
          <w:color w:val="auto"/>
        </w:rPr>
        <w:t>: Represents the operations of Talk America through which we operate the Consumer CLEC Business that prior to the Spin-Off was</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as an integrated operation within Windstream. Talk America provides local telephone, high-speed internet and long distance services to customers in the eastern and central United States.</w:t>
      </w:r>
    </w:p>
    <w:p>
      <w:pPr>
        <w:spacing w:after="0" w:line="172" w:lineRule="exact"/>
        <w:rPr>
          <w:sz w:val="20"/>
          <w:szCs w:val="20"/>
          <w:color w:val="auto"/>
        </w:rPr>
      </w:pPr>
    </w:p>
    <w:p>
      <w:pPr>
        <w:jc w:val="both"/>
        <w:ind w:right="620"/>
        <w:spacing w:after="0" w:line="268" w:lineRule="auto"/>
        <w:rPr>
          <w:sz w:val="20"/>
          <w:szCs w:val="20"/>
          <w:color w:val="auto"/>
        </w:rPr>
      </w:pPr>
      <w:r>
        <w:rPr>
          <w:rFonts w:ascii="Arial" w:cs="Arial" w:eastAsia="Arial" w:hAnsi="Arial"/>
          <w:sz w:val="17"/>
          <w:szCs w:val="17"/>
          <w:i w:val="1"/>
          <w:iCs w:val="1"/>
          <w:u w:val="single" w:color="auto"/>
          <w:color w:val="auto"/>
        </w:rPr>
        <w:t>Corporate Operations</w:t>
      </w:r>
      <w:r>
        <w:rPr>
          <w:rFonts w:ascii="Arial" w:cs="Arial" w:eastAsia="Arial" w:hAnsi="Arial"/>
          <w:sz w:val="17"/>
          <w:szCs w:val="17"/>
          <w:color w:val="auto"/>
        </w:rPr>
        <w:t>: Represents our corporate office and shared service functions. Certain costs and expenses, primarily related to headcount,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systems, insurance, professional fees and similar charges, that are directly attributable to operations of our business segments are allocated to the respective segments.</w:t>
      </w:r>
    </w:p>
    <w:p>
      <w:pPr>
        <w:spacing w:after="0" w:line="172"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the impact, which may be recurring in nature, of transaction and integration related expenses, the write off of unamortized deferred financing costs, costs incurred as a result of the early repayment of debt, changes in the fair value of contingent consideration and financial instruments, and other similar items. For more information on Adjusted EBITDA, see “Non-GAAP Financial Measures.” Detailed information about our segments can be found in Note 13 to our condensed consolidated financial statements contained in Part I, Item 1 of this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Business Developments</w:t>
      </w:r>
    </w:p>
    <w:p>
      <w:pPr>
        <w:spacing w:after="0" w:line="218"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i w:val="1"/>
          <w:iCs w:val="1"/>
          <w:u w:val="single" w:color="auto"/>
          <w:color w:val="auto"/>
        </w:rPr>
        <w:t>Windstream Bankruptcy Filing.</w:t>
      </w:r>
      <w:r>
        <w:rPr>
          <w:rFonts w:ascii="Arial" w:cs="Arial" w:eastAsia="Arial" w:hAnsi="Arial"/>
          <w:sz w:val="16"/>
          <w:szCs w:val="16"/>
          <w:i w:val="1"/>
          <w:iCs w:val="1"/>
          <w:color w:val="auto"/>
        </w:rPr>
        <w:t xml:space="preserve"> </w:t>
      </w:r>
      <w:r>
        <w:rPr>
          <w:rFonts w:ascii="Arial" w:cs="Arial" w:eastAsia="Arial" w:hAnsi="Arial"/>
          <w:sz w:val="16"/>
          <w:szCs w:val="16"/>
          <w:color w:val="auto"/>
        </w:rPr>
        <w:t>Windstream was involved in litigation with an entity who acquired certain Windstream debt securities and thereafter issued a notice</w:t>
      </w:r>
      <w:r>
        <w:rPr>
          <w:rFonts w:ascii="Arial" w:cs="Arial" w:eastAsia="Arial" w:hAnsi="Arial"/>
          <w:sz w:val="16"/>
          <w:szCs w:val="16"/>
          <w:i w:val="1"/>
          <w:iCs w:val="1"/>
          <w:color w:val="auto"/>
        </w:rPr>
        <w:t xml:space="preserve"> </w:t>
      </w:r>
      <w:r>
        <w:rPr>
          <w:rFonts w:ascii="Arial" w:cs="Arial" w:eastAsia="Arial" w:hAnsi="Arial"/>
          <w:sz w:val="16"/>
          <w:szCs w:val="16"/>
          <w:color w:val="auto"/>
        </w:rPr>
        <w:t>of default as to such securities relating to the Spin-Off. Windstream challenged the matter in federal court and a trial was held in July 2018. On February 15, 2019, the federal court judge issued a ruling against Windstream, finding that Windstream’s attempts to waive such default were not valid; that an “event of default” occurred with respect to such debt securities; and that the holder’s acceleration of such debt in December 2017 was effective.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Following the adverse outcome, on February 25, 2019, Windstream filed voluntary petitions for relief under Chapter 11 of the Bankruptcy Code in the U.S.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Bankruptcy Court for the Southern District of New York.</w:t>
      </w:r>
    </w:p>
    <w:p>
      <w:pPr>
        <w:spacing w:after="0" w:line="205"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In bankruptcy, Windstream has the option to assume or reject the Master Lease. Because the Master Lease is a single indivisible Master Lease with a single rent payment, it must be assumed or rejected in whole and cannot be sub-divided by facility or market. A significant amount of Windstream’s revenue is generated from the use of our network included in the Master Lease, and we believe that the Master Lease is essential to Windstream’s operations. Furthermore, Windstream is designated as a “carrier of last resort” in certain markets where it utilizes the Master Lease to provide service to its customers, and Windstream would require approval from the Public Utility Commissions and the Federal Communications Commission to cease providing service in those markets. As a result, we believe the probability of Windstream rejecting the Master Lease in bankruptcy to be remote. However, a rejection of the Master Lease, or even a temporary disruption in payments to us may require us to fund certain expenses and obligations (e.g., real estate taxes, insurance and maintenance expenses) to preserve the value of our properties and could impact our ability to fund other cash obligations, including dividends necessary to maintain REIT status, non-essential capital expenditures and, in an extreme case, our debt service obligations. A rejection by Windstream of the Master Lease or its inability or unwillingness to meet its rent and other obligations under the Master Lease could materially adversely affect our consolidated results of operations, liquidity, and financial condition, including our ability to service debt, comply with debt covenants and pay dividends to our stockholders as required to maintain our status as a REIT.</w:t>
      </w:r>
    </w:p>
    <w:p>
      <w:pPr>
        <w:spacing w:after="0" w:line="15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In addition, a rejection of the Master Lease by Windstream would result in an “event of default” under our Credit Agreement if we are unable to enter into a replacement lease that satisfies certain criteria set forth in the Credit Agreement within ninety (90) calendar days and we do not maintain pro forma compliance with a consolidated secured leverage ratio, as defined in the Credit Agreement, of 5.00 to 1.00.</w:t>
      </w:r>
    </w:p>
    <w:p>
      <w:pPr>
        <w:spacing w:after="0" w:line="17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Master Lease contains no provision that contemplates renegotiation of the lease and the bankruptcy court has no ability to unilaterally reset the rent or terms of the lease. In addition, our Credit Agreement prohibits the Company from amending the Master Lease in a manner that, among other provisions, pro forma for any such amendment, would result in our consolidated secured leverage ratio to exceed 5.0 to 1.0, and management has no intention to enter into a lease amendment that would violate our debt covenants. However, it is difficult to predict what could occur in Windstream’s bankruptcy restructuring, including potential claims against us by Windstream or its creditors.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color w:val="auto"/>
        </w:rPr>
        <w:t>See in Part I, Item 1A "Risk Factors" of our Annual Report on Form 10-K for the year ended December 31, 2018 for additional information concerning the impact Windstream’s bankruptcy may have on our operations and financial condition.</w:t>
      </w:r>
    </w:p>
    <w:p>
      <w:pPr>
        <w:spacing w:after="0" w:line="159"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i w:val="1"/>
          <w:iCs w:val="1"/>
          <w:u w:val="single" w:color="auto"/>
          <w:color w:val="auto"/>
        </w:rPr>
        <w:t>Going Concern.</w:t>
      </w:r>
      <w:r>
        <w:rPr>
          <w:rFonts w:ascii="Arial" w:cs="Arial" w:eastAsia="Arial" w:hAnsi="Arial"/>
          <w:sz w:val="16"/>
          <w:szCs w:val="16"/>
          <w:i w:val="1"/>
          <w:iCs w:val="1"/>
          <w:color w:val="auto"/>
        </w:rPr>
        <w:t xml:space="preserve"> </w:t>
      </w:r>
      <w:r>
        <w:rPr>
          <w:rFonts w:ascii="Arial" w:cs="Arial" w:eastAsia="Arial" w:hAnsi="Arial"/>
          <w:sz w:val="16"/>
          <w:szCs w:val="16"/>
          <w:color w:val="auto"/>
        </w:rPr>
        <w:t>There are conditions and events which raise substantial doubt about our ability to continue as a going concern, and in its opinion on our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2018 financial statements, PricewaterhouseCoopers LLP, our independent registered public accounting firm, expressed substantial doubt as to whether we could continue as a going concern during the one year period following the date the financial statements were issued as a result of Windstream’s bankruptcy petition and its potential uncertain effects on the Master Lease. Our financial statements do not include any adjustments that may result from the outcome of this uncertainty. We expect Windstream will continue to perform on the Master Lease and believe it is unlikely that Windstream will reject the Master Lease because the Master Lease is central to Windstream’s operations. We have reduced our dividend and may reduce our capital expenditures, as well as seek external funding in order to sustain our operations. The failure to provide 2018 audited financial statements without a going concern opinion to the lenders under our Credit Agreement by March 31, 2019 would have constituted a breach of the covenants and an immediate event of default under our Credit Agreement, unless waived by our lenders. If an event of default were to have occurred under our Credit Agreement, the Credit Agreement’s administrative agent could have declared all outstanding loans immediately due and payable. Such an acceleration would have triggered cross-default provisions within the indentures governing our senior notes and thereby would have entitled the trustee and noteholders to accelerate the repayment of the senior notes.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On March 18, 2019, we received a limited waiver from our lenders under our Credit Agreement, waiving an event of default related solely to the receipt of a going concern opinion from our auditors for our 2018 audited financial statements. The limited waiver was issued in connection with the fourth amendment (the “Amendment”) to our Credit Agreement. During the pendency of Windstream’s bankruptcy, or at such earlier time when certain other conditions are specified, the Amendment generally limits our ability under the Credit Agreement to (i) prepay unsecured indebtedness and (ii) pay cash dividends in excess of 90% of our REIT taxable income, determined without regard to the dividends paid deduction and excluding any net capital gains. The Amendment also increases the interest rate on our Term Loan Facility, which will now bear a rate of LIBOR, subject to a 1.0% floor, plus an applicable margin equal to 5.0%, a 200 basis point increase over our previous rate. This increase will be in effect though the remaining term of the facility, which matures on October 24, 2022.</w:t>
      </w:r>
    </w:p>
    <w:p>
      <w:pPr>
        <w:spacing w:after="0" w:line="167"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Our Revolving Credit Facility matures on April 24, 2020, and we have begun evaluating potential refinancing options. However, there can be no assurances that any debt refinancing would be on similar or more favorable terms than our existing arrangements. This would include the risk that interest rates could increase and/or there may be changes to our existing covenants and/or available borrowings. If we are unsuccessful in refinancing the Revolving Credit Facility on terms acceptable to the Company, there could be a material adverse impact on our consolidated results of operations, financial condition and/or liquidity. If we are not successful in extending or refinancing the Revolving Credit Facility, our current cash balances as of March 31, 2019 are not sufficient to repay all of outstanding borrowings. Therefore, substantial doubt exists about our ability to continue as a going concern within one year after the issuance of the financial statements.</w:t>
      </w:r>
    </w:p>
    <w:p>
      <w:pPr>
        <w:spacing w:after="0" w:line="168" w:lineRule="exact"/>
        <w:rPr>
          <w:sz w:val="20"/>
          <w:szCs w:val="20"/>
          <w:color w:val="auto"/>
        </w:rPr>
      </w:pPr>
    </w:p>
    <w:p>
      <w:pPr>
        <w:jc w:val="both"/>
        <w:ind w:right="80"/>
        <w:spacing w:after="0" w:line="268" w:lineRule="auto"/>
        <w:rPr>
          <w:sz w:val="20"/>
          <w:szCs w:val="20"/>
          <w:color w:val="auto"/>
        </w:rPr>
      </w:pPr>
      <w:r>
        <w:rPr>
          <w:rFonts w:ascii="Arial" w:cs="Arial" w:eastAsia="Arial" w:hAnsi="Arial"/>
          <w:sz w:val="17"/>
          <w:szCs w:val="17"/>
          <w:i w:val="1"/>
          <w:iCs w:val="1"/>
          <w:u w:val="single" w:color="auto"/>
          <w:color w:val="auto"/>
        </w:rPr>
        <w:t>Sale of Latin American Tower Portfolio.</w:t>
      </w:r>
      <w:r>
        <w:rPr>
          <w:rFonts w:ascii="Arial" w:cs="Arial" w:eastAsia="Arial" w:hAnsi="Arial"/>
          <w:sz w:val="17"/>
          <w:szCs w:val="17"/>
          <w:i w:val="1"/>
          <w:iCs w:val="1"/>
          <w:color w:val="auto"/>
        </w:rPr>
        <w:t xml:space="preserve"> </w:t>
      </w:r>
      <w:r>
        <w:rPr>
          <w:rFonts w:ascii="Arial" w:cs="Arial" w:eastAsia="Arial" w:hAnsi="Arial"/>
          <w:sz w:val="17"/>
          <w:szCs w:val="17"/>
          <w:color w:val="auto"/>
        </w:rPr>
        <w:t>On April 2, 2019, the Company completed the sale of the Uniti Towers’ Latin American business to an entity controlled by</w:t>
      </w:r>
      <w:r>
        <w:rPr>
          <w:rFonts w:ascii="Arial" w:cs="Arial" w:eastAsia="Arial" w:hAnsi="Arial"/>
          <w:sz w:val="17"/>
          <w:szCs w:val="17"/>
          <w:i w:val="1"/>
          <w:iCs w:val="1"/>
          <w:color w:val="auto"/>
        </w:rPr>
        <w:t xml:space="preserve"> </w:t>
      </w:r>
      <w:r>
        <w:rPr>
          <w:rFonts w:ascii="Arial" w:cs="Arial" w:eastAsia="Arial" w:hAnsi="Arial"/>
          <w:sz w:val="17"/>
          <w:szCs w:val="17"/>
          <w:color w:val="auto"/>
        </w:rPr>
        <w:t>Phoenix Towers International (“PTI”). At closing, PTI acquired approximately 500 towers located across Mexico, Colombia and Nicaragua. Total consideration was approximately $100 million.</w:t>
      </w:r>
    </w:p>
    <w:p>
      <w:pPr>
        <w:spacing w:after="0" w:line="172" w:lineRule="exact"/>
        <w:rPr>
          <w:sz w:val="20"/>
          <w:szCs w:val="20"/>
          <w:color w:val="auto"/>
        </w:rPr>
      </w:pPr>
    </w:p>
    <w:p>
      <w:pPr>
        <w:spacing w:after="0" w:line="274" w:lineRule="auto"/>
        <w:rPr>
          <w:sz w:val="20"/>
          <w:szCs w:val="20"/>
          <w:color w:val="auto"/>
        </w:rPr>
      </w:pPr>
      <w:r>
        <w:rPr>
          <w:rFonts w:ascii="Arial" w:cs="Arial" w:eastAsia="Arial" w:hAnsi="Arial"/>
          <w:sz w:val="16"/>
          <w:szCs w:val="16"/>
          <w:i w:val="1"/>
          <w:iCs w:val="1"/>
          <w:u w:val="single" w:color="auto"/>
          <w:color w:val="auto"/>
        </w:rPr>
        <w:t>Bluebird Network, LLC Operating Company – Property Company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On January 15, 2019, the Company entered into an OpCo-PropCo transaction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Macquarie Infrastructure Partners (“MIP”) to acquire Bluebird Network, LLC (“Bluebird”). MIP operates within the Macquarie Infrastructure and Real Assets ("MIRA") division of Macquarie Group. Bluebird’s network consists of approximately 178,000 fiber strand miles in the Midwest across Missouri, Kansas, Illinois and Oklahoma. In the transaction, Uniti has agreed to purchase the Bluebird fiber network and MIP has agreed to purchase the Bluebird operations. In addition, Uniti has agreed to sell Uniti Fiber’s Midwest operations to MIP, while Uniti will retain its existing Midwest fiber network. Uniti is acquiring the fiber network of Bluebird for $319 million, of which $175 million will be funded by Uniti in cash and $144 million from pre-paid rent to be received from MIP at closing. In connection with the sale of the Company’s Midwest operations, we will receive total upfront cash of approximately $37 million, including related pre-paid rent to be received from MIP at closing. These transactions are subject to regulatory and other closing conditions and are expected to close by the end of the third quarter of 2019. Concurrently with the closing of these transactions, Uniti will lease the Bluebird fiber network and its Midwest fiber network on a combined basis to MIP, under a long-term triple net lease, with initial annual cash rents of approximately $20.3 million. The lease will be reported within the results of our Leasing segment. The Midwest operations that will be sold to MIP are currently reported in our Fiber Infrastructure segment.</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three months ended March 31, 2019 and 2018</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for the periods indicated, our results of operations expressed as dollars and as a percentage of total revenues: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w w:val="97"/>
              </w:rPr>
              <w:t>Three Months Ended March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8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 of Revenues</w:t>
            </w:r>
          </w:p>
        </w:tc>
        <w:tc>
          <w:tcPr>
            <w:tcW w:w="200" w:type="dxa"/>
            <w:vAlign w:val="bottom"/>
          </w:tcPr>
          <w:p>
            <w:pPr>
              <w:spacing w:after="0"/>
              <w:rPr>
                <w:sz w:val="19"/>
                <w:szCs w:val="19"/>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 of Revenues</w:t>
            </w:r>
          </w:p>
        </w:tc>
        <w:tc>
          <w:tcPr>
            <w:tcW w:w="0" w:type="dxa"/>
            <w:vAlign w:val="bottom"/>
          </w:tcPr>
          <w:p>
            <w:pPr>
              <w:spacing w:after="0"/>
              <w:rPr>
                <w:sz w:val="1"/>
                <w:szCs w:val="1"/>
                <w:color w:val="auto"/>
              </w:rPr>
            </w:pPr>
          </w:p>
        </w:tc>
      </w:tr>
      <w:tr>
        <w:trPr>
          <w:trHeight w:val="213"/>
        </w:trPr>
        <w:tc>
          <w:tcPr>
            <w:tcW w:w="6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Revenues:</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80" w:type="dxa"/>
            <w:vAlign w:val="bottom"/>
          </w:tcPr>
          <w:p>
            <w:pPr>
              <w:ind w:left="240"/>
              <w:spacing w:after="0"/>
              <w:rPr>
                <w:sz w:val="20"/>
                <w:szCs w:val="20"/>
                <w:color w:val="auto"/>
              </w:rPr>
            </w:pPr>
            <w:r>
              <w:rPr>
                <w:rFonts w:ascii="Arial" w:cs="Arial" w:eastAsia="Arial" w:hAnsi="Arial"/>
                <w:sz w:val="17"/>
                <w:szCs w:val="17"/>
                <w:color w:val="auto"/>
              </w:rPr>
              <w:t>Leasing</w:t>
            </w:r>
          </w:p>
        </w:tc>
        <w:tc>
          <w:tcPr>
            <w:tcW w:w="40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176,083</w:t>
            </w:r>
          </w:p>
        </w:tc>
        <w:tc>
          <w:tcPr>
            <w:tcW w:w="3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1"/>
              </w:rPr>
              <w:t>67.5%</w:t>
            </w:r>
          </w:p>
        </w:tc>
        <w:tc>
          <w:tcPr>
            <w:tcW w:w="3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172,774</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1"/>
              </w:rPr>
              <w:t>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Fiber Infrastructure</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76,833</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29.4%</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66,967</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27.1%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tcPr>
          <w:p>
            <w:pPr>
              <w:ind w:left="240"/>
              <w:spacing w:after="0"/>
              <w:rPr>
                <w:sz w:val="20"/>
                <w:szCs w:val="20"/>
                <w:color w:val="auto"/>
              </w:rPr>
            </w:pPr>
            <w:r>
              <w:rPr>
                <w:rFonts w:ascii="Arial" w:cs="Arial" w:eastAsia="Arial" w:hAnsi="Arial"/>
                <w:sz w:val="17"/>
                <w:szCs w:val="17"/>
                <w:color w:val="auto"/>
              </w:rPr>
              <w:t>Tower</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5,080</w:t>
            </w:r>
          </w:p>
        </w:tc>
        <w:tc>
          <w:tcPr>
            <w:tcW w:w="3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1.9%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3,370</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Consumer CLEC</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3,035</w:t>
            </w:r>
          </w:p>
        </w:tc>
        <w:tc>
          <w:tcPr>
            <w:tcW w:w="3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2"/>
              </w:rPr>
              <w:t>1.2%</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3,804</w:t>
            </w:r>
          </w:p>
        </w:tc>
        <w:tc>
          <w:tcPr>
            <w:tcW w:w="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2"/>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80" w:type="dxa"/>
            <w:vAlign w:val="bottom"/>
          </w:tcPr>
          <w:p>
            <w:pPr>
              <w:ind w:left="480"/>
              <w:spacing w:after="0"/>
              <w:rPr>
                <w:sz w:val="20"/>
                <w:szCs w:val="20"/>
                <w:color w:val="auto"/>
              </w:rPr>
            </w:pPr>
            <w:r>
              <w:rPr>
                <w:rFonts w:ascii="Arial" w:cs="Arial" w:eastAsia="Arial" w:hAnsi="Arial"/>
                <w:sz w:val="17"/>
                <w:szCs w:val="17"/>
                <w:color w:val="auto"/>
              </w:rPr>
              <w:t>Total revenues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261,031</w:t>
            </w:r>
          </w:p>
        </w:tc>
        <w:tc>
          <w:tcPr>
            <w:tcW w:w="3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0"/>
              </w:rPr>
              <w:t>100.0%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246,915</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0"/>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Costs and Expenses:</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tcPr>
          <w:p>
            <w:pPr>
              <w:ind w:left="240"/>
              <w:spacing w:after="0"/>
              <w:rPr>
                <w:sz w:val="20"/>
                <w:szCs w:val="20"/>
                <w:color w:val="auto"/>
              </w:rPr>
            </w:pPr>
            <w:r>
              <w:rPr>
                <w:rFonts w:ascii="Arial" w:cs="Arial" w:eastAsia="Arial" w:hAnsi="Arial"/>
                <w:sz w:val="17"/>
                <w:szCs w:val="17"/>
                <w:color w:val="auto"/>
              </w:rPr>
              <w:t>Interest expense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84,458</w:t>
            </w:r>
          </w:p>
        </w:tc>
        <w:tc>
          <w:tcPr>
            <w:tcW w:w="3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1"/>
              </w:rPr>
              <w:t>32.4%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77,607</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1"/>
              </w:rPr>
              <w:t>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Depreciation and amortization</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103,827</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39.8%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114,721</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46.5%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tcPr>
          <w:p>
            <w:pPr>
              <w:ind w:left="240"/>
              <w:spacing w:after="0"/>
              <w:rPr>
                <w:sz w:val="20"/>
                <w:szCs w:val="20"/>
                <w:color w:val="auto"/>
              </w:rPr>
            </w:pPr>
            <w:r>
              <w:rPr>
                <w:rFonts w:ascii="Arial" w:cs="Arial" w:eastAsia="Arial" w:hAnsi="Arial"/>
                <w:sz w:val="17"/>
                <w:szCs w:val="17"/>
                <w:color w:val="auto"/>
              </w:rPr>
              <w:t>General and administrative expense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24,226</w:t>
            </w:r>
          </w:p>
        </w:tc>
        <w:tc>
          <w:tcPr>
            <w:tcW w:w="3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9.3%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22,520</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Operating expense</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38,418</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14.7%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29,904</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tcPr>
          <w:p>
            <w:pPr>
              <w:ind w:left="240"/>
              <w:spacing w:after="0"/>
              <w:rPr>
                <w:sz w:val="20"/>
                <w:szCs w:val="20"/>
                <w:color w:val="auto"/>
              </w:rPr>
            </w:pPr>
            <w:r>
              <w:rPr>
                <w:rFonts w:ascii="Arial" w:cs="Arial" w:eastAsia="Arial" w:hAnsi="Arial"/>
                <w:sz w:val="17"/>
                <w:szCs w:val="17"/>
                <w:color w:val="auto"/>
              </w:rPr>
              <w:t>Transaction related costs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6,669</w:t>
            </w:r>
          </w:p>
        </w:tc>
        <w:tc>
          <w:tcPr>
            <w:tcW w:w="3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2.5%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5,913</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income</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(3,113)</w:t>
            </w: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4"/>
              </w:rPr>
              <w:t>1.2%)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(3,885)</w:t>
            </w: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Total costs and expenses</w:t>
            </w:r>
          </w:p>
        </w:tc>
        <w:tc>
          <w:tcPr>
            <w:tcW w:w="2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254,485</w:t>
            </w:r>
          </w:p>
        </w:tc>
        <w:tc>
          <w:tcPr>
            <w:tcW w:w="30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91"/>
              </w:rPr>
              <w:t>97.5%</w:t>
            </w:r>
          </w:p>
        </w:tc>
        <w:tc>
          <w:tcPr>
            <w:tcW w:w="3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246,780</w:t>
            </w:r>
          </w:p>
        </w:tc>
        <w:tc>
          <w:tcPr>
            <w:tcW w:w="32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91"/>
              </w:rPr>
              <w:t>99.9%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Income before income taxes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6,546</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2.5%</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80" w:type="dxa"/>
            <w:vAlign w:val="bottom"/>
          </w:tcPr>
          <w:p>
            <w:pPr>
              <w:ind w:left="240"/>
              <w:spacing w:after="0"/>
              <w:rPr>
                <w:sz w:val="20"/>
                <w:szCs w:val="20"/>
                <w:color w:val="auto"/>
              </w:rPr>
            </w:pPr>
            <w:r>
              <w:rPr>
                <w:rFonts w:ascii="Arial" w:cs="Arial" w:eastAsia="Arial" w:hAnsi="Arial"/>
                <w:sz w:val="17"/>
                <w:szCs w:val="17"/>
                <w:color w:val="auto"/>
              </w:rPr>
              <w:t>Income tax expense (benefit)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4,054</w:t>
            </w:r>
          </w:p>
        </w:tc>
        <w:tc>
          <w:tcPr>
            <w:tcW w:w="3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1.6%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(1,096)</w:t>
            </w:r>
          </w:p>
        </w:tc>
        <w:tc>
          <w:tcPr>
            <w:tcW w:w="940" w:type="dxa"/>
            <w:vAlign w:val="bottom"/>
          </w:tcPr>
          <w:p>
            <w:pPr>
              <w:jc w:val="center"/>
              <w:spacing w:after="0"/>
              <w:rPr>
                <w:sz w:val="20"/>
                <w:szCs w:val="20"/>
                <w:color w:val="auto"/>
              </w:rPr>
            </w:pPr>
            <w:r>
              <w:rPr>
                <w:rFonts w:ascii="Arial" w:cs="Arial" w:eastAsia="Arial" w:hAnsi="Arial"/>
                <w:sz w:val="17"/>
                <w:szCs w:val="17"/>
                <w:color w:val="auto"/>
                <w:w w:val="95"/>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Net income</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2,492</w:t>
            </w:r>
          </w:p>
        </w:tc>
        <w:tc>
          <w:tcPr>
            <w:tcW w:w="3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2"/>
              </w:rPr>
              <w:t>0.9%</w:t>
            </w: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1,231</w:t>
            </w:r>
          </w:p>
        </w:tc>
        <w:tc>
          <w:tcPr>
            <w:tcW w:w="3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2"/>
              </w:rPr>
              <w:t>0.5%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Net income attributable to noncontrolling interests</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3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0.0%</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income attributable to shareholders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2,442</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0.9%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1,210</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80" w:type="dxa"/>
            <w:vAlign w:val="bottom"/>
          </w:tcPr>
          <w:p>
            <w:pPr>
              <w:ind w:left="240"/>
              <w:spacing w:after="0"/>
              <w:rPr>
                <w:sz w:val="20"/>
                <w:szCs w:val="20"/>
                <w:color w:val="auto"/>
              </w:rPr>
            </w:pPr>
            <w:r>
              <w:rPr>
                <w:rFonts w:ascii="Arial" w:cs="Arial" w:eastAsia="Arial" w:hAnsi="Arial"/>
                <w:sz w:val="17"/>
                <w:szCs w:val="17"/>
                <w:color w:val="auto"/>
              </w:rPr>
              <w:t>Participating securities' share in earnings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(28)</w:t>
            </w:r>
          </w:p>
        </w:tc>
        <w:tc>
          <w:tcPr>
            <w:tcW w:w="940" w:type="dxa"/>
            <w:vAlign w:val="bottom"/>
          </w:tcPr>
          <w:p>
            <w:pPr>
              <w:jc w:val="center"/>
              <w:spacing w:after="0"/>
              <w:rPr>
                <w:sz w:val="20"/>
                <w:szCs w:val="20"/>
                <w:color w:val="auto"/>
              </w:rPr>
            </w:pPr>
            <w:r>
              <w:rPr>
                <w:rFonts w:ascii="Arial" w:cs="Arial" w:eastAsia="Arial" w:hAnsi="Arial"/>
                <w:sz w:val="17"/>
                <w:szCs w:val="17"/>
                <w:color w:val="auto"/>
                <w:w w:val="95"/>
              </w:rPr>
              <w:t>(0.0%)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(679)</w:t>
            </w:r>
          </w:p>
        </w:tc>
        <w:tc>
          <w:tcPr>
            <w:tcW w:w="940" w:type="dxa"/>
            <w:vAlign w:val="bottom"/>
          </w:tcPr>
          <w:p>
            <w:pPr>
              <w:jc w:val="center"/>
              <w:spacing w:after="0"/>
              <w:rPr>
                <w:sz w:val="20"/>
                <w:szCs w:val="20"/>
                <w:color w:val="auto"/>
              </w:rPr>
            </w:pPr>
            <w:r>
              <w:rPr>
                <w:rFonts w:ascii="Arial" w:cs="Arial" w:eastAsia="Arial" w:hAnsi="Arial"/>
                <w:sz w:val="17"/>
                <w:szCs w:val="17"/>
                <w:color w:val="auto"/>
                <w:w w:val="95"/>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Dividends declared on convertible preferred stock</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(656)</w:t>
            </w: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(0.2%)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(656)</w:t>
            </w: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tcPr>
          <w:p>
            <w:pPr>
              <w:ind w:left="240"/>
              <w:spacing w:after="0"/>
              <w:rPr>
                <w:sz w:val="20"/>
                <w:szCs w:val="20"/>
                <w:color w:val="auto"/>
              </w:rPr>
            </w:pPr>
            <w:r>
              <w:rPr>
                <w:rFonts w:ascii="Arial" w:cs="Arial" w:eastAsia="Arial" w:hAnsi="Arial"/>
                <w:sz w:val="17"/>
                <w:szCs w:val="17"/>
                <w:color w:val="auto"/>
              </w:rPr>
              <w:t>Amortization of discount on convertible preferred stock</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(745)</w:t>
            </w:r>
          </w:p>
        </w:tc>
        <w:tc>
          <w:tcPr>
            <w:tcW w:w="940" w:type="dxa"/>
            <w:vAlign w:val="bottom"/>
          </w:tcPr>
          <w:p>
            <w:pPr>
              <w:jc w:val="center"/>
              <w:spacing w:after="0"/>
              <w:rPr>
                <w:sz w:val="20"/>
                <w:szCs w:val="20"/>
                <w:color w:val="auto"/>
              </w:rPr>
            </w:pPr>
            <w:r>
              <w:rPr>
                <w:rFonts w:ascii="Arial" w:cs="Arial" w:eastAsia="Arial" w:hAnsi="Arial"/>
                <w:sz w:val="17"/>
                <w:szCs w:val="17"/>
                <w:color w:val="auto"/>
                <w:w w:val="95"/>
              </w:rPr>
              <w:t>(0.3%)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(745)</w:t>
            </w:r>
          </w:p>
        </w:tc>
        <w:tc>
          <w:tcPr>
            <w:tcW w:w="940" w:type="dxa"/>
            <w:vAlign w:val="bottom"/>
          </w:tcPr>
          <w:p>
            <w:pPr>
              <w:jc w:val="center"/>
              <w:spacing w:after="0"/>
              <w:rPr>
                <w:sz w:val="20"/>
                <w:szCs w:val="20"/>
                <w:color w:val="auto"/>
              </w:rPr>
            </w:pPr>
            <w:r>
              <w:rPr>
                <w:rFonts w:ascii="Arial" w:cs="Arial" w:eastAsia="Arial" w:hAnsi="Arial"/>
                <w:sz w:val="17"/>
                <w:szCs w:val="17"/>
                <w:color w:val="auto"/>
                <w:w w:val="95"/>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shd w:val="clear" w:color="auto" w:fill="CFF0FC"/>
          </w:tcPr>
          <w:p>
            <w:pPr>
              <w:spacing w:after="0"/>
              <w:rPr>
                <w:sz w:val="20"/>
                <w:szCs w:val="20"/>
                <w:color w:val="auto"/>
              </w:rPr>
            </w:pPr>
            <w:r>
              <w:rPr>
                <w:rFonts w:ascii="Arial" w:cs="Arial" w:eastAsia="Arial" w:hAnsi="Arial"/>
                <w:sz w:val="17"/>
                <w:szCs w:val="17"/>
                <w:b w:val="1"/>
                <w:bCs w:val="1"/>
                <w:color w:val="auto"/>
              </w:rPr>
              <w:t>Net income (loss) attributable to common shareholders</w:t>
            </w: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0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1,013</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0.4%</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(870)</w:t>
            </w: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for the three months ended March 31, 2019 and 2018, revenues, Adjusted EBITDA and net income of our reportable segments: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March 31, 2019</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Leasing</w:t>
            </w:r>
          </w:p>
        </w:tc>
        <w:tc>
          <w:tcPr>
            <w:tcW w:w="260" w:type="dxa"/>
            <w:vAlign w:val="bottom"/>
            <w:vMerge w:val="restart"/>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Fiber Infrastructure</w:t>
            </w:r>
          </w:p>
        </w:tc>
        <w:tc>
          <w:tcPr>
            <w:tcW w:w="26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Towers</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w w:val="91"/>
              </w:rPr>
              <w:t>Consumer CLEC</w:t>
            </w:r>
          </w:p>
        </w:tc>
        <w:tc>
          <w:tcPr>
            <w:tcW w:w="26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Corporate</w:t>
            </w:r>
          </w:p>
        </w:tc>
        <w:tc>
          <w:tcPr>
            <w:tcW w:w="24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236"/>
              <w:spacing w:after="0" w:line="126" w:lineRule="exact"/>
              <w:rPr>
                <w:sz w:val="20"/>
                <w:szCs w:val="20"/>
                <w:color w:val="auto"/>
              </w:rPr>
            </w:pPr>
            <w:r>
              <w:rPr>
                <w:rFonts w:ascii="Arial" w:cs="Arial" w:eastAsia="Arial" w:hAnsi="Arial"/>
                <w:sz w:val="14"/>
                <w:szCs w:val="14"/>
                <w:b w:val="1"/>
                <w:bCs w:val="1"/>
                <w:color w:val="auto"/>
              </w:rPr>
              <w:t>Subtotal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Reportable Segments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176,083</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76,833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5,080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3,035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261,031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Adjusted EBITDA</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174,751</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30,000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(5,447)</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200,275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spacing w:after="0"/>
              <w:rPr>
                <w:sz w:val="20"/>
                <w:szCs w:val="20"/>
                <w:color w:val="auto"/>
              </w:rPr>
            </w:pPr>
            <w:r>
              <w:rPr>
                <w:rFonts w:ascii="Arial" w:cs="Arial" w:eastAsia="Arial" w:hAnsi="Arial"/>
                <w:sz w:val="17"/>
                <w:szCs w:val="17"/>
                <w:color w:val="auto"/>
              </w:rPr>
              <w:t>Less: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73,754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28,258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1,414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103,827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Other income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(3,113)</w:t>
            </w: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Transaction related costs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Stock-based compensation</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tcBorders>
              <w:bottom w:val="single" w:sz="8" w:color="CFF0FC"/>
            </w:tcBorders>
            <w:gridSpan w:val="2"/>
          </w:tcPr>
          <w:p>
            <w:pPr>
              <w:ind w:left="120"/>
              <w:spacing w:after="0"/>
              <w:rPr>
                <w:sz w:val="20"/>
                <w:szCs w:val="20"/>
                <w:color w:val="auto"/>
              </w:rPr>
            </w:pPr>
            <w:r>
              <w:rPr>
                <w:rFonts w:ascii="Arial" w:cs="Arial" w:eastAsia="Arial" w:hAnsi="Arial"/>
                <w:sz w:val="17"/>
                <w:szCs w:val="17"/>
                <w:color w:val="auto"/>
              </w:rPr>
              <w:t>Income tax expense</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Net income</w:t>
            </w:r>
          </w:p>
        </w:tc>
        <w:tc>
          <w:tcPr>
            <w:tcW w:w="2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Months Ended March 31, 2018</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Leasing</w:t>
            </w:r>
          </w:p>
        </w:tc>
        <w:tc>
          <w:tcPr>
            <w:tcW w:w="260" w:type="dxa"/>
            <w:vAlign w:val="bottom"/>
            <w:vMerge w:val="restart"/>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Fiber Infrastructure</w:t>
            </w:r>
          </w:p>
        </w:tc>
        <w:tc>
          <w:tcPr>
            <w:tcW w:w="26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Towers</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w w:val="91"/>
              </w:rPr>
              <w:t>Consumer CLEC</w:t>
            </w:r>
          </w:p>
        </w:tc>
        <w:tc>
          <w:tcPr>
            <w:tcW w:w="26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Corporate</w:t>
            </w:r>
          </w:p>
        </w:tc>
        <w:tc>
          <w:tcPr>
            <w:tcW w:w="24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236"/>
              <w:spacing w:after="0" w:line="126" w:lineRule="exact"/>
              <w:rPr>
                <w:sz w:val="20"/>
                <w:szCs w:val="20"/>
                <w:color w:val="auto"/>
              </w:rPr>
            </w:pPr>
            <w:r>
              <w:rPr>
                <w:rFonts w:ascii="Arial" w:cs="Arial" w:eastAsia="Arial" w:hAnsi="Arial"/>
                <w:sz w:val="14"/>
                <w:szCs w:val="14"/>
                <w:b w:val="1"/>
                <w:bCs w:val="1"/>
                <w:color w:val="auto"/>
              </w:rPr>
              <w:t>Subtotal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Reportable Segments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172,774</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66,967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3,370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3,804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246,915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Adjusted EBITDA</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172,369</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29,195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(463)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(5,313)</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196,701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spacing w:after="0"/>
              <w:rPr>
                <w:sz w:val="20"/>
                <w:szCs w:val="20"/>
                <w:color w:val="auto"/>
              </w:rPr>
            </w:pPr>
            <w:r>
              <w:rPr>
                <w:rFonts w:ascii="Arial" w:cs="Arial" w:eastAsia="Arial" w:hAnsi="Arial"/>
                <w:sz w:val="17"/>
                <w:szCs w:val="17"/>
                <w:color w:val="auto"/>
              </w:rPr>
              <w:t>Less: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86,744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25,905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114,721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Other income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(3,885)</w:t>
            </w: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Transaction related costs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Stock-based compensation</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Income tax benefit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(1,096)</w:t>
            </w:r>
          </w:p>
        </w:tc>
        <w:tc>
          <w:tcPr>
            <w:tcW w:w="0" w:type="dxa"/>
            <w:vAlign w:val="bottom"/>
          </w:tcPr>
          <w:p>
            <w:pPr>
              <w:spacing w:after="0"/>
              <w:rPr>
                <w:sz w:val="1"/>
                <w:szCs w:val="1"/>
                <w:color w:val="auto"/>
              </w:rPr>
            </w:pPr>
          </w:p>
        </w:tc>
      </w:tr>
      <w:tr>
        <w:trPr>
          <w:trHeight w:val="213"/>
        </w:trPr>
        <w:tc>
          <w:tcPr>
            <w:tcW w:w="2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Net income</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18"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u w:val="single" w:color="auto"/>
          <w:color w:val="auto"/>
        </w:rPr>
        <w:t>Leasing</w:t>
      </w:r>
      <w:r>
        <w:rPr>
          <w:rFonts w:ascii="Arial" w:cs="Arial" w:eastAsia="Arial" w:hAnsi="Arial"/>
          <w:sz w:val="16"/>
          <w:szCs w:val="16"/>
          <w:i w:val="1"/>
          <w:iCs w:val="1"/>
          <w:color w:val="auto"/>
        </w:rPr>
        <w:t xml:space="preserve"> </w:t>
      </w:r>
      <w:r>
        <w:rPr>
          <w:rFonts w:ascii="Arial" w:cs="Arial" w:eastAsia="Arial" w:hAnsi="Arial"/>
          <w:sz w:val="16"/>
          <w:szCs w:val="16"/>
          <w:color w:val="auto"/>
        </w:rPr>
        <w:t>- Leasing revenues are primarily attributable to rental revenue from leasing our Distribution Systems to Windstream Holdings pursuant to the Master Lease.</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Master Lease, Windstream Holdings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Master Lease has an initial term of 15 years with four 5-year renewal options and encompasses properties located in 29 states. Cash rent under the Master Lease is currently $657 million and is subject to an annual escalation of 0.5% each May through the initial term.</w:t>
      </w:r>
    </w:p>
    <w:p>
      <w:pPr>
        <w:spacing w:after="0" w:line="16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 xml:space="preserve">We adopted Accounting Standards Update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as of January 1, 2019. This standard supersedes prior guidance regarding the evaluation of collectability of lease receivables, including straight-line revenue receivables. We have evaluated the collectability of our straight-line revenue receivable associated with the Master Lease in accordance with ASC 842, and in light of Windstream’s pending bankruptcy, we concluded that the receivable should be written-off. As a result, effective January 1, 2019, the Master Lease will be accounted for on a cash basis in accordance with ASC 842, until a time at which there is more certainty regarding Windstream’s decision to assume or reject the Master Lease.</w:t>
      </w:r>
    </w:p>
    <w:p>
      <w:pPr>
        <w:spacing w:after="0" w:line="177"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Master Lease provides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w:t>
      </w:r>
    </w:p>
    <w:p>
      <w:pPr>
        <w:spacing w:after="0" w:line="16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For the three months ended March 31, 2019, we recognized $170.8 million of revenue from rents under the Master Lease, which included $6.7 million of TCI revenue. For the three months ended March 31, 2018, we recognized $172.8 million of revenues from the Master Lease, which included $4.3 million of straight-line rent revenue, and $5.1 million of TCI revenue. The increase in TCI revenue is attributable to continued investment by Windstream in TCIs. Windstream invested $29.7 million in TCIs during the three months ended March 31, 2019, a decrease from $47.4 million it invested in TCIs during the three months ended March 31, 2018. Since the inception of the Master Lease, Windstream has invested a total of $636.8 million in such improvements.</w:t>
      </w:r>
    </w:p>
    <w:p>
      <w:pPr>
        <w:spacing w:after="0" w:line="163"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Because a substantial portion of our revenue and cash flows are derived from lease payments by Windstream pursuant to the Master Lease, there could be a material adverse impact on our consolidated results of operations, liquidity, financial condition and/or ability to pay dividends to our stockholders as required to maintain our status as a REIT and service debt if Windstream were to reject the Master Lease in bankruptcy, default under the Master Lease or otherwise experiences operating or liquidity difficulties and becomes unable to generate sufficient cash to make payments to us. In recent years, Windstream has experienced annual declines in its total revenue, sales and cash flow, has had its credit ratings downgraded by nationally recognized credit rating agencies multiple times over the past 12 months and, on February 25, 2019, filed voluntary petitions for relief under Chapter 11 of the Bankruptcy Code in the U.S. Bankruptcy Court for the Southern District of New York. See Part I, Item 1A "Risk Factors" in our Annual Report on Form 10-K for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the year ended December 31, 2018 for additional information concerning the impact Windstream’s bankruptcy may have on our operations and financial condition.</w:t>
      </w:r>
    </w:p>
    <w:p>
      <w:pPr>
        <w:spacing w:after="0" w:line="241"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Windstream is a publicly traded company and is subject to the periodic filing requirements of the Securities Exchange Act of 1934, as amended. Windstream filings can be found at www.sec.gov. Windstream filings are not incorporated by reference in this Quarterly Report on Form 10-Q.</w:t>
      </w:r>
    </w:p>
    <w:p>
      <w:pPr>
        <w:spacing w:after="0" w:line="159" w:lineRule="exact"/>
        <w:rPr>
          <w:sz w:val="20"/>
          <w:szCs w:val="20"/>
          <w:color w:val="auto"/>
        </w:rPr>
      </w:pPr>
    </w:p>
    <w:p>
      <w:pPr>
        <w:ind w:right="400"/>
        <w:spacing w:after="0" w:line="283" w:lineRule="auto"/>
        <w:rPr>
          <w:sz w:val="20"/>
          <w:szCs w:val="20"/>
          <w:color w:val="auto"/>
        </w:rPr>
      </w:pPr>
      <w:r>
        <w:rPr>
          <w:rFonts w:ascii="Arial" w:cs="Arial" w:eastAsia="Arial" w:hAnsi="Arial"/>
          <w:sz w:val="17"/>
          <w:szCs w:val="17"/>
          <w:color w:val="auto"/>
        </w:rPr>
        <w:t>For the three months ended March 31, 2019, we recognized $5.2 million of leasing revenues from non-Windstream triple-net leasing and dark fiber indefeasible rights of use (“IRU”) arrangements. No such revenues were recognized for the three months ended March 31, 2018.</w:t>
      </w:r>
    </w:p>
    <w:p>
      <w:pPr>
        <w:spacing w:after="0" w:line="159"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i w:val="1"/>
          <w:iCs w:val="1"/>
          <w:u w:val="single" w:color="auto"/>
          <w:color w:val="auto"/>
        </w:rPr>
        <w:t>Fiber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 For the three months ended March 31, 2019 and 2018, we recognized $76.8 million and $67.0 million of revenue, respectively, in our Fiber</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segment. Fiber Infrastructure revenues for the three months ended March 31, 2019 and 2018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2019</w:t>
            </w:r>
          </w:p>
        </w:tc>
        <w:tc>
          <w:tcPr>
            <w:tcW w:w="11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2018</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5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0"/>
                <w:szCs w:val="10"/>
                <w:color w:val="auto"/>
              </w:rPr>
            </w:pPr>
          </w:p>
        </w:tc>
        <w:tc>
          <w:tcPr>
            <w:tcW w:w="11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8"/>
              </w:rPr>
              <w:t>% of Segment</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0"/>
                <w:szCs w:val="10"/>
                <w:color w:val="auto"/>
              </w:rPr>
            </w:pPr>
          </w:p>
        </w:tc>
        <w:tc>
          <w:tcPr>
            <w:tcW w:w="11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8"/>
              </w:rPr>
              <w:t>% of Segment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7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Fiber Infrastructure revenues:</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760" w:type="dxa"/>
            <w:vAlign w:val="bottom"/>
            <w:gridSpan w:val="2"/>
          </w:tcPr>
          <w:p>
            <w:pPr>
              <w:ind w:left="240"/>
              <w:spacing w:after="0"/>
              <w:rPr>
                <w:sz w:val="20"/>
                <w:szCs w:val="20"/>
                <w:color w:val="auto"/>
              </w:rPr>
            </w:pPr>
            <w:r>
              <w:rPr>
                <w:rFonts w:ascii="Arial" w:cs="Arial" w:eastAsia="Arial" w:hAnsi="Arial"/>
                <w:sz w:val="17"/>
                <w:szCs w:val="17"/>
                <w:color w:val="auto"/>
              </w:rPr>
              <w:t>Lit backhaul services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32,205</w:t>
            </w:r>
          </w:p>
        </w:tc>
        <w:tc>
          <w:tcPr>
            <w:tcW w:w="1460" w:type="dxa"/>
            <w:vAlign w:val="bottom"/>
            <w:gridSpan w:val="2"/>
          </w:tcPr>
          <w:p>
            <w:pPr>
              <w:jc w:val="center"/>
              <w:ind w:left="197"/>
              <w:spacing w:after="0"/>
              <w:rPr>
                <w:sz w:val="20"/>
                <w:szCs w:val="20"/>
                <w:color w:val="auto"/>
              </w:rPr>
            </w:pPr>
            <w:r>
              <w:rPr>
                <w:rFonts w:ascii="Arial" w:cs="Arial" w:eastAsia="Arial" w:hAnsi="Arial"/>
                <w:sz w:val="17"/>
                <w:szCs w:val="17"/>
                <w:color w:val="auto"/>
                <w:w w:val="95"/>
              </w:rPr>
              <w:t>41.9%</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33,346</w:t>
            </w:r>
          </w:p>
        </w:tc>
        <w:tc>
          <w:tcPr>
            <w:tcW w:w="1460" w:type="dxa"/>
            <w:vAlign w:val="bottom"/>
            <w:gridSpan w:val="2"/>
          </w:tcPr>
          <w:p>
            <w:pPr>
              <w:jc w:val="center"/>
              <w:ind w:left="217"/>
              <w:spacing w:after="0"/>
              <w:rPr>
                <w:sz w:val="20"/>
                <w:szCs w:val="20"/>
                <w:color w:val="auto"/>
              </w:rPr>
            </w:pPr>
            <w:r>
              <w:rPr>
                <w:rFonts w:ascii="Arial" w:cs="Arial" w:eastAsia="Arial" w:hAnsi="Arial"/>
                <w:sz w:val="17"/>
                <w:szCs w:val="17"/>
                <w:color w:val="auto"/>
                <w:w w:val="91"/>
              </w:rPr>
              <w:t>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Enterprise and wholesale</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16,729</w:t>
            </w:r>
          </w:p>
        </w:tc>
        <w:tc>
          <w:tcPr>
            <w:tcW w:w="1460" w:type="dxa"/>
            <w:vAlign w:val="bottom"/>
            <w:gridSpan w:val="2"/>
            <w:shd w:val="clear" w:color="auto" w:fill="CFF0FC"/>
          </w:tcPr>
          <w:p>
            <w:pPr>
              <w:jc w:val="center"/>
              <w:ind w:left="197"/>
              <w:spacing w:after="0"/>
              <w:rPr>
                <w:sz w:val="20"/>
                <w:szCs w:val="20"/>
                <w:color w:val="auto"/>
              </w:rPr>
            </w:pPr>
            <w:r>
              <w:rPr>
                <w:rFonts w:ascii="Arial" w:cs="Arial" w:eastAsia="Arial" w:hAnsi="Arial"/>
                <w:sz w:val="17"/>
                <w:szCs w:val="17"/>
                <w:color w:val="auto"/>
                <w:w w:val="95"/>
              </w:rPr>
              <w:t>21.8%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15,418</w:t>
            </w:r>
          </w:p>
        </w:tc>
        <w:tc>
          <w:tcPr>
            <w:tcW w:w="1460" w:type="dxa"/>
            <w:vAlign w:val="bottom"/>
            <w:gridSpan w:val="2"/>
            <w:shd w:val="clear" w:color="auto" w:fill="CFF0FC"/>
          </w:tcPr>
          <w:p>
            <w:pPr>
              <w:jc w:val="center"/>
              <w:ind w:left="217"/>
              <w:spacing w:after="0"/>
              <w:rPr>
                <w:sz w:val="20"/>
                <w:szCs w:val="20"/>
                <w:color w:val="auto"/>
              </w:rPr>
            </w:pPr>
            <w:r>
              <w:rPr>
                <w:rFonts w:ascii="Arial" w:cs="Arial" w:eastAsia="Arial" w:hAnsi="Arial"/>
                <w:sz w:val="17"/>
                <w:szCs w:val="17"/>
                <w:color w:val="auto"/>
                <w:w w:val="91"/>
              </w:rPr>
              <w:t>23.0%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60" w:type="dxa"/>
            <w:vAlign w:val="bottom"/>
            <w:gridSpan w:val="2"/>
          </w:tcPr>
          <w:p>
            <w:pPr>
              <w:ind w:left="240"/>
              <w:spacing w:after="0"/>
              <w:rPr>
                <w:sz w:val="20"/>
                <w:szCs w:val="20"/>
                <w:color w:val="auto"/>
              </w:rPr>
            </w:pPr>
            <w:r>
              <w:rPr>
                <w:rFonts w:ascii="Arial" w:cs="Arial" w:eastAsia="Arial" w:hAnsi="Arial"/>
                <w:sz w:val="17"/>
                <w:szCs w:val="17"/>
                <w:color w:val="auto"/>
              </w:rPr>
              <w:t>E-Rate and government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21,995</w:t>
            </w:r>
          </w:p>
        </w:tc>
        <w:tc>
          <w:tcPr>
            <w:tcW w:w="1460" w:type="dxa"/>
            <w:vAlign w:val="bottom"/>
            <w:gridSpan w:val="2"/>
          </w:tcPr>
          <w:p>
            <w:pPr>
              <w:jc w:val="center"/>
              <w:ind w:left="197"/>
              <w:spacing w:after="0"/>
              <w:rPr>
                <w:sz w:val="20"/>
                <w:szCs w:val="20"/>
                <w:color w:val="auto"/>
              </w:rPr>
            </w:pPr>
            <w:r>
              <w:rPr>
                <w:rFonts w:ascii="Arial" w:cs="Arial" w:eastAsia="Arial" w:hAnsi="Arial"/>
                <w:sz w:val="17"/>
                <w:szCs w:val="17"/>
                <w:color w:val="auto"/>
                <w:w w:val="95"/>
              </w:rPr>
              <w:t>28.6%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14,230</w:t>
            </w:r>
          </w:p>
        </w:tc>
        <w:tc>
          <w:tcPr>
            <w:tcW w:w="1460" w:type="dxa"/>
            <w:vAlign w:val="bottom"/>
            <w:gridSpan w:val="2"/>
          </w:tcPr>
          <w:p>
            <w:pPr>
              <w:jc w:val="center"/>
              <w:ind w:left="217"/>
              <w:spacing w:after="0"/>
              <w:rPr>
                <w:sz w:val="20"/>
                <w:szCs w:val="20"/>
                <w:color w:val="auto"/>
              </w:rPr>
            </w:pPr>
            <w:r>
              <w:rPr>
                <w:rFonts w:ascii="Arial" w:cs="Arial" w:eastAsia="Arial" w:hAnsi="Arial"/>
                <w:sz w:val="17"/>
                <w:szCs w:val="17"/>
                <w:color w:val="auto"/>
                <w:w w:val="91"/>
              </w:rPr>
              <w:t>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Dark fiber and small cells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4,895</w:t>
            </w:r>
          </w:p>
        </w:tc>
        <w:tc>
          <w:tcPr>
            <w:tcW w:w="1460" w:type="dxa"/>
            <w:vAlign w:val="bottom"/>
            <w:gridSpan w:val="2"/>
            <w:shd w:val="clear" w:color="auto" w:fill="CFF0FC"/>
          </w:tcPr>
          <w:p>
            <w:pPr>
              <w:jc w:val="center"/>
              <w:ind w:left="177"/>
              <w:spacing w:after="0"/>
              <w:rPr>
                <w:sz w:val="20"/>
                <w:szCs w:val="20"/>
                <w:color w:val="auto"/>
              </w:rPr>
            </w:pPr>
            <w:r>
              <w:rPr>
                <w:rFonts w:ascii="Arial" w:cs="Arial" w:eastAsia="Arial" w:hAnsi="Arial"/>
                <w:sz w:val="17"/>
                <w:szCs w:val="17"/>
                <w:color w:val="auto"/>
                <w:w w:val="92"/>
              </w:rPr>
              <w:t>6.4%</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2,983</w:t>
            </w:r>
          </w:p>
        </w:tc>
        <w:tc>
          <w:tcPr>
            <w:tcW w:w="1460" w:type="dxa"/>
            <w:vAlign w:val="bottom"/>
            <w:gridSpan w:val="2"/>
            <w:shd w:val="clear" w:color="auto" w:fill="CFF0FC"/>
          </w:tcPr>
          <w:p>
            <w:pPr>
              <w:jc w:val="center"/>
              <w:ind w:left="217"/>
              <w:spacing w:after="0"/>
              <w:rPr>
                <w:sz w:val="20"/>
                <w:szCs w:val="20"/>
                <w:color w:val="auto"/>
              </w:rPr>
            </w:pPr>
            <w:r>
              <w:rPr>
                <w:rFonts w:ascii="Arial" w:cs="Arial" w:eastAsia="Arial" w:hAnsi="Arial"/>
                <w:sz w:val="17"/>
                <w:szCs w:val="17"/>
                <w:color w:val="auto"/>
                <w:w w:val="92"/>
              </w:rPr>
              <w:t>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6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Other services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1,009</w:t>
            </w:r>
          </w:p>
        </w:tc>
        <w:tc>
          <w:tcPr>
            <w:tcW w:w="30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1.3%</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990</w:t>
            </w:r>
          </w:p>
        </w:tc>
        <w:tc>
          <w:tcPr>
            <w:tcW w:w="30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60" w:type="dxa"/>
            <w:vAlign w:val="bottom"/>
            <w:gridSpan w:val="2"/>
            <w:shd w:val="clear" w:color="auto" w:fill="CFF0FC"/>
          </w:tcPr>
          <w:p>
            <w:pPr>
              <w:ind w:left="480"/>
              <w:spacing w:after="0"/>
              <w:rPr>
                <w:sz w:val="20"/>
                <w:szCs w:val="20"/>
                <w:color w:val="auto"/>
              </w:rPr>
            </w:pPr>
            <w:r>
              <w:rPr>
                <w:rFonts w:ascii="Arial" w:cs="Arial" w:eastAsia="Arial" w:hAnsi="Arial"/>
                <w:sz w:val="17"/>
                <w:szCs w:val="17"/>
                <w:color w:val="auto"/>
              </w:rPr>
              <w:t>Total Fiber Infrastructure revenues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76,833</w:t>
            </w:r>
          </w:p>
        </w:tc>
        <w:tc>
          <w:tcPr>
            <w:tcW w:w="1460" w:type="dxa"/>
            <w:vAlign w:val="bottom"/>
            <w:gridSpan w:val="2"/>
            <w:shd w:val="clear" w:color="auto" w:fill="CFF0FC"/>
          </w:tcPr>
          <w:p>
            <w:pPr>
              <w:jc w:val="center"/>
              <w:ind w:left="197"/>
              <w:spacing w:after="0"/>
              <w:rPr>
                <w:sz w:val="20"/>
                <w:szCs w:val="20"/>
                <w:color w:val="auto"/>
              </w:rPr>
            </w:pPr>
            <w:r>
              <w:rPr>
                <w:rFonts w:ascii="Arial" w:cs="Arial" w:eastAsia="Arial" w:hAnsi="Arial"/>
                <w:sz w:val="17"/>
                <w:szCs w:val="17"/>
                <w:color w:val="auto"/>
                <w:w w:val="93"/>
              </w:rPr>
              <w:t>100.0%</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66,967</w:t>
            </w:r>
          </w:p>
        </w:tc>
        <w:tc>
          <w:tcPr>
            <w:tcW w:w="1460" w:type="dxa"/>
            <w:vAlign w:val="bottom"/>
            <w:gridSpan w:val="2"/>
            <w:shd w:val="clear" w:color="auto" w:fill="CFF0FC"/>
          </w:tcPr>
          <w:p>
            <w:pPr>
              <w:jc w:val="center"/>
              <w:ind w:left="197"/>
              <w:spacing w:after="0"/>
              <w:rPr>
                <w:sz w:val="20"/>
                <w:szCs w:val="20"/>
                <w:color w:val="auto"/>
              </w:rPr>
            </w:pPr>
            <w:r>
              <w:rPr>
                <w:rFonts w:ascii="Arial" w:cs="Arial" w:eastAsia="Arial" w:hAnsi="Arial"/>
                <w:sz w:val="17"/>
                <w:szCs w:val="17"/>
                <w:color w:val="auto"/>
                <w:w w:val="93"/>
              </w:rPr>
              <w:t>100.0%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2019, we had approximately 18,850 customer connections, up from 17,165 customer connections at March 31, 2018.</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Towers</w:t>
      </w:r>
      <w:r>
        <w:rPr>
          <w:rFonts w:ascii="Arial" w:cs="Arial" w:eastAsia="Arial" w:hAnsi="Arial"/>
          <w:sz w:val="17"/>
          <w:szCs w:val="17"/>
          <w:i w:val="1"/>
          <w:iCs w:val="1"/>
          <w:color w:val="auto"/>
        </w:rPr>
        <w:t xml:space="preserve"> </w:t>
      </w:r>
      <w:r>
        <w:rPr>
          <w:rFonts w:ascii="Arial" w:cs="Arial" w:eastAsia="Arial" w:hAnsi="Arial"/>
          <w:sz w:val="17"/>
          <w:szCs w:val="17"/>
          <w:color w:val="auto"/>
        </w:rPr>
        <w:t>– Towers revenues for the three months ended March 31, 2019 and 2018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318"/>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 of Total</w:t>
            </w:r>
          </w:p>
        </w:tc>
        <w:tc>
          <w:tcPr>
            <w:tcW w:w="240" w:type="dxa"/>
            <w:vAlign w:val="bottom"/>
          </w:tcPr>
          <w:p>
            <w:pPr>
              <w:spacing w:after="0"/>
              <w:rPr>
                <w:sz w:val="19"/>
                <w:szCs w:val="19"/>
                <w:color w:val="auto"/>
              </w:rPr>
            </w:pPr>
          </w:p>
        </w:tc>
        <w:tc>
          <w:tcPr>
            <w:tcW w:w="820" w:type="dxa"/>
            <w:vAlign w:val="bottom"/>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9"/>
                <w:szCs w:val="19"/>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 of Total</w:t>
            </w:r>
          </w:p>
        </w:tc>
      </w:tr>
      <w:tr>
        <w:trPr>
          <w:trHeight w:val="225"/>
        </w:trPr>
        <w:tc>
          <w:tcPr>
            <w:tcW w:w="5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Towers revenues:</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0"/>
        </w:trPr>
        <w:tc>
          <w:tcPr>
            <w:tcW w:w="5880" w:type="dxa"/>
            <w:vAlign w:val="bottom"/>
          </w:tcPr>
          <w:p>
            <w:pPr>
              <w:ind w:left="240"/>
              <w:spacing w:after="0"/>
              <w:rPr>
                <w:sz w:val="20"/>
                <w:szCs w:val="20"/>
                <w:color w:val="auto"/>
              </w:rPr>
            </w:pPr>
            <w:r>
              <w:rPr>
                <w:rFonts w:ascii="Arial" w:cs="Arial" w:eastAsia="Arial" w:hAnsi="Arial"/>
                <w:sz w:val="17"/>
                <w:szCs w:val="17"/>
                <w:color w:val="auto"/>
              </w:rPr>
              <w:t>United States</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2,555</w:t>
            </w:r>
          </w:p>
        </w:tc>
        <w:tc>
          <w:tcPr>
            <w:tcW w:w="3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1"/>
              </w:rPr>
              <w:t>50.3%</w:t>
            </w:r>
          </w:p>
        </w:tc>
        <w:tc>
          <w:tcPr>
            <w:tcW w:w="3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1,070</w:t>
            </w:r>
          </w:p>
        </w:tc>
        <w:tc>
          <w:tcPr>
            <w:tcW w:w="3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5"/>
              </w:rPr>
              <w:t>31.8%</w:t>
            </w:r>
          </w:p>
        </w:tc>
        <w:tc>
          <w:tcPr>
            <w:tcW w:w="100" w:type="dxa"/>
            <w:vAlign w:val="bottom"/>
          </w:tcPr>
          <w:p>
            <w:pPr>
              <w:spacing w:after="0"/>
              <w:rPr>
                <w:sz w:val="19"/>
                <w:szCs w:val="19"/>
                <w:color w:val="auto"/>
              </w:rPr>
            </w:pPr>
          </w:p>
        </w:tc>
      </w:tr>
      <w:tr>
        <w:trPr>
          <w:trHeight w:val="220"/>
        </w:trPr>
        <w:tc>
          <w:tcPr>
            <w:tcW w:w="5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Latin America</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2,525</w:t>
            </w:r>
          </w:p>
        </w:tc>
        <w:tc>
          <w:tcPr>
            <w:tcW w:w="3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1"/>
              </w:rPr>
              <w:t>49.7%</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2,300</w:t>
            </w:r>
          </w:p>
        </w:tc>
        <w:tc>
          <w:tcPr>
            <w:tcW w:w="3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5"/>
              </w:rPr>
              <w:t>68.2%</w:t>
            </w:r>
          </w:p>
        </w:tc>
        <w:tc>
          <w:tcPr>
            <w:tcW w:w="100" w:type="dxa"/>
            <w:vAlign w:val="bottom"/>
            <w:shd w:val="clear" w:color="auto" w:fill="CFF0FC"/>
          </w:tcPr>
          <w:p>
            <w:pPr>
              <w:spacing w:after="0"/>
              <w:rPr>
                <w:sz w:val="19"/>
                <w:szCs w:val="19"/>
                <w:color w:val="auto"/>
              </w:rPr>
            </w:pPr>
          </w:p>
        </w:tc>
      </w:tr>
      <w:tr>
        <w:trPr>
          <w:trHeight w:val="213"/>
        </w:trPr>
        <w:tc>
          <w:tcPr>
            <w:tcW w:w="5880" w:type="dxa"/>
            <w:vAlign w:val="bottom"/>
          </w:tcPr>
          <w:p>
            <w:pPr>
              <w:ind w:left="480"/>
              <w:spacing w:after="0"/>
              <w:rPr>
                <w:sz w:val="20"/>
                <w:szCs w:val="20"/>
                <w:color w:val="auto"/>
              </w:rPr>
            </w:pPr>
            <w:r>
              <w:rPr>
                <w:rFonts w:ascii="Arial" w:cs="Arial" w:eastAsia="Arial" w:hAnsi="Arial"/>
                <w:sz w:val="17"/>
                <w:szCs w:val="17"/>
                <w:color w:val="auto"/>
              </w:rPr>
              <w:t>Total</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5,080</w:t>
            </w:r>
          </w:p>
        </w:tc>
        <w:tc>
          <w:tcPr>
            <w:tcW w:w="3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0"/>
              </w:rPr>
              <w:t>100.0%</w:t>
            </w:r>
          </w:p>
        </w:tc>
        <w:tc>
          <w:tcPr>
            <w:tcW w:w="3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3,370</w:t>
            </w:r>
          </w:p>
        </w:tc>
        <w:tc>
          <w:tcPr>
            <w:tcW w:w="3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100.0%</w:t>
            </w:r>
          </w:p>
        </w:tc>
        <w:tc>
          <w:tcPr>
            <w:tcW w:w="10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The increase in revenue for the three months ended March 31, 2019, compared to the three months ended March 31, 2018, is primarily driven by our development activities in the United States. During 2019 we completed the construction of 72 towers in the U.S. At March 31, 2019, the Uniti Towers’ domestic portfolio consisted of 504 wireless communications towers located in 28 states across the eastern and central regions in the United States, an increase from 253 wireless communications towers at March 31, 2018.</w:t>
      </w:r>
    </w:p>
    <w:p>
      <w:pPr>
        <w:spacing w:after="0" w:line="177"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i w:val="1"/>
          <w:iCs w:val="1"/>
          <w:u w:val="single" w:color="auto"/>
          <w:color w:val="auto"/>
        </w:rPr>
        <w:t>Consumer CLEC</w:t>
      </w:r>
      <w:r>
        <w:rPr>
          <w:rFonts w:ascii="Arial" w:cs="Arial" w:eastAsia="Arial" w:hAnsi="Arial"/>
          <w:sz w:val="17"/>
          <w:szCs w:val="17"/>
          <w:i w:val="1"/>
          <w:iCs w:val="1"/>
          <w:color w:val="auto"/>
        </w:rPr>
        <w:t xml:space="preserve"> </w:t>
      </w:r>
      <w:r>
        <w:rPr>
          <w:rFonts w:ascii="Arial" w:cs="Arial" w:eastAsia="Arial" w:hAnsi="Arial"/>
          <w:sz w:val="17"/>
          <w:szCs w:val="17"/>
          <w:color w:val="auto"/>
        </w:rPr>
        <w:t>– For the three months ended March 31, 2019, we recognized $3.0 million of revenue from the Consumer CLEC Business, compared to $3.8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March 31, 2018. The decrease is primarily attributable to a loss of customers during the period. We served 21,555 customers as of March 31, 2019, a 19.4% decrease from 26,750 customers served at March 31, 2018. The decrease in customers is due to the effects of competition and customer attrition.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18"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Interest expense for the three months ended March 31, 2019 totaled $84.5 million, which includes non-cash interest expense of $6.9 million resulting from the amortization of our debt discounts and debt issuance costs, partially offset by $1.3 million of capitalized interest. Interest expense for the three months ended March 31, 2018 totaled $77.6 million, which includes non-cash interest expense of $6.0 million resulting from the amortization of our debt discounts and debt issuance costs, partially offset by $1.4 million of capitalized interest.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both"/>
        <w:ind w:right="140"/>
        <w:spacing w:after="0" w:line="263" w:lineRule="auto"/>
        <w:rPr>
          <w:sz w:val="20"/>
          <w:szCs w:val="20"/>
          <w:color w:val="auto"/>
        </w:rPr>
      </w:pPr>
      <w:r>
        <w:rPr>
          <w:rFonts w:ascii="Arial" w:cs="Arial" w:eastAsia="Arial" w:hAnsi="Arial"/>
          <w:sz w:val="17"/>
          <w:szCs w:val="17"/>
          <w:color w:val="auto"/>
        </w:rPr>
        <w:t>The increase is primarily related to an increase of interest expense incurred on the Revolving Credit Facility of $4.8 million due to increased borrowings and higher LIBOR rates compared to the prior year. The increase is also attributed to an increase of interest expense of $1.1 million on the Term Loan Facility and an increase in non-cash interest expense from the amortization of our debt discounts and debt issuance costs of $0.8 million, both as a result from the fourth amendment to our Credit Agreement dated March 18, 2019.</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 Expense</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We incur depreciation and amortization expense related to our property, plant and equipment, corporate assets and intangible assets. Charges for depreciation and</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amortization for the three months ended March 31, 2019 totaled $103.8 million (39.8% of revenue), which included property, plant and equipment depreciation of</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$97.5 million and intangible asset amortization of $6.3 million. Charges for depreciation and amortization for the three months ended March 31, 2018 totaled $114.7</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million (46.5% of revenue), which included property, plant and equipment depreciation of $108.2 million and intangible asset amortization of $6.5 million.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w:t>
      </w:r>
    </w:p>
    <w:p>
      <w:pPr>
        <w:spacing w:after="0" w:line="218" w:lineRule="exact"/>
        <w:rPr>
          <w:sz w:val="20"/>
          <w:szCs w:val="20"/>
          <w:color w:val="auto"/>
        </w:rPr>
      </w:pPr>
    </w:p>
    <w:p>
      <w:pPr>
        <w:jc w:val="both"/>
        <w:ind w:right="60"/>
        <w:spacing w:after="0" w:line="268" w:lineRule="auto"/>
        <w:rPr>
          <w:sz w:val="20"/>
          <w:szCs w:val="20"/>
          <w:color w:val="auto"/>
        </w:rPr>
      </w:pPr>
      <w:r>
        <w:rPr>
          <w:rFonts w:ascii="Arial" w:cs="Arial" w:eastAsia="Arial" w:hAnsi="Arial"/>
          <w:sz w:val="17"/>
          <w:szCs w:val="17"/>
          <w:color w:val="auto"/>
        </w:rPr>
        <w:t>General and administrative expenses include compensation costs, including stock-based compensation awards, professional and legal services, corporate office costs and other costs associated with administrative activities. For the three months ended March 31, 2019, general and administrative costs totaled $24.2 million (9.3% of revenue), compared to $22.5 million (9.1% of revenue) for the three months ended March 31, 2018.</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w:t>
      </w:r>
    </w:p>
    <w:p>
      <w:pPr>
        <w:spacing w:after="0" w:line="218" w:lineRule="exact"/>
        <w:rPr>
          <w:sz w:val="20"/>
          <w:szCs w:val="20"/>
          <w:color w:val="auto"/>
        </w:rPr>
      </w:pPr>
    </w:p>
    <w:p>
      <w:pPr>
        <w:jc w:val="both"/>
        <w:ind w:right="60"/>
        <w:spacing w:after="0" w:line="352" w:lineRule="auto"/>
        <w:rPr>
          <w:sz w:val="20"/>
          <w:szCs w:val="20"/>
          <w:color w:val="auto"/>
        </w:rPr>
      </w:pPr>
      <w:r>
        <w:rPr>
          <w:rFonts w:ascii="Arial" w:cs="Arial" w:eastAsia="Arial" w:hAnsi="Arial"/>
          <w:sz w:val="15"/>
          <w:szCs w:val="15"/>
          <w:color w:val="auto"/>
        </w:rPr>
        <w:t>Operating expense for the three months ended March 31, 2019, totaled $38.4 million (14.7% of revenue) compared to $29.9 million (12.1% of revenue) for the three months ended March 31, 2018. Operating expense for our reportable segments for the three months ended March 31, 2019 and 2018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137"/>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11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120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5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0"/>
                <w:szCs w:val="10"/>
                <w:color w:val="auto"/>
              </w:rPr>
            </w:pPr>
          </w:p>
        </w:tc>
        <w:tc>
          <w:tcPr>
            <w:tcW w:w="11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0"/>
              </w:rPr>
              <w:t>% of Consolidated</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0"/>
                <w:szCs w:val="10"/>
                <w:color w:val="auto"/>
              </w:rPr>
            </w:pPr>
          </w:p>
        </w:tc>
        <w:tc>
          <w:tcPr>
            <w:tcW w:w="138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0"/>
              </w:rPr>
              <w:t>% of Consolidated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6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3"/>
        </w:trPr>
        <w:tc>
          <w:tcPr>
            <w:tcW w:w="5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Operating expenses by segment:</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20" w:type="dxa"/>
            <w:vAlign w:val="bottom"/>
            <w:gridSpan w:val="2"/>
          </w:tcPr>
          <w:p>
            <w:pPr>
              <w:ind w:left="240"/>
              <w:spacing w:after="0"/>
              <w:rPr>
                <w:sz w:val="20"/>
                <w:szCs w:val="20"/>
                <w:color w:val="auto"/>
              </w:rPr>
            </w:pPr>
            <w:r>
              <w:rPr>
                <w:rFonts w:ascii="Arial" w:cs="Arial" w:eastAsia="Arial" w:hAnsi="Arial"/>
                <w:sz w:val="17"/>
                <w:szCs w:val="17"/>
                <w:color w:val="auto"/>
              </w:rPr>
              <w:t>Fiber Infrastructure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32,973</w:t>
            </w:r>
          </w:p>
        </w:tc>
        <w:tc>
          <w:tcPr>
            <w:tcW w:w="1440" w:type="dxa"/>
            <w:vAlign w:val="bottom"/>
            <w:gridSpan w:val="2"/>
          </w:tcPr>
          <w:p>
            <w:pPr>
              <w:jc w:val="center"/>
              <w:ind w:left="197"/>
              <w:spacing w:after="0"/>
              <w:rPr>
                <w:sz w:val="20"/>
                <w:szCs w:val="20"/>
                <w:color w:val="auto"/>
              </w:rPr>
            </w:pPr>
            <w:r>
              <w:rPr>
                <w:rFonts w:ascii="Arial" w:cs="Arial" w:eastAsia="Arial" w:hAnsi="Arial"/>
                <w:sz w:val="17"/>
                <w:szCs w:val="17"/>
                <w:color w:val="auto"/>
                <w:w w:val="91"/>
              </w:rPr>
              <w:t>12.7%</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24,961</w:t>
            </w:r>
          </w:p>
        </w:tc>
        <w:tc>
          <w:tcPr>
            <w:tcW w:w="1680" w:type="dxa"/>
            <w:vAlign w:val="bottom"/>
            <w:gridSpan w:val="2"/>
          </w:tcPr>
          <w:p>
            <w:pPr>
              <w:jc w:val="center"/>
              <w:ind w:left="197"/>
              <w:spacing w:after="0"/>
              <w:rPr>
                <w:sz w:val="20"/>
                <w:szCs w:val="20"/>
                <w:color w:val="auto"/>
              </w:rPr>
            </w:pPr>
            <w:r>
              <w:rPr>
                <w:rFonts w:ascii="Arial" w:cs="Arial" w:eastAsia="Arial" w:hAnsi="Arial"/>
                <w:sz w:val="17"/>
                <w:szCs w:val="17"/>
                <w:color w:val="auto"/>
                <w:w w:val="91"/>
              </w:rPr>
              <w:t>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Towers</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2,679</w:t>
            </w:r>
          </w:p>
        </w:tc>
        <w:tc>
          <w:tcPr>
            <w:tcW w:w="1440" w:type="dxa"/>
            <w:vAlign w:val="bottom"/>
            <w:gridSpan w:val="2"/>
            <w:shd w:val="clear" w:color="auto" w:fill="CFF0FC"/>
          </w:tcPr>
          <w:p>
            <w:pPr>
              <w:jc w:val="center"/>
              <w:ind w:left="197"/>
              <w:spacing w:after="0"/>
              <w:rPr>
                <w:sz w:val="20"/>
                <w:szCs w:val="20"/>
                <w:color w:val="auto"/>
              </w:rPr>
            </w:pPr>
            <w:r>
              <w:rPr>
                <w:rFonts w:ascii="Arial" w:cs="Arial" w:eastAsia="Arial" w:hAnsi="Arial"/>
                <w:sz w:val="17"/>
                <w:szCs w:val="17"/>
                <w:color w:val="auto"/>
                <w:w w:val="92"/>
              </w:rPr>
              <w:t>1.0%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2,053</w:t>
            </w:r>
          </w:p>
        </w:tc>
        <w:tc>
          <w:tcPr>
            <w:tcW w:w="1680" w:type="dxa"/>
            <w:vAlign w:val="bottom"/>
            <w:gridSpan w:val="2"/>
            <w:shd w:val="clear" w:color="auto" w:fill="CFF0FC"/>
          </w:tcPr>
          <w:p>
            <w:pPr>
              <w:jc w:val="center"/>
              <w:ind w:left="197"/>
              <w:spacing w:after="0"/>
              <w:rPr>
                <w:sz w:val="20"/>
                <w:szCs w:val="20"/>
                <w:color w:val="auto"/>
              </w:rPr>
            </w:pPr>
            <w:r>
              <w:rPr>
                <w:rFonts w:ascii="Arial" w:cs="Arial" w:eastAsia="Arial" w:hAnsi="Arial"/>
                <w:sz w:val="17"/>
                <w:szCs w:val="17"/>
                <w:color w:val="auto"/>
                <w:w w:val="92"/>
              </w:rPr>
              <w:t>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20" w:type="dxa"/>
            <w:vAlign w:val="bottom"/>
            <w:gridSpan w:val="2"/>
          </w:tcPr>
          <w:p>
            <w:pPr>
              <w:ind w:left="240"/>
              <w:spacing w:after="0"/>
              <w:rPr>
                <w:sz w:val="20"/>
                <w:szCs w:val="20"/>
                <w:color w:val="auto"/>
              </w:rPr>
            </w:pPr>
            <w:r>
              <w:rPr>
                <w:rFonts w:ascii="Arial" w:cs="Arial" w:eastAsia="Arial" w:hAnsi="Arial"/>
                <w:sz w:val="17"/>
                <w:szCs w:val="17"/>
                <w:color w:val="auto"/>
              </w:rPr>
              <w:t>CLEC</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2,389</w:t>
            </w:r>
          </w:p>
        </w:tc>
        <w:tc>
          <w:tcPr>
            <w:tcW w:w="1440" w:type="dxa"/>
            <w:vAlign w:val="bottom"/>
            <w:gridSpan w:val="2"/>
          </w:tcPr>
          <w:p>
            <w:pPr>
              <w:jc w:val="center"/>
              <w:ind w:left="197"/>
              <w:spacing w:after="0"/>
              <w:rPr>
                <w:sz w:val="20"/>
                <w:szCs w:val="20"/>
                <w:color w:val="auto"/>
              </w:rPr>
            </w:pPr>
            <w:r>
              <w:rPr>
                <w:rFonts w:ascii="Arial" w:cs="Arial" w:eastAsia="Arial" w:hAnsi="Arial"/>
                <w:sz w:val="17"/>
                <w:szCs w:val="17"/>
                <w:color w:val="auto"/>
                <w:w w:val="92"/>
              </w:rPr>
              <w:t>0.9%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2,890</w:t>
            </w:r>
          </w:p>
        </w:tc>
        <w:tc>
          <w:tcPr>
            <w:tcW w:w="1680" w:type="dxa"/>
            <w:vAlign w:val="bottom"/>
            <w:gridSpan w:val="2"/>
          </w:tcPr>
          <w:p>
            <w:pPr>
              <w:jc w:val="center"/>
              <w:ind w:left="197"/>
              <w:spacing w:after="0"/>
              <w:rPr>
                <w:sz w:val="20"/>
                <w:szCs w:val="20"/>
                <w:color w:val="auto"/>
              </w:rPr>
            </w:pPr>
            <w:r>
              <w:rPr>
                <w:rFonts w:ascii="Arial" w:cs="Arial" w:eastAsia="Arial" w:hAnsi="Arial"/>
                <w:sz w:val="17"/>
                <w:szCs w:val="17"/>
                <w:color w:val="auto"/>
                <w:w w:val="92"/>
              </w:rPr>
              <w:t>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Leasing</w:t>
            </w: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377</w:t>
            </w:r>
          </w:p>
        </w:tc>
        <w:tc>
          <w:tcPr>
            <w:tcW w:w="3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2"/>
              </w:rPr>
              <w:t>0.1%</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2"/>
              </w:rPr>
              <w:t>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20" w:type="dxa"/>
            <w:vAlign w:val="bottom"/>
            <w:gridSpan w:val="2"/>
          </w:tcPr>
          <w:p>
            <w:pPr>
              <w:ind w:left="480"/>
              <w:spacing w:after="0"/>
              <w:rPr>
                <w:sz w:val="20"/>
                <w:szCs w:val="20"/>
                <w:color w:val="auto"/>
              </w:rPr>
            </w:pPr>
            <w:r>
              <w:rPr>
                <w:rFonts w:ascii="Arial" w:cs="Arial" w:eastAsia="Arial" w:hAnsi="Arial"/>
                <w:sz w:val="17"/>
                <w:szCs w:val="17"/>
                <w:color w:val="auto"/>
              </w:rPr>
              <w:t>Total operating expenses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38,418</w:t>
            </w:r>
          </w:p>
        </w:tc>
        <w:tc>
          <w:tcPr>
            <w:tcW w:w="1440" w:type="dxa"/>
            <w:vAlign w:val="bottom"/>
            <w:gridSpan w:val="2"/>
          </w:tcPr>
          <w:p>
            <w:pPr>
              <w:jc w:val="center"/>
              <w:ind w:left="197"/>
              <w:spacing w:after="0"/>
              <w:rPr>
                <w:sz w:val="20"/>
                <w:szCs w:val="20"/>
                <w:color w:val="auto"/>
              </w:rPr>
            </w:pPr>
            <w:r>
              <w:rPr>
                <w:rFonts w:ascii="Arial" w:cs="Arial" w:eastAsia="Arial" w:hAnsi="Arial"/>
                <w:sz w:val="17"/>
                <w:szCs w:val="17"/>
                <w:color w:val="auto"/>
                <w:w w:val="91"/>
              </w:rPr>
              <w:t>14.7%</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29,904</w:t>
            </w:r>
          </w:p>
        </w:tc>
        <w:tc>
          <w:tcPr>
            <w:tcW w:w="1680" w:type="dxa"/>
            <w:vAlign w:val="bottom"/>
            <w:gridSpan w:val="2"/>
          </w:tcPr>
          <w:p>
            <w:pPr>
              <w:jc w:val="center"/>
              <w:ind w:left="197"/>
              <w:spacing w:after="0"/>
              <w:rPr>
                <w:sz w:val="20"/>
                <w:szCs w:val="20"/>
                <w:color w:val="auto"/>
              </w:rPr>
            </w:pPr>
            <w:r>
              <w:rPr>
                <w:rFonts w:ascii="Arial" w:cs="Arial" w:eastAsia="Arial" w:hAnsi="Arial"/>
                <w:sz w:val="17"/>
                <w:szCs w:val="17"/>
                <w:color w:val="auto"/>
                <w:w w:val="91"/>
              </w:rPr>
              <w:t>12.1%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u w:val="single" w:color="auto"/>
          <w:color w:val="auto"/>
        </w:rPr>
        <w:t>Fiber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 For the three months ended March 31, 2019, Fiber Infrastructure operating expenses totaled $33.0 million as compared to $25.0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March 31, 2018. Operating expense consists of network related costs, such as dark fiber and tower rents, and lit service and maintenance expense. In addition, costs associated with our construction activities are presented within operating expenses. The increase in operating expenses is primarily attributable to the timing of the Information Transport Solutions, Inc. (“ITS”) acquisition that occurred on October 19, 2018.</w:t>
      </w:r>
    </w:p>
    <w:p>
      <w:pPr>
        <w:spacing w:after="0" w:line="160"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i w:val="1"/>
          <w:iCs w:val="1"/>
          <w:u w:val="single" w:color="auto"/>
          <w:color w:val="auto"/>
        </w:rPr>
        <w:t>Towers</w:t>
      </w:r>
      <w:r>
        <w:rPr>
          <w:rFonts w:ascii="Arial" w:cs="Arial" w:eastAsia="Arial" w:hAnsi="Arial"/>
          <w:sz w:val="17"/>
          <w:szCs w:val="17"/>
          <w:i w:val="1"/>
          <w:iCs w:val="1"/>
          <w:color w:val="auto"/>
        </w:rPr>
        <w:t xml:space="preserve"> </w:t>
      </w:r>
      <w:r>
        <w:rPr>
          <w:rFonts w:ascii="Arial" w:cs="Arial" w:eastAsia="Arial" w:hAnsi="Arial"/>
          <w:sz w:val="17"/>
          <w:szCs w:val="17"/>
          <w:color w:val="auto"/>
        </w:rPr>
        <w:t>– Our Towers segment operating expense primarily consists of ground rent, some or all of which may be passed to our tenants, as well as regulatory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and repairs. For the three months ended March 31, 2019, Towers operating expense included $1.6 million of ground rent expense, compared to $1.1 million for the three months ended March 31, 2018. The change is attributable to an increase in completed towers at March 31, 2019 from March 31, 2018, driven by our development activity in the United States.</w:t>
      </w:r>
    </w:p>
    <w:p>
      <w:pPr>
        <w:spacing w:after="0" w:line="177"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i w:val="1"/>
          <w:iCs w:val="1"/>
          <w:u w:val="single" w:color="auto"/>
          <w:color w:val="auto"/>
        </w:rPr>
        <w:t>Consumer CLEC</w:t>
      </w:r>
      <w:r>
        <w:rPr>
          <w:rFonts w:ascii="Arial" w:cs="Arial" w:eastAsia="Arial" w:hAnsi="Arial"/>
          <w:sz w:val="17"/>
          <w:szCs w:val="17"/>
          <w:i w:val="1"/>
          <w:iCs w:val="1"/>
          <w:color w:val="auto"/>
        </w:rPr>
        <w:t xml:space="preserve"> </w:t>
      </w:r>
      <w:r>
        <w:rPr>
          <w:rFonts w:ascii="Arial" w:cs="Arial" w:eastAsia="Arial" w:hAnsi="Arial"/>
          <w:sz w:val="17"/>
          <w:szCs w:val="17"/>
          <w:color w:val="auto"/>
        </w:rPr>
        <w:t>– Expense associated with the Consumer CLEC Business is primarily attributable to the Wholesale Agreement and the Master Services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entered into between us and Windstream in connection with the Spin-Off, and includes costs arising under the interconnection agreements with other telecommunication carriers. Expense associated with the Wholesale Agreement and Master Services Agreement for the three months ended March 31, 2019 totaled $1.7 million (0.7% of revenue) and $0.2 million (0.1%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right="320"/>
        <w:spacing w:after="0" w:line="283" w:lineRule="auto"/>
        <w:rPr>
          <w:sz w:val="20"/>
          <w:szCs w:val="20"/>
          <w:color w:val="auto"/>
        </w:rPr>
      </w:pPr>
      <w:r>
        <w:rPr>
          <w:rFonts w:ascii="Arial" w:cs="Arial" w:eastAsia="Arial" w:hAnsi="Arial"/>
          <w:sz w:val="17"/>
          <w:szCs w:val="17"/>
          <w:color w:val="auto"/>
        </w:rPr>
        <w:t>of revenue), respectively, and expense associated with the Wholesale Agreement and the Master Services Agreement for the three months ended March 31, 2018 totaled $2.1 million (0.9% of revenue) and $0.2 million (0.1% of revenue),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w:t>
      </w:r>
    </w:p>
    <w:p>
      <w:pPr>
        <w:spacing w:after="0" w:line="21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recognized in other income a $3.3 million (1.3% of revenue) unrealized gain for mark-to-market adjustments on our contingent consideration arrangements for the three months ended March 31, 2019, compared to a $3.9 million (1.6% of revenue) unrealized gain for mark-to-market adjustments on our contingent consideration arrangements for the three months ended March 31, 2018. The fair value of the contingent consideration arrangement connected to the July 3, 2017 acquisition of Hunt is determined using the closing price of our common shares in the active market, while the fair value of the contingent consideration arrangement in connection with the August 31, 2016 acquisition of Tower Cloud is determined using a discounted cash flow model and probability adjusted estimates of the future operational milestones. On January 4, 2019, we settled the Hunt Contingent Consideration in full satisfaction of the obligation through the issuance of 645,385 common shares having a fair value of $11.2 million.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 (Benefit)</w:t>
      </w:r>
    </w:p>
    <w:p>
      <w:pPr>
        <w:spacing w:after="0" w:line="218"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We recorded a $4.1 million income tax expense for the three months ended March 31, 2019. Included in income tax expense is approximately $6.1 million of income tax expense resulting from the undistributed REIT taxable income of which approximately $4.6 million of cash taxes related to the cancellation of debt income that was recognized for federal income tax purposes as a result of the fourth amendment to our Credit Agreement dated March 18, 2019. Additionally, we recorded a $2.1 million income tax benefit related to our Fiber Infrastructure segment. We recorded a $1.1 million benefit in income tax benefit for the three months ended March 31, 2018, primarily driven by the income tax benefit we recorded in our Fiber Infrastructure segment.</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24" w:lineRule="exact"/>
        <w:rPr>
          <w:sz w:val="20"/>
          <w:szCs w:val="20"/>
          <w:color w:val="auto"/>
        </w:rPr>
      </w:pPr>
    </w:p>
    <w:p>
      <w:pPr>
        <w:jc w:val="both"/>
        <w:ind w:right="160"/>
        <w:spacing w:after="0" w:line="309" w:lineRule="auto"/>
        <w:rPr>
          <w:sz w:val="20"/>
          <w:szCs w:val="20"/>
          <w:color w:val="auto"/>
        </w:rPr>
      </w:pPr>
      <w:r>
        <w:rPr>
          <w:rFonts w:ascii="Arial" w:cs="Arial" w:eastAsia="Arial" w:hAnsi="Arial"/>
          <w:sz w:val="15"/>
          <w:szCs w:val="15"/>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145"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(collectively, "transaction related costs"), the write-off of unamortized deferred financing costs, costs incurred as a result of the early repayment of debt, changes in the fair value of contingent consideration and financial instruments, and other similar items (although we may not have had such charges in the periods presented). We believe EBITDA and Adjusted EBITDA are important supplemental measures to net income because they provide additional information to evaluate our operating performance on an unleveraged basis. Since EBITDA and Adjusted EBITDA are not measures calculated in accordance with GAAP, they should not be considered as an alternative to net income determined in accordance with GAAP.</w:t>
      </w:r>
    </w:p>
    <w:p>
      <w:pPr>
        <w:spacing w:after="0" w:line="167"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We compute FFO in accordance with NAREIT's definition.</w:t>
      </w:r>
    </w:p>
    <w:p>
      <w:pPr>
        <w:spacing w:after="0" w:line="18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define AFFO as FFO excluding (i) transaction related costs; (ii) certain non-cash revenues and expenses such as stock-based compensation expense, amortization of debt and equity discounts, amortization of deferred financing costs, depreciation and amortization of non-real estate assets, straight-line revenues, non-cash income taxes, and the amortization of other non-cash revenues to the extent that cash has not been received, such as revenue associated with the amortization of TCIs; (iii) the impact, which may be recurring in nature, of the write-off of unamortized deferred financing fees, additional costs incurred as a result of the early repayment of debt, taxes associated with tax basis cancellation of debt, changes in the fair value of contingent consideration and financial instruments and similar items less maintenance capital expenditures. We believe that the use of FFO and AFFO, and their respective per share amounts, combined with the required GAAP presentations, improves the understanding of operating results of REITs among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auto"/>
        </w:rPr>
        <w:t>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w:t>
      </w:r>
    </w:p>
    <w:p>
      <w:pPr>
        <w:spacing w:after="0" w:line="1"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operating performance of REITs, they do not represent cash flows from operations or net income as defined by GAAP and should not be considered an alternative to those measures in evaluating our liquidity or operating performance.</w:t>
      </w:r>
    </w:p>
    <w:p>
      <w:pPr>
        <w:spacing w:after="0" w:line="17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172"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color w:val="auto"/>
        </w:rPr>
        <w:t>The reconciliation of our net income to EBITDA and Adjusted EBITDA and of our net income attributable to common shareholders to FFO and AFFO for the three months ended March 31, 2019 and 2018 is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6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1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Three Months Ended March 31,</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60" w:type="dxa"/>
            <w:vAlign w:val="bottom"/>
            <w:tcBorders>
              <w:bottom w:val="single" w:sz="8" w:color="CFF0FC"/>
            </w:tcBorders>
            <w:vMerge w:val="continue"/>
          </w:tcPr>
          <w:p>
            <w:pPr>
              <w:spacing w:after="0"/>
              <w:rPr>
                <w:sz w:val="12"/>
                <w:szCs w:val="12"/>
                <w:color w:val="auto"/>
              </w:rPr>
            </w:pPr>
          </w:p>
        </w:tc>
        <w:tc>
          <w:tcPr>
            <w:tcW w:w="118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916"/>
              <w:spacing w:after="0" w:line="148"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895"/>
              <w:spacing w:after="0" w:line="148"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3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income</w:t>
            </w:r>
          </w:p>
        </w:tc>
        <w:tc>
          <w:tcPr>
            <w:tcW w:w="1720" w:type="dxa"/>
            <w:vAlign w:val="bottom"/>
            <w:gridSpan w:val="2"/>
            <w:shd w:val="clear" w:color="auto" w:fill="CFF0FC"/>
          </w:tcPr>
          <w:p>
            <w:pPr>
              <w:jc w:val="right"/>
              <w:ind w:right="385"/>
              <w:spacing w:after="0"/>
              <w:rPr>
                <w:sz w:val="20"/>
                <w:szCs w:val="20"/>
                <w:color w:val="auto"/>
              </w:rPr>
            </w:pPr>
            <w:r>
              <w:rPr>
                <w:rFonts w:ascii="Arial" w:cs="Arial" w:eastAsia="Arial" w:hAnsi="Arial"/>
                <w:sz w:val="17"/>
                <w:szCs w:val="17"/>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2,492</w:t>
            </w: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103,827</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114,721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1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84,458</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4,054</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7"/>
                <w:szCs w:val="17"/>
                <w:color w:val="auto"/>
              </w:rPr>
              <w:t>(1,096)</w:t>
            </w:r>
          </w:p>
        </w:tc>
        <w:tc>
          <w:tcPr>
            <w:tcW w:w="0" w:type="dxa"/>
            <w:vAlign w:val="bottom"/>
          </w:tcPr>
          <w:p>
            <w:pPr>
              <w:spacing w:after="0"/>
              <w:rPr>
                <w:sz w:val="1"/>
                <w:szCs w:val="1"/>
                <w:color w:val="auto"/>
              </w:rPr>
            </w:pPr>
          </w:p>
        </w:tc>
      </w:tr>
      <w:tr>
        <w:trPr>
          <w:trHeight w:val="21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EBITDA</w:t>
            </w:r>
          </w:p>
        </w:tc>
        <w:tc>
          <w:tcPr>
            <w:tcW w:w="118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194,831</w:t>
            </w:r>
          </w:p>
        </w:tc>
        <w:tc>
          <w:tcPr>
            <w:tcW w:w="34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192,463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60" w:type="dxa"/>
            <w:vAlign w:val="bottom"/>
          </w:tcPr>
          <w:p>
            <w:pPr>
              <w:spacing w:after="0"/>
              <w:rPr>
                <w:sz w:val="20"/>
                <w:szCs w:val="20"/>
                <w:color w:val="auto"/>
              </w:rPr>
            </w:pPr>
            <w:r>
              <w:rPr>
                <w:rFonts w:ascii="Arial" w:cs="Arial" w:eastAsia="Arial" w:hAnsi="Arial"/>
                <w:sz w:val="17"/>
                <w:szCs w:val="17"/>
                <w:color w:val="auto"/>
              </w:rPr>
              <w:t>Stock based compensation</w:t>
            </w: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1,888</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Transaction related costs</w:t>
            </w:r>
          </w:p>
        </w:tc>
        <w:tc>
          <w:tcPr>
            <w:tcW w:w="1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6,669</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tcPr>
          <w:p>
            <w:pPr>
              <w:spacing w:after="0"/>
              <w:rPr>
                <w:sz w:val="20"/>
                <w:szCs w:val="20"/>
                <w:color w:val="auto"/>
              </w:rPr>
            </w:pPr>
            <w:r>
              <w:rPr>
                <w:rFonts w:ascii="Arial" w:cs="Arial" w:eastAsia="Arial" w:hAnsi="Arial"/>
                <w:sz w:val="17"/>
                <w:szCs w:val="17"/>
                <w:color w:val="auto"/>
              </w:rPr>
              <w:t>Other (income) expense</w:t>
            </w: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40" w:type="dxa"/>
            <w:vAlign w:val="bottom"/>
            <w:gridSpan w:val="2"/>
          </w:tcPr>
          <w:p>
            <w:pPr>
              <w:jc w:val="right"/>
              <w:ind w:right="280"/>
              <w:spacing w:after="0"/>
              <w:rPr>
                <w:sz w:val="20"/>
                <w:szCs w:val="20"/>
                <w:color w:val="auto"/>
              </w:rPr>
            </w:pPr>
            <w:r>
              <w:rPr>
                <w:rFonts w:ascii="Arial" w:cs="Arial" w:eastAsia="Arial" w:hAnsi="Arial"/>
                <w:sz w:val="17"/>
                <w:szCs w:val="17"/>
                <w:color w:val="auto"/>
              </w:rPr>
              <w:t>(3,113)</w:t>
            </w:r>
          </w:p>
        </w:tc>
        <w:tc>
          <w:tcPr>
            <w:tcW w:w="8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7"/>
                <w:szCs w:val="17"/>
                <w:color w:val="auto"/>
              </w:rPr>
              <w:t>(3,885)</w:t>
            </w:r>
          </w:p>
        </w:tc>
        <w:tc>
          <w:tcPr>
            <w:tcW w:w="0" w:type="dxa"/>
            <w:vAlign w:val="bottom"/>
          </w:tcPr>
          <w:p>
            <w:pPr>
              <w:spacing w:after="0"/>
              <w:rPr>
                <w:sz w:val="1"/>
                <w:szCs w:val="1"/>
                <w:color w:val="auto"/>
              </w:rPr>
            </w:pPr>
          </w:p>
        </w:tc>
      </w:tr>
      <w:tr>
        <w:trPr>
          <w:trHeight w:val="21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Adjusted EBITDA</w:t>
            </w:r>
          </w:p>
        </w:tc>
        <w:tc>
          <w:tcPr>
            <w:tcW w:w="118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200,275</w:t>
            </w: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196,701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536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11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Three Months Ended March 31,</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360" w:type="dxa"/>
            <w:vAlign w:val="bottom"/>
            <w:tcBorders>
              <w:bottom w:val="single" w:sz="8" w:color="CFF0FC"/>
            </w:tcBorders>
            <w:vMerge w:val="continue"/>
          </w:tcPr>
          <w:p>
            <w:pPr>
              <w:spacing w:after="0"/>
              <w:rPr>
                <w:sz w:val="12"/>
                <w:szCs w:val="12"/>
                <w:color w:val="auto"/>
              </w:rPr>
            </w:pPr>
          </w:p>
        </w:tc>
        <w:tc>
          <w:tcPr>
            <w:tcW w:w="118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916"/>
              <w:spacing w:after="0" w:line="148"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895"/>
              <w:spacing w:after="0" w:line="148"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3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income (loss) attributable to common shareholders</w:t>
            </w:r>
          </w:p>
        </w:tc>
        <w:tc>
          <w:tcPr>
            <w:tcW w:w="1720" w:type="dxa"/>
            <w:vAlign w:val="bottom"/>
            <w:gridSpan w:val="2"/>
            <w:shd w:val="clear" w:color="auto" w:fill="CFF0FC"/>
          </w:tcPr>
          <w:p>
            <w:pPr>
              <w:jc w:val="right"/>
              <w:ind w:right="385"/>
              <w:spacing w:after="0"/>
              <w:rPr>
                <w:sz w:val="20"/>
                <w:szCs w:val="20"/>
                <w:color w:val="auto"/>
              </w:rPr>
            </w:pPr>
            <w:r>
              <w:rPr>
                <w:rFonts w:ascii="Arial" w:cs="Arial" w:eastAsia="Arial" w:hAnsi="Arial"/>
                <w:sz w:val="17"/>
                <w:szCs w:val="17"/>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1,013</w:t>
            </w: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(870)</w:t>
            </w:r>
          </w:p>
        </w:tc>
        <w:tc>
          <w:tcPr>
            <w:tcW w:w="0" w:type="dxa"/>
            <w:vAlign w:val="bottom"/>
          </w:tcPr>
          <w:p>
            <w:pPr>
              <w:spacing w:after="0"/>
              <w:rPr>
                <w:sz w:val="1"/>
                <w:szCs w:val="1"/>
                <w:color w:val="auto"/>
              </w:rPr>
            </w:pPr>
          </w:p>
        </w:tc>
      </w:tr>
      <w:tr>
        <w:trPr>
          <w:trHeight w:val="220"/>
        </w:trPr>
        <w:tc>
          <w:tcPr>
            <w:tcW w:w="5360" w:type="dxa"/>
            <w:vAlign w:val="bottom"/>
          </w:tcPr>
          <w:p>
            <w:pPr>
              <w:ind w:left="120"/>
              <w:spacing w:after="0"/>
              <w:rPr>
                <w:sz w:val="20"/>
                <w:szCs w:val="20"/>
                <w:color w:val="auto"/>
              </w:rPr>
            </w:pPr>
            <w:r>
              <w:rPr>
                <w:rFonts w:ascii="Arial" w:cs="Arial" w:eastAsia="Arial" w:hAnsi="Arial"/>
                <w:sz w:val="17"/>
                <w:szCs w:val="17"/>
                <w:color w:val="auto"/>
              </w:rPr>
              <w:t>Real estate depreciation and amortization</w:t>
            </w: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83,726</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95,577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Participating securities share in earnings</w:t>
            </w:r>
          </w:p>
        </w:tc>
        <w:tc>
          <w:tcPr>
            <w:tcW w:w="1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tcPr>
          <w:p>
            <w:pPr>
              <w:ind w:left="120"/>
              <w:spacing w:after="0"/>
              <w:rPr>
                <w:sz w:val="20"/>
                <w:szCs w:val="20"/>
                <w:color w:val="auto"/>
              </w:rPr>
            </w:pPr>
            <w:r>
              <w:rPr>
                <w:rFonts w:ascii="Arial" w:cs="Arial" w:eastAsia="Arial" w:hAnsi="Arial"/>
                <w:sz w:val="17"/>
                <w:szCs w:val="17"/>
                <w:color w:val="auto"/>
              </w:rPr>
              <w:t>Participating securities share in FFO</w:t>
            </w: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40" w:type="dxa"/>
            <w:vAlign w:val="bottom"/>
            <w:gridSpan w:val="2"/>
          </w:tcPr>
          <w:p>
            <w:pPr>
              <w:jc w:val="right"/>
              <w:ind w:right="280"/>
              <w:spacing w:after="0"/>
              <w:rPr>
                <w:sz w:val="20"/>
                <w:szCs w:val="20"/>
                <w:color w:val="auto"/>
              </w:rPr>
            </w:pPr>
            <w:r>
              <w:rPr>
                <w:rFonts w:ascii="Arial" w:cs="Arial" w:eastAsia="Arial" w:hAnsi="Arial"/>
                <w:sz w:val="17"/>
                <w:szCs w:val="17"/>
                <w:color w:val="auto"/>
              </w:rPr>
              <w:t>(28)</w:t>
            </w:r>
          </w:p>
        </w:tc>
        <w:tc>
          <w:tcPr>
            <w:tcW w:w="8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7"/>
                <w:szCs w:val="17"/>
                <w:color w:val="auto"/>
              </w:rPr>
              <w:t>(679)</w:t>
            </w:r>
          </w:p>
        </w:tc>
        <w:tc>
          <w:tcPr>
            <w:tcW w:w="0" w:type="dxa"/>
            <w:vAlign w:val="bottom"/>
          </w:tcPr>
          <w:p>
            <w:pPr>
              <w:spacing w:after="0"/>
              <w:rPr>
                <w:sz w:val="1"/>
                <w:szCs w:val="1"/>
                <w:color w:val="auto"/>
              </w:rPr>
            </w:pPr>
          </w:p>
        </w:tc>
      </w:tr>
      <w:tr>
        <w:trPr>
          <w:trHeight w:val="220"/>
        </w:trPr>
        <w:tc>
          <w:tcPr>
            <w:tcW w:w="53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Adjustments for noncontrolling interests</w:t>
            </w:r>
          </w:p>
        </w:tc>
        <w:tc>
          <w:tcPr>
            <w:tcW w:w="1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(1,853)</w:t>
            </w:r>
          </w:p>
        </w:tc>
        <w:tc>
          <w:tcPr>
            <w:tcW w:w="8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(2,205)</w:t>
            </w:r>
          </w:p>
        </w:tc>
        <w:tc>
          <w:tcPr>
            <w:tcW w:w="0" w:type="dxa"/>
            <w:vAlign w:val="bottom"/>
          </w:tcPr>
          <w:p>
            <w:pPr>
              <w:spacing w:after="0"/>
              <w:rPr>
                <w:sz w:val="1"/>
                <w:szCs w:val="1"/>
                <w:color w:val="auto"/>
              </w:rPr>
            </w:pPr>
          </w:p>
        </w:tc>
      </w:tr>
      <w:tr>
        <w:trPr>
          <w:trHeight w:val="213"/>
        </w:trPr>
        <w:tc>
          <w:tcPr>
            <w:tcW w:w="5360" w:type="dxa"/>
            <w:vAlign w:val="bottom"/>
          </w:tcPr>
          <w:p>
            <w:pPr>
              <w:spacing w:after="0"/>
              <w:rPr>
                <w:sz w:val="20"/>
                <w:szCs w:val="20"/>
                <w:color w:val="auto"/>
              </w:rPr>
            </w:pPr>
            <w:r>
              <w:rPr>
                <w:rFonts w:ascii="Arial" w:cs="Arial" w:eastAsia="Arial" w:hAnsi="Arial"/>
                <w:sz w:val="17"/>
                <w:szCs w:val="17"/>
                <w:b w:val="1"/>
                <w:bCs w:val="1"/>
                <w:color w:val="auto"/>
              </w:rPr>
              <w:t>FFO attributable to common shareholders</w:t>
            </w:r>
          </w:p>
        </w:tc>
        <w:tc>
          <w:tcPr>
            <w:tcW w:w="1180" w:type="dxa"/>
            <w:vAlign w:val="bottom"/>
          </w:tcPr>
          <w:p>
            <w:pPr>
              <w:spacing w:after="0"/>
              <w:rPr>
                <w:sz w:val="18"/>
                <w:szCs w:val="18"/>
                <w:color w:val="auto"/>
              </w:rPr>
            </w:pPr>
          </w:p>
        </w:tc>
        <w:tc>
          <w:tcPr>
            <w:tcW w:w="540" w:type="dxa"/>
            <w:vAlign w:val="bottom"/>
            <w:tcBorders>
              <w:top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82,886</w:t>
            </w:r>
          </w:p>
        </w:tc>
        <w:tc>
          <w:tcPr>
            <w:tcW w:w="340" w:type="dxa"/>
            <w:vAlign w:val="bottom"/>
          </w:tcPr>
          <w:p>
            <w:pPr>
              <w:spacing w:after="0"/>
              <w:rPr>
                <w:sz w:val="18"/>
                <w:szCs w:val="18"/>
                <w:color w:val="auto"/>
              </w:rPr>
            </w:pPr>
          </w:p>
        </w:tc>
        <w:tc>
          <w:tcPr>
            <w:tcW w:w="860" w:type="dxa"/>
            <w:vAlign w:val="bottom"/>
            <w:tcBorders>
              <w:top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Transaction related costs</w:t>
            </w:r>
          </w:p>
        </w:tc>
        <w:tc>
          <w:tcPr>
            <w:tcW w:w="1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6,669</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tcPr>
          <w:p>
            <w:pPr>
              <w:ind w:left="120"/>
              <w:spacing w:after="0"/>
              <w:rPr>
                <w:sz w:val="20"/>
                <w:szCs w:val="20"/>
                <w:color w:val="auto"/>
              </w:rPr>
            </w:pPr>
            <w:r>
              <w:rPr>
                <w:rFonts w:ascii="Arial" w:cs="Arial" w:eastAsia="Arial" w:hAnsi="Arial"/>
                <w:sz w:val="17"/>
                <w:szCs w:val="17"/>
                <w:color w:val="auto"/>
              </w:rPr>
              <w:t>Change in fair value of contingent consideration</w:t>
            </w: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40" w:type="dxa"/>
            <w:vAlign w:val="bottom"/>
            <w:gridSpan w:val="2"/>
          </w:tcPr>
          <w:p>
            <w:pPr>
              <w:jc w:val="right"/>
              <w:ind w:right="280"/>
              <w:spacing w:after="0"/>
              <w:rPr>
                <w:sz w:val="20"/>
                <w:szCs w:val="20"/>
                <w:color w:val="auto"/>
              </w:rPr>
            </w:pPr>
            <w:r>
              <w:rPr>
                <w:rFonts w:ascii="Arial" w:cs="Arial" w:eastAsia="Arial" w:hAnsi="Arial"/>
                <w:sz w:val="17"/>
                <w:szCs w:val="17"/>
                <w:color w:val="auto"/>
              </w:rPr>
              <w:t>(3,256)</w:t>
            </w:r>
          </w:p>
        </w:tc>
        <w:tc>
          <w:tcPr>
            <w:tcW w:w="8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7"/>
                <w:szCs w:val="17"/>
                <w:color w:val="auto"/>
              </w:rPr>
              <w:t>(3,864)</w:t>
            </w:r>
          </w:p>
        </w:tc>
        <w:tc>
          <w:tcPr>
            <w:tcW w:w="0" w:type="dxa"/>
            <w:vAlign w:val="bottom"/>
          </w:tcPr>
          <w:p>
            <w:pPr>
              <w:spacing w:after="0"/>
              <w:rPr>
                <w:sz w:val="1"/>
                <w:szCs w:val="1"/>
                <w:color w:val="auto"/>
              </w:rPr>
            </w:pPr>
          </w:p>
        </w:tc>
      </w:tr>
      <w:tr>
        <w:trPr>
          <w:trHeight w:val="220"/>
        </w:trPr>
        <w:tc>
          <w:tcPr>
            <w:tcW w:w="53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Amortization of deferred financing costs and debt discount</w:t>
            </w:r>
          </w:p>
        </w:tc>
        <w:tc>
          <w:tcPr>
            <w:tcW w:w="1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6,873</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tcPr>
          <w:p>
            <w:pPr>
              <w:ind w:left="120"/>
              <w:spacing w:after="0"/>
              <w:rPr>
                <w:sz w:val="20"/>
                <w:szCs w:val="20"/>
                <w:color w:val="auto"/>
              </w:rPr>
            </w:pPr>
            <w:r>
              <w:rPr>
                <w:rFonts w:ascii="Arial" w:cs="Arial" w:eastAsia="Arial" w:hAnsi="Arial"/>
                <w:sz w:val="17"/>
                <w:szCs w:val="17"/>
                <w:color w:val="auto"/>
              </w:rPr>
              <w:t>Stock based compensation</w:t>
            </w: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1,888</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Non-real estate depreciation and amortization</w:t>
            </w:r>
          </w:p>
        </w:tc>
        <w:tc>
          <w:tcPr>
            <w:tcW w:w="1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20,101</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tcPr>
          <w:p>
            <w:pPr>
              <w:ind w:left="120"/>
              <w:spacing w:after="0"/>
              <w:rPr>
                <w:sz w:val="20"/>
                <w:szCs w:val="20"/>
                <w:color w:val="auto"/>
              </w:rPr>
            </w:pPr>
            <w:r>
              <w:rPr>
                <w:rFonts w:ascii="Arial" w:cs="Arial" w:eastAsia="Arial" w:hAnsi="Arial"/>
                <w:sz w:val="17"/>
                <w:szCs w:val="17"/>
                <w:color w:val="auto"/>
              </w:rPr>
              <w:t>Straight-line revenues</w:t>
            </w: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40" w:type="dxa"/>
            <w:vAlign w:val="bottom"/>
            <w:gridSpan w:val="2"/>
          </w:tcPr>
          <w:p>
            <w:pPr>
              <w:jc w:val="right"/>
              <w:ind w:right="280"/>
              <w:spacing w:after="0"/>
              <w:rPr>
                <w:sz w:val="20"/>
                <w:szCs w:val="20"/>
                <w:color w:val="auto"/>
              </w:rPr>
            </w:pPr>
            <w:r>
              <w:rPr>
                <w:rFonts w:ascii="Arial" w:cs="Arial" w:eastAsia="Arial" w:hAnsi="Arial"/>
                <w:sz w:val="17"/>
                <w:szCs w:val="17"/>
                <w:color w:val="auto"/>
              </w:rPr>
              <w:t>(723)</w:t>
            </w:r>
          </w:p>
        </w:tc>
        <w:tc>
          <w:tcPr>
            <w:tcW w:w="8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7"/>
                <w:szCs w:val="17"/>
                <w:color w:val="auto"/>
              </w:rPr>
              <w:t>(4,592)</w:t>
            </w:r>
          </w:p>
        </w:tc>
        <w:tc>
          <w:tcPr>
            <w:tcW w:w="0" w:type="dxa"/>
            <w:vAlign w:val="bottom"/>
          </w:tcPr>
          <w:p>
            <w:pPr>
              <w:spacing w:after="0"/>
              <w:rPr>
                <w:sz w:val="1"/>
                <w:szCs w:val="1"/>
                <w:color w:val="auto"/>
              </w:rPr>
            </w:pPr>
          </w:p>
        </w:tc>
      </w:tr>
      <w:tr>
        <w:trPr>
          <w:trHeight w:val="220"/>
        </w:trPr>
        <w:tc>
          <w:tcPr>
            <w:tcW w:w="53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Maintenance capital expenditures</w:t>
            </w:r>
          </w:p>
        </w:tc>
        <w:tc>
          <w:tcPr>
            <w:tcW w:w="1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(2,803)</w:t>
            </w:r>
          </w:p>
        </w:tc>
        <w:tc>
          <w:tcPr>
            <w:tcW w:w="8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(1,485)</w:t>
            </w:r>
          </w:p>
        </w:tc>
        <w:tc>
          <w:tcPr>
            <w:tcW w:w="0" w:type="dxa"/>
            <w:vAlign w:val="bottom"/>
          </w:tcPr>
          <w:p>
            <w:pPr>
              <w:spacing w:after="0"/>
              <w:rPr>
                <w:sz w:val="1"/>
                <w:szCs w:val="1"/>
                <w:color w:val="auto"/>
              </w:rPr>
            </w:pPr>
          </w:p>
        </w:tc>
      </w:tr>
      <w:tr>
        <w:trPr>
          <w:trHeight w:val="220"/>
        </w:trPr>
        <w:tc>
          <w:tcPr>
            <w:tcW w:w="5360" w:type="dxa"/>
            <w:vAlign w:val="bottom"/>
          </w:tcPr>
          <w:p>
            <w:pPr>
              <w:ind w:left="120"/>
              <w:spacing w:after="0"/>
              <w:rPr>
                <w:sz w:val="20"/>
                <w:szCs w:val="20"/>
                <w:color w:val="auto"/>
              </w:rPr>
            </w:pPr>
            <w:r>
              <w:rPr>
                <w:rFonts w:ascii="Arial" w:cs="Arial" w:eastAsia="Arial" w:hAnsi="Arial"/>
                <w:sz w:val="17"/>
                <w:szCs w:val="17"/>
                <w:color w:val="auto"/>
              </w:rPr>
              <w:t>Amortization of discount on convertible preferred stock</w:t>
            </w: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745</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Cash taxes on tax basis cancellation of debt</w:t>
            </w:r>
          </w:p>
        </w:tc>
        <w:tc>
          <w:tcPr>
            <w:tcW w:w="1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4,590</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tcPr>
          <w:p>
            <w:pPr>
              <w:ind w:left="120"/>
              <w:spacing w:after="0"/>
              <w:rPr>
                <w:sz w:val="20"/>
                <w:szCs w:val="20"/>
                <w:color w:val="auto"/>
              </w:rPr>
            </w:pPr>
            <w:r>
              <w:rPr>
                <w:rFonts w:ascii="Arial" w:cs="Arial" w:eastAsia="Arial" w:hAnsi="Arial"/>
                <w:sz w:val="17"/>
                <w:szCs w:val="17"/>
                <w:color w:val="auto"/>
              </w:rPr>
              <w:t>Other non-cash (revenue) expense, net</w:t>
            </w: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40" w:type="dxa"/>
            <w:vAlign w:val="bottom"/>
            <w:gridSpan w:val="2"/>
          </w:tcPr>
          <w:p>
            <w:pPr>
              <w:jc w:val="right"/>
              <w:ind w:right="280"/>
              <w:spacing w:after="0"/>
              <w:rPr>
                <w:sz w:val="20"/>
                <w:szCs w:val="20"/>
                <w:color w:val="auto"/>
              </w:rPr>
            </w:pPr>
            <w:r>
              <w:rPr>
                <w:rFonts w:ascii="Arial" w:cs="Arial" w:eastAsia="Arial" w:hAnsi="Arial"/>
                <w:sz w:val="17"/>
                <w:szCs w:val="17"/>
                <w:color w:val="auto"/>
              </w:rPr>
              <w:t>(9,682)</w:t>
            </w:r>
          </w:p>
        </w:tc>
        <w:tc>
          <w:tcPr>
            <w:tcW w:w="8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7"/>
                <w:szCs w:val="17"/>
                <w:color w:val="auto"/>
              </w:rPr>
              <w:t>(7,582)</w:t>
            </w:r>
          </w:p>
        </w:tc>
        <w:tc>
          <w:tcPr>
            <w:tcW w:w="0" w:type="dxa"/>
            <w:vAlign w:val="bottom"/>
          </w:tcPr>
          <w:p>
            <w:pPr>
              <w:spacing w:after="0"/>
              <w:rPr>
                <w:sz w:val="1"/>
                <w:szCs w:val="1"/>
                <w:color w:val="auto"/>
              </w:rPr>
            </w:pPr>
          </w:p>
        </w:tc>
      </w:tr>
      <w:tr>
        <w:trPr>
          <w:trHeight w:val="220"/>
        </w:trPr>
        <w:tc>
          <w:tcPr>
            <w:tcW w:w="53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Adjustments for noncontrolling interests</w:t>
            </w:r>
          </w:p>
        </w:tc>
        <w:tc>
          <w:tcPr>
            <w:tcW w:w="1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(516)</w:t>
            </w:r>
          </w:p>
        </w:tc>
        <w:tc>
          <w:tcPr>
            <w:tcW w:w="8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213"/>
        </w:trPr>
        <w:tc>
          <w:tcPr>
            <w:tcW w:w="5360" w:type="dxa"/>
            <w:vAlign w:val="bottom"/>
          </w:tcPr>
          <w:p>
            <w:pPr>
              <w:spacing w:after="0"/>
              <w:rPr>
                <w:sz w:val="20"/>
                <w:szCs w:val="20"/>
                <w:color w:val="auto"/>
              </w:rPr>
            </w:pPr>
            <w:r>
              <w:rPr>
                <w:rFonts w:ascii="Arial" w:cs="Arial" w:eastAsia="Arial" w:hAnsi="Arial"/>
                <w:sz w:val="17"/>
                <w:szCs w:val="17"/>
                <w:b w:val="1"/>
                <w:bCs w:val="1"/>
                <w:color w:val="auto"/>
              </w:rPr>
              <w:t>AFFO attributable to common shareholders</w:t>
            </w:r>
          </w:p>
        </w:tc>
        <w:tc>
          <w:tcPr>
            <w:tcW w:w="1180" w:type="dxa"/>
            <w:vAlign w:val="bottom"/>
          </w:tcPr>
          <w:p>
            <w:pPr>
              <w:spacing w:after="0"/>
              <w:rPr>
                <w:sz w:val="18"/>
                <w:szCs w:val="18"/>
                <w:color w:val="auto"/>
              </w:rPr>
            </w:pPr>
          </w:p>
        </w:tc>
        <w:tc>
          <w:tcPr>
            <w:tcW w:w="540" w:type="dxa"/>
            <w:vAlign w:val="bottom"/>
            <w:tcBorders>
              <w:top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106,772</w:t>
            </w:r>
          </w:p>
        </w:tc>
        <w:tc>
          <w:tcPr>
            <w:tcW w:w="340" w:type="dxa"/>
            <w:vAlign w:val="bottom"/>
          </w:tcPr>
          <w:p>
            <w:pPr>
              <w:spacing w:after="0"/>
              <w:rPr>
                <w:sz w:val="18"/>
                <w:szCs w:val="18"/>
                <w:color w:val="auto"/>
              </w:rPr>
            </w:pPr>
          </w:p>
        </w:tc>
        <w:tc>
          <w:tcPr>
            <w:tcW w:w="860" w:type="dxa"/>
            <w:vAlign w:val="bottom"/>
            <w:tcBorders>
              <w:top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108,672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24" w:lineRule="exact"/>
        <w:rPr>
          <w:sz w:val="20"/>
          <w:szCs w:val="20"/>
          <w:color w:val="auto"/>
        </w:rPr>
      </w:pPr>
    </w:p>
    <w:p>
      <w:pPr>
        <w:ind w:right="700"/>
        <w:spacing w:after="0" w:line="283" w:lineRule="auto"/>
        <w:rPr>
          <w:sz w:val="20"/>
          <w:szCs w:val="20"/>
          <w:color w:val="auto"/>
        </w:rPr>
      </w:pPr>
      <w:r>
        <w:rPr>
          <w:rFonts w:ascii="Arial" w:cs="Arial" w:eastAsia="Arial" w:hAnsi="Arial"/>
          <w:sz w:val="17"/>
          <w:szCs w:val="17"/>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judgment necessary to account for highly uncertain factors or the susceptibility of such factors to change. We have identified the accounting for income taxes, revenue recognition, useful lives of assets,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15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financial condition.</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further information on our critical accounting estimates, see “Management’s Discussion and Analysis of Financial Condition and Results of Operations” and the notes to our audited financial statements included in our Annual Report on Form 10-K for the year ended December 31, 2018, filed with the SEC on March 18, 2019. As of March 31, 2019, there has been no material change to these estimates.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4"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Our principal liquidity needs are to fund operating expenses, meet debt service requirements, fund investment activities, including capital expenditures, and make dividend distributions. Our primary sources of liquidity and capital resources are cash on hand, cash provided by operating activities (primarily arising under the Master Lease with Windstream), available borrowings under our credit agreement by and among the Operating Partnership, CSL Capital, LLC and Uniti Group Finance Inc., the guarantors and lenders party thereto and Bank of America, N.A., as administrative agent and collateral agent (the “Credit Agreement”), and proceeds from the issuance of debt and equity securities.</w:t>
      </w:r>
    </w:p>
    <w:p>
      <w:pPr>
        <w:spacing w:after="0" w:line="177"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As of March 31, 2019, we had cash and cash equivalents of $104.7 million. There have been no material outlays of funds subsequent to March 31, 2019. Our Revolving Credit Facility is subject to various conditions, including a maximum secured leverage ratio of 5.0:1. In addition, if we incur debt under our Revolving Credit Facility or otherwise such that our total leverage ratio exceeds 6.5:1, our debt instruments would impose significant restrictions on our ability to pay dividends.</w:t>
      </w:r>
    </w:p>
    <w:p>
      <w:pPr>
        <w:spacing w:after="0" w:line="177"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color w:val="auto"/>
        </w:rPr>
        <w:t>Cash provided by operating activities was $188.6 million and $156.9 million for the three months ended March 31, 2019 and 2018, respectively. Cash provided by operating activities is primarily attributable to our leasing activities.</w:t>
      </w:r>
    </w:p>
    <w:p>
      <w:pPr>
        <w:spacing w:after="0" w:line="159"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Cash used in investing activities was $83.7 million for the three months ended March 31, 2019, which was driven by capital expenditures ($79.5 million), primarily related to our Uniti Fiber and Uniti Towers businesses. Cash used in investing activities was $52.1 million for the three months ended March 31, 2018, which was driven by capital expenditures ($51.1 million), primarily related to our Uniti Fiber and Uniti Towers businesses. The increase in capital expenditures is due to network deployments related to our Uniti Fiber and Uniti Towers businesses.</w:t>
      </w:r>
    </w:p>
    <w:p>
      <w:pPr>
        <w:spacing w:after="0" w:line="177"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Cash used in financing activities was $33.6 million for the three months ended March 31, 2019, which primarily represents the dividend payments ($110.3 million), payments for financing costs ($36.2 million), contingent consideration payments ($8.2 million), principal payments related to the Term Loan Facility ($5.3 million), and distributions paid to noncontrolling interests ($2.5 million), partially offset by net borrowings under the Revolving Credit Facility ($109.0 million) and net proceeds under our ATM Program ($21.6 million). Cash provided in financing activities was $107.9 million for the three months ended March 31, 2018, which primarily represents the dividend payments ($105.9 million), contingent consideration payments ($12.7 million), principal payments related to the Term Loan Facility ($5.3 million), and distributions paid to noncontrolling interests ($2.5 million), partially offset by net borrowings under the Revolving Credit Facility ($20 million).</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$250.0 million. During the quarter ended March 31, 2019, we issued and sold 1.2 million shares of common stock at a weighted average price of $18.63 per share under the ATM Program, receiving net proceeds of $21.6 million, after commissions of $0.3 million and other offering costs. As of March 31, 2019, we have approximately $117.1 million available for issuance under the ATM Program. This program provides additional financial flexibility and an alternative mechanism to access the capital markets at an efficient cost as and when we need financing, including for acquisitions. In addition, 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will defer taxes payable by a seller while preserving our available cash for other purposes, including the possible payment of dividends.</w:t>
      </w:r>
    </w:p>
    <w:p>
      <w:pPr>
        <w:spacing w:after="0" w:line="218"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We anticipate continuing to invest in our network infrastructure across our Uniti Leasing, Uniti Fiber and Uniti Towers portfolios. We have also committed to spend $175 million on our proposed acquisition of Bluebird (for which we have obtained committed financing), net of the collection of prepaid rent. We anticipate declaring dividends for the 2019 tax year to comply with our REIT distribution requirements, although such dividends are expected to be lower than in prior periods. We anticipate that we will partially finance these needs, together with operating expenses (including debt service) from our $104.7 million of cash on hand, cash flows provided by operating activities, together with funds anticipated from announced divestures. However, we may need to access the capital markets to generate additional funds that will be sufficient to fund our business operations, announced investment activities, capital expenditures, debt service and distributions to our shareholders. We are closely monitoring the equity and debt markets and will seek to access them promptly when we determine market conditions are appropriate.</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could be subject to a shortfall in liquidity in the future which could lead to a reduction in our capital expenditures and/or dividends. If this shortfall occurs rapidly and with little or no notice, it could limit our ability to address the shortfall on a timely basis.</w:t>
      </w:r>
    </w:p>
    <w:p>
      <w:pPr>
        <w:spacing w:after="0" w:line="181"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77"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Our Revolving Credit Facility matures on April 24, 2020, and we have begun evaluating potential refinancing options. However, there can be no assurances that any debt refinancing would be on similar or more favorable terms than our existing arrangements. This would include the risk that interest rates could increase and/or there may be changes to our existing covenants and/or available borrowings. If we are unsuccessful in refinancing the Revolving Credit Facility on terms acceptable to the Company, there could be a material adverse impact on our consolidated results of operations, financial condition and/or liquidity. If we are not successful in extending or refinancing the Revolving Credit Facility, our current cash balances as of March 31, 2019 are not sufficient to repay outstanding borrowings.</w:t>
      </w:r>
    </w:p>
    <w:p>
      <w:pPr>
        <w:spacing w:after="0" w:line="152"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auto"/>
        </w:rPr>
        <w:t>In light of recent developments and uncertainty surrounding Windstream and the effect of substantial doubt about our ability to continue as a going concern, as discussed in in Part I, Item 1A "Risk Factors" in our Annual Report on Form 10-K for the year ended December 31, 2018, we have taken measures, and may take further measures to conserve cash as we anticipate that it may be more difficult for us to access the capital markets at attractive rates until such uncertainty is clarified. Accordingly, we may elect to suspend, delay or reduce success-based capital expenditures and further reduce dividend payments to conserve cash. If our assumptions are incorrect, we could need additional sources of liquidity to fund our cash needs and cannot assure that we will obtain them. Because our Master Lease is essential to Windstream’s operations, we expect that any disruption in payments by Windstream would be limited, and we believe that if we take such actions, we would have enough liquidity to fund our cash needs within one year after the date the financial statements are issued. If our assumptions are incorrect, we could need additional sources of liquidity to fund our cash needs and cannot assure that we will obtain them.</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24"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both"/>
        <w:ind w:right="80"/>
        <w:spacing w:after="0" w:line="292" w:lineRule="auto"/>
        <w:rPr>
          <w:sz w:val="20"/>
          <w:szCs w:val="20"/>
          <w:color w:val="auto"/>
        </w:rPr>
      </w:pPr>
      <w:r>
        <w:rPr>
          <w:rFonts w:ascii="Arial" w:cs="Arial" w:eastAsia="Arial" w:hAnsi="Arial"/>
          <w:sz w:val="16"/>
          <w:szCs w:val="16"/>
          <w:color w:val="auto"/>
        </w:rPr>
        <w:t>On March 18, 2019, we received a limited waiver and amendment to our Credit Agreement (the “Amendment”). During the pendency of Windstream’s bankruptcy, or at such earlier time when certain conditions are specified, the Amendment generally limits our ability under the Credit Agreement to pay cash dividends in excess of 90% of our REIT taxable income, determined without regard to the dividends paid deduction and excluding any net capital gains.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below sets out details regarding our cash dividends on our common stock:</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Period</w:t>
            </w:r>
          </w:p>
        </w:tc>
        <w:tc>
          <w:tcPr>
            <w:tcW w:w="120" w:type="dxa"/>
            <w:vAlign w:val="bottom"/>
            <w:tcBorders>
              <w:bottom w:val="single" w:sz="8" w:color="CFF0FC"/>
            </w:tcBorders>
          </w:tcPr>
          <w:p>
            <w:pPr>
              <w:spacing w:after="0"/>
              <w:rPr>
                <w:sz w:val="19"/>
                <w:szCs w:val="19"/>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Payment Date</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92"/>
              </w:rPr>
              <w:t>Cash Dividend Per Share</w:t>
            </w:r>
          </w:p>
        </w:tc>
        <w:tc>
          <w:tcPr>
            <w:tcW w:w="240" w:type="dxa"/>
            <w:vAlign w:val="bottom"/>
            <w:tcBorders>
              <w:bottom w:val="single" w:sz="8" w:color="CFF0FC"/>
            </w:tcBorders>
          </w:tcPr>
          <w:p>
            <w:pPr>
              <w:spacing w:after="0"/>
              <w:rPr>
                <w:sz w:val="19"/>
                <w:szCs w:val="19"/>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Record Date</w:t>
            </w:r>
          </w:p>
        </w:tc>
      </w:tr>
      <w:tr>
        <w:trPr>
          <w:trHeight w:val="213"/>
        </w:trPr>
        <w:tc>
          <w:tcPr>
            <w:tcW w:w="42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October 1, 2018 - December 31, 2018</w:t>
            </w:r>
          </w:p>
        </w:tc>
        <w:tc>
          <w:tcPr>
            <w:tcW w:w="23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January 15, 2019</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0.60</w:t>
            </w:r>
          </w:p>
        </w:tc>
        <w:tc>
          <w:tcPr>
            <w:tcW w:w="240" w:type="dxa"/>
            <w:vAlign w:val="bottom"/>
            <w:shd w:val="clear" w:color="auto" w:fill="CFF0FC"/>
          </w:tcPr>
          <w:p>
            <w:pPr>
              <w:spacing w:after="0"/>
              <w:rPr>
                <w:sz w:val="18"/>
                <w:szCs w:val="18"/>
                <w:color w:val="auto"/>
              </w:rPr>
            </w:pPr>
          </w:p>
        </w:tc>
        <w:tc>
          <w:tcPr>
            <w:tcW w:w="23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December 31, 2018</w:t>
            </w:r>
          </w:p>
        </w:tc>
      </w:tr>
      <w:tr>
        <w:trPr>
          <w:trHeight w:val="220"/>
        </w:trPr>
        <w:tc>
          <w:tcPr>
            <w:tcW w:w="4280" w:type="dxa"/>
            <w:vAlign w:val="bottom"/>
            <w:gridSpan w:val="2"/>
          </w:tcPr>
          <w:p>
            <w:pPr>
              <w:spacing w:after="0"/>
              <w:rPr>
                <w:sz w:val="20"/>
                <w:szCs w:val="20"/>
                <w:color w:val="auto"/>
              </w:rPr>
            </w:pPr>
            <w:r>
              <w:rPr>
                <w:rFonts w:ascii="Arial" w:cs="Arial" w:eastAsia="Arial" w:hAnsi="Arial"/>
                <w:sz w:val="17"/>
                <w:szCs w:val="17"/>
                <w:color w:val="auto"/>
              </w:rPr>
              <w:t>January 1, 2019 - March 31, 2019</w:t>
            </w:r>
          </w:p>
        </w:tc>
        <w:tc>
          <w:tcPr>
            <w:tcW w:w="2300" w:type="dxa"/>
            <w:vAlign w:val="bottom"/>
          </w:tcPr>
          <w:p>
            <w:pPr>
              <w:jc w:val="center"/>
              <w:spacing w:after="0"/>
              <w:rPr>
                <w:sz w:val="20"/>
                <w:szCs w:val="20"/>
                <w:color w:val="auto"/>
              </w:rPr>
            </w:pPr>
            <w:r>
              <w:rPr>
                <w:rFonts w:ascii="Arial" w:cs="Arial" w:eastAsia="Arial" w:hAnsi="Arial"/>
                <w:sz w:val="17"/>
                <w:szCs w:val="17"/>
                <w:color w:val="auto"/>
                <w:w w:val="95"/>
              </w:rPr>
              <w:t>April 15, 2019</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0.05</w:t>
            </w:r>
          </w:p>
        </w:tc>
        <w:tc>
          <w:tcPr>
            <w:tcW w:w="24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7"/>
                <w:szCs w:val="17"/>
                <w:color w:val="auto"/>
                <w:w w:val="96"/>
              </w:rPr>
              <w:t>April 1, 2019</w:t>
            </w:r>
          </w:p>
        </w:tc>
      </w:tr>
    </w:tbl>
    <w:p>
      <w:pPr>
        <w:spacing w:after="0" w:line="297"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In light of recent developments with Windstream, we may take measures to conserve cash, which may include a suspension, delay or reduction in our dividend.</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224"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We categorize our capital expenditures as either (i) success-based, (ii) maintenance, (iii) integration or (iv) corporate and non-network. We define success-based capital expenditures as those related to installing existing or anticipated contractual customer service orders. Maintenance capital expenditures are those necessary to keep existing network elements fully operational. Integration capital expenditures are those made specifically with respect to recent acquisitions that are essential to integrating acquired companies in our business. We anticipate continuing to invest in our network infrastructure across our Uniti Leasing, Uniti Fiber and Uniti Towers portfolios, and expect that cash on hand and cash flows provided by operating activities will be sufficient to support these investments.</w:t>
      </w:r>
    </w:p>
    <w:p>
      <w:pPr>
        <w:spacing w:after="0" w:line="152" w:lineRule="exact"/>
        <w:rPr>
          <w:sz w:val="20"/>
          <w:szCs w:val="20"/>
          <w:color w:val="auto"/>
        </w:rPr>
      </w:pPr>
    </w:p>
    <w:p>
      <w:pPr>
        <w:jc w:val="both"/>
        <w:ind w:right="180"/>
        <w:spacing w:after="0" w:line="268" w:lineRule="auto"/>
        <w:rPr>
          <w:sz w:val="20"/>
          <w:szCs w:val="20"/>
          <w:color w:val="auto"/>
        </w:rPr>
      </w:pPr>
      <w:r>
        <w:rPr>
          <w:rFonts w:ascii="Arial" w:cs="Arial" w:eastAsia="Arial" w:hAnsi="Arial"/>
          <w:sz w:val="17"/>
          <w:szCs w:val="17"/>
          <w:color w:val="auto"/>
        </w:rPr>
        <w:t>In light of recent developments with Windstream, we may need to take measures to conserve cash, which may include a suspension, delay or reduction in success-based capital expenditures. We are closely monitoring developments of the Windstream bankruptcy and continually assess our capital expenditure plans in light of such developments.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Guidance</w:t>
      </w:r>
    </w:p>
    <w:p>
      <w:pPr>
        <w:spacing w:after="0" w:line="224" w:lineRule="exact"/>
        <w:rPr>
          <w:sz w:val="20"/>
          <w:szCs w:val="20"/>
          <w:color w:val="auto"/>
        </w:rPr>
      </w:pPr>
    </w:p>
    <w:p>
      <w:pPr>
        <w:ind w:right="480"/>
        <w:spacing w:after="0" w:line="283" w:lineRule="auto"/>
        <w:rPr>
          <w:sz w:val="20"/>
          <w:szCs w:val="20"/>
          <w:color w:val="auto"/>
        </w:rPr>
      </w:pPr>
      <w:r>
        <w:rPr>
          <w:rFonts w:ascii="Arial" w:cs="Arial" w:eastAsia="Arial" w:hAnsi="Arial"/>
          <w:sz w:val="17"/>
          <w:szCs w:val="17"/>
          <w:color w:val="auto"/>
        </w:rPr>
        <w:t>New accounting rules and disclosures can impact our reported results and comparability of our financial statements. These matters are described in our Annual Report on Form 10-K for the year ended December 31, 2018, filed with the SEC on March 18, 2019.</w:t>
      </w:r>
    </w:p>
    <w:p>
      <w:pPr>
        <w:spacing w:after="0" w:line="15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Effective January 1, 2019, we account for leases in accordance with ASC 842. The standard requires lessees to apply a dual approach, classifying leases as either finance or operating leases based on the principle of whether or not the lease is effectively a financed purchase by the lessee. This classification will determine whether lease expense is comprised of amortization on the right-of-use asset (“ROU”) and interest expense recognized based on an effective interest method, or as a single lease cost recognized on a straight-line basis over the term of the lease, respectively. A lessee is also required to record a right-of-use asset and a lease liability for all leases with a term of greater than 12 months regardless of their classification. The accounting for lessors remains largely unchanged. Leases with a term of 12 months or less will be accounted for similar to existing guidance for operating leases today.</w:t>
      </w:r>
    </w:p>
    <w:p>
      <w:pPr>
        <w:spacing w:after="0" w:line="16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determine if an arrangement is a lease at contract inception. A lease exists when a contract conveys to the customer the right to control the use of identified property, plant, or equipment for a period of time in exchange for consideration. The definition of a lease embodies two conditions: (i) there is an identified asset in the contract that is land or a depreciable asset (i.e., property, plant, and equipment), and (ii) the customer has the right to control the use of the identified asset.</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enter into lease contracts including ground, towers, equipment, office, colocation and fiber lease arrangements, in which we are the lessee, and service contracts that may include embedded leases. Operating leases where we are the lessor are included in Leasing, Fiber Infrastructure and Tower revenues on our Condensed Consolidated Statements of Income.</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From time to time we enter into direct financing lease arrangements that include (i) a lessee obligation to purchase the leased equipment at the end of the lease term,</w:t>
      </w:r>
    </w:p>
    <w:p>
      <w:pPr>
        <w:spacing w:after="0" w:line="47" w:lineRule="exact"/>
        <w:rPr>
          <w:sz w:val="20"/>
          <w:szCs w:val="20"/>
          <w:color w:val="auto"/>
        </w:rPr>
      </w:pPr>
    </w:p>
    <w:p>
      <w:pPr>
        <w:ind w:left="5620" w:right="5040" w:hanging="5617"/>
        <w:spacing w:after="0" w:line="806" w:lineRule="auto"/>
        <w:tabs>
          <w:tab w:leader="none" w:pos="249"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bargain purchase option, (iii) a lease term having a duration that is for the major part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-238760</wp:posOffset>
            </wp:positionV>
            <wp:extent cx="729424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remaining economic life of the leased equipment or (iv) provides for minimum lease payments with a present value amounting to substantially all of the fair value of the leased equipment at the date of lease inception.</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ROU assets and lease liabilities related to operating leases where we are the lessee are included in other assets and accounts payable, accrued expenses and other liabilities, respectively, on our Condensed Consolidated Balance Sheets. The lease liabilities are initially and subsequently measured at the present value of the unpaid lease payments at the lease commencement date.</w:t>
      </w:r>
    </w:p>
    <w:p>
      <w:pPr>
        <w:spacing w:after="0" w:line="172"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ROU assets and lease liabilities related to finance leases where we are the lessee are included in property, plant and equipment, net and finance lease obligations, respectively, on our Condensed Consolidated Balance Sheets. The lease liabilities are initially measured in the same manner as operating leases and are subsequently measured at amortized cost using the effective interest method. ROU assets for finance leases are amortized on a straight-line basis over the remaining lease term.</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Key estimates and judgments include how we determined (i) the discount rate we use to discount the unpaid lease payments to present value, (ii) lease term and (iii) lease payments.</w:t>
      </w:r>
    </w:p>
    <w:p>
      <w:pPr>
        <w:spacing w:after="0" w:line="159" w:lineRule="exact"/>
        <w:rPr>
          <w:sz w:val="20"/>
          <w:szCs w:val="20"/>
          <w:color w:val="auto"/>
        </w:rPr>
      </w:pPr>
    </w:p>
    <w:p>
      <w:pPr>
        <w:jc w:val="both"/>
        <w:ind w:left="760" w:hanging="382"/>
        <w:spacing w:after="0" w:line="261"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ASC 842 requires a lessor to discount its unpaid lease payments using the interest rate implicit in the lease and a lessee to discount its unpaid lease payments using the interest rate implicit in the lease or, if that rate cannot be readily determined, its incremental borrowing rate. As we generally do not know the implicit rate for our leases where we are the lessee, we use our incremental borrowing rate based on the information available at commencement date in determining the present value of lease payments. Our incremental borrowing rate for a lease is the rate of interest we would have to pay on a collateralized basis to borrow an amount equal to the lease payments under similar terms.</w:t>
      </w:r>
    </w:p>
    <w:p>
      <w:pPr>
        <w:spacing w:after="0" w:line="177" w:lineRule="exact"/>
        <w:rPr>
          <w:rFonts w:ascii="Arial" w:cs="Arial" w:eastAsia="Arial" w:hAnsi="Arial"/>
          <w:sz w:val="17"/>
          <w:szCs w:val="17"/>
          <w:color w:val="auto"/>
        </w:rPr>
      </w:pPr>
    </w:p>
    <w:p>
      <w:pPr>
        <w:jc w:val="both"/>
        <w:ind w:left="760" w:hanging="382"/>
        <w:spacing w:after="0" w:line="268"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lease term for all of our leases includes the noncancellable period of the lease plus any additional periods covered by either a lessee option to extend (or not to terminate) the lease that the lessee is reasonably certain to exercise, or an option to extend (or not to terminate) the lease controlled by the lessor.</w:t>
      </w:r>
    </w:p>
    <w:p>
      <w:pPr>
        <w:spacing w:after="0" w:line="172" w:lineRule="exact"/>
        <w:rPr>
          <w:rFonts w:ascii="Arial" w:cs="Arial" w:eastAsia="Arial" w:hAnsi="Arial"/>
          <w:sz w:val="17"/>
          <w:szCs w:val="17"/>
          <w:color w:val="auto"/>
        </w:rPr>
      </w:pPr>
    </w:p>
    <w:p>
      <w:pPr>
        <w:jc w:val="both"/>
        <w:ind w:left="760" w:hanging="382"/>
        <w:spacing w:after="0" w:line="268"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Lease payments included in the measurement of the lease asset or liability comprise the following: (i) fixed payments (including in-substance fixed payments), (ii) variable payments that depend on index or rate based on the index or rate at lease commencement, and (iii) the exercise price of a lessee option to purchase the underlying asset if the lessee is reasonably certain to exercise.</w:t>
      </w:r>
    </w:p>
    <w:p>
      <w:pPr>
        <w:spacing w:after="0" w:line="17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For operating leases where we are the lessor, we continue recognizing the underlying asset and depreciating it over its estimated useful life. Lease income is recognized on a straight-line basis over the lease term. Leasing revenue is not recognized when collection of all contractual rents over the term of the agreement is not probable. When collection is probable, the lessee is placed on non-accrual status and Leasing revenue is recognized when cash payments are received.</w:t>
      </w:r>
    </w:p>
    <w:p>
      <w:pPr>
        <w:spacing w:after="0" w:line="15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ROU asset is initially measured at cost, which comprises the initial amount of the lease liability adjusted for lease payments made at or before the lease commencement date, plus any initial direct costs incurred less any lease incentives received.</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operating leases,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For finance leases, the ROU asset is subsequently amortized using the straight-line method from the lease commencement date to the earlier of the end of its useful life or the end of the lease term unless the lease transfers ownership of the underlying asset to us, or we are reasonably certain to exercise an option to purchase the underlying asset. In those cases, the ROU asset is amortized over the useful life of the underlying asset. Amortization of the ROU asset is recognized and presented separately from interest expense on the lease liability.</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Variable lease payments associated with our leases are recognized when the event, activity, or circumstance in the lease agreement on which those payments are assessed occurs. Variable lease payments are presented within Leasing, Fiber Infrastructure and Tower revenues and general and administrative expense and operating expense in our Condensed Consolidated Statements of Income in the same line item as revenue arising from fixed lease payments (operating leases where we are the lessor) and expense arising from fixed lease payments (operating leases where we are the lessee) or amortization of the ROU asset (finance leases), respectively.</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We monitor for events or changes in circumstances that require a reassessment of a lease. When a reassessment results in the remeasurement of a lease liability, a corresponding adjustment is made to the carrying amount of the corresponding ROU asset unless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7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doing so would reduce the carrying amount of the ROU asset to an amount less than zero. In that case, the amount of the adjustment that would result in a negative ROU asset balance is recorded in profit or loss.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lease agreements which include lease and nonlease components. For both leases where we are a lessor and leases where we are a lessee, we have elected to combine lease and nonlease components for all lease contracts. Nonlease components that are combined with lease components are primarily maintenance services related to the leased asset. Where we are the lessor, we determine whether the lease or nonlease component is the predominant component on a case-by-case basis. For all existing leases where we are the lessor, ASC Topic 842 has been applied to all combined components.</w:t>
      </w:r>
    </w:p>
    <w:p>
      <w:pPr>
        <w:spacing w:after="0" w:line="10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We have elected not to recognize ROU assets and lease liabilities for all short-term leases that have a lease term of 12 months or less. We recognize the lease payments associated with our short-term leases as an expense on a straight-line basis over the lease term.</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We have elected to exclude sales taxes from lease payments in arrangements where we are a lessor.</w:t>
      </w:r>
    </w:p>
    <w:p>
      <w:pPr>
        <w:spacing w:after="0" w:line="24" w:lineRule="exact"/>
        <w:rPr>
          <w:sz w:val="20"/>
          <w:szCs w:val="20"/>
          <w:color w:val="auto"/>
        </w:rPr>
      </w:pPr>
    </w:p>
    <w:p>
      <w:pPr>
        <w:ind w:right="160"/>
        <w:spacing w:after="0" w:line="294" w:lineRule="auto"/>
        <w:rPr>
          <w:sz w:val="20"/>
          <w:szCs w:val="20"/>
          <w:color w:val="auto"/>
        </w:rPr>
      </w:pPr>
      <w:r>
        <w:rPr>
          <w:rFonts w:ascii="Arial" w:cs="Arial" w:eastAsia="Arial" w:hAnsi="Arial"/>
          <w:sz w:val="15"/>
          <w:szCs w:val="15"/>
          <w:color w:val="auto"/>
        </w:rPr>
        <w:t xml:space="preserve">We adopted ASC 842 using a modified retrospective transition approach as of the effective date as permitted by the amendments in ASU 2018-11, </w:t>
      </w:r>
      <w:r>
        <w:rPr>
          <w:rFonts w:ascii="Arial" w:cs="Arial" w:eastAsia="Arial" w:hAnsi="Arial"/>
          <w:sz w:val="15"/>
          <w:szCs w:val="15"/>
          <w:i w:val="1"/>
          <w:iCs w:val="1"/>
          <w:color w:val="auto"/>
        </w:rPr>
        <w:t>Leases (Topic</w:t>
      </w:r>
      <w:r>
        <w:rPr>
          <w:rFonts w:ascii="Arial" w:cs="Arial" w:eastAsia="Arial" w:hAnsi="Arial"/>
          <w:sz w:val="15"/>
          <w:szCs w:val="15"/>
          <w:color w:val="auto"/>
        </w:rPr>
        <w:t xml:space="preserve"> </w:t>
      </w:r>
      <w:r>
        <w:rPr>
          <w:rFonts w:ascii="Arial" w:cs="Arial" w:eastAsia="Arial" w:hAnsi="Arial"/>
          <w:sz w:val="15"/>
          <w:szCs w:val="15"/>
          <w:i w:val="1"/>
          <w:iCs w:val="1"/>
          <w:color w:val="auto"/>
        </w:rPr>
        <w:t>842): Target Improvements</w:t>
      </w:r>
      <w:r>
        <w:rPr>
          <w:rFonts w:ascii="Arial" w:cs="Arial" w:eastAsia="Arial" w:hAnsi="Arial"/>
          <w:sz w:val="15"/>
          <w:szCs w:val="15"/>
          <w:color w:val="auto"/>
        </w:rPr>
        <w:t>, which provides an alternative modified retrospective transition method. As a result, we were not required to adjust our comparative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period financial information for effects of the standard or make the new required lease disclosures for periods before the date of adoption (i.e. January 1, 2019). We have elected to adopt the package of transition practical expedients and, therefore, have not reassessed (i) whether existing or expired contracts contain a lease, (ii) lease classification for existing or expired leases or (iii) the accounting for initial direct costs that were previously capitalized. We elected the practical expedient to use hindsight for leases existing at the adoption date. Further, we elected to adopt the amendments in ASU 2018-01: </w:t>
      </w:r>
      <w:r>
        <w:rPr>
          <w:rFonts w:ascii="Arial" w:cs="Arial" w:eastAsia="Arial" w:hAnsi="Arial"/>
          <w:sz w:val="15"/>
          <w:szCs w:val="15"/>
          <w:i w:val="1"/>
          <w:iCs w:val="1"/>
          <w:color w:val="auto"/>
        </w:rPr>
        <w:t>Land Easement Practical Expedient for</w:t>
      </w:r>
      <w:r>
        <w:rPr>
          <w:rFonts w:ascii="Arial" w:cs="Arial" w:eastAsia="Arial" w:hAnsi="Arial"/>
          <w:sz w:val="15"/>
          <w:szCs w:val="15"/>
          <w:color w:val="auto"/>
        </w:rPr>
        <w:t xml:space="preserve"> </w:t>
      </w:r>
      <w:r>
        <w:rPr>
          <w:rFonts w:ascii="Arial" w:cs="Arial" w:eastAsia="Arial" w:hAnsi="Arial"/>
          <w:sz w:val="15"/>
          <w:szCs w:val="15"/>
          <w:i w:val="1"/>
          <w:iCs w:val="1"/>
          <w:color w:val="auto"/>
        </w:rPr>
        <w:t>Transition to Topic 842</w:t>
      </w:r>
      <w:r>
        <w:rPr>
          <w:rFonts w:ascii="Arial" w:cs="Arial" w:eastAsia="Arial" w:hAnsi="Arial"/>
          <w:sz w:val="15"/>
          <w:szCs w:val="15"/>
          <w:color w:val="auto"/>
        </w:rPr>
        <w:t>, which permits an entity to elect an optional transaction practical expedient to not evaluate land easements that exist or expire before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Company’s adoption of ASC 842 and that were not previously accounted for as leases under ASC 840,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(“ASC 840”).</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As of the date of this Quarterly Report on Form 10-Q, we do not have any off-balance sheet arrangements.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21"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There have been no material changes from the information reported under Item 7A of our Annual Report on Form 10-K for the year ended December 31, 2018, filed with the SEC on March 18, 2019.</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 Controls and Procedures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have established disclosure controls and procedures, as such term is defined in Rule 13a-15(e) under the Securities Exchange Act of 1934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81" w:lineRule="exact"/>
        <w:rPr>
          <w:sz w:val="20"/>
          <w:szCs w:val="20"/>
          <w:color w:val="auto"/>
        </w:rPr>
      </w:pPr>
    </w:p>
    <w:p>
      <w:pPr>
        <w:jc w:val="both"/>
        <w:ind w:right="160"/>
        <w:spacing w:after="0" w:line="268"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the effectiveness of our disclosure controls and procedures as of March 31, 2019. Based on this evaluation, our principal executive officer and principal financial officer concluded that our disclosure controls and procedures were effective as of March 31, 2019.</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115" w:lineRule="exact"/>
        <w:rPr>
          <w:sz w:val="20"/>
          <w:szCs w:val="20"/>
          <w:color w:val="auto"/>
        </w:rPr>
      </w:pPr>
    </w:p>
    <w:p>
      <w:pPr>
        <w:ind w:right="260"/>
        <w:spacing w:after="0" w:line="315"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 13a-15(f) under the Exchange Act, that occurred during the quarter ended March 31, 2019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II—OTHER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24"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59"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 If Windstream assumes the Master Lease, it would be obligated to honor all indemnification claims. If Windstream were to reject the Master Lease, any indemnification claims would be treated as unsecured claims, and, if that were to occur, there can be no assurance we would receive any indemnification payments from Windstream. While these actions and proceedings are not believed to be material, individually or in the aggregate, the ultimate outcome of these matters cannot be predicted. The resolution of any such legal proceedings, either individually or in the aggregate, could have a material adverse effect on Windstream’s business, financial position or results of operations, which, in turn, could have a material adverse effect on our business, financial position or results of operations if Windstream is unable to meet its indemnification obligations.</w:t>
      </w:r>
    </w:p>
    <w:p>
      <w:pPr>
        <w:spacing w:after="0" w:line="159"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Windstream was involved in litigation with an entity who acquired certain Windstream debt securities and thereafter issued a notice of default as to such securities relating to the Spin-Off. Windstream challenged the matter in federal court and a trial was held in July 2018. On February 15, 2019, the federal court judge issued a ruling against Windstream, finding that Windstream’s attempts to waive such default were not valid; that an “event of default” occurred with respect to such debt securities; and that the holder’s acceleration of such debt in December 2017 was effective.</w:t>
      </w:r>
    </w:p>
    <w:p>
      <w:pPr>
        <w:spacing w:after="0" w:line="177" w:lineRule="exact"/>
        <w:rPr>
          <w:sz w:val="20"/>
          <w:szCs w:val="20"/>
          <w:color w:val="auto"/>
        </w:rPr>
      </w:pPr>
    </w:p>
    <w:p>
      <w:pPr>
        <w:ind w:right="720"/>
        <w:spacing w:after="0" w:line="283" w:lineRule="auto"/>
        <w:rPr>
          <w:sz w:val="20"/>
          <w:szCs w:val="20"/>
          <w:color w:val="auto"/>
        </w:rPr>
      </w:pPr>
      <w:r>
        <w:rPr>
          <w:rFonts w:ascii="Arial" w:cs="Arial" w:eastAsia="Arial" w:hAnsi="Arial"/>
          <w:sz w:val="17"/>
          <w:szCs w:val="17"/>
          <w:color w:val="auto"/>
        </w:rPr>
        <w:t>In response to the adverse outcome, on February 25, 2019, Windstream and all of its subsidiaries filed voluntary petitions for relief under Chapter 11 of the Bankruptcy Code in the U.S. Bankruptcy Court for the Southern District of New York.</w:t>
      </w:r>
    </w:p>
    <w:p>
      <w:pPr>
        <w:spacing w:after="0" w:line="159"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In bankruptcy, Windstream has the option to assume or reject the Master Lease. While we believe that the Master Lease is essential to Windstream’s operations, it is difficult to predict what could occur in a restructuring, and even a temporary disruption in payments to us may require us to fund certain expenses and obligations (e.g., real estate taxes, insurance and maintenance expenses) to preserve the value of our properties and avoid the imposition of liens on our properties and could impact our ability to fund other cash obligations, including dividends necessary to maintain REIT status, non-essential capital expenditures and, in an extreme case, our debt service obligations. See Item 1A Risk Factors of our Annual Report on Form 10-K for the year ended December 31, 2018 for additional information concerning the impact Windstream’s bankruptcy may have on our operations and financial conditions. A rejection by Windstream of the Master Lease or its inability or unwillingness to meet its rent and other obligations under the Master Lease could materially adversely affect our consolidated results of operations, liquidity, and financial condition, including our ability to service debt, comply with debt covenants and pay dividends to our stockholders as required to maintain our status as a REIT. A rejection of the Master Lease by Windstream would result in an “event of default” under our Credit Agreement if we are unable to enter into a replacement lease that satisfies certain criteria set forth in the Credit Agreement within ninety (90) calendar days and we do not maintain pro forma compliance with a consolidated secured leverage ratio, as defined in the Credit Agreement, of 5.00 to 1.00.</w:t>
      </w:r>
    </w:p>
    <w:p>
      <w:pPr>
        <w:spacing w:after="0" w:line="17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Master Lease contains no provision that contemplates renegotiation of the lease and the bankruptcy court has no ability to unilaterally reset the rent or terms of the lease. In addition, our Credit Agreement prohibits the Company from amending the Master Lease in a manner that, among other provisions, pro forma for any such amendment, would result in our consolidated secured leverage ratio to exceed 5.0 to 1.0, and management has no intention to enter into a lease amendment that would violate our debt covenants. However, it is difficult to predict what could occur in Windstream’s bankruptcy restructuring, including potential claims against us by Windstream or its creditors.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1"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color w:val="auto"/>
        </w:rPr>
        <w:t>There have been no material changes to the risk factors affecting our business that were discussed in Part I, “Item 1A. Risk Factors” in our Annual Report on Form 10-K for the year ended December 31, 2018 filed with the SEC on March 18, 2019.</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Issuer Purchases of Equity Securities</w:t>
      </w:r>
    </w:p>
    <w:p>
      <w:pPr>
        <w:spacing w:after="0" w:line="115" w:lineRule="exact"/>
        <w:rPr>
          <w:sz w:val="20"/>
          <w:szCs w:val="20"/>
          <w:color w:val="auto"/>
        </w:rPr>
      </w:pPr>
    </w:p>
    <w:p>
      <w:pPr>
        <w:ind w:right="360"/>
        <w:spacing w:after="0" w:line="259" w:lineRule="auto"/>
        <w:rPr>
          <w:sz w:val="20"/>
          <w:szCs w:val="20"/>
          <w:color w:val="auto"/>
        </w:rPr>
      </w:pPr>
      <w:r>
        <w:rPr>
          <w:rFonts w:ascii="Arial" w:cs="Arial" w:eastAsia="Arial" w:hAnsi="Arial"/>
          <w:sz w:val="17"/>
          <w:szCs w:val="17"/>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p>
    <w:tbl>
      <w:tblPr>
        <w:tblLayout w:type="fixed"/>
        <w:tblInd w:w="0" w:type="dxa"/>
        <w:tblCellMar>
          <w:top w:w="0" w:type="dxa"/>
          <w:left w:w="0" w:type="dxa"/>
          <w:bottom w:w="0" w:type="dxa"/>
          <w:right w:w="0" w:type="dxa"/>
        </w:tblCellMar>
      </w:tblPr>
      <w:tr>
        <w:trPr>
          <w:trHeight w:val="132"/>
        </w:trPr>
        <w:tc>
          <w:tcPr>
            <w:tcW w:w="5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Total 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Total Number of Shares</w:t>
            </w:r>
          </w:p>
        </w:tc>
        <w:tc>
          <w:tcPr>
            <w:tcW w:w="120" w:type="dxa"/>
            <w:vAlign w:val="bottom"/>
          </w:tcPr>
          <w:p>
            <w:pPr>
              <w:spacing w:after="0"/>
              <w:rPr>
                <w:sz w:val="11"/>
                <w:szCs w:val="11"/>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Maximum Number of Shares</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7"/>
              </w:rPr>
              <w:t>Average Price Paid per</w:t>
            </w:r>
          </w:p>
        </w:tc>
        <w:tc>
          <w:tcPr>
            <w:tcW w:w="1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Purchased as Part of</w:t>
            </w:r>
          </w:p>
        </w:tc>
        <w:tc>
          <w:tcPr>
            <w:tcW w:w="1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4"/>
              </w:rPr>
              <w:t>of Shares</w:t>
            </w:r>
          </w:p>
        </w:tc>
        <w:tc>
          <w:tcPr>
            <w:tcW w:w="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Publicly Announced Plans</w:t>
            </w:r>
          </w:p>
        </w:tc>
        <w:tc>
          <w:tcPr>
            <w:tcW w:w="120" w:type="dxa"/>
            <w:vAlign w:val="bottom"/>
          </w:tcPr>
          <w:p>
            <w:pPr>
              <w:spacing w:after="0"/>
              <w:rPr>
                <w:sz w:val="12"/>
                <w:szCs w:val="12"/>
                <w:color w:val="auto"/>
              </w:rPr>
            </w:pPr>
          </w:p>
        </w:tc>
        <w:tc>
          <w:tcPr>
            <w:tcW w:w="18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0"/>
              </w:rPr>
              <w:t>that May Yet Be Purchased</w:t>
            </w:r>
          </w:p>
        </w:tc>
        <w:tc>
          <w:tcPr>
            <w:tcW w:w="0" w:type="dxa"/>
            <w:vAlign w:val="bottom"/>
          </w:tcPr>
          <w:p>
            <w:pPr>
              <w:spacing w:after="0"/>
              <w:rPr>
                <w:sz w:val="1"/>
                <w:szCs w:val="1"/>
                <w:color w:val="auto"/>
              </w:rPr>
            </w:pPr>
          </w:p>
        </w:tc>
      </w:tr>
      <w:tr>
        <w:trPr>
          <w:trHeight w:val="165"/>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14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1"/>
                <w:szCs w:val="11"/>
                <w:b w:val="1"/>
                <w:bCs w:val="1"/>
                <w:color w:val="auto"/>
              </w:rPr>
              <w:t>(1)</w:t>
            </w:r>
          </w:p>
        </w:tc>
        <w:tc>
          <w:tcPr>
            <w:tcW w:w="10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Programs</w:t>
            </w:r>
          </w:p>
        </w:tc>
        <w:tc>
          <w:tcPr>
            <w:tcW w:w="120" w:type="dxa"/>
            <w:vAlign w:val="bottom"/>
            <w:tcBorders>
              <w:bottom w:val="single" w:sz="8" w:color="CFF0FC"/>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Under the Plans or Programs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1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January 1, 2019 to January 31, 2019</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6,306</w:t>
            </w:r>
          </w:p>
        </w:tc>
        <w:tc>
          <w:tcPr>
            <w:tcW w:w="400" w:type="dxa"/>
            <w:vAlign w:val="bottom"/>
            <w:gridSpan w:val="2"/>
            <w:shd w:val="clear" w:color="auto" w:fill="CFF0FC"/>
          </w:tcPr>
          <w:p>
            <w:pPr>
              <w:jc w:val="right"/>
              <w:ind w:right="131"/>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18.79</w:t>
            </w: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ind w:left="15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ind w:left="15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140" w:type="dxa"/>
            <w:vAlign w:val="bottom"/>
            <w:gridSpan w:val="2"/>
          </w:tcPr>
          <w:p>
            <w:pPr>
              <w:spacing w:after="0"/>
              <w:rPr>
                <w:sz w:val="20"/>
                <w:szCs w:val="20"/>
                <w:color w:val="auto"/>
              </w:rPr>
            </w:pPr>
            <w:r>
              <w:rPr>
                <w:rFonts w:ascii="Arial" w:cs="Arial" w:eastAsia="Arial" w:hAnsi="Arial"/>
                <w:sz w:val="17"/>
                <w:szCs w:val="17"/>
                <w:color w:val="auto"/>
              </w:rPr>
              <w:t>February 1, 2019 to February 28, 2019</w:t>
            </w:r>
          </w:p>
        </w:tc>
        <w:tc>
          <w:tcPr>
            <w:tcW w:w="960" w:type="dxa"/>
            <w:vAlign w:val="bottom"/>
          </w:tcPr>
          <w:p>
            <w:pPr>
              <w:jc w:val="right"/>
              <w:spacing w:after="0"/>
              <w:rPr>
                <w:sz w:val="20"/>
                <w:szCs w:val="20"/>
                <w:color w:val="auto"/>
              </w:rPr>
            </w:pPr>
            <w:r>
              <w:rPr>
                <w:rFonts w:ascii="Arial" w:cs="Arial" w:eastAsia="Arial" w:hAnsi="Arial"/>
                <w:sz w:val="17"/>
                <w:szCs w:val="17"/>
                <w:color w:val="auto"/>
              </w:rPr>
              <w:t>49,322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19.37</w:t>
            </w:r>
          </w:p>
        </w:tc>
        <w:tc>
          <w:tcPr>
            <w:tcW w:w="100" w:type="dxa"/>
            <w:vAlign w:val="bottom"/>
          </w:tcPr>
          <w:p>
            <w:pPr>
              <w:spacing w:after="0"/>
              <w:rPr>
                <w:sz w:val="19"/>
                <w:szCs w:val="19"/>
                <w:color w:val="auto"/>
              </w:rPr>
            </w:pPr>
          </w:p>
        </w:tc>
        <w:tc>
          <w:tcPr>
            <w:tcW w:w="1680" w:type="dxa"/>
            <w:vAlign w:val="bottom"/>
          </w:tcPr>
          <w:p>
            <w:pPr>
              <w:ind w:left="15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860" w:type="dxa"/>
            <w:vAlign w:val="bottom"/>
            <w:gridSpan w:val="2"/>
          </w:tcPr>
          <w:p>
            <w:pPr>
              <w:ind w:left="15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1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March 1, 2019 to March 31, 2019</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47,729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9.68</w:t>
            </w:r>
          </w:p>
        </w:tc>
        <w:tc>
          <w:tcPr>
            <w:tcW w:w="100" w:type="dxa"/>
            <w:vAlign w:val="bottom"/>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ind w:left="15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ind w:left="15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140" w:type="dxa"/>
            <w:vAlign w:val="bottom"/>
            <w:gridSpan w:val="2"/>
          </w:tcPr>
          <w:p>
            <w:pPr>
              <w:spacing w:after="0"/>
              <w:rPr>
                <w:sz w:val="20"/>
                <w:szCs w:val="20"/>
                <w:color w:val="auto"/>
              </w:rPr>
            </w:pPr>
            <w:r>
              <w:rPr>
                <w:rFonts w:ascii="Arial" w:cs="Arial" w:eastAsia="Arial" w:hAnsi="Arial"/>
                <w:sz w:val="17"/>
                <w:szCs w:val="17"/>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103,357</w:t>
            </w:r>
          </w:p>
        </w:tc>
        <w:tc>
          <w:tcPr>
            <w:tcW w:w="400" w:type="dxa"/>
            <w:vAlign w:val="bottom"/>
            <w:gridSpan w:val="2"/>
          </w:tcPr>
          <w:p>
            <w:pPr>
              <w:jc w:val="right"/>
              <w:ind w:right="131"/>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14.86</w:t>
            </w:r>
          </w:p>
        </w:tc>
        <w:tc>
          <w:tcPr>
            <w:tcW w:w="100" w:type="dxa"/>
            <w:vAlign w:val="bottom"/>
          </w:tcPr>
          <w:p>
            <w:pPr>
              <w:spacing w:after="0"/>
              <w:rPr>
                <w:sz w:val="18"/>
                <w:szCs w:val="18"/>
                <w:color w:val="auto"/>
              </w:rPr>
            </w:pPr>
          </w:p>
        </w:tc>
        <w:tc>
          <w:tcPr>
            <w:tcW w:w="1680" w:type="dxa"/>
            <w:vAlign w:val="bottom"/>
            <w:tcBorders>
              <w:bottom w:val="single" w:sz="8" w:color="auto"/>
            </w:tcBorders>
          </w:tcPr>
          <w:p>
            <w:pPr>
              <w:ind w:left="15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1860" w:type="dxa"/>
            <w:vAlign w:val="bottom"/>
            <w:gridSpan w:val="2"/>
          </w:tcPr>
          <w:p>
            <w:pPr>
              <w:ind w:left="15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right="100" w:firstLine="3"/>
        <w:spacing w:after="0" w:line="241" w:lineRule="auto"/>
        <w:tabs>
          <w:tab w:leader="none" w:pos="185" w:val="left"/>
        </w:tabs>
        <w:numPr>
          <w:ilvl w:val="0"/>
          <w:numId w:val="16"/>
        </w:numPr>
        <w:rPr>
          <w:rFonts w:ascii="Arial" w:cs="Arial" w:eastAsia="Arial" w:hAnsi="Arial"/>
          <w:sz w:val="22"/>
          <w:szCs w:val="22"/>
          <w:color w:val="auto"/>
          <w:vertAlign w:val="superscript"/>
        </w:rPr>
      </w:pPr>
      <w:r>
        <w:rPr>
          <w:rFonts w:ascii="Arial" w:cs="Arial" w:eastAsia="Arial" w:hAnsi="Arial"/>
          <w:sz w:val="15"/>
          <w:szCs w:val="15"/>
          <w:color w:val="auto"/>
        </w:rPr>
        <w:t>The average price paid per share is the weighted-average of the fair market prices at which we calculated the number of shares withheld to cover tax withholdings for the employees.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2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On May 7, 2019, the Compensation Committee (the “Committee”) of the Board of Directors of the Company approved the Uniti Group Inc. 2019 Short Term Incentive Plan (the “Plan”), which will be administered by the Committee. The Plan permits the Committee to award and pay performance-based cash bonuses to the Company’s President and Chief Executive Officer, Executive Vice President – Chief Financial Officer and Treasurer and Executive Vice President – General Counsel and Secretary (the “Eligible Executives”), upon the attainment of certain criteria set forth in the Plan. The Plan is designed to reward and motivate the Eligible Executives to achieve certain performance goals during 2019 and to promote the alignment of the Eligible Executives’ interests with those of the Company’s stockholders.</w:t>
      </w:r>
    </w:p>
    <w:p>
      <w:pPr>
        <w:spacing w:after="0" w:line="78"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In connection with adopting the Plan, the Committee approved award opportunities for each of the Eligible Executives for 2019. The Committee approved the following threshold (i.e., minimum), target and superior payout opportunities, expressed as a percentage of base salary, that the Eligible Executives are eligible to receive under the Plan:</w:t>
      </w:r>
    </w:p>
    <w:tbl>
      <w:tblPr>
        <w:tblLayout w:type="fixed"/>
        <w:tblInd w:w="0" w:type="dxa"/>
        <w:tblCellMar>
          <w:top w:w="0" w:type="dxa"/>
          <w:left w:w="0" w:type="dxa"/>
          <w:bottom w:w="0" w:type="dxa"/>
          <w:right w:w="0" w:type="dxa"/>
        </w:tblCellMar>
      </w:tblPr>
      <w:tr>
        <w:trPr>
          <w:trHeight w:val="188"/>
        </w:trPr>
        <w:tc>
          <w:tcPr>
            <w:tcW w:w="58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44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2"/>
              </w:rPr>
              <w:t>2019 Short Term Incentive Plan</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7"/>
                <w:szCs w:val="17"/>
                <w:b w:val="1"/>
                <w:bCs w:val="1"/>
                <w:color w:val="auto"/>
                <w:w w:val="91"/>
              </w:rPr>
              <w:t>Payout Opportunities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7"/>
                <w:szCs w:val="17"/>
                <w:b w:val="1"/>
                <w:bCs w:val="1"/>
                <w:color w:val="auto"/>
                <w:w w:val="89"/>
              </w:rPr>
              <w:t>(as a percentage of base salary)</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2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2120" w:type="dxa"/>
            <w:vAlign w:val="bottom"/>
          </w:tcPr>
          <w:p>
            <w:pPr>
              <w:jc w:val="center"/>
              <w:ind w:left="1214"/>
              <w:spacing w:after="0"/>
              <w:rPr>
                <w:sz w:val="20"/>
                <w:szCs w:val="20"/>
                <w:color w:val="auto"/>
              </w:rPr>
            </w:pPr>
            <w:r>
              <w:rPr>
                <w:rFonts w:ascii="Arial" w:cs="Arial" w:eastAsia="Arial" w:hAnsi="Arial"/>
                <w:sz w:val="17"/>
                <w:szCs w:val="17"/>
                <w:b w:val="1"/>
                <w:bCs w:val="1"/>
                <w:color w:val="auto"/>
                <w:w w:val="89"/>
              </w:rPr>
              <w:t>Threshold</w:t>
            </w:r>
          </w:p>
        </w:tc>
        <w:tc>
          <w:tcPr>
            <w:tcW w:w="2440" w:type="dxa"/>
            <w:vAlign w:val="bottom"/>
          </w:tcPr>
          <w:p>
            <w:pPr>
              <w:jc w:val="center"/>
              <w:spacing w:after="0"/>
              <w:rPr>
                <w:sz w:val="20"/>
                <w:szCs w:val="20"/>
                <w:color w:val="auto"/>
              </w:rPr>
            </w:pPr>
            <w:r>
              <w:rPr>
                <w:rFonts w:ascii="Arial" w:cs="Arial" w:eastAsia="Arial" w:hAnsi="Arial"/>
                <w:sz w:val="17"/>
                <w:szCs w:val="17"/>
                <w:b w:val="1"/>
                <w:bCs w:val="1"/>
                <w:color w:val="auto"/>
                <w:w w:val="92"/>
              </w:rPr>
              <w:t>Target</w:t>
            </w:r>
          </w:p>
        </w:tc>
        <w:tc>
          <w:tcPr>
            <w:tcW w:w="1060" w:type="dxa"/>
            <w:vAlign w:val="bottom"/>
          </w:tcPr>
          <w:p>
            <w:pPr>
              <w:jc w:val="center"/>
              <w:ind w:right="174"/>
              <w:spacing w:after="0"/>
              <w:rPr>
                <w:sz w:val="20"/>
                <w:szCs w:val="20"/>
                <w:color w:val="auto"/>
              </w:rPr>
            </w:pPr>
            <w:r>
              <w:rPr>
                <w:rFonts w:ascii="Arial" w:cs="Arial" w:eastAsia="Arial" w:hAnsi="Arial"/>
                <w:sz w:val="17"/>
                <w:szCs w:val="17"/>
                <w:b w:val="1"/>
                <w:bCs w:val="1"/>
                <w:color w:val="auto"/>
                <w:w w:val="91"/>
              </w:rPr>
              <w:t>Superior</w:t>
            </w:r>
          </w:p>
        </w:tc>
        <w:tc>
          <w:tcPr>
            <w:tcW w:w="0" w:type="dxa"/>
            <w:vAlign w:val="bottom"/>
          </w:tcPr>
          <w:p>
            <w:pPr>
              <w:spacing w:after="0"/>
              <w:rPr>
                <w:sz w:val="1"/>
                <w:szCs w:val="1"/>
                <w:color w:val="auto"/>
              </w:rPr>
            </w:pPr>
          </w:p>
        </w:tc>
      </w:tr>
      <w:tr>
        <w:trPr>
          <w:trHeight w:val="194"/>
        </w:trPr>
        <w:tc>
          <w:tcPr>
            <w:tcW w:w="58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Kenneth A. Gunderman</w:t>
            </w:r>
          </w:p>
        </w:tc>
        <w:tc>
          <w:tcPr>
            <w:tcW w:w="2120" w:type="dxa"/>
            <w:vAlign w:val="bottom"/>
            <w:vMerge w:val="restart"/>
            <w:shd w:val="clear" w:color="auto" w:fill="CCEEFF"/>
          </w:tcPr>
          <w:p>
            <w:pPr>
              <w:jc w:val="center"/>
              <w:ind w:left="1214"/>
              <w:spacing w:after="0"/>
              <w:rPr>
                <w:sz w:val="20"/>
                <w:szCs w:val="20"/>
                <w:color w:val="auto"/>
              </w:rPr>
            </w:pPr>
            <w:r>
              <w:rPr>
                <w:rFonts w:ascii="Arial" w:cs="Arial" w:eastAsia="Arial" w:hAnsi="Arial"/>
                <w:sz w:val="17"/>
                <w:szCs w:val="17"/>
                <w:color w:val="auto"/>
                <w:w w:val="88"/>
              </w:rPr>
              <w:t>75%</w:t>
            </w:r>
          </w:p>
        </w:tc>
        <w:tc>
          <w:tcPr>
            <w:tcW w:w="244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1"/>
              </w:rPr>
              <w:t>150%</w:t>
            </w:r>
          </w:p>
        </w:tc>
        <w:tc>
          <w:tcPr>
            <w:tcW w:w="1060" w:type="dxa"/>
            <w:vAlign w:val="bottom"/>
            <w:vMerge w:val="restart"/>
            <w:shd w:val="clear" w:color="auto" w:fill="CCEEFF"/>
          </w:tcPr>
          <w:p>
            <w:pPr>
              <w:jc w:val="center"/>
              <w:ind w:right="174"/>
              <w:spacing w:after="0"/>
              <w:rPr>
                <w:sz w:val="20"/>
                <w:szCs w:val="20"/>
                <w:color w:val="auto"/>
              </w:rPr>
            </w:pPr>
            <w:r>
              <w:rPr>
                <w:rFonts w:ascii="Arial" w:cs="Arial" w:eastAsia="Arial" w:hAnsi="Arial"/>
                <w:sz w:val="17"/>
                <w:szCs w:val="17"/>
                <w:color w:val="auto"/>
                <w:w w:val="91"/>
              </w:rPr>
              <w:t>225%</w:t>
            </w:r>
          </w:p>
        </w:tc>
        <w:tc>
          <w:tcPr>
            <w:tcW w:w="0" w:type="dxa"/>
            <w:vAlign w:val="bottom"/>
          </w:tcPr>
          <w:p>
            <w:pPr>
              <w:spacing w:after="0"/>
              <w:rPr>
                <w:sz w:val="1"/>
                <w:szCs w:val="1"/>
                <w:color w:val="auto"/>
              </w:rPr>
            </w:pPr>
          </w:p>
        </w:tc>
      </w:tr>
      <w:tr>
        <w:trPr>
          <w:trHeight w:val="116"/>
        </w:trPr>
        <w:tc>
          <w:tcPr>
            <w:tcW w:w="58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President and Chief Executive Officer</w:t>
            </w:r>
          </w:p>
        </w:tc>
        <w:tc>
          <w:tcPr>
            <w:tcW w:w="2120" w:type="dxa"/>
            <w:vAlign w:val="bottom"/>
            <w:vMerge w:val="continue"/>
            <w:shd w:val="clear" w:color="auto" w:fill="CCEEFF"/>
          </w:tcPr>
          <w:p>
            <w:pPr>
              <w:spacing w:after="0"/>
              <w:rPr>
                <w:sz w:val="10"/>
                <w:szCs w:val="10"/>
                <w:color w:val="auto"/>
              </w:rPr>
            </w:pPr>
          </w:p>
        </w:tc>
        <w:tc>
          <w:tcPr>
            <w:tcW w:w="244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5820" w:type="dxa"/>
            <w:vAlign w:val="bottom"/>
            <w:vMerge w:val="continue"/>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24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5820" w:type="dxa"/>
            <w:vAlign w:val="bottom"/>
          </w:tcPr>
          <w:p>
            <w:pPr>
              <w:spacing w:after="0" w:line="194" w:lineRule="exact"/>
              <w:rPr>
                <w:sz w:val="20"/>
                <w:szCs w:val="20"/>
                <w:color w:val="auto"/>
              </w:rPr>
            </w:pPr>
            <w:r>
              <w:rPr>
                <w:rFonts w:ascii="Arial" w:cs="Arial" w:eastAsia="Arial" w:hAnsi="Arial"/>
                <w:sz w:val="17"/>
                <w:szCs w:val="17"/>
                <w:color w:val="auto"/>
              </w:rPr>
              <w:t>Mark A. Wallace</w:t>
            </w:r>
          </w:p>
        </w:tc>
        <w:tc>
          <w:tcPr>
            <w:tcW w:w="2120" w:type="dxa"/>
            <w:vAlign w:val="bottom"/>
            <w:vMerge w:val="restart"/>
          </w:tcPr>
          <w:p>
            <w:pPr>
              <w:jc w:val="center"/>
              <w:ind w:left="1214"/>
              <w:spacing w:after="0"/>
              <w:rPr>
                <w:sz w:val="20"/>
                <w:szCs w:val="20"/>
                <w:color w:val="auto"/>
              </w:rPr>
            </w:pPr>
            <w:r>
              <w:rPr>
                <w:rFonts w:ascii="Arial" w:cs="Arial" w:eastAsia="Arial" w:hAnsi="Arial"/>
                <w:sz w:val="17"/>
                <w:szCs w:val="17"/>
                <w:color w:val="auto"/>
                <w:w w:val="88"/>
              </w:rPr>
              <w:t>50%</w:t>
            </w:r>
          </w:p>
        </w:tc>
        <w:tc>
          <w:tcPr>
            <w:tcW w:w="2440" w:type="dxa"/>
            <w:vAlign w:val="bottom"/>
            <w:vMerge w:val="restart"/>
          </w:tcPr>
          <w:p>
            <w:pPr>
              <w:jc w:val="center"/>
              <w:spacing w:after="0"/>
              <w:rPr>
                <w:sz w:val="20"/>
                <w:szCs w:val="20"/>
                <w:color w:val="auto"/>
              </w:rPr>
            </w:pPr>
            <w:r>
              <w:rPr>
                <w:rFonts w:ascii="Arial" w:cs="Arial" w:eastAsia="Arial" w:hAnsi="Arial"/>
                <w:sz w:val="17"/>
                <w:szCs w:val="17"/>
                <w:color w:val="auto"/>
                <w:w w:val="91"/>
              </w:rPr>
              <w:t>100%</w:t>
            </w:r>
          </w:p>
        </w:tc>
        <w:tc>
          <w:tcPr>
            <w:tcW w:w="1060" w:type="dxa"/>
            <w:vAlign w:val="bottom"/>
            <w:vMerge w:val="restart"/>
          </w:tcPr>
          <w:p>
            <w:pPr>
              <w:jc w:val="center"/>
              <w:ind w:right="174"/>
              <w:spacing w:after="0"/>
              <w:rPr>
                <w:sz w:val="20"/>
                <w:szCs w:val="20"/>
                <w:color w:val="auto"/>
              </w:rPr>
            </w:pPr>
            <w:r>
              <w:rPr>
                <w:rFonts w:ascii="Arial" w:cs="Arial" w:eastAsia="Arial" w:hAnsi="Arial"/>
                <w:sz w:val="17"/>
                <w:szCs w:val="17"/>
                <w:color w:val="auto"/>
                <w:w w:val="91"/>
              </w:rPr>
              <w:t>150%</w:t>
            </w:r>
          </w:p>
        </w:tc>
        <w:tc>
          <w:tcPr>
            <w:tcW w:w="0" w:type="dxa"/>
            <w:vAlign w:val="bottom"/>
          </w:tcPr>
          <w:p>
            <w:pPr>
              <w:spacing w:after="0"/>
              <w:rPr>
                <w:sz w:val="1"/>
                <w:szCs w:val="1"/>
                <w:color w:val="auto"/>
              </w:rPr>
            </w:pPr>
          </w:p>
        </w:tc>
      </w:tr>
      <w:tr>
        <w:trPr>
          <w:trHeight w:val="116"/>
        </w:trPr>
        <w:tc>
          <w:tcPr>
            <w:tcW w:w="5820" w:type="dxa"/>
            <w:vAlign w:val="bottom"/>
            <w:vMerge w:val="restart"/>
          </w:tcPr>
          <w:p>
            <w:pPr>
              <w:spacing w:after="0"/>
              <w:rPr>
                <w:sz w:val="20"/>
                <w:szCs w:val="20"/>
                <w:color w:val="auto"/>
              </w:rPr>
            </w:pPr>
            <w:r>
              <w:rPr>
                <w:rFonts w:ascii="Arial" w:cs="Arial" w:eastAsia="Arial" w:hAnsi="Arial"/>
                <w:sz w:val="17"/>
                <w:szCs w:val="17"/>
                <w:color w:val="auto"/>
              </w:rPr>
              <w:t>Executive Vice President – Chief Financial Officer and Treasurer</w:t>
            </w:r>
          </w:p>
        </w:tc>
        <w:tc>
          <w:tcPr>
            <w:tcW w:w="21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582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58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Daniel L. Heard</w:t>
            </w:r>
          </w:p>
        </w:tc>
        <w:tc>
          <w:tcPr>
            <w:tcW w:w="2120" w:type="dxa"/>
            <w:vAlign w:val="bottom"/>
            <w:vMerge w:val="restart"/>
            <w:shd w:val="clear" w:color="auto" w:fill="CCEEFF"/>
          </w:tcPr>
          <w:p>
            <w:pPr>
              <w:jc w:val="center"/>
              <w:ind w:left="1214"/>
              <w:spacing w:after="0"/>
              <w:rPr>
                <w:sz w:val="20"/>
                <w:szCs w:val="20"/>
                <w:color w:val="auto"/>
              </w:rPr>
            </w:pPr>
            <w:r>
              <w:rPr>
                <w:rFonts w:ascii="Arial" w:cs="Arial" w:eastAsia="Arial" w:hAnsi="Arial"/>
                <w:sz w:val="17"/>
                <w:szCs w:val="17"/>
                <w:color w:val="auto"/>
                <w:w w:val="88"/>
              </w:rPr>
              <w:t>50%</w:t>
            </w:r>
          </w:p>
        </w:tc>
        <w:tc>
          <w:tcPr>
            <w:tcW w:w="244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1060" w:type="dxa"/>
            <w:vAlign w:val="bottom"/>
            <w:vMerge w:val="restart"/>
            <w:shd w:val="clear" w:color="auto" w:fill="CCEEFF"/>
          </w:tcPr>
          <w:p>
            <w:pPr>
              <w:jc w:val="center"/>
              <w:ind w:right="174"/>
              <w:spacing w:after="0"/>
              <w:rPr>
                <w:sz w:val="20"/>
                <w:szCs w:val="20"/>
                <w:color w:val="auto"/>
              </w:rPr>
            </w:pPr>
            <w:r>
              <w:rPr>
                <w:rFonts w:ascii="Arial" w:cs="Arial" w:eastAsia="Arial" w:hAnsi="Arial"/>
                <w:sz w:val="17"/>
                <w:szCs w:val="17"/>
                <w:color w:val="auto"/>
                <w:w w:val="91"/>
              </w:rPr>
              <w:t>150%</w:t>
            </w:r>
          </w:p>
        </w:tc>
        <w:tc>
          <w:tcPr>
            <w:tcW w:w="0" w:type="dxa"/>
            <w:vAlign w:val="bottom"/>
          </w:tcPr>
          <w:p>
            <w:pPr>
              <w:spacing w:after="0"/>
              <w:rPr>
                <w:sz w:val="1"/>
                <w:szCs w:val="1"/>
                <w:color w:val="auto"/>
              </w:rPr>
            </w:pPr>
          </w:p>
        </w:tc>
      </w:tr>
      <w:tr>
        <w:trPr>
          <w:trHeight w:val="116"/>
        </w:trPr>
        <w:tc>
          <w:tcPr>
            <w:tcW w:w="58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Executive Vice President – General Counsel and Secretary</w:t>
            </w:r>
          </w:p>
        </w:tc>
        <w:tc>
          <w:tcPr>
            <w:tcW w:w="2120" w:type="dxa"/>
            <w:vAlign w:val="bottom"/>
            <w:vMerge w:val="continue"/>
            <w:shd w:val="clear" w:color="auto" w:fill="CCEEFF"/>
          </w:tcPr>
          <w:p>
            <w:pPr>
              <w:spacing w:after="0"/>
              <w:rPr>
                <w:sz w:val="10"/>
                <w:szCs w:val="10"/>
                <w:color w:val="auto"/>
              </w:rPr>
            </w:pPr>
          </w:p>
        </w:tc>
        <w:tc>
          <w:tcPr>
            <w:tcW w:w="244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5820" w:type="dxa"/>
            <w:vAlign w:val="bottom"/>
            <w:vMerge w:val="continue"/>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24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color w:val="auto"/>
        </w:rPr>
        <w:t>Additionally, the Plan provides that the Committee may award discretionary bonuses to the Eligible Executives and other employees in amounts not to exceed 75% of his or her target bonus opportunity based upon the completion of certain projects during 2019.</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720" w:type="dxa"/>
            <w:vAlign w:val="bottom"/>
            <w:gridSpan w:val="4"/>
          </w:tcPr>
          <w:p>
            <w:pPr>
              <w:ind w:left="460"/>
              <w:spacing w:after="0"/>
              <w:rPr>
                <w:sz w:val="20"/>
                <w:szCs w:val="20"/>
                <w:color w:val="auto"/>
              </w:rPr>
            </w:pPr>
            <w:r>
              <w:rPr>
                <w:rFonts w:ascii="Arial" w:cs="Arial" w:eastAsia="Arial" w:hAnsi="Arial"/>
                <w:sz w:val="14"/>
                <w:szCs w:val="14"/>
                <w:b w:val="1"/>
                <w:bCs w:val="1"/>
                <w:color w:val="auto"/>
              </w:rPr>
              <w:t>Description</w:t>
            </w:r>
          </w:p>
        </w:tc>
      </w:tr>
      <w:tr>
        <w:trPr>
          <w:trHeight w:val="179"/>
        </w:trPr>
        <w:tc>
          <w:tcPr>
            <w:tcW w:w="1220" w:type="dxa"/>
            <w:vAlign w:val="bottom"/>
          </w:tcPr>
          <w:p>
            <w:pPr>
              <w:ind w:left="260"/>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4"/>
        </w:trPr>
        <w:tc>
          <w:tcPr>
            <w:tcW w:w="1220" w:type="dxa"/>
            <w:vAlign w:val="bottom"/>
          </w:tcPr>
          <w:p>
            <w:pPr>
              <w:spacing w:after="0"/>
              <w:rPr>
                <w:sz w:val="20"/>
                <w:szCs w:val="20"/>
                <w:color w:val="auto"/>
              </w:rPr>
            </w:pPr>
            <w:r>
              <w:rPr>
                <w:rFonts w:ascii="Arial" w:cs="Arial" w:eastAsia="Arial" w:hAnsi="Arial"/>
                <w:sz w:val="17"/>
                <w:szCs w:val="17"/>
                <w:color w:val="auto"/>
              </w:rPr>
              <w:t>10.1*</w:t>
            </w:r>
          </w:p>
        </w:tc>
        <w:tc>
          <w:tcPr>
            <w:tcW w:w="9860" w:type="dxa"/>
            <w:vAlign w:val="bottom"/>
            <w:gridSpan w:val="9"/>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Uniti Group Inc. 2018 Short Term Incentive Plan**</w:t>
              </w:r>
            </w:hyperlink>
          </w:p>
        </w:tc>
      </w:tr>
      <w:tr>
        <w:trPr>
          <w:trHeight w:val="20"/>
        </w:trPr>
        <w:tc>
          <w:tcPr>
            <w:tcW w:w="1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9"/>
        </w:trPr>
        <w:tc>
          <w:tcPr>
            <w:tcW w:w="1220" w:type="dxa"/>
            <w:vAlign w:val="bottom"/>
          </w:tcPr>
          <w:p>
            <w:pPr>
              <w:spacing w:after="0"/>
              <w:rPr>
                <w:sz w:val="20"/>
                <w:szCs w:val="20"/>
                <w:color w:val="auto"/>
              </w:rPr>
            </w:pPr>
            <w:r>
              <w:rPr>
                <w:rFonts w:ascii="Arial" w:cs="Arial" w:eastAsia="Arial" w:hAnsi="Arial"/>
                <w:sz w:val="17"/>
                <w:szCs w:val="17"/>
                <w:color w:val="auto"/>
              </w:rPr>
              <w:t>10.2*</w:t>
            </w:r>
          </w:p>
        </w:tc>
        <w:tc>
          <w:tcPr>
            <w:tcW w:w="9860" w:type="dxa"/>
            <w:vAlign w:val="bottom"/>
            <w:gridSpan w:val="9"/>
          </w:tcPr>
          <w:p>
            <w:pPr>
              <w:spacing w:after="0"/>
              <w:rPr>
                <w:rFonts w:ascii="Arial" w:cs="Arial" w:eastAsia="Arial" w:hAnsi="Arial"/>
                <w:sz w:val="17"/>
                <w:szCs w:val="17"/>
                <w:color w:val="0000EE"/>
              </w:rPr>
            </w:pPr>
            <w:hyperlink w:anchor="page59">
              <w:r>
                <w:rPr>
                  <w:rFonts w:ascii="Arial" w:cs="Arial" w:eastAsia="Arial" w:hAnsi="Arial"/>
                  <w:sz w:val="17"/>
                  <w:szCs w:val="17"/>
                  <w:color w:val="0000EE"/>
                </w:rPr>
                <w:t>Uniti Group Inc. 2019 Short Term Incentive Plan***</w:t>
              </w:r>
            </w:hyperlink>
          </w:p>
        </w:tc>
      </w:tr>
      <w:tr>
        <w:trPr>
          <w:trHeight w:val="20"/>
        </w:trPr>
        <w:tc>
          <w:tcPr>
            <w:tcW w:w="1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9"/>
        </w:trPr>
        <w:tc>
          <w:tcPr>
            <w:tcW w:w="1220" w:type="dxa"/>
            <w:vAlign w:val="bottom"/>
          </w:tcPr>
          <w:p>
            <w:pPr>
              <w:spacing w:after="0"/>
              <w:rPr>
                <w:sz w:val="20"/>
                <w:szCs w:val="20"/>
                <w:color w:val="auto"/>
              </w:rPr>
            </w:pPr>
            <w:r>
              <w:rPr>
                <w:rFonts w:ascii="Arial" w:cs="Arial" w:eastAsia="Arial" w:hAnsi="Arial"/>
                <w:sz w:val="17"/>
                <w:szCs w:val="17"/>
                <w:color w:val="auto"/>
              </w:rPr>
              <w:t>31.1*</w:t>
            </w:r>
          </w:p>
        </w:tc>
        <w:tc>
          <w:tcPr>
            <w:tcW w:w="9860" w:type="dxa"/>
            <w:vAlign w:val="bottom"/>
            <w:gridSpan w:val="9"/>
          </w:tcPr>
          <w:p>
            <w:pPr>
              <w:spacing w:after="0"/>
              <w:rPr>
                <w:rFonts w:ascii="Arial" w:cs="Arial" w:eastAsia="Arial" w:hAnsi="Arial"/>
                <w:sz w:val="17"/>
                <w:szCs w:val="17"/>
                <w:color w:val="0000EE"/>
                <w:w w:val="92"/>
              </w:rPr>
            </w:pPr>
            <w:hyperlink w:anchor="page63">
              <w:r>
                <w:rPr>
                  <w:rFonts w:ascii="Arial" w:cs="Arial" w:eastAsia="Arial" w:hAnsi="Arial"/>
                  <w:sz w:val="17"/>
                  <w:szCs w:val="17"/>
                  <w:color w:val="0000EE"/>
                  <w:w w:val="92"/>
                </w:rPr>
                <w:t>Certification of Principal Executive Officer Pursuant to Rules 13a-14(a) and 15d-14(a) under the Securities Exchange Act of 1934, as Adopted</w:t>
              </w:r>
            </w:hyperlink>
          </w:p>
        </w:tc>
      </w:tr>
      <w:tr>
        <w:trPr>
          <w:trHeight w:val="187"/>
        </w:trPr>
        <w:tc>
          <w:tcPr>
            <w:tcW w:w="1220" w:type="dxa"/>
            <w:vAlign w:val="bottom"/>
          </w:tcPr>
          <w:p>
            <w:pPr>
              <w:spacing w:after="0"/>
              <w:rPr>
                <w:sz w:val="16"/>
                <w:szCs w:val="16"/>
                <w:color w:val="auto"/>
              </w:rPr>
            </w:pPr>
          </w:p>
        </w:tc>
        <w:tc>
          <w:tcPr>
            <w:tcW w:w="4140" w:type="dxa"/>
            <w:vAlign w:val="bottom"/>
            <w:tcBorders>
              <w:top w:val="single" w:sz="8" w:color="0000EE"/>
              <w:bottom w:val="single" w:sz="8" w:color="0000EE"/>
            </w:tcBorders>
            <w:gridSpan w:val="5"/>
          </w:tcPr>
          <w:p>
            <w:pPr>
              <w:spacing w:after="0" w:line="187" w:lineRule="exact"/>
              <w:rPr>
                <w:rFonts w:ascii="Arial" w:cs="Arial" w:eastAsia="Arial" w:hAnsi="Arial"/>
                <w:sz w:val="17"/>
                <w:szCs w:val="17"/>
                <w:color w:val="0000EE"/>
                <w:w w:val="91"/>
              </w:rPr>
            </w:pPr>
            <w:hyperlink w:anchor="page63">
              <w:r>
                <w:rPr>
                  <w:rFonts w:ascii="Arial" w:cs="Arial" w:eastAsia="Arial" w:hAnsi="Arial"/>
                  <w:sz w:val="17"/>
                  <w:szCs w:val="17"/>
                  <w:color w:val="0000EE"/>
                  <w:w w:val="91"/>
                </w:rPr>
                <w:t>Pursuant to Section 302 of the Sarbanes-Oxley Act of 2002.</w:t>
              </w:r>
            </w:hyperlink>
          </w:p>
        </w:tc>
        <w:tc>
          <w:tcPr>
            <w:tcW w:w="5700" w:type="dxa"/>
            <w:vAlign w:val="bottom"/>
            <w:tcBorders>
              <w:top w:val="single" w:sz="8" w:color="0000EE"/>
            </w:tcBorders>
            <w:gridSpan w:val="3"/>
          </w:tcPr>
          <w:p>
            <w:pPr>
              <w:spacing w:after="0"/>
              <w:rPr>
                <w:sz w:val="16"/>
                <w:szCs w:val="16"/>
                <w:color w:val="auto"/>
              </w:rPr>
            </w:pPr>
          </w:p>
        </w:tc>
        <w:tc>
          <w:tcPr>
            <w:tcW w:w="20" w:type="dxa"/>
            <w:vAlign w:val="bottom"/>
          </w:tcPr>
          <w:p>
            <w:pPr>
              <w:spacing w:after="0"/>
              <w:rPr>
                <w:sz w:val="16"/>
                <w:szCs w:val="16"/>
                <w:color w:val="auto"/>
              </w:rPr>
            </w:pPr>
          </w:p>
        </w:tc>
      </w:tr>
      <w:tr>
        <w:trPr>
          <w:trHeight w:val="303"/>
        </w:trPr>
        <w:tc>
          <w:tcPr>
            <w:tcW w:w="1220" w:type="dxa"/>
            <w:vAlign w:val="bottom"/>
          </w:tcPr>
          <w:p>
            <w:pPr>
              <w:spacing w:after="0"/>
              <w:rPr>
                <w:sz w:val="20"/>
                <w:szCs w:val="20"/>
                <w:color w:val="auto"/>
              </w:rPr>
            </w:pPr>
            <w:r>
              <w:rPr>
                <w:rFonts w:ascii="Arial" w:cs="Arial" w:eastAsia="Arial" w:hAnsi="Arial"/>
                <w:sz w:val="17"/>
                <w:szCs w:val="17"/>
                <w:color w:val="auto"/>
              </w:rPr>
              <w:t>31.2*</w:t>
            </w:r>
          </w:p>
        </w:tc>
        <w:tc>
          <w:tcPr>
            <w:tcW w:w="9800" w:type="dxa"/>
            <w:vAlign w:val="bottom"/>
            <w:tcBorders>
              <w:bottom w:val="single" w:sz="8" w:color="0000EE"/>
            </w:tcBorders>
            <w:gridSpan w:val="7"/>
          </w:tcPr>
          <w:p>
            <w:pPr>
              <w:spacing w:after="0"/>
              <w:rPr>
                <w:rFonts w:ascii="Arial" w:cs="Arial" w:eastAsia="Arial" w:hAnsi="Arial"/>
                <w:sz w:val="17"/>
                <w:szCs w:val="17"/>
                <w:color w:val="0000EE"/>
                <w:w w:val="92"/>
              </w:rPr>
            </w:pPr>
            <w:hyperlink w:anchor="page64">
              <w:r>
                <w:rPr>
                  <w:rFonts w:ascii="Arial" w:cs="Arial" w:eastAsia="Arial" w:hAnsi="Arial"/>
                  <w:sz w:val="17"/>
                  <w:szCs w:val="17"/>
                  <w:color w:val="0000EE"/>
                  <w:w w:val="92"/>
                </w:rPr>
                <w:t>Certification of Principal Financial Officer Pursuant to Rules 13a-14(a) and 15d-14(a) under the Securities Exchange Act of 1934, as Adopted</w:t>
              </w:r>
            </w:hyperlink>
          </w:p>
        </w:tc>
        <w:tc>
          <w:tcPr>
            <w:tcW w:w="60" w:type="dxa"/>
            <w:vAlign w:val="bottom"/>
            <w:gridSpan w:val="2"/>
          </w:tcPr>
          <w:p>
            <w:pPr>
              <w:spacing w:after="0"/>
              <w:rPr>
                <w:sz w:val="24"/>
                <w:szCs w:val="24"/>
                <w:color w:val="auto"/>
              </w:rPr>
            </w:pPr>
          </w:p>
        </w:tc>
      </w:tr>
      <w:tr>
        <w:trPr>
          <w:trHeight w:val="187"/>
        </w:trPr>
        <w:tc>
          <w:tcPr>
            <w:tcW w:w="1220" w:type="dxa"/>
            <w:vAlign w:val="bottom"/>
          </w:tcPr>
          <w:p>
            <w:pPr>
              <w:spacing w:after="0"/>
              <w:rPr>
                <w:sz w:val="16"/>
                <w:szCs w:val="16"/>
                <w:color w:val="auto"/>
              </w:rPr>
            </w:pPr>
          </w:p>
        </w:tc>
        <w:tc>
          <w:tcPr>
            <w:tcW w:w="4140" w:type="dxa"/>
            <w:vAlign w:val="bottom"/>
            <w:tcBorders>
              <w:bottom w:val="single" w:sz="8" w:color="0000EE"/>
            </w:tcBorders>
            <w:gridSpan w:val="5"/>
          </w:tcPr>
          <w:p>
            <w:pPr>
              <w:spacing w:after="0" w:line="187" w:lineRule="exact"/>
              <w:rPr>
                <w:rFonts w:ascii="Arial" w:cs="Arial" w:eastAsia="Arial" w:hAnsi="Arial"/>
                <w:sz w:val="17"/>
                <w:szCs w:val="17"/>
                <w:color w:val="0000EE"/>
                <w:w w:val="91"/>
              </w:rPr>
            </w:pPr>
            <w:hyperlink w:anchor="page64">
              <w:r>
                <w:rPr>
                  <w:rFonts w:ascii="Arial" w:cs="Arial" w:eastAsia="Arial" w:hAnsi="Arial"/>
                  <w:sz w:val="17"/>
                  <w:szCs w:val="17"/>
                  <w:color w:val="0000EE"/>
                  <w:w w:val="91"/>
                </w:rPr>
                <w:t>Pursuant to Section 302 of the Sarbanes-Oxley Act of 2002.</w:t>
              </w:r>
            </w:hyperlink>
          </w:p>
        </w:tc>
        <w:tc>
          <w:tcPr>
            <w:tcW w:w="5720" w:type="dxa"/>
            <w:vAlign w:val="bottom"/>
            <w:gridSpan w:val="4"/>
          </w:tcPr>
          <w:p>
            <w:pPr>
              <w:spacing w:after="0"/>
              <w:rPr>
                <w:sz w:val="16"/>
                <w:szCs w:val="16"/>
                <w:color w:val="auto"/>
              </w:rPr>
            </w:pPr>
          </w:p>
        </w:tc>
      </w:tr>
      <w:tr>
        <w:trPr>
          <w:trHeight w:val="303"/>
        </w:trPr>
        <w:tc>
          <w:tcPr>
            <w:tcW w:w="1220" w:type="dxa"/>
            <w:vAlign w:val="bottom"/>
          </w:tcPr>
          <w:p>
            <w:pPr>
              <w:spacing w:after="0"/>
              <w:rPr>
                <w:sz w:val="20"/>
                <w:szCs w:val="20"/>
                <w:color w:val="auto"/>
              </w:rPr>
            </w:pPr>
            <w:r>
              <w:rPr>
                <w:rFonts w:ascii="Arial" w:cs="Arial" w:eastAsia="Arial" w:hAnsi="Arial"/>
                <w:sz w:val="17"/>
                <w:szCs w:val="17"/>
                <w:color w:val="auto"/>
              </w:rPr>
              <w:t>32.1*</w:t>
            </w:r>
          </w:p>
        </w:tc>
        <w:tc>
          <w:tcPr>
            <w:tcW w:w="9620" w:type="dxa"/>
            <w:vAlign w:val="bottom"/>
            <w:tcBorders>
              <w:bottom w:val="single" w:sz="8" w:color="0000EE"/>
            </w:tcBorders>
            <w:gridSpan w:val="6"/>
          </w:tcPr>
          <w:p>
            <w:pPr>
              <w:spacing w:after="0"/>
              <w:rPr>
                <w:rFonts w:ascii="Arial" w:cs="Arial" w:eastAsia="Arial" w:hAnsi="Arial"/>
                <w:sz w:val="17"/>
                <w:szCs w:val="17"/>
                <w:color w:val="0000EE"/>
                <w:w w:val="92"/>
              </w:rPr>
            </w:pPr>
            <w:hyperlink w:anchor="page65">
              <w:r>
                <w:rPr>
                  <w:rFonts w:ascii="Arial" w:cs="Arial" w:eastAsia="Arial" w:hAnsi="Arial"/>
                  <w:sz w:val="17"/>
                  <w:szCs w:val="17"/>
                  <w:color w:val="0000EE"/>
                  <w:w w:val="92"/>
                </w:rPr>
                <w:t>Certification of Principal Executive Officer Pursuant to 18 U.S.C. Section 1350, as Adopted Pursuant to Section 906 of the Sarbanes-Oxley</w:t>
              </w:r>
            </w:hyperlink>
          </w:p>
        </w:tc>
        <w:tc>
          <w:tcPr>
            <w:tcW w:w="240" w:type="dxa"/>
            <w:vAlign w:val="bottom"/>
            <w:gridSpan w:val="3"/>
          </w:tcPr>
          <w:p>
            <w:pPr>
              <w:spacing w:after="0"/>
              <w:rPr>
                <w:sz w:val="24"/>
                <w:szCs w:val="24"/>
                <w:color w:val="auto"/>
              </w:rPr>
            </w:pPr>
          </w:p>
        </w:tc>
      </w:tr>
      <w:tr>
        <w:trPr>
          <w:trHeight w:val="187"/>
        </w:trPr>
        <w:tc>
          <w:tcPr>
            <w:tcW w:w="1220" w:type="dxa"/>
            <w:vAlign w:val="bottom"/>
          </w:tcPr>
          <w:p>
            <w:pPr>
              <w:spacing w:after="0"/>
              <w:rPr>
                <w:sz w:val="16"/>
                <w:szCs w:val="16"/>
                <w:color w:val="auto"/>
              </w:rPr>
            </w:pPr>
          </w:p>
        </w:tc>
        <w:tc>
          <w:tcPr>
            <w:tcW w:w="880" w:type="dxa"/>
            <w:vAlign w:val="bottom"/>
            <w:tcBorders>
              <w:bottom w:val="single" w:sz="8" w:color="0000EE"/>
            </w:tcBorders>
            <w:gridSpan w:val="2"/>
          </w:tcPr>
          <w:p>
            <w:pPr>
              <w:spacing w:after="0" w:line="187" w:lineRule="exact"/>
              <w:rPr>
                <w:rFonts w:ascii="Arial" w:cs="Arial" w:eastAsia="Arial" w:hAnsi="Arial"/>
                <w:sz w:val="17"/>
                <w:szCs w:val="17"/>
                <w:color w:val="0000EE"/>
                <w:w w:val="94"/>
              </w:rPr>
            </w:pPr>
            <w:hyperlink w:anchor="page65">
              <w:r>
                <w:rPr>
                  <w:rFonts w:ascii="Arial" w:cs="Arial" w:eastAsia="Arial" w:hAnsi="Arial"/>
                  <w:sz w:val="17"/>
                  <w:szCs w:val="17"/>
                  <w:color w:val="0000EE"/>
                  <w:w w:val="94"/>
                </w:rPr>
                <w:t>Act of 2002.</w:t>
              </w:r>
            </w:hyperlink>
          </w:p>
        </w:tc>
        <w:tc>
          <w:tcPr>
            <w:tcW w:w="8980" w:type="dxa"/>
            <w:vAlign w:val="bottom"/>
            <w:gridSpan w:val="7"/>
          </w:tcPr>
          <w:p>
            <w:pPr>
              <w:spacing w:after="0"/>
              <w:rPr>
                <w:sz w:val="16"/>
                <w:szCs w:val="16"/>
                <w:color w:val="auto"/>
              </w:rPr>
            </w:pPr>
          </w:p>
        </w:tc>
      </w:tr>
      <w:tr>
        <w:trPr>
          <w:trHeight w:val="303"/>
        </w:trPr>
        <w:tc>
          <w:tcPr>
            <w:tcW w:w="1220" w:type="dxa"/>
            <w:vAlign w:val="bottom"/>
          </w:tcPr>
          <w:p>
            <w:pPr>
              <w:spacing w:after="0"/>
              <w:rPr>
                <w:sz w:val="20"/>
                <w:szCs w:val="20"/>
                <w:color w:val="auto"/>
              </w:rPr>
            </w:pPr>
            <w:r>
              <w:rPr>
                <w:rFonts w:ascii="Arial" w:cs="Arial" w:eastAsia="Arial" w:hAnsi="Arial"/>
                <w:sz w:val="17"/>
                <w:szCs w:val="17"/>
                <w:color w:val="auto"/>
              </w:rPr>
              <w:t>32.2*</w:t>
            </w:r>
          </w:p>
        </w:tc>
        <w:tc>
          <w:tcPr>
            <w:tcW w:w="9860" w:type="dxa"/>
            <w:vAlign w:val="bottom"/>
            <w:tcBorders>
              <w:bottom w:val="single" w:sz="8" w:color="0000EE"/>
            </w:tcBorders>
            <w:gridSpan w:val="9"/>
          </w:tcPr>
          <w:p>
            <w:pPr>
              <w:spacing w:after="0"/>
              <w:rPr>
                <w:rFonts w:ascii="Arial" w:cs="Arial" w:eastAsia="Arial" w:hAnsi="Arial"/>
                <w:sz w:val="17"/>
                <w:szCs w:val="17"/>
                <w:color w:val="0000EE"/>
                <w:w w:val="92"/>
              </w:rPr>
            </w:pPr>
            <w:hyperlink w:anchor="page66">
              <w:r>
                <w:rPr>
                  <w:rFonts w:ascii="Arial" w:cs="Arial" w:eastAsia="Arial" w:hAnsi="Arial"/>
                  <w:sz w:val="17"/>
                  <w:szCs w:val="17"/>
                  <w:color w:val="0000EE"/>
                  <w:w w:val="92"/>
                </w:rPr>
                <w:t>Certification of Principal Financial Officer Pursuant to 18 U.S.C. Section 1350, as Adopted Pursuant to Section 906 of the Sarbanes-Oxley Act</w:t>
              </w:r>
            </w:hyperlink>
          </w:p>
        </w:tc>
      </w:tr>
      <w:tr>
        <w:trPr>
          <w:trHeight w:val="187"/>
        </w:trPr>
        <w:tc>
          <w:tcPr>
            <w:tcW w:w="1220" w:type="dxa"/>
            <w:vAlign w:val="bottom"/>
          </w:tcPr>
          <w:p>
            <w:pPr>
              <w:spacing w:after="0"/>
              <w:rPr>
                <w:sz w:val="16"/>
                <w:szCs w:val="16"/>
                <w:color w:val="auto"/>
              </w:rPr>
            </w:pPr>
          </w:p>
        </w:tc>
        <w:tc>
          <w:tcPr>
            <w:tcW w:w="580" w:type="dxa"/>
            <w:vAlign w:val="bottom"/>
            <w:tcBorders>
              <w:bottom w:val="single" w:sz="8" w:color="0000EE"/>
            </w:tcBorders>
          </w:tcPr>
          <w:p>
            <w:pPr>
              <w:spacing w:after="0" w:line="187" w:lineRule="exact"/>
              <w:rPr>
                <w:rFonts w:ascii="Arial" w:cs="Arial" w:eastAsia="Arial" w:hAnsi="Arial"/>
                <w:sz w:val="17"/>
                <w:szCs w:val="17"/>
                <w:color w:val="0000EE"/>
                <w:w w:val="91"/>
              </w:rPr>
            </w:pPr>
            <w:hyperlink w:anchor="page66">
              <w:r>
                <w:rPr>
                  <w:rFonts w:ascii="Arial" w:cs="Arial" w:eastAsia="Arial" w:hAnsi="Arial"/>
                  <w:sz w:val="17"/>
                  <w:szCs w:val="17"/>
                  <w:color w:val="0000EE"/>
                  <w:w w:val="91"/>
                </w:rPr>
                <w:t>of 2002.</w:t>
              </w:r>
            </w:hyperlink>
          </w:p>
        </w:tc>
        <w:tc>
          <w:tcPr>
            <w:tcW w:w="9280" w:type="dxa"/>
            <w:vAlign w:val="bottom"/>
            <w:gridSpan w:val="8"/>
          </w:tcPr>
          <w:p>
            <w:pPr>
              <w:spacing w:after="0"/>
              <w:rPr>
                <w:sz w:val="16"/>
                <w:szCs w:val="16"/>
                <w:color w:val="auto"/>
              </w:rPr>
            </w:pPr>
          </w:p>
        </w:tc>
      </w:tr>
      <w:tr>
        <w:trPr>
          <w:trHeight w:val="342"/>
        </w:trPr>
        <w:tc>
          <w:tcPr>
            <w:tcW w:w="1220" w:type="dxa"/>
            <w:vAlign w:val="bottom"/>
          </w:tcPr>
          <w:p>
            <w:pPr>
              <w:spacing w:after="0"/>
              <w:rPr>
                <w:sz w:val="20"/>
                <w:szCs w:val="20"/>
                <w:color w:val="auto"/>
              </w:rPr>
            </w:pPr>
            <w:r>
              <w:rPr>
                <w:rFonts w:ascii="Arial" w:cs="Arial" w:eastAsia="Arial" w:hAnsi="Arial"/>
                <w:sz w:val="17"/>
                <w:szCs w:val="17"/>
                <w:color w:val="auto"/>
              </w:rPr>
              <w:t>101.INS</w:t>
            </w:r>
          </w:p>
        </w:tc>
        <w:tc>
          <w:tcPr>
            <w:tcW w:w="9860" w:type="dxa"/>
            <w:vAlign w:val="bottom"/>
            <w:gridSpan w:val="9"/>
          </w:tcPr>
          <w:p>
            <w:pPr>
              <w:spacing w:after="0"/>
              <w:rPr>
                <w:sz w:val="20"/>
                <w:szCs w:val="20"/>
                <w:color w:val="auto"/>
              </w:rPr>
            </w:pPr>
            <w:r>
              <w:rPr>
                <w:rFonts w:ascii="Arial" w:cs="Arial" w:eastAsia="Arial" w:hAnsi="Arial"/>
                <w:sz w:val="17"/>
                <w:szCs w:val="17"/>
                <w:color w:val="auto"/>
              </w:rPr>
              <w:t>XBRL Instance Document</w:t>
            </w:r>
          </w:p>
        </w:tc>
      </w:tr>
      <w:tr>
        <w:trPr>
          <w:trHeight w:val="323"/>
        </w:trPr>
        <w:tc>
          <w:tcPr>
            <w:tcW w:w="1220" w:type="dxa"/>
            <w:vAlign w:val="bottom"/>
          </w:tcPr>
          <w:p>
            <w:pPr>
              <w:spacing w:after="0"/>
              <w:rPr>
                <w:sz w:val="20"/>
                <w:szCs w:val="20"/>
                <w:color w:val="auto"/>
              </w:rPr>
            </w:pPr>
            <w:r>
              <w:rPr>
                <w:rFonts w:ascii="Arial" w:cs="Arial" w:eastAsia="Arial" w:hAnsi="Arial"/>
                <w:sz w:val="17"/>
                <w:szCs w:val="17"/>
                <w:color w:val="auto"/>
              </w:rPr>
              <w:t>101.SCH</w:t>
            </w:r>
          </w:p>
        </w:tc>
        <w:tc>
          <w:tcPr>
            <w:tcW w:w="9860" w:type="dxa"/>
            <w:vAlign w:val="bottom"/>
            <w:gridSpan w:val="9"/>
          </w:tcPr>
          <w:p>
            <w:pPr>
              <w:spacing w:after="0"/>
              <w:rPr>
                <w:sz w:val="20"/>
                <w:szCs w:val="20"/>
                <w:color w:val="auto"/>
              </w:rPr>
            </w:pPr>
            <w:r>
              <w:rPr>
                <w:rFonts w:ascii="Arial" w:cs="Arial" w:eastAsia="Arial" w:hAnsi="Arial"/>
                <w:sz w:val="17"/>
                <w:szCs w:val="17"/>
                <w:color w:val="auto"/>
              </w:rPr>
              <w:t>XBRL Taxonomy Extension Schema Document</w:t>
            </w:r>
          </w:p>
        </w:tc>
      </w:tr>
      <w:tr>
        <w:trPr>
          <w:trHeight w:val="323"/>
        </w:trPr>
        <w:tc>
          <w:tcPr>
            <w:tcW w:w="1220" w:type="dxa"/>
            <w:vAlign w:val="bottom"/>
          </w:tcPr>
          <w:p>
            <w:pPr>
              <w:spacing w:after="0"/>
              <w:rPr>
                <w:sz w:val="20"/>
                <w:szCs w:val="20"/>
                <w:color w:val="auto"/>
              </w:rPr>
            </w:pPr>
            <w:r>
              <w:rPr>
                <w:rFonts w:ascii="Arial" w:cs="Arial" w:eastAsia="Arial" w:hAnsi="Arial"/>
                <w:sz w:val="17"/>
                <w:szCs w:val="17"/>
                <w:color w:val="auto"/>
              </w:rPr>
              <w:t>101.CAL</w:t>
            </w:r>
          </w:p>
        </w:tc>
        <w:tc>
          <w:tcPr>
            <w:tcW w:w="9860" w:type="dxa"/>
            <w:vAlign w:val="bottom"/>
            <w:gridSpan w:val="9"/>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323"/>
        </w:trPr>
        <w:tc>
          <w:tcPr>
            <w:tcW w:w="1220" w:type="dxa"/>
            <w:vAlign w:val="bottom"/>
          </w:tcPr>
          <w:p>
            <w:pPr>
              <w:spacing w:after="0"/>
              <w:rPr>
                <w:sz w:val="20"/>
                <w:szCs w:val="20"/>
                <w:color w:val="auto"/>
              </w:rPr>
            </w:pPr>
            <w:r>
              <w:rPr>
                <w:rFonts w:ascii="Arial" w:cs="Arial" w:eastAsia="Arial" w:hAnsi="Arial"/>
                <w:sz w:val="17"/>
                <w:szCs w:val="17"/>
                <w:color w:val="auto"/>
              </w:rPr>
              <w:t>101.DEF</w:t>
            </w:r>
          </w:p>
        </w:tc>
        <w:tc>
          <w:tcPr>
            <w:tcW w:w="9860" w:type="dxa"/>
            <w:vAlign w:val="bottom"/>
            <w:gridSpan w:val="9"/>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323"/>
        </w:trPr>
        <w:tc>
          <w:tcPr>
            <w:tcW w:w="1220" w:type="dxa"/>
            <w:vAlign w:val="bottom"/>
          </w:tcPr>
          <w:p>
            <w:pPr>
              <w:spacing w:after="0"/>
              <w:rPr>
                <w:sz w:val="20"/>
                <w:szCs w:val="20"/>
                <w:color w:val="auto"/>
              </w:rPr>
            </w:pPr>
            <w:r>
              <w:rPr>
                <w:rFonts w:ascii="Arial" w:cs="Arial" w:eastAsia="Arial" w:hAnsi="Arial"/>
                <w:sz w:val="17"/>
                <w:szCs w:val="17"/>
                <w:color w:val="auto"/>
              </w:rPr>
              <w:t>101.LAB</w:t>
            </w:r>
          </w:p>
        </w:tc>
        <w:tc>
          <w:tcPr>
            <w:tcW w:w="9860" w:type="dxa"/>
            <w:vAlign w:val="bottom"/>
            <w:gridSpan w:val="9"/>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323"/>
        </w:trPr>
        <w:tc>
          <w:tcPr>
            <w:tcW w:w="1220" w:type="dxa"/>
            <w:vAlign w:val="bottom"/>
          </w:tcPr>
          <w:p>
            <w:pPr>
              <w:spacing w:after="0"/>
              <w:rPr>
                <w:sz w:val="20"/>
                <w:szCs w:val="20"/>
                <w:color w:val="auto"/>
              </w:rPr>
            </w:pPr>
            <w:r>
              <w:rPr>
                <w:rFonts w:ascii="Arial" w:cs="Arial" w:eastAsia="Arial" w:hAnsi="Arial"/>
                <w:sz w:val="17"/>
                <w:szCs w:val="17"/>
                <w:color w:val="auto"/>
              </w:rPr>
              <w:t>101.PRE</w:t>
            </w:r>
          </w:p>
        </w:tc>
        <w:tc>
          <w:tcPr>
            <w:tcW w:w="9860" w:type="dxa"/>
            <w:vAlign w:val="bottom"/>
            <w:gridSpan w:val="9"/>
          </w:tcPr>
          <w:p>
            <w:pPr>
              <w:spacing w:after="0"/>
              <w:rPr>
                <w:sz w:val="20"/>
                <w:szCs w:val="20"/>
                <w:color w:val="auto"/>
              </w:rPr>
            </w:pPr>
            <w:r>
              <w:rPr>
                <w:rFonts w:ascii="Arial" w:cs="Arial" w:eastAsia="Arial" w:hAnsi="Arial"/>
                <w:sz w:val="17"/>
                <w:szCs w:val="17"/>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9683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48" w:lineRule="exact"/>
        <w:rPr>
          <w:sz w:val="20"/>
          <w:szCs w:val="20"/>
          <w:color w:val="auto"/>
        </w:rPr>
      </w:pPr>
    </w:p>
    <w:p>
      <w:pPr>
        <w:ind w:left="520" w:hanging="517"/>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50" w:lineRule="exact"/>
        <w:rPr>
          <w:sz w:val="20"/>
          <w:szCs w:val="20"/>
          <w:color w:val="auto"/>
        </w:rPr>
      </w:pPr>
    </w:p>
    <w:p>
      <w:pPr>
        <w:ind w:left="520" w:right="180" w:hanging="517"/>
        <w:spacing w:after="0" w:line="294" w:lineRule="auto"/>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exhibit was originally included as Exhibit 10.2 to the Quarterly Report on Form 10-Q filed on May 10, 2018 with confidential treatment granted on a portion of the exhibit. The confidential treatment order expired on April 30, 2019, and the full version of the exhibit is filed herewith.</w:t>
      </w:r>
    </w:p>
    <w:p>
      <w:pPr>
        <w:spacing w:after="0" w:line="1" w:lineRule="exact"/>
        <w:rPr>
          <w:rFonts w:ascii="Arial" w:cs="Arial" w:eastAsia="Arial" w:hAnsi="Arial"/>
          <w:sz w:val="16"/>
          <w:szCs w:val="16"/>
          <w:color w:val="auto"/>
        </w:rPr>
      </w:pPr>
    </w:p>
    <w:p>
      <w:pPr>
        <w:ind w:left="520" w:hanging="517"/>
        <w:spacing w:after="0" w:line="352" w:lineRule="auto"/>
        <w:tabs>
          <w:tab w:leader="none" w:pos="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Certain portions of this exhibit have been omitted pursuant to Item 601(b)(10)(iv) of Regulation S-K. The Company agrees to furnish an unredacted copy of the exhibit to the Securities and Exchange Commission upon request but may request confidential treatment for any supplemental material so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7"/>
                <w:szCs w:val="17"/>
                <w:b w:val="1"/>
                <w:bCs w:val="1"/>
                <w:color w:val="auto"/>
              </w:rPr>
              <w:t>UNITI GROUP INC.</w:t>
            </w:r>
          </w:p>
        </w:tc>
      </w:tr>
      <w:tr>
        <w:trPr>
          <w:trHeight w:val="452"/>
        </w:trPr>
        <w:tc>
          <w:tcPr>
            <w:tcW w:w="680" w:type="dxa"/>
            <w:vAlign w:val="bottom"/>
          </w:tcPr>
          <w:p>
            <w:pPr>
              <w:spacing w:after="0"/>
              <w:rPr>
                <w:sz w:val="20"/>
                <w:szCs w:val="20"/>
                <w:color w:val="auto"/>
              </w:rPr>
            </w:pPr>
            <w:r>
              <w:rPr>
                <w:rFonts w:ascii="Arial" w:cs="Arial" w:eastAsia="Arial" w:hAnsi="Arial"/>
                <w:sz w:val="17"/>
                <w:szCs w:val="17"/>
                <w:color w:val="auto"/>
              </w:rPr>
              <w:t>Date:</w:t>
            </w:r>
          </w:p>
        </w:tc>
        <w:tc>
          <w:tcPr>
            <w:tcW w:w="4940" w:type="dxa"/>
            <w:vAlign w:val="bottom"/>
          </w:tcPr>
          <w:p>
            <w:pPr>
              <w:ind w:left="300"/>
              <w:spacing w:after="0"/>
              <w:rPr>
                <w:sz w:val="20"/>
                <w:szCs w:val="20"/>
                <w:color w:val="auto"/>
              </w:rPr>
            </w:pPr>
            <w:r>
              <w:rPr>
                <w:rFonts w:ascii="Arial" w:cs="Arial" w:eastAsia="Arial" w:hAnsi="Arial"/>
                <w:sz w:val="17"/>
                <w:szCs w:val="17"/>
                <w:color w:val="auto"/>
              </w:rPr>
              <w:t>May 9, 2019</w:t>
            </w:r>
          </w:p>
        </w:tc>
        <w:tc>
          <w:tcPr>
            <w:tcW w:w="5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Mark A. Wallace</w:t>
            </w:r>
          </w:p>
        </w:tc>
      </w:tr>
      <w:tr>
        <w:trPr>
          <w:trHeight w:val="194"/>
        </w:trPr>
        <w:tc>
          <w:tcPr>
            <w:tcW w:w="6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5800" w:type="dxa"/>
            <w:vAlign w:val="bottom"/>
          </w:tcPr>
          <w:p>
            <w:pPr>
              <w:spacing w:after="0" w:line="194" w:lineRule="exact"/>
              <w:rPr>
                <w:sz w:val="20"/>
                <w:szCs w:val="20"/>
                <w:color w:val="auto"/>
              </w:rPr>
            </w:pPr>
            <w:r>
              <w:rPr>
                <w:rFonts w:ascii="Arial" w:cs="Arial" w:eastAsia="Arial" w:hAnsi="Arial"/>
                <w:sz w:val="17"/>
                <w:szCs w:val="17"/>
                <w:b w:val="1"/>
                <w:bCs w:val="1"/>
                <w:color w:val="auto"/>
              </w:rPr>
              <w:t>Mark A. Wallace</w:t>
            </w:r>
          </w:p>
        </w:tc>
      </w:tr>
      <w:tr>
        <w:trPr>
          <w:trHeight w:val="207"/>
        </w:trPr>
        <w:tc>
          <w:tcPr>
            <w:tcW w:w="6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7"/>
                <w:szCs w:val="17"/>
                <w:b w:val="1"/>
                <w:bCs w:val="1"/>
                <w:color w:val="auto"/>
              </w:rPr>
              <w:t>Executive Vice President – Chief Financial Officer and Treasurer</w:t>
            </w:r>
          </w:p>
        </w:tc>
      </w:tr>
      <w:tr>
        <w:trPr>
          <w:trHeight w:val="225"/>
        </w:trPr>
        <w:tc>
          <w:tcPr>
            <w:tcW w:w="6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7"/>
                <w:szCs w:val="17"/>
                <w:b w:val="1"/>
                <w:bCs w:val="1"/>
                <w:color w:val="auto"/>
              </w:rPr>
              <w:t>(Principal Financial Officer)</w:t>
            </w:r>
          </w:p>
        </w:tc>
      </w:tr>
      <w:tr>
        <w:trPr>
          <w:trHeight w:val="439"/>
        </w:trPr>
        <w:tc>
          <w:tcPr>
            <w:tcW w:w="680" w:type="dxa"/>
            <w:vAlign w:val="bottom"/>
          </w:tcPr>
          <w:p>
            <w:pPr>
              <w:spacing w:after="0"/>
              <w:rPr>
                <w:sz w:val="20"/>
                <w:szCs w:val="20"/>
                <w:color w:val="auto"/>
              </w:rPr>
            </w:pPr>
            <w:r>
              <w:rPr>
                <w:rFonts w:ascii="Arial" w:cs="Arial" w:eastAsia="Arial" w:hAnsi="Arial"/>
                <w:sz w:val="17"/>
                <w:szCs w:val="17"/>
                <w:color w:val="auto"/>
              </w:rPr>
              <w:t>Date:</w:t>
            </w:r>
          </w:p>
        </w:tc>
        <w:tc>
          <w:tcPr>
            <w:tcW w:w="4940" w:type="dxa"/>
            <w:vAlign w:val="bottom"/>
          </w:tcPr>
          <w:p>
            <w:pPr>
              <w:ind w:left="300"/>
              <w:spacing w:after="0"/>
              <w:rPr>
                <w:sz w:val="20"/>
                <w:szCs w:val="20"/>
                <w:color w:val="auto"/>
              </w:rPr>
            </w:pPr>
            <w:r>
              <w:rPr>
                <w:rFonts w:ascii="Arial" w:cs="Arial" w:eastAsia="Arial" w:hAnsi="Arial"/>
                <w:sz w:val="17"/>
                <w:szCs w:val="17"/>
                <w:color w:val="auto"/>
              </w:rPr>
              <w:t>May 9, 2019</w:t>
            </w:r>
          </w:p>
        </w:tc>
        <w:tc>
          <w:tcPr>
            <w:tcW w:w="5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Blake Schuhmacher</w:t>
            </w:r>
          </w:p>
        </w:tc>
      </w:tr>
      <w:tr>
        <w:trPr>
          <w:trHeight w:val="181"/>
        </w:trPr>
        <w:tc>
          <w:tcPr>
            <w:tcW w:w="6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5800" w:type="dxa"/>
            <w:vAlign w:val="bottom"/>
          </w:tcPr>
          <w:p>
            <w:pPr>
              <w:spacing w:after="0" w:line="181" w:lineRule="exact"/>
              <w:rPr>
                <w:sz w:val="20"/>
                <w:szCs w:val="20"/>
                <w:color w:val="auto"/>
              </w:rPr>
            </w:pPr>
            <w:r>
              <w:rPr>
                <w:rFonts w:ascii="Arial" w:cs="Arial" w:eastAsia="Arial" w:hAnsi="Arial"/>
                <w:sz w:val="17"/>
                <w:szCs w:val="17"/>
                <w:b w:val="1"/>
                <w:bCs w:val="1"/>
                <w:color w:val="auto"/>
              </w:rPr>
              <w:t>Blake Schuhmacher</w:t>
            </w:r>
          </w:p>
        </w:tc>
      </w:tr>
      <w:tr>
        <w:trPr>
          <w:trHeight w:val="207"/>
        </w:trPr>
        <w:tc>
          <w:tcPr>
            <w:tcW w:w="6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7"/>
                <w:szCs w:val="17"/>
                <w:b w:val="1"/>
                <w:bCs w:val="1"/>
                <w:color w:val="auto"/>
              </w:rPr>
              <w:t>Senior Vice President – Chief Accounting Officer</w:t>
            </w:r>
          </w:p>
        </w:tc>
      </w:tr>
      <w:tr>
        <w:trPr>
          <w:trHeight w:val="225"/>
        </w:trPr>
        <w:tc>
          <w:tcPr>
            <w:tcW w:w="6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7"/>
                <w:szCs w:val="17"/>
                <w:b w:val="1"/>
                <w:b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127"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21"/>
          <w:szCs w:val="21"/>
          <w:b w:val="1"/>
          <w:bCs w:val="1"/>
          <w:color w:val="auto"/>
        </w:rPr>
        <w:t>Exhibit 10.1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2018 SHORT TERM INCENTIVE PLAN</w:t>
      </w:r>
    </w:p>
    <w:p>
      <w:pPr>
        <w:spacing w:after="0" w:line="205" w:lineRule="exact"/>
        <w:rPr>
          <w:sz w:val="20"/>
          <w:szCs w:val="20"/>
          <w:color w:val="auto"/>
        </w:rPr>
      </w:pPr>
    </w:p>
    <w:p>
      <w:pPr>
        <w:ind w:right="200" w:firstLine="878"/>
        <w:spacing w:after="0" w:line="265" w:lineRule="auto"/>
        <w:rPr>
          <w:sz w:val="20"/>
          <w:szCs w:val="20"/>
          <w:color w:val="auto"/>
        </w:rPr>
      </w:pPr>
      <w:r>
        <w:rPr>
          <w:rFonts w:ascii="Arial" w:cs="Arial" w:eastAsia="Arial" w:hAnsi="Arial"/>
          <w:sz w:val="19"/>
          <w:szCs w:val="19"/>
          <w:color w:val="auto"/>
        </w:rPr>
        <w:t>This 2018 Short Term Incentive Plan (this “</w:t>
      </w:r>
      <w:r>
        <w:rPr>
          <w:rFonts w:ascii="Arial" w:cs="Arial" w:eastAsia="Arial" w:hAnsi="Arial"/>
          <w:sz w:val="19"/>
          <w:szCs w:val="19"/>
          <w:u w:val="single" w:color="auto"/>
          <w:color w:val="auto"/>
        </w:rPr>
        <w:t>Plan</w:t>
      </w:r>
      <w:r>
        <w:rPr>
          <w:rFonts w:ascii="Arial" w:cs="Arial" w:eastAsia="Arial" w:hAnsi="Arial"/>
          <w:sz w:val="19"/>
          <w:szCs w:val="19"/>
          <w:color w:val="auto"/>
        </w:rPr>
        <w:t>”) of Uniti Group Inc., a Maryland corporation (the “</w:t>
      </w:r>
      <w:r>
        <w:rPr>
          <w:rFonts w:ascii="Arial" w:cs="Arial" w:eastAsia="Arial" w:hAnsi="Arial"/>
          <w:sz w:val="19"/>
          <w:szCs w:val="19"/>
          <w:u w:val="single" w:color="auto"/>
          <w:color w:val="auto"/>
        </w:rPr>
        <w:t>Corporation</w:t>
      </w:r>
      <w:r>
        <w:rPr>
          <w:rFonts w:ascii="Arial" w:cs="Arial" w:eastAsia="Arial" w:hAnsi="Arial"/>
          <w:sz w:val="19"/>
          <w:szCs w:val="19"/>
          <w:color w:val="auto"/>
        </w:rPr>
        <w:t>”), became effective on February 6, 2018 (the “</w:t>
      </w:r>
      <w:r>
        <w:rPr>
          <w:rFonts w:ascii="Arial" w:cs="Arial" w:eastAsia="Arial" w:hAnsi="Arial"/>
          <w:sz w:val="19"/>
          <w:szCs w:val="19"/>
          <w:u w:val="single" w:color="auto"/>
          <w:color w:val="auto"/>
        </w:rPr>
        <w:t>Effective Date</w:t>
      </w:r>
      <w:r>
        <w:rPr>
          <w:rFonts w:ascii="Arial" w:cs="Arial" w:eastAsia="Arial" w:hAnsi="Arial"/>
          <w:sz w:val="19"/>
          <w:szCs w:val="19"/>
          <w:color w:val="auto"/>
        </w:rPr>
        <w:t>”).</w:t>
      </w:r>
    </w:p>
    <w:p>
      <w:pPr>
        <w:spacing w:after="0" w:line="166" w:lineRule="exact"/>
        <w:rPr>
          <w:sz w:val="20"/>
          <w:szCs w:val="20"/>
          <w:color w:val="auto"/>
        </w:rPr>
      </w:pPr>
    </w:p>
    <w:p>
      <w:pPr>
        <w:ind w:right="500" w:firstLine="878"/>
        <w:spacing w:after="0"/>
        <w:rPr>
          <w:sz w:val="20"/>
          <w:szCs w:val="20"/>
          <w:color w:val="auto"/>
        </w:rPr>
      </w:pPr>
      <w:r>
        <w:rPr>
          <w:rFonts w:ascii="Arial" w:cs="Arial" w:eastAsia="Arial" w:hAnsi="Arial"/>
          <w:sz w:val="21"/>
          <w:szCs w:val="21"/>
          <w:b w:val="1"/>
          <w:bCs w:val="1"/>
          <w:color w:val="auto"/>
        </w:rPr>
        <w:t xml:space="preserve">Section 1. </w:t>
      </w:r>
      <w:r>
        <w:rPr>
          <w:rFonts w:ascii="Arial" w:cs="Arial" w:eastAsia="Arial" w:hAnsi="Arial"/>
          <w:sz w:val="18"/>
          <w:szCs w:val="18"/>
          <w:b w:val="1"/>
          <w:bCs w:val="1"/>
          <w:color w:val="auto"/>
        </w:rPr>
        <w:t>Definitions</w:t>
      </w:r>
      <w:r>
        <w:rPr>
          <w:rFonts w:ascii="Arial" w:cs="Arial" w:eastAsia="Arial" w:hAnsi="Arial"/>
          <w:sz w:val="18"/>
          <w:szCs w:val="18"/>
          <w:color w:val="auto"/>
        </w:rPr>
        <w:t>. The following words and phrases shall have the following meanings unless a different meaning is plainly</w:t>
      </w:r>
      <w:r>
        <w:rPr>
          <w:rFonts w:ascii="Arial" w:cs="Arial" w:eastAsia="Arial" w:hAnsi="Arial"/>
          <w:sz w:val="21"/>
          <w:szCs w:val="21"/>
          <w:b w:val="1"/>
          <w:bCs w:val="1"/>
          <w:color w:val="auto"/>
        </w:rPr>
        <w:t xml:space="preserve"> </w:t>
      </w:r>
      <w:r>
        <w:rPr>
          <w:rFonts w:ascii="Arial" w:cs="Arial" w:eastAsia="Arial" w:hAnsi="Arial"/>
          <w:sz w:val="18"/>
          <w:szCs w:val="18"/>
          <w:color w:val="auto"/>
        </w:rPr>
        <w:t>required by the context:</w:t>
      </w:r>
    </w:p>
    <w:p>
      <w:pPr>
        <w:spacing w:after="0" w:line="186"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Award</w:t>
      </w:r>
      <w:r>
        <w:rPr>
          <w:rFonts w:ascii="Arial" w:cs="Arial" w:eastAsia="Arial" w:hAnsi="Arial"/>
          <w:sz w:val="19"/>
          <w:szCs w:val="19"/>
          <w:color w:val="auto"/>
        </w:rPr>
        <w:t>” means any Short-Term Incentive Bonus granted under this Plan.</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Board</w:t>
      </w:r>
      <w:r>
        <w:rPr>
          <w:rFonts w:ascii="Arial" w:cs="Arial" w:eastAsia="Arial" w:hAnsi="Arial"/>
          <w:sz w:val="19"/>
          <w:szCs w:val="19"/>
          <w:color w:val="auto"/>
        </w:rPr>
        <w:t>” means the Board of Directors of the Corporation.</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Code</w:t>
      </w:r>
      <w:r>
        <w:rPr>
          <w:rFonts w:ascii="Arial" w:cs="Arial" w:eastAsia="Arial" w:hAnsi="Arial"/>
          <w:sz w:val="19"/>
          <w:szCs w:val="19"/>
          <w:color w:val="auto"/>
        </w:rPr>
        <w:t>” means the Internal Revenue Code of 1986, as amended.</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Committee</w:t>
      </w:r>
      <w:r>
        <w:rPr>
          <w:rFonts w:ascii="Arial" w:cs="Arial" w:eastAsia="Arial" w:hAnsi="Arial"/>
          <w:sz w:val="19"/>
          <w:szCs w:val="19"/>
          <w:color w:val="auto"/>
        </w:rPr>
        <w:t>” means the Compensation Committee of the Board which has been appointed to administer this Plan.</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Corporation</w:t>
      </w:r>
      <w:r>
        <w:rPr>
          <w:rFonts w:ascii="Arial" w:cs="Arial" w:eastAsia="Arial" w:hAnsi="Arial"/>
          <w:sz w:val="19"/>
          <w:szCs w:val="19"/>
          <w:color w:val="auto"/>
        </w:rPr>
        <w:t>” means Uniti Group Inc., a Maryland corporation, and any direct or indirect subsidiary thereof.</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Eligible Officer</w:t>
      </w:r>
      <w:r>
        <w:rPr>
          <w:rFonts w:ascii="Arial" w:cs="Arial" w:eastAsia="Arial" w:hAnsi="Arial"/>
          <w:sz w:val="19"/>
          <w:szCs w:val="19"/>
          <w:color w:val="auto"/>
        </w:rPr>
        <w:t>” means an officer of the Corporation holding the positions set forth in Section 3 of this Plan.</w:t>
      </w:r>
    </w:p>
    <w:p>
      <w:pPr>
        <w:spacing w:after="0" w:line="208" w:lineRule="exact"/>
        <w:rPr>
          <w:sz w:val="20"/>
          <w:szCs w:val="20"/>
          <w:color w:val="auto"/>
        </w:rPr>
      </w:pPr>
    </w:p>
    <w:p>
      <w:pPr>
        <w:ind w:left="880" w:right="980" w:firstLine="811"/>
        <w:spacing w:after="0" w:line="230" w:lineRule="exact"/>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Employee</w:t>
      </w:r>
      <w:r>
        <w:rPr>
          <w:rFonts w:ascii="Arial" w:cs="Arial" w:eastAsia="Arial" w:hAnsi="Arial"/>
          <w:sz w:val="19"/>
          <w:szCs w:val="19"/>
          <w:color w:val="auto"/>
        </w:rPr>
        <w:t>” means an individual who is an employee of the Corporation who is reported on the payroll records as a common</w:t>
      </w:r>
      <w:r>
        <w:rPr>
          <w:rFonts w:ascii="MS PGothic" w:cs="MS PGothic" w:eastAsia="MS PGothic" w:hAnsi="MS PGothic"/>
          <w:sz w:val="19"/>
          <w:szCs w:val="19"/>
          <w:color w:val="auto"/>
        </w:rPr>
        <w:t>‑</w:t>
      </w:r>
      <w:r>
        <w:rPr>
          <w:rFonts w:ascii="Arial" w:cs="Arial" w:eastAsia="Arial" w:hAnsi="Arial"/>
          <w:sz w:val="19"/>
          <w:szCs w:val="19"/>
          <w:color w:val="auto"/>
        </w:rPr>
        <w:t>law employee.</w:t>
      </w:r>
    </w:p>
    <w:p>
      <w:pPr>
        <w:spacing w:after="0" w:line="187"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Plan</w:t>
      </w:r>
      <w:r>
        <w:rPr>
          <w:rFonts w:ascii="Arial" w:cs="Arial" w:eastAsia="Arial" w:hAnsi="Arial"/>
          <w:sz w:val="19"/>
          <w:szCs w:val="19"/>
          <w:color w:val="auto"/>
        </w:rPr>
        <w:t>” means this 2018 Short Term Incentive Plan of the Corporation.</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Short-Term Incentive Bonus</w:t>
      </w:r>
      <w:r>
        <w:rPr>
          <w:rFonts w:ascii="Arial" w:cs="Arial" w:eastAsia="Arial" w:hAnsi="Arial"/>
          <w:sz w:val="17"/>
          <w:szCs w:val="17"/>
          <w:color w:val="auto"/>
        </w:rPr>
        <w:t>” means the incentive compensation granted to an Eligible Officer pursuant to Section 4 of this</w:t>
      </w:r>
    </w:p>
    <w:p>
      <w:pPr>
        <w:spacing w:after="0" w:line="4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Plan.</w:t>
      </w:r>
    </w:p>
    <w:p>
      <w:pPr>
        <w:spacing w:after="0" w:line="192" w:lineRule="exact"/>
        <w:rPr>
          <w:sz w:val="20"/>
          <w:szCs w:val="20"/>
          <w:color w:val="auto"/>
        </w:rPr>
      </w:pPr>
    </w:p>
    <w:p>
      <w:pPr>
        <w:ind w:left="880" w:right="60" w:firstLine="811"/>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Subsidiary</w:t>
      </w:r>
      <w:r>
        <w:rPr>
          <w:rFonts w:ascii="Arial" w:cs="Arial" w:eastAsia="Arial" w:hAnsi="Arial"/>
          <w:sz w:val="19"/>
          <w:szCs w:val="19"/>
          <w:color w:val="auto"/>
        </w:rPr>
        <w:t>” means a corporation at least 50% of the total combined voting power of all classes of stock which is owned by the Corporation, either directly or through one or more other Subsidiaries.</w:t>
      </w:r>
    </w:p>
    <w:p>
      <w:pPr>
        <w:spacing w:after="0" w:line="158"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 This Plan will be administered by the Committee. In addition to any other powers granted to the Committee, the</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Committee will have the following powers:</w:t>
      </w:r>
    </w:p>
    <w:p>
      <w:pPr>
        <w:spacing w:after="0" w:line="192"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to determine whether and to what extent Short-Term Incentive Bonuses are to be granted under this Plan to Eligible Officers;</w:t>
      </w:r>
    </w:p>
    <w:p>
      <w:pPr>
        <w:spacing w:after="0" w:line="231" w:lineRule="exact"/>
        <w:rPr>
          <w:sz w:val="20"/>
          <w:szCs w:val="20"/>
          <w:color w:val="auto"/>
        </w:rPr>
      </w:pPr>
    </w:p>
    <w:p>
      <w:pPr>
        <w:ind w:left="880" w:right="400" w:firstLine="811"/>
        <w:spacing w:after="0" w:line="230" w:lineRule="exact"/>
        <w:rPr>
          <w:sz w:val="20"/>
          <w:szCs w:val="20"/>
          <w:color w:val="auto"/>
        </w:rPr>
      </w:pPr>
      <w:r>
        <w:rPr>
          <w:rFonts w:ascii="Arial" w:cs="Arial" w:eastAsia="Arial" w:hAnsi="Arial"/>
          <w:sz w:val="19"/>
          <w:szCs w:val="19"/>
          <w:color w:val="auto"/>
        </w:rPr>
        <w:t>to determine whether the performance metrics required to receive Short</w:t>
      </w:r>
      <w:r>
        <w:rPr>
          <w:rFonts w:ascii="MS PGothic" w:cs="MS PGothic" w:eastAsia="MS PGothic" w:hAnsi="MS PGothic"/>
          <w:sz w:val="19"/>
          <w:szCs w:val="19"/>
          <w:color w:val="auto"/>
        </w:rPr>
        <w:t>‑</w:t>
      </w:r>
      <w:r>
        <w:rPr>
          <w:rFonts w:ascii="Arial" w:cs="Arial" w:eastAsia="Arial" w:hAnsi="Arial"/>
          <w:sz w:val="19"/>
          <w:szCs w:val="19"/>
          <w:color w:val="auto"/>
        </w:rPr>
        <w:t>Term Incentive Bonuses have been satisfied and to what extent they have been satisfied;</w:t>
      </w:r>
    </w:p>
    <w:p>
      <w:pPr>
        <w:spacing w:after="0" w:line="187"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to construe and interpret this Plan;</w:t>
      </w:r>
    </w:p>
    <w:p>
      <w:pPr>
        <w:spacing w:after="0" w:line="208" w:lineRule="exact"/>
        <w:rPr>
          <w:sz w:val="20"/>
          <w:szCs w:val="20"/>
          <w:color w:val="auto"/>
        </w:rPr>
      </w:pPr>
    </w:p>
    <w:p>
      <w:pPr>
        <w:ind w:left="880" w:right="280" w:firstLine="811"/>
        <w:spacing w:after="0" w:line="230" w:lineRule="exact"/>
        <w:rPr>
          <w:sz w:val="20"/>
          <w:szCs w:val="20"/>
          <w:color w:val="auto"/>
        </w:rPr>
      </w:pPr>
      <w:r>
        <w:rPr>
          <w:rFonts w:ascii="Arial" w:cs="Arial" w:eastAsia="Arial" w:hAnsi="Arial"/>
          <w:sz w:val="19"/>
          <w:szCs w:val="19"/>
          <w:color w:val="auto"/>
        </w:rPr>
        <w:t>to require, at the time Short</w:t>
      </w:r>
      <w:r>
        <w:rPr>
          <w:rFonts w:ascii="MS PGothic" w:cs="MS PGothic" w:eastAsia="MS PGothic" w:hAnsi="MS PGothic"/>
          <w:sz w:val="19"/>
          <w:szCs w:val="19"/>
          <w:color w:val="auto"/>
        </w:rPr>
        <w:t>‑</w:t>
      </w:r>
      <w:r>
        <w:rPr>
          <w:rFonts w:ascii="Arial" w:cs="Arial" w:eastAsia="Arial" w:hAnsi="Arial"/>
          <w:sz w:val="19"/>
          <w:szCs w:val="19"/>
          <w:color w:val="auto"/>
        </w:rPr>
        <w:t>Term Incentive Bonuses are to be paid, the making of any representations or agreements that the Committee may deem necessary or advisable in order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288925</wp:posOffset>
            </wp:positionV>
            <wp:extent cx="729424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51" w:name="page52"/>
    <w:bookmarkEnd w:id="51"/>
    <w:p>
      <w:pPr>
        <w:ind w:left="880"/>
        <w:spacing w:after="0"/>
        <w:rPr>
          <w:sz w:val="20"/>
          <w:szCs w:val="20"/>
          <w:color w:val="auto"/>
        </w:rPr>
      </w:pPr>
      <w:r>
        <w:rPr>
          <w:rFonts w:ascii="Arial" w:cs="Arial" w:eastAsia="Arial" w:hAnsi="Arial"/>
          <w:sz w:val="17"/>
          <w:szCs w:val="17"/>
          <w:color w:val="auto"/>
        </w:rPr>
        <w:t>the Corporation to comply with the securities laws of the United States of America or of any state or any rule or regulation thereunder;</w:t>
      </w:r>
    </w:p>
    <w:p>
      <w:pPr>
        <w:spacing w:after="0" w:line="231"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to provide for satisfaction of an Eligible Officer’s tax liabilities arising in connection with this Plan; and</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to make all other determinations and take all other actions necessary or advisable for the administration of this Plan.</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Any determinations or actions made or taken by the Committee pursuant to this Section 2 will be binding and final.</w:t>
      </w:r>
    </w:p>
    <w:p>
      <w:pPr>
        <w:spacing w:after="0" w:line="215" w:lineRule="exact"/>
        <w:rPr>
          <w:sz w:val="20"/>
          <w:szCs w:val="20"/>
          <w:color w:val="auto"/>
        </w:rPr>
      </w:pPr>
    </w:p>
    <w:p>
      <w:pPr>
        <w:ind w:firstLine="973"/>
        <w:spacing w:after="0" w:line="234" w:lineRule="exact"/>
        <w:rPr>
          <w:sz w:val="20"/>
          <w:szCs w:val="20"/>
          <w:color w:val="auto"/>
        </w:rPr>
      </w:pPr>
      <w:r>
        <w:rPr>
          <w:rFonts w:ascii="Arial" w:cs="Arial" w:eastAsia="Arial" w:hAnsi="Arial"/>
          <w:sz w:val="19"/>
          <w:szCs w:val="19"/>
          <w:b w:val="1"/>
          <w:bCs w:val="1"/>
          <w:color w:val="auto"/>
        </w:rPr>
        <w:t>Eligibility</w:t>
      </w:r>
      <w:r>
        <w:rPr>
          <w:rFonts w:ascii="Arial" w:cs="Arial" w:eastAsia="Arial" w:hAnsi="Arial"/>
          <w:sz w:val="19"/>
          <w:szCs w:val="19"/>
          <w:color w:val="auto"/>
        </w:rPr>
        <w:t>. The individuals holding the following executive officer positions of the Corporation on the Effective Date shall be eligible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Short</w:t>
      </w:r>
      <w:r>
        <w:rPr>
          <w:rFonts w:ascii="MS PGothic" w:cs="MS PGothic" w:eastAsia="MS PGothic" w:hAnsi="MS PGothic"/>
          <w:sz w:val="19"/>
          <w:szCs w:val="19"/>
          <w:color w:val="auto"/>
        </w:rPr>
        <w:t>‑</w:t>
      </w:r>
      <w:r>
        <w:rPr>
          <w:rFonts w:ascii="Arial" w:cs="Arial" w:eastAsia="Arial" w:hAnsi="Arial"/>
          <w:sz w:val="19"/>
          <w:szCs w:val="19"/>
          <w:color w:val="auto"/>
        </w:rPr>
        <w:t>Term Incentive Bonuses under this Plan:</w:t>
      </w:r>
    </w:p>
    <w:p>
      <w:pPr>
        <w:spacing w:after="0" w:line="186"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President and Chief Executive Officer;</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Executive Vice President and Chief Financial Officer;</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Executive Vice President and General Counsel;</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President of Uniti Towers;</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President - Sales and Business Development of Uniti Fiber;</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President - Infrastructure &amp; Operations of Uniti Fiber; and</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Senior Vice President – Chief Technology Officer.</w:t>
      </w:r>
    </w:p>
    <w:p>
      <w:pPr>
        <w:spacing w:after="0" w:line="202" w:lineRule="exact"/>
        <w:rPr>
          <w:sz w:val="20"/>
          <w:szCs w:val="20"/>
          <w:color w:val="auto"/>
        </w:rPr>
      </w:pPr>
    </w:p>
    <w:p>
      <w:pPr>
        <w:jc w:val="both"/>
        <w:ind w:right="240" w:firstLine="973"/>
        <w:spacing w:after="0" w:line="229" w:lineRule="exact"/>
        <w:rPr>
          <w:sz w:val="20"/>
          <w:szCs w:val="20"/>
          <w:color w:val="auto"/>
        </w:rPr>
      </w:pPr>
      <w:r>
        <w:rPr>
          <w:rFonts w:ascii="Arial" w:cs="Arial" w:eastAsia="Arial" w:hAnsi="Arial"/>
          <w:sz w:val="19"/>
          <w:szCs w:val="19"/>
          <w:b w:val="1"/>
          <w:bCs w:val="1"/>
          <w:color w:val="auto"/>
        </w:rPr>
        <w:t>Short</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Term Incentive Bonuses</w:t>
      </w:r>
      <w:r>
        <w:rPr>
          <w:rFonts w:ascii="Arial" w:cs="Arial" w:eastAsia="Arial" w:hAnsi="Arial"/>
          <w:sz w:val="19"/>
          <w:szCs w:val="19"/>
          <w:color w:val="auto"/>
        </w:rPr>
        <w:t>. Short</w:t>
      </w:r>
      <w:r>
        <w:rPr>
          <w:rFonts w:ascii="MS PGothic" w:cs="MS PGothic" w:eastAsia="MS PGothic" w:hAnsi="MS PGothic"/>
          <w:sz w:val="19"/>
          <w:szCs w:val="19"/>
          <w:color w:val="auto"/>
        </w:rPr>
        <w:t>‑</w:t>
      </w:r>
      <w:r>
        <w:rPr>
          <w:rFonts w:ascii="Arial" w:cs="Arial" w:eastAsia="Arial" w:hAnsi="Arial"/>
          <w:sz w:val="19"/>
          <w:szCs w:val="19"/>
          <w:color w:val="auto"/>
        </w:rPr>
        <w:t>Term Incentive Bonuses shall be awarded to the Eligible Officers as set forth in this Section 4</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Plan. Short-Term Incentive Bonuses shall be payable in cash upon the attainment of the criteria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as the Committee shall determine, in its sole discretion.</w:t>
      </w:r>
    </w:p>
    <w:p>
      <w:pPr>
        <w:spacing w:after="0" w:line="176" w:lineRule="exact"/>
        <w:rPr>
          <w:sz w:val="20"/>
          <w:szCs w:val="20"/>
          <w:color w:val="auto"/>
        </w:rPr>
      </w:pPr>
    </w:p>
    <w:p>
      <w:pPr>
        <w:ind w:right="140" w:firstLine="978"/>
        <w:spacing w:after="0" w:line="238" w:lineRule="exact"/>
        <w:rPr>
          <w:sz w:val="20"/>
          <w:szCs w:val="20"/>
          <w:color w:val="auto"/>
        </w:rPr>
      </w:pPr>
      <w:r>
        <w:rPr>
          <w:rFonts w:ascii="Arial" w:cs="Arial" w:eastAsia="Arial" w:hAnsi="Arial"/>
          <w:sz w:val="21"/>
          <w:szCs w:val="21"/>
          <w:b w:val="1"/>
          <w:bCs w:val="1"/>
          <w:color w:val="auto"/>
        </w:rPr>
        <w:t>Termination or Amendment</w:t>
      </w:r>
      <w:r>
        <w:rPr>
          <w:rFonts w:ascii="Arial" w:cs="Arial" w:eastAsia="Arial" w:hAnsi="Arial"/>
          <w:sz w:val="21"/>
          <w:szCs w:val="21"/>
          <w:color w:val="auto"/>
        </w:rPr>
        <w:t>. The Committee or Board may amend or terminate this Plan in any respect at any time.</w:t>
      </w:r>
      <w:r>
        <w:rPr>
          <w:rFonts w:ascii="Arial" w:cs="Arial" w:eastAsia="Arial" w:hAnsi="Arial"/>
          <w:sz w:val="21"/>
          <w:szCs w:val="21"/>
          <w:b w:val="1"/>
          <w:bCs w:val="1"/>
          <w:color w:val="auto"/>
        </w:rPr>
        <w:t xml:space="preserve"> </w:t>
      </w:r>
      <w:r>
        <w:rPr>
          <w:rFonts w:ascii="Arial" w:cs="Arial" w:eastAsia="Arial" w:hAnsi="Arial"/>
          <w:sz w:val="18"/>
          <w:szCs w:val="18"/>
          <w:color w:val="auto"/>
        </w:rPr>
        <w:t xml:space="preserve">Committee or Board </w:t>
      </w:r>
      <w:r>
        <w:rPr>
          <w:rFonts w:ascii="Arial" w:cs="Arial" w:eastAsia="Arial" w:hAnsi="Arial"/>
          <w:sz w:val="20"/>
          <w:szCs w:val="20"/>
          <w:color w:val="auto"/>
        </w:rPr>
        <w:t>approval must be accompanied by (a) stockholder approval in those cases in which amendment requires stockholder</w:t>
      </w:r>
      <w:r>
        <w:rPr>
          <w:rFonts w:ascii="Arial" w:cs="Arial" w:eastAsia="Arial" w:hAnsi="Arial"/>
          <w:sz w:val="18"/>
          <w:szCs w:val="18"/>
          <w:color w:val="auto"/>
        </w:rPr>
        <w:t xml:space="preserve"> </w:t>
      </w:r>
      <w:r>
        <w:rPr>
          <w:rFonts w:ascii="Arial" w:cs="Arial" w:eastAsia="Arial" w:hAnsi="Arial"/>
          <w:sz w:val="20"/>
          <w:szCs w:val="20"/>
          <w:color w:val="auto"/>
        </w:rPr>
        <w:t>approval under applicable law or regulations or the requirements of the principal exchange or interdealer quotation system on which the shares of common stock of the Corporation are listed or quoted, and (b) affected Eligible Officer approval if the amendment or termination would adversely affect the holder’s rights under any outstanding grants or Awards. The Short</w:t>
      </w:r>
      <w:r>
        <w:rPr>
          <w:rFonts w:ascii="MS PGothic" w:cs="MS PGothic" w:eastAsia="MS PGothic" w:hAnsi="MS PGothic"/>
          <w:sz w:val="20"/>
          <w:szCs w:val="20"/>
          <w:color w:val="auto"/>
        </w:rPr>
        <w:t>‑</w:t>
      </w:r>
      <w:r>
        <w:rPr>
          <w:rFonts w:ascii="Arial" w:cs="Arial" w:eastAsia="Arial" w:hAnsi="Arial"/>
          <w:sz w:val="20"/>
          <w:szCs w:val="20"/>
          <w:color w:val="auto"/>
        </w:rPr>
        <w:t>Term Incentive Bonus provisions may be wholly or partially amended or otherwise modified, suspended or terminated at any time or from time to time by the Committee or the Board.</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Effectiveness of this Plan</w:t>
      </w:r>
      <w:r>
        <w:rPr>
          <w:rFonts w:ascii="Arial" w:cs="Arial" w:eastAsia="Arial" w:hAnsi="Arial"/>
          <w:sz w:val="17"/>
          <w:szCs w:val="17"/>
          <w:color w:val="auto"/>
        </w:rPr>
        <w:t>. This Plan is effective as of the Effective Date which is the date of adoption of this Plan by the Committee.</w:t>
      </w:r>
    </w:p>
    <w:p>
      <w:pPr>
        <w:spacing w:after="0" w:line="231" w:lineRule="exact"/>
        <w:rPr>
          <w:sz w:val="20"/>
          <w:szCs w:val="20"/>
          <w:color w:val="auto"/>
        </w:rPr>
      </w:pPr>
    </w:p>
    <w:p>
      <w:pPr>
        <w:ind w:left="980"/>
        <w:spacing w:after="0"/>
        <w:rPr>
          <w:sz w:val="20"/>
          <w:szCs w:val="20"/>
          <w:color w:val="auto"/>
        </w:rPr>
      </w:pPr>
      <w:r>
        <w:rPr>
          <w:rFonts w:ascii="Arial" w:cs="Arial" w:eastAsia="Arial" w:hAnsi="Arial"/>
          <w:sz w:val="19"/>
          <w:szCs w:val="19"/>
          <w:b w:val="1"/>
          <w:bCs w:val="1"/>
          <w:color w:val="auto"/>
        </w:rPr>
        <w:t>Term of this Plan</w:t>
      </w:r>
      <w:r>
        <w:rPr>
          <w:rFonts w:ascii="Arial" w:cs="Arial" w:eastAsia="Arial" w:hAnsi="Arial"/>
          <w:sz w:val="19"/>
          <w:szCs w:val="19"/>
          <w:color w:val="auto"/>
        </w:rPr>
        <w:t>. This Plan will terminate on the date all benefits anticipated by this Plan have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306070</wp:posOffset>
            </wp:positionV>
            <wp:extent cx="729424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52" w:name="page53"/>
    <w:bookmarkEnd w:id="52"/>
    <w:p>
      <w:pPr>
        <w:ind w:firstLine="973"/>
        <w:spacing w:after="0" w:line="246" w:lineRule="auto"/>
        <w:rPr>
          <w:sz w:val="20"/>
          <w:szCs w:val="20"/>
          <w:color w:val="auto"/>
        </w:rPr>
      </w:pPr>
      <w:r>
        <w:rPr>
          <w:rFonts w:ascii="Arial" w:cs="Arial" w:eastAsia="Arial" w:hAnsi="Arial"/>
          <w:sz w:val="19"/>
          <w:szCs w:val="19"/>
          <w:b w:val="1"/>
          <w:bCs w:val="1"/>
          <w:color w:val="auto"/>
        </w:rPr>
        <w:t>Indemnification of Committee</w:t>
      </w:r>
      <w:r>
        <w:rPr>
          <w:rFonts w:ascii="Arial" w:cs="Arial" w:eastAsia="Arial" w:hAnsi="Arial"/>
          <w:sz w:val="19"/>
          <w:szCs w:val="19"/>
          <w:color w:val="auto"/>
        </w:rPr>
        <w:t>. In addition to such other rights of indemnification as they may have as directors of the Corporation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as members of the Committee, the members of the Committee will be indemnified by the Corporation against the reasonable expenses, including attorneys’ fees, actually and reasonably incurred in connection with the defense of any action, suit or proceeding, or in connection with any appeal therein, to which they or any of them may be a party by reason of any action taken or failure to act under or in connection with this Plan or any grant or Award hereunder, and against all amounts reasonably paid by them in settlement thereof or paid by them in satisfaction of a judgment in any such action, suit or proceeding, if such members acted in good faith and in a manner that they believed to be in, and not opposed to, the best interests of the Corporation.</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9"/>
          <w:szCs w:val="19"/>
          <w:b w:val="1"/>
          <w:bCs w:val="1"/>
          <w:color w:val="auto"/>
        </w:rPr>
        <w:t>General Provisions</w:t>
      </w:r>
      <w:r>
        <w:rPr>
          <w:rFonts w:ascii="Arial" w:cs="Arial" w:eastAsia="Arial" w:hAnsi="Arial"/>
          <w:sz w:val="19"/>
          <w:szCs w:val="19"/>
          <w:color w:val="auto"/>
        </w:rPr>
        <w:t>.</w:t>
      </w:r>
    </w:p>
    <w:p>
      <w:pPr>
        <w:spacing w:after="0" w:line="214" w:lineRule="exact"/>
        <w:rPr>
          <w:sz w:val="20"/>
          <w:szCs w:val="20"/>
          <w:color w:val="auto"/>
        </w:rPr>
      </w:pPr>
    </w:p>
    <w:p>
      <w:pPr>
        <w:ind w:left="880" w:right="20" w:firstLine="811"/>
        <w:spacing w:after="0" w:line="253" w:lineRule="auto"/>
        <w:rPr>
          <w:sz w:val="20"/>
          <w:szCs w:val="20"/>
          <w:color w:val="auto"/>
        </w:rPr>
      </w:pPr>
      <w:r>
        <w:rPr>
          <w:rFonts w:ascii="Arial" w:cs="Arial" w:eastAsia="Arial" w:hAnsi="Arial"/>
          <w:sz w:val="19"/>
          <w:szCs w:val="19"/>
          <w:color w:val="auto"/>
        </w:rPr>
        <w:t>The establishment of this Plan will not confer upon any Eligible Officer or Employee, any legal or equitable right against the Corporation, any Subsidiary or the Committee, except as expressly provided in this Plan or employment agreement of the Eligible Officer, if any.</w:t>
      </w:r>
    </w:p>
    <w:p>
      <w:pPr>
        <w:spacing w:after="0" w:line="175" w:lineRule="exact"/>
        <w:rPr>
          <w:sz w:val="20"/>
          <w:szCs w:val="20"/>
          <w:color w:val="auto"/>
        </w:rPr>
      </w:pPr>
    </w:p>
    <w:p>
      <w:pPr>
        <w:ind w:left="880" w:right="160" w:firstLine="811"/>
        <w:spacing w:after="0" w:line="274" w:lineRule="auto"/>
        <w:rPr>
          <w:sz w:val="20"/>
          <w:szCs w:val="20"/>
          <w:color w:val="auto"/>
        </w:rPr>
      </w:pPr>
      <w:r>
        <w:rPr>
          <w:rFonts w:ascii="Arial" w:cs="Arial" w:eastAsia="Arial" w:hAnsi="Arial"/>
          <w:sz w:val="18"/>
          <w:szCs w:val="18"/>
          <w:color w:val="auto"/>
        </w:rPr>
        <w:t>This Plan does not constitute inducement or consideration for the employment of any Employee, nor is it a contract of employment between the Corporation or any Subsidiary and any Employee. Participation in this Plan, or the receipt of a grant or Award hereunder, will not give an Employee any right to be retained in the service of the Corporation or any Subsidiary.</w:t>
      </w:r>
    </w:p>
    <w:p>
      <w:pPr>
        <w:spacing w:after="0" w:line="157" w:lineRule="exact"/>
        <w:rPr>
          <w:sz w:val="20"/>
          <w:szCs w:val="20"/>
          <w:color w:val="auto"/>
        </w:rPr>
      </w:pPr>
    </w:p>
    <w:p>
      <w:pPr>
        <w:ind w:left="880" w:right="200" w:firstLine="811"/>
        <w:spacing w:after="0" w:line="265" w:lineRule="auto"/>
        <w:rPr>
          <w:sz w:val="20"/>
          <w:szCs w:val="20"/>
          <w:color w:val="auto"/>
        </w:rPr>
      </w:pPr>
      <w:r>
        <w:rPr>
          <w:rFonts w:ascii="Arial" w:cs="Arial" w:eastAsia="Arial" w:hAnsi="Arial"/>
          <w:sz w:val="19"/>
          <w:szCs w:val="19"/>
          <w:color w:val="auto"/>
        </w:rPr>
        <w:t>The interests of any Employee under this Plan are not subject to the claims of creditors and may not, in any way, be assigned, alienated or encumbered except as otherwise provided herein.</w:t>
      </w:r>
    </w:p>
    <w:p>
      <w:pPr>
        <w:spacing w:after="0" w:line="164" w:lineRule="exact"/>
        <w:rPr>
          <w:sz w:val="20"/>
          <w:szCs w:val="20"/>
          <w:color w:val="auto"/>
        </w:rPr>
      </w:pPr>
    </w:p>
    <w:p>
      <w:pPr>
        <w:ind w:left="880" w:firstLine="811"/>
        <w:spacing w:after="0" w:line="249" w:lineRule="auto"/>
        <w:rPr>
          <w:sz w:val="20"/>
          <w:szCs w:val="20"/>
          <w:color w:val="auto"/>
        </w:rPr>
      </w:pPr>
      <w:r>
        <w:rPr>
          <w:rFonts w:ascii="Arial" w:cs="Arial" w:eastAsia="Arial" w:hAnsi="Arial"/>
          <w:sz w:val="19"/>
          <w:szCs w:val="19"/>
          <w:color w:val="auto"/>
        </w:rPr>
        <w:t>The Corporation may withhold any federal, state or local taxes required with respect to any distribution under this Plan. The Employee shall take whatever action the Committee deems appropriate with respect to withholding of taxes, including, but not limited to, the Employee remitting to the Corporation any taxes required to be withheld by the Corporation under federal, state or local law as a result of the distribution.</w:t>
      </w:r>
    </w:p>
    <w:p>
      <w:pPr>
        <w:spacing w:after="0" w:line="179" w:lineRule="exact"/>
        <w:rPr>
          <w:sz w:val="20"/>
          <w:szCs w:val="20"/>
          <w:color w:val="auto"/>
        </w:rPr>
      </w:pPr>
    </w:p>
    <w:p>
      <w:pPr>
        <w:jc w:val="both"/>
        <w:ind w:left="880" w:right="20" w:firstLine="811"/>
        <w:spacing w:after="0" w:line="274" w:lineRule="auto"/>
        <w:rPr>
          <w:sz w:val="20"/>
          <w:szCs w:val="20"/>
          <w:color w:val="auto"/>
        </w:rPr>
      </w:pPr>
      <w:r>
        <w:rPr>
          <w:rFonts w:ascii="Arial" w:cs="Arial" w:eastAsia="Arial" w:hAnsi="Arial"/>
          <w:sz w:val="18"/>
          <w:szCs w:val="18"/>
          <w:color w:val="auto"/>
        </w:rPr>
        <w:t>Notwithstanding anything contained herein to the contrary, this Plan shall be administered and operated in accordance with any applicable laws and regulations, including, but not limited to, Section 409A of the Code. The Corporation reserves the right to amend this Plan at any time in order for this Plan to comply with any such laws and regulations.</w:t>
      </w:r>
    </w:p>
    <w:p>
      <w:pPr>
        <w:spacing w:after="0" w:line="157"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This Plan will be governed, construed and administered in accordance with the laws of Maryland.</w:t>
      </w:r>
    </w:p>
    <w:p>
      <w:pPr>
        <w:spacing w:after="0" w:line="208" w:lineRule="exact"/>
        <w:rPr>
          <w:sz w:val="20"/>
          <w:szCs w:val="20"/>
          <w:color w:val="auto"/>
        </w:rPr>
      </w:pPr>
    </w:p>
    <w:p>
      <w:pPr>
        <w:ind w:left="880" w:right="660" w:firstLine="811"/>
        <w:spacing w:after="0" w:line="293" w:lineRule="auto"/>
        <w:rPr>
          <w:sz w:val="20"/>
          <w:szCs w:val="20"/>
          <w:color w:val="auto"/>
        </w:rPr>
      </w:pPr>
      <w:r>
        <w:rPr>
          <w:rFonts w:ascii="Arial" w:cs="Arial" w:eastAsia="Arial" w:hAnsi="Arial"/>
          <w:sz w:val="18"/>
          <w:szCs w:val="18"/>
          <w:color w:val="auto"/>
        </w:rPr>
        <w:t>If any provision of this Plan is held invalid or unenforceable, its invalidity or unenforceability shall not affect any other provisions of this Plan, and this Plan shall be construed and enforced as if such provision had not been included.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left blank</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810895</wp:posOffset>
            </wp:positionV>
            <wp:extent cx="729424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53" w:name="page54"/>
    <w:bookmarkEnd w:id="53"/>
    <w:p>
      <w:pPr>
        <w:ind w:right="400" w:firstLine="878"/>
        <w:spacing w:after="0" w:line="265" w:lineRule="auto"/>
        <w:rPr>
          <w:sz w:val="20"/>
          <w:szCs w:val="20"/>
          <w:color w:val="auto"/>
        </w:rPr>
      </w:pPr>
      <w:r>
        <w:rPr>
          <w:rFonts w:ascii="Arial" w:cs="Arial" w:eastAsia="Arial" w:hAnsi="Arial"/>
          <w:sz w:val="19"/>
          <w:szCs w:val="19"/>
          <w:color w:val="auto"/>
        </w:rPr>
        <w:t>IN WITNESS WHEREOF, the Corporation, by its duly authorized officer, has executed this Plan on the Effective Date as first set forth above and as duly authorized by the Committee.</w:t>
      </w:r>
    </w:p>
    <w:p>
      <w:pPr>
        <w:spacing w:after="0" w:line="200" w:lineRule="exact"/>
        <w:rPr>
          <w:sz w:val="20"/>
          <w:szCs w:val="20"/>
          <w:color w:val="auto"/>
        </w:rPr>
      </w:pPr>
    </w:p>
    <w:p>
      <w:pPr>
        <w:spacing w:after="0" w:line="338"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UNITI GROUP INC.</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5720" w:type="dxa"/>
        <w:tblCellMar>
          <w:top w:w="0" w:type="dxa"/>
          <w:left w:w="0" w:type="dxa"/>
          <w:bottom w:w="0" w:type="dxa"/>
          <w:right w:w="0" w:type="dxa"/>
        </w:tblCellMar>
      </w:tblPr>
      <w:tr>
        <w:trPr>
          <w:trHeight w:val="218"/>
        </w:trPr>
        <w:tc>
          <w:tcPr>
            <w:tcW w:w="860" w:type="dxa"/>
            <w:vAlign w:val="bottom"/>
          </w:tcPr>
          <w:p>
            <w:pPr>
              <w:spacing w:after="0"/>
              <w:rPr>
                <w:sz w:val="20"/>
                <w:szCs w:val="20"/>
                <w:color w:val="auto"/>
              </w:rPr>
            </w:pPr>
            <w:r>
              <w:rPr>
                <w:rFonts w:ascii="Arial" w:cs="Arial" w:eastAsia="Arial" w:hAnsi="Arial"/>
                <w:sz w:val="19"/>
                <w:szCs w:val="19"/>
                <w:color w:val="auto"/>
              </w:rPr>
              <w:t>By:</w:t>
            </w:r>
          </w:p>
        </w:tc>
        <w:tc>
          <w:tcPr>
            <w:tcW w:w="940" w:type="dxa"/>
            <w:vAlign w:val="bottom"/>
          </w:tcPr>
          <w:p>
            <w:pPr>
              <w:spacing w:after="0"/>
              <w:rPr>
                <w:sz w:val="18"/>
                <w:szCs w:val="18"/>
                <w:color w:val="auto"/>
              </w:rPr>
            </w:pPr>
          </w:p>
        </w:tc>
        <w:tc>
          <w:tcPr>
            <w:tcW w:w="4000" w:type="dxa"/>
            <w:vAlign w:val="bottom"/>
            <w:gridSpan w:val="3"/>
          </w:tcPr>
          <w:p>
            <w:pPr>
              <w:ind w:left="3480"/>
              <w:spacing w:after="0"/>
              <w:rPr>
                <w:sz w:val="20"/>
                <w:szCs w:val="20"/>
                <w:color w:val="auto"/>
              </w:rPr>
            </w:pPr>
            <w:r>
              <w:rPr>
                <w:rFonts w:ascii="Arial" w:cs="Arial" w:eastAsia="Arial" w:hAnsi="Arial"/>
                <w:sz w:val="19"/>
                <w:szCs w:val="19"/>
                <w:color w:val="auto"/>
              </w:rPr>
              <w:t>/s/</w:t>
            </w:r>
          </w:p>
        </w:tc>
      </w:tr>
      <w:tr>
        <w:trPr>
          <w:trHeight w:val="200"/>
        </w:trPr>
        <w:tc>
          <w:tcPr>
            <w:tcW w:w="5280" w:type="dxa"/>
            <w:vAlign w:val="bottom"/>
            <w:gridSpan w:val="3"/>
          </w:tcPr>
          <w:p>
            <w:pPr>
              <w:spacing w:after="0" w:line="200" w:lineRule="exact"/>
              <w:rPr>
                <w:sz w:val="20"/>
                <w:szCs w:val="20"/>
                <w:color w:val="auto"/>
              </w:rPr>
            </w:pPr>
            <w:r>
              <w:rPr>
                <w:rFonts w:ascii="Arial" w:cs="Arial" w:eastAsia="Arial" w:hAnsi="Arial"/>
                <w:sz w:val="19"/>
                <w:szCs w:val="19"/>
                <w:color w:val="auto"/>
              </w:rPr>
              <w:t>Kenneth A. Gunderman</w:t>
            </w:r>
          </w:p>
        </w:tc>
        <w:tc>
          <w:tcPr>
            <w:tcW w:w="1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r>
      <w:tr>
        <w:trPr>
          <w:trHeight w:val="222"/>
        </w:trPr>
        <w:tc>
          <w:tcPr>
            <w:tcW w:w="860" w:type="dxa"/>
            <w:vAlign w:val="bottom"/>
          </w:tcPr>
          <w:p>
            <w:pPr>
              <w:spacing w:after="0"/>
              <w:rPr>
                <w:sz w:val="20"/>
                <w:szCs w:val="20"/>
                <w:color w:val="auto"/>
              </w:rPr>
            </w:pPr>
            <w:r>
              <w:rPr>
                <w:rFonts w:ascii="Arial" w:cs="Arial" w:eastAsia="Arial" w:hAnsi="Arial"/>
                <w:sz w:val="19"/>
                <w:szCs w:val="19"/>
                <w:color w:val="auto"/>
              </w:rPr>
              <w:t>Name:</w:t>
            </w:r>
          </w:p>
        </w:tc>
        <w:tc>
          <w:tcPr>
            <w:tcW w:w="4940" w:type="dxa"/>
            <w:vAlign w:val="bottom"/>
            <w:gridSpan w:val="4"/>
          </w:tcPr>
          <w:p>
            <w:pPr>
              <w:ind w:left="360"/>
              <w:spacing w:after="0"/>
              <w:rPr>
                <w:sz w:val="20"/>
                <w:szCs w:val="20"/>
                <w:color w:val="auto"/>
              </w:rPr>
            </w:pPr>
            <w:r>
              <w:rPr>
                <w:rFonts w:ascii="Arial" w:cs="Arial" w:eastAsia="Arial" w:hAnsi="Arial"/>
                <w:sz w:val="19"/>
                <w:szCs w:val="19"/>
                <w:color w:val="auto"/>
              </w:rPr>
              <w:t>Kenneth A. Gunderman</w:t>
            </w:r>
          </w:p>
        </w:tc>
      </w:tr>
      <w:tr>
        <w:trPr>
          <w:trHeight w:val="236"/>
        </w:trPr>
        <w:tc>
          <w:tcPr>
            <w:tcW w:w="860" w:type="dxa"/>
            <w:vAlign w:val="bottom"/>
          </w:tcPr>
          <w:p>
            <w:pPr>
              <w:spacing w:after="0"/>
              <w:rPr>
                <w:sz w:val="20"/>
                <w:szCs w:val="20"/>
                <w:color w:val="auto"/>
              </w:rPr>
            </w:pPr>
            <w:r>
              <w:rPr>
                <w:rFonts w:ascii="Arial" w:cs="Arial" w:eastAsia="Arial" w:hAnsi="Arial"/>
                <w:sz w:val="19"/>
                <w:szCs w:val="19"/>
                <w:color w:val="auto"/>
              </w:rPr>
              <w:t>Title:</w:t>
            </w:r>
          </w:p>
        </w:tc>
        <w:tc>
          <w:tcPr>
            <w:tcW w:w="9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20" w:type="dxa"/>
            <w:vAlign w:val="bottom"/>
            <w:gridSpan w:val="2"/>
          </w:tcPr>
          <w:p>
            <w:pPr>
              <w:ind w:left="80"/>
              <w:spacing w:after="0"/>
              <w:rPr>
                <w:sz w:val="20"/>
                <w:szCs w:val="20"/>
                <w:color w:val="auto"/>
              </w:rPr>
            </w:pPr>
            <w:r>
              <w:rPr>
                <w:rFonts w:ascii="Arial" w:cs="Arial" w:eastAsia="Arial" w:hAnsi="Arial"/>
                <w:sz w:val="19"/>
                <w:szCs w:val="19"/>
                <w:color w:val="auto"/>
                <w:w w:val="77"/>
              </w:rPr>
              <w:t>Presid</w:t>
            </w:r>
          </w:p>
        </w:tc>
      </w:tr>
    </w:tbl>
    <w:p>
      <w:pPr>
        <w:ind w:left="5720"/>
        <w:spacing w:after="0"/>
        <w:rPr>
          <w:sz w:val="20"/>
          <w:szCs w:val="20"/>
          <w:color w:val="auto"/>
        </w:rPr>
      </w:pPr>
      <w:r>
        <w:rPr>
          <w:rFonts w:ascii="Arial" w:cs="Arial" w:eastAsia="Arial" w:hAnsi="Arial"/>
          <w:sz w:val="19"/>
          <w:szCs w:val="19"/>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431800</wp:posOffset>
            </wp:positionV>
            <wp:extent cx="729424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520"/>
          </w:cols>
          <w:pgMar w:left="240" w:top="342" w:right="139" w:bottom="1440" w:gutter="0" w:footer="0" w:header="0"/>
        </w:sectPr>
      </w:pPr>
    </w:p>
    <w:bookmarkStart w:id="54" w:name="page55"/>
    <w:bookmarkEnd w:id="54"/>
    <w:p>
      <w:pPr>
        <w:jc w:val="right"/>
        <w:spacing w:after="0"/>
        <w:rPr>
          <w:sz w:val="20"/>
          <w:szCs w:val="20"/>
          <w:color w:val="auto"/>
        </w:rPr>
      </w:pPr>
      <w:r>
        <w:rPr>
          <w:rFonts w:ascii="Arial" w:cs="Arial" w:eastAsia="Arial" w:hAnsi="Arial"/>
          <w:sz w:val="19"/>
          <w:szCs w:val="19"/>
          <w:b w:val="1"/>
          <w:bCs w:val="1"/>
          <w:u w:val="single" w:color="auto"/>
          <w:color w:val="auto"/>
        </w:rPr>
        <w:t>Exhibit A-1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9"/>
          <w:szCs w:val="19"/>
          <w:b w:val="1"/>
          <w:bCs w:val="1"/>
          <w:u w:val="single" w:color="auto"/>
          <w:color w:val="auto"/>
        </w:rPr>
        <w:t>2018 Short Term Incentive Plan</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Metrics applicable to Uniti Group Inc. CEO, CFO, GC and CTO:</w:t>
      </w:r>
    </w:p>
    <w:p>
      <w:pPr>
        <w:spacing w:after="0" w:line="221" w:lineRule="exact"/>
        <w:rPr>
          <w:sz w:val="20"/>
          <w:szCs w:val="20"/>
          <w:color w:val="auto"/>
        </w:rPr>
      </w:pPr>
    </w:p>
    <w:p>
      <w:pPr>
        <w:ind w:left="500" w:hanging="497"/>
        <w:spacing w:after="0"/>
        <w:tabs>
          <w:tab w:leader="none" w:pos="5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Consolidated 4Q18 Annualized AFFO</w:t>
      </w:r>
      <w:r>
        <w:rPr>
          <w:rFonts w:ascii="Arial" w:cs="Arial" w:eastAsia="Arial" w:hAnsi="Arial"/>
          <w:sz w:val="16"/>
          <w:szCs w:val="16"/>
          <w:color w:val="auto"/>
        </w:rPr>
        <w:t>(1)</w:t>
      </w:r>
      <w:r>
        <w:rPr>
          <w:rFonts w:ascii="Arial" w:cs="Arial" w:eastAsia="Arial" w:hAnsi="Arial"/>
          <w:sz w:val="19"/>
          <w:szCs w:val="19"/>
          <w:color w:val="auto"/>
        </w:rPr>
        <w:t xml:space="preserve"> (25% weight):</w:t>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340" w:type="dxa"/>
            <w:vAlign w:val="bottom"/>
            <w:tcBorders>
              <w:top w:val="single" w:sz="8" w:color="auto"/>
              <w:left w:val="single" w:sz="8" w:color="auto"/>
              <w:bottom w:val="single" w:sz="8" w:color="auto"/>
            </w:tcBorders>
            <w:shd w:val="clear" w:color="auto" w:fill="1F3864"/>
          </w:tcPr>
          <w:p>
            <w:pPr>
              <w:spacing w:after="0"/>
              <w:rPr>
                <w:sz w:val="19"/>
                <w:szCs w:val="19"/>
                <w:color w:val="auto"/>
              </w:rPr>
            </w:pPr>
          </w:p>
        </w:tc>
        <w:tc>
          <w:tcPr>
            <w:tcW w:w="3460" w:type="dxa"/>
            <w:vAlign w:val="bottom"/>
            <w:tcBorders>
              <w:top w:val="single" w:sz="8" w:color="auto"/>
              <w:bottom w:val="single" w:sz="8" w:color="auto"/>
              <w:right w:val="single" w:sz="8" w:color="1F3864"/>
            </w:tcBorders>
            <w:shd w:val="clear" w:color="auto" w:fill="1F3864"/>
          </w:tcPr>
          <w:p>
            <w:pPr>
              <w:jc w:val="center"/>
              <w:ind w:right="239"/>
              <w:spacing w:after="0" w:line="228" w:lineRule="exact"/>
              <w:rPr>
                <w:sz w:val="20"/>
                <w:szCs w:val="20"/>
                <w:color w:val="auto"/>
              </w:rPr>
            </w:pPr>
            <w:r>
              <w:rPr>
                <w:rFonts w:ascii="Arial" w:cs="Arial" w:eastAsia="Arial" w:hAnsi="Arial"/>
                <w:sz w:val="21"/>
                <w:szCs w:val="21"/>
                <w:color w:val="FFFFFF"/>
                <w:w w:val="89"/>
              </w:rPr>
              <w:t>Threshold</w:t>
            </w:r>
          </w:p>
        </w:tc>
        <w:tc>
          <w:tcPr>
            <w:tcW w:w="3820" w:type="dxa"/>
            <w:vAlign w:val="bottom"/>
            <w:tcBorders>
              <w:top w:val="single" w:sz="8" w:color="auto"/>
              <w:bottom w:val="single" w:sz="8" w:color="auto"/>
              <w:right w:val="single" w:sz="8" w:color="1F3864"/>
            </w:tcBorders>
            <w:shd w:val="clear" w:color="auto" w:fill="1F3864"/>
          </w:tcPr>
          <w:p>
            <w:pPr>
              <w:jc w:val="center"/>
              <w:spacing w:after="0" w:line="228" w:lineRule="exact"/>
              <w:rPr>
                <w:sz w:val="20"/>
                <w:szCs w:val="20"/>
                <w:color w:val="auto"/>
              </w:rPr>
            </w:pPr>
            <w:r>
              <w:rPr>
                <w:rFonts w:ascii="Arial" w:cs="Arial" w:eastAsia="Arial" w:hAnsi="Arial"/>
                <w:sz w:val="21"/>
                <w:szCs w:val="21"/>
                <w:color w:val="FFFFFF"/>
                <w:w w:val="85"/>
              </w:rPr>
              <w:t>Target</w:t>
            </w:r>
          </w:p>
        </w:tc>
        <w:tc>
          <w:tcPr>
            <w:tcW w:w="3820" w:type="dxa"/>
            <w:vAlign w:val="bottom"/>
            <w:tcBorders>
              <w:top w:val="single" w:sz="8" w:color="auto"/>
              <w:bottom w:val="single" w:sz="8" w:color="auto"/>
              <w:right w:val="single" w:sz="8" w:color="auto"/>
            </w:tcBorders>
            <w:shd w:val="clear" w:color="auto" w:fill="1F3864"/>
          </w:tcPr>
          <w:p>
            <w:pPr>
              <w:jc w:val="center"/>
              <w:spacing w:after="0" w:line="228" w:lineRule="exact"/>
              <w:rPr>
                <w:sz w:val="20"/>
                <w:szCs w:val="20"/>
                <w:color w:val="auto"/>
              </w:rPr>
            </w:pPr>
            <w:r>
              <w:rPr>
                <w:rFonts w:ascii="Arial" w:cs="Arial" w:eastAsia="Arial" w:hAnsi="Arial"/>
                <w:sz w:val="21"/>
                <w:szCs w:val="21"/>
                <w:color w:val="FFFFFF"/>
                <w:w w:val="88"/>
              </w:rPr>
              <w:t>Superior</w:t>
            </w:r>
          </w:p>
        </w:tc>
      </w:tr>
      <w:tr>
        <w:trPr>
          <w:trHeight w:val="225"/>
        </w:trPr>
        <w:tc>
          <w:tcPr>
            <w:tcW w:w="340" w:type="dxa"/>
            <w:vAlign w:val="bottom"/>
            <w:tcBorders>
              <w:left w:val="single" w:sz="8" w:color="auto"/>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tcPr>
          <w:p>
            <w:pPr>
              <w:jc w:val="center"/>
              <w:ind w:right="219"/>
              <w:spacing w:after="0" w:line="226" w:lineRule="exact"/>
              <w:rPr>
                <w:sz w:val="20"/>
                <w:szCs w:val="20"/>
                <w:color w:val="auto"/>
              </w:rPr>
            </w:pPr>
            <w:r>
              <w:rPr>
                <w:rFonts w:ascii="Arial" w:cs="Arial" w:eastAsia="Arial" w:hAnsi="Arial"/>
                <w:sz w:val="21"/>
                <w:szCs w:val="21"/>
                <w:color w:val="auto"/>
                <w:w w:val="94"/>
              </w:rPr>
              <w:t>$450 million</w:t>
            </w:r>
          </w:p>
        </w:tc>
        <w:tc>
          <w:tcPr>
            <w:tcW w:w="3820" w:type="dxa"/>
            <w:vAlign w:val="bottom"/>
            <w:tcBorders>
              <w:bottom w:val="single" w:sz="8" w:color="auto"/>
              <w:right w:val="single" w:sz="8" w:color="auto"/>
            </w:tcBorders>
          </w:tcPr>
          <w:p>
            <w:pPr>
              <w:jc w:val="center"/>
              <w:spacing w:after="0" w:line="226" w:lineRule="exact"/>
              <w:rPr>
                <w:sz w:val="20"/>
                <w:szCs w:val="20"/>
                <w:color w:val="auto"/>
              </w:rPr>
            </w:pPr>
            <w:r>
              <w:rPr>
                <w:rFonts w:ascii="Arial" w:cs="Arial" w:eastAsia="Arial" w:hAnsi="Arial"/>
                <w:sz w:val="21"/>
                <w:szCs w:val="21"/>
                <w:color w:val="auto"/>
                <w:w w:val="94"/>
              </w:rPr>
              <w:t>$458 million</w:t>
            </w:r>
          </w:p>
        </w:tc>
        <w:tc>
          <w:tcPr>
            <w:tcW w:w="3820" w:type="dxa"/>
            <w:vAlign w:val="bottom"/>
            <w:tcBorders>
              <w:bottom w:val="single" w:sz="8" w:color="auto"/>
              <w:right w:val="single" w:sz="8" w:color="auto"/>
            </w:tcBorders>
          </w:tcPr>
          <w:p>
            <w:pPr>
              <w:jc w:val="center"/>
              <w:spacing w:after="0" w:line="226" w:lineRule="exact"/>
              <w:rPr>
                <w:sz w:val="20"/>
                <w:szCs w:val="20"/>
                <w:color w:val="auto"/>
              </w:rPr>
            </w:pPr>
            <w:r>
              <w:rPr>
                <w:rFonts w:ascii="Arial" w:cs="Arial" w:eastAsia="Arial" w:hAnsi="Arial"/>
                <w:sz w:val="21"/>
                <w:szCs w:val="21"/>
                <w:color w:val="auto"/>
                <w:w w:val="94"/>
              </w:rPr>
              <w:t>$465 million</w:t>
            </w:r>
          </w:p>
        </w:tc>
      </w:tr>
      <w:tr>
        <w:trPr>
          <w:trHeight w:val="432"/>
        </w:trPr>
        <w:tc>
          <w:tcPr>
            <w:tcW w:w="3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B.</w:t>
            </w:r>
          </w:p>
        </w:tc>
        <w:tc>
          <w:tcPr>
            <w:tcW w:w="7280" w:type="dxa"/>
            <w:vAlign w:val="bottom"/>
            <w:tcBorders>
              <w:bottom w:val="single" w:sz="8" w:color="auto"/>
            </w:tcBorders>
            <w:gridSpan w:val="2"/>
          </w:tcPr>
          <w:p>
            <w:pPr>
              <w:ind w:left="140"/>
              <w:spacing w:after="0"/>
              <w:rPr>
                <w:sz w:val="20"/>
                <w:szCs w:val="20"/>
                <w:color w:val="auto"/>
              </w:rPr>
            </w:pPr>
            <w:r>
              <w:rPr>
                <w:rFonts w:ascii="Arial" w:cs="Arial" w:eastAsia="Arial" w:hAnsi="Arial"/>
                <w:sz w:val="19"/>
                <w:szCs w:val="19"/>
                <w:color w:val="auto"/>
              </w:rPr>
              <w:t>Consolidated 4Q18 Annualized Adjusted EBITDA</w:t>
            </w:r>
            <w:r>
              <w:rPr>
                <w:rFonts w:ascii="Arial" w:cs="Arial" w:eastAsia="Arial" w:hAnsi="Arial"/>
                <w:sz w:val="16"/>
                <w:szCs w:val="16"/>
                <w:color w:val="auto"/>
              </w:rPr>
              <w:t>(1)</w:t>
            </w:r>
            <w:r>
              <w:rPr>
                <w:rFonts w:ascii="Arial" w:cs="Arial" w:eastAsia="Arial" w:hAnsi="Arial"/>
                <w:sz w:val="19"/>
                <w:szCs w:val="19"/>
                <w:color w:val="auto"/>
              </w:rPr>
              <w:t xml:space="preserve"> (25% weight):</w:t>
            </w:r>
          </w:p>
        </w:tc>
        <w:tc>
          <w:tcPr>
            <w:tcW w:w="3820" w:type="dxa"/>
            <w:vAlign w:val="bottom"/>
            <w:tcBorders>
              <w:bottom w:val="single" w:sz="8" w:color="auto"/>
            </w:tcBorders>
          </w:tcPr>
          <w:p>
            <w:pPr>
              <w:spacing w:after="0"/>
              <w:rPr>
                <w:sz w:val="24"/>
                <w:szCs w:val="24"/>
                <w:color w:val="auto"/>
              </w:rPr>
            </w:pPr>
          </w:p>
        </w:tc>
      </w:tr>
      <w:tr>
        <w:trPr>
          <w:trHeight w:val="225"/>
        </w:trPr>
        <w:tc>
          <w:tcPr>
            <w:tcW w:w="340" w:type="dxa"/>
            <w:vAlign w:val="bottom"/>
            <w:tcBorders>
              <w:left w:val="single" w:sz="8" w:color="auto"/>
              <w:bottom w:val="single" w:sz="8" w:color="auto"/>
            </w:tcBorders>
            <w:shd w:val="clear" w:color="auto" w:fill="1F3864"/>
          </w:tcPr>
          <w:p>
            <w:pPr>
              <w:spacing w:after="0"/>
              <w:rPr>
                <w:sz w:val="19"/>
                <w:szCs w:val="19"/>
                <w:color w:val="auto"/>
              </w:rPr>
            </w:pPr>
          </w:p>
        </w:tc>
        <w:tc>
          <w:tcPr>
            <w:tcW w:w="3460" w:type="dxa"/>
            <w:vAlign w:val="bottom"/>
            <w:tcBorders>
              <w:bottom w:val="single" w:sz="8" w:color="auto"/>
              <w:right w:val="single" w:sz="8" w:color="1F3864"/>
            </w:tcBorders>
            <w:shd w:val="clear" w:color="auto" w:fill="1F3864"/>
          </w:tcPr>
          <w:p>
            <w:pPr>
              <w:jc w:val="center"/>
              <w:ind w:right="239"/>
              <w:spacing w:after="0" w:line="226" w:lineRule="exact"/>
              <w:rPr>
                <w:sz w:val="20"/>
                <w:szCs w:val="20"/>
                <w:color w:val="auto"/>
              </w:rPr>
            </w:pPr>
            <w:r>
              <w:rPr>
                <w:rFonts w:ascii="Arial" w:cs="Arial" w:eastAsia="Arial" w:hAnsi="Arial"/>
                <w:sz w:val="21"/>
                <w:szCs w:val="21"/>
                <w:color w:val="FFFFFF"/>
                <w:w w:val="89"/>
              </w:rPr>
              <w:t>Threshold</w:t>
            </w:r>
          </w:p>
        </w:tc>
        <w:tc>
          <w:tcPr>
            <w:tcW w:w="3820" w:type="dxa"/>
            <w:vAlign w:val="bottom"/>
            <w:tcBorders>
              <w:bottom w:val="single" w:sz="8" w:color="auto"/>
              <w:right w:val="single" w:sz="8" w:color="1F3864"/>
            </w:tcBorders>
            <w:shd w:val="clear" w:color="auto" w:fill="1F3864"/>
          </w:tcPr>
          <w:p>
            <w:pPr>
              <w:jc w:val="center"/>
              <w:spacing w:after="0" w:line="226" w:lineRule="exact"/>
              <w:rPr>
                <w:sz w:val="20"/>
                <w:szCs w:val="20"/>
                <w:color w:val="auto"/>
              </w:rPr>
            </w:pPr>
            <w:r>
              <w:rPr>
                <w:rFonts w:ascii="Arial" w:cs="Arial" w:eastAsia="Arial" w:hAnsi="Arial"/>
                <w:sz w:val="21"/>
                <w:szCs w:val="21"/>
                <w:color w:val="FFFFFF"/>
                <w:w w:val="85"/>
              </w:rPr>
              <w:t>Target</w:t>
            </w:r>
          </w:p>
        </w:tc>
        <w:tc>
          <w:tcPr>
            <w:tcW w:w="3820" w:type="dxa"/>
            <w:vAlign w:val="bottom"/>
            <w:tcBorders>
              <w:bottom w:val="single" w:sz="8" w:color="auto"/>
              <w:right w:val="single" w:sz="8" w:color="auto"/>
            </w:tcBorders>
            <w:shd w:val="clear" w:color="auto" w:fill="1F3864"/>
          </w:tcPr>
          <w:p>
            <w:pPr>
              <w:jc w:val="center"/>
              <w:spacing w:after="0" w:line="226" w:lineRule="exact"/>
              <w:rPr>
                <w:sz w:val="20"/>
                <w:szCs w:val="20"/>
                <w:color w:val="auto"/>
              </w:rPr>
            </w:pPr>
            <w:r>
              <w:rPr>
                <w:rFonts w:ascii="Arial" w:cs="Arial" w:eastAsia="Arial" w:hAnsi="Arial"/>
                <w:sz w:val="21"/>
                <w:szCs w:val="21"/>
                <w:color w:val="FFFFFF"/>
                <w:w w:val="88"/>
              </w:rPr>
              <w:t>Superior</w:t>
            </w:r>
          </w:p>
        </w:tc>
      </w:tr>
      <w:tr>
        <w:trPr>
          <w:trHeight w:val="225"/>
        </w:trPr>
        <w:tc>
          <w:tcPr>
            <w:tcW w:w="340" w:type="dxa"/>
            <w:vAlign w:val="bottom"/>
            <w:tcBorders>
              <w:left w:val="single" w:sz="8" w:color="auto"/>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tcPr>
          <w:p>
            <w:pPr>
              <w:jc w:val="center"/>
              <w:ind w:right="219"/>
              <w:spacing w:after="0" w:line="226" w:lineRule="exact"/>
              <w:rPr>
                <w:sz w:val="20"/>
                <w:szCs w:val="20"/>
                <w:color w:val="auto"/>
              </w:rPr>
            </w:pPr>
            <w:r>
              <w:rPr>
                <w:rFonts w:ascii="Arial" w:cs="Arial" w:eastAsia="Arial" w:hAnsi="Arial"/>
                <w:sz w:val="21"/>
                <w:szCs w:val="21"/>
                <w:color w:val="auto"/>
                <w:w w:val="94"/>
              </w:rPr>
              <w:t>$800 million</w:t>
            </w:r>
          </w:p>
        </w:tc>
        <w:tc>
          <w:tcPr>
            <w:tcW w:w="3820" w:type="dxa"/>
            <w:vAlign w:val="bottom"/>
            <w:tcBorders>
              <w:bottom w:val="single" w:sz="8" w:color="auto"/>
              <w:right w:val="single" w:sz="8" w:color="auto"/>
            </w:tcBorders>
          </w:tcPr>
          <w:p>
            <w:pPr>
              <w:jc w:val="center"/>
              <w:spacing w:after="0" w:line="226" w:lineRule="exact"/>
              <w:rPr>
                <w:sz w:val="20"/>
                <w:szCs w:val="20"/>
                <w:color w:val="auto"/>
              </w:rPr>
            </w:pPr>
            <w:r>
              <w:rPr>
                <w:rFonts w:ascii="Arial" w:cs="Arial" w:eastAsia="Arial" w:hAnsi="Arial"/>
                <w:sz w:val="21"/>
                <w:szCs w:val="21"/>
                <w:color w:val="auto"/>
                <w:w w:val="94"/>
              </w:rPr>
              <w:t>$814 million</w:t>
            </w:r>
          </w:p>
        </w:tc>
        <w:tc>
          <w:tcPr>
            <w:tcW w:w="3820" w:type="dxa"/>
            <w:vAlign w:val="bottom"/>
            <w:tcBorders>
              <w:bottom w:val="single" w:sz="8" w:color="auto"/>
              <w:right w:val="single" w:sz="8" w:color="auto"/>
            </w:tcBorders>
          </w:tcPr>
          <w:p>
            <w:pPr>
              <w:jc w:val="center"/>
              <w:spacing w:after="0" w:line="226" w:lineRule="exact"/>
              <w:rPr>
                <w:sz w:val="20"/>
                <w:szCs w:val="20"/>
                <w:color w:val="auto"/>
              </w:rPr>
            </w:pPr>
            <w:r>
              <w:rPr>
                <w:rFonts w:ascii="Arial" w:cs="Arial" w:eastAsia="Arial" w:hAnsi="Arial"/>
                <w:sz w:val="21"/>
                <w:szCs w:val="21"/>
                <w:color w:val="auto"/>
                <w:w w:val="94"/>
              </w:rPr>
              <w:t>$831 million</w:t>
            </w:r>
          </w:p>
        </w:tc>
      </w:tr>
      <w:tr>
        <w:trPr>
          <w:trHeight w:val="432"/>
        </w:trPr>
        <w:tc>
          <w:tcPr>
            <w:tcW w:w="3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C.</w:t>
            </w:r>
          </w:p>
        </w:tc>
        <w:tc>
          <w:tcPr>
            <w:tcW w:w="7280" w:type="dxa"/>
            <w:vAlign w:val="bottom"/>
            <w:tcBorders>
              <w:bottom w:val="single" w:sz="8" w:color="auto"/>
            </w:tcBorders>
            <w:gridSpan w:val="2"/>
          </w:tcPr>
          <w:p>
            <w:pPr>
              <w:ind w:left="140"/>
              <w:spacing w:after="0"/>
              <w:rPr>
                <w:sz w:val="20"/>
                <w:szCs w:val="20"/>
                <w:color w:val="auto"/>
              </w:rPr>
            </w:pPr>
            <w:r>
              <w:rPr>
                <w:rFonts w:ascii="Arial" w:cs="Arial" w:eastAsia="Arial" w:hAnsi="Arial"/>
                <w:sz w:val="19"/>
                <w:szCs w:val="19"/>
                <w:color w:val="auto"/>
                <w:w w:val="95"/>
              </w:rPr>
              <w:t>Cumulative revenue diversification</w:t>
            </w:r>
            <w:r>
              <w:rPr>
                <w:rFonts w:ascii="Arial" w:cs="Arial" w:eastAsia="Arial" w:hAnsi="Arial"/>
                <w:sz w:val="16"/>
                <w:szCs w:val="16"/>
                <w:color w:val="auto"/>
                <w:w w:val="95"/>
              </w:rPr>
              <w:t>(2)</w:t>
            </w:r>
            <w:r>
              <w:rPr>
                <w:rFonts w:ascii="Arial" w:cs="Arial" w:eastAsia="Arial" w:hAnsi="Arial"/>
                <w:sz w:val="19"/>
                <w:szCs w:val="19"/>
                <w:color w:val="auto"/>
                <w:w w:val="95"/>
              </w:rPr>
              <w:t xml:space="preserve"> based on 4Q18 Annualized Revenue (30% weight):</w:t>
            </w:r>
          </w:p>
        </w:tc>
        <w:tc>
          <w:tcPr>
            <w:tcW w:w="3820" w:type="dxa"/>
            <w:vAlign w:val="bottom"/>
            <w:tcBorders>
              <w:bottom w:val="single" w:sz="8" w:color="auto"/>
            </w:tcBorders>
          </w:tcPr>
          <w:p>
            <w:pPr>
              <w:spacing w:after="0"/>
              <w:rPr>
                <w:sz w:val="24"/>
                <w:szCs w:val="24"/>
                <w:color w:val="auto"/>
              </w:rPr>
            </w:pPr>
          </w:p>
        </w:tc>
      </w:tr>
      <w:tr>
        <w:trPr>
          <w:trHeight w:val="225"/>
        </w:trPr>
        <w:tc>
          <w:tcPr>
            <w:tcW w:w="340" w:type="dxa"/>
            <w:vAlign w:val="bottom"/>
            <w:tcBorders>
              <w:left w:val="single" w:sz="8" w:color="auto"/>
              <w:bottom w:val="single" w:sz="8" w:color="auto"/>
            </w:tcBorders>
            <w:shd w:val="clear" w:color="auto" w:fill="1F3864"/>
          </w:tcPr>
          <w:p>
            <w:pPr>
              <w:spacing w:after="0"/>
              <w:rPr>
                <w:sz w:val="19"/>
                <w:szCs w:val="19"/>
                <w:color w:val="auto"/>
              </w:rPr>
            </w:pPr>
          </w:p>
        </w:tc>
        <w:tc>
          <w:tcPr>
            <w:tcW w:w="3460" w:type="dxa"/>
            <w:vAlign w:val="bottom"/>
            <w:tcBorders>
              <w:bottom w:val="single" w:sz="8" w:color="auto"/>
              <w:right w:val="single" w:sz="8" w:color="1F3864"/>
            </w:tcBorders>
            <w:shd w:val="clear" w:color="auto" w:fill="1F3864"/>
          </w:tcPr>
          <w:p>
            <w:pPr>
              <w:jc w:val="center"/>
              <w:ind w:right="239"/>
              <w:spacing w:after="0" w:line="226" w:lineRule="exact"/>
              <w:rPr>
                <w:sz w:val="20"/>
                <w:szCs w:val="20"/>
                <w:color w:val="auto"/>
              </w:rPr>
            </w:pPr>
            <w:r>
              <w:rPr>
                <w:rFonts w:ascii="Arial" w:cs="Arial" w:eastAsia="Arial" w:hAnsi="Arial"/>
                <w:sz w:val="21"/>
                <w:szCs w:val="21"/>
                <w:color w:val="FFFFFF"/>
                <w:w w:val="89"/>
              </w:rPr>
              <w:t>Threshold</w:t>
            </w:r>
          </w:p>
        </w:tc>
        <w:tc>
          <w:tcPr>
            <w:tcW w:w="3820" w:type="dxa"/>
            <w:vAlign w:val="bottom"/>
            <w:tcBorders>
              <w:bottom w:val="single" w:sz="8" w:color="auto"/>
              <w:right w:val="single" w:sz="8" w:color="1F3864"/>
            </w:tcBorders>
            <w:shd w:val="clear" w:color="auto" w:fill="1F3864"/>
          </w:tcPr>
          <w:p>
            <w:pPr>
              <w:jc w:val="center"/>
              <w:spacing w:after="0" w:line="226" w:lineRule="exact"/>
              <w:rPr>
                <w:sz w:val="20"/>
                <w:szCs w:val="20"/>
                <w:color w:val="auto"/>
              </w:rPr>
            </w:pPr>
            <w:r>
              <w:rPr>
                <w:rFonts w:ascii="Arial" w:cs="Arial" w:eastAsia="Arial" w:hAnsi="Arial"/>
                <w:sz w:val="21"/>
                <w:szCs w:val="21"/>
                <w:color w:val="FFFFFF"/>
                <w:w w:val="85"/>
              </w:rPr>
              <w:t>Target</w:t>
            </w:r>
          </w:p>
        </w:tc>
        <w:tc>
          <w:tcPr>
            <w:tcW w:w="3820" w:type="dxa"/>
            <w:vAlign w:val="bottom"/>
            <w:tcBorders>
              <w:bottom w:val="single" w:sz="8" w:color="auto"/>
              <w:right w:val="single" w:sz="8" w:color="auto"/>
            </w:tcBorders>
            <w:shd w:val="clear" w:color="auto" w:fill="1F3864"/>
          </w:tcPr>
          <w:p>
            <w:pPr>
              <w:jc w:val="center"/>
              <w:spacing w:after="0" w:line="226" w:lineRule="exact"/>
              <w:rPr>
                <w:sz w:val="20"/>
                <w:szCs w:val="20"/>
                <w:color w:val="auto"/>
              </w:rPr>
            </w:pPr>
            <w:r>
              <w:rPr>
                <w:rFonts w:ascii="Arial" w:cs="Arial" w:eastAsia="Arial" w:hAnsi="Arial"/>
                <w:sz w:val="21"/>
                <w:szCs w:val="21"/>
                <w:color w:val="FFFFFF"/>
                <w:w w:val="88"/>
              </w:rPr>
              <w:t>Superior</w:t>
            </w:r>
          </w:p>
        </w:tc>
      </w:tr>
      <w:tr>
        <w:trPr>
          <w:trHeight w:val="225"/>
        </w:trPr>
        <w:tc>
          <w:tcPr>
            <w:tcW w:w="340" w:type="dxa"/>
            <w:vAlign w:val="bottom"/>
            <w:tcBorders>
              <w:left w:val="single" w:sz="8" w:color="auto"/>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tcPr>
          <w:p>
            <w:pPr>
              <w:jc w:val="center"/>
              <w:ind w:right="239"/>
              <w:spacing w:after="0" w:line="226" w:lineRule="exact"/>
              <w:rPr>
                <w:sz w:val="20"/>
                <w:szCs w:val="20"/>
                <w:color w:val="auto"/>
              </w:rPr>
            </w:pPr>
            <w:r>
              <w:rPr>
                <w:rFonts w:ascii="Arial" w:cs="Arial" w:eastAsia="Arial" w:hAnsi="Arial"/>
                <w:sz w:val="21"/>
                <w:szCs w:val="21"/>
                <w:color w:val="auto"/>
                <w:w w:val="87"/>
              </w:rPr>
              <w:t>32.5%</w:t>
            </w:r>
          </w:p>
        </w:tc>
        <w:tc>
          <w:tcPr>
            <w:tcW w:w="3820" w:type="dxa"/>
            <w:vAlign w:val="bottom"/>
            <w:tcBorders>
              <w:bottom w:val="single" w:sz="8" w:color="auto"/>
              <w:right w:val="single" w:sz="8" w:color="auto"/>
            </w:tcBorders>
          </w:tcPr>
          <w:p>
            <w:pPr>
              <w:jc w:val="center"/>
              <w:spacing w:after="0" w:line="226" w:lineRule="exact"/>
              <w:rPr>
                <w:sz w:val="20"/>
                <w:szCs w:val="20"/>
                <w:color w:val="auto"/>
              </w:rPr>
            </w:pPr>
            <w:r>
              <w:rPr>
                <w:rFonts w:ascii="Arial" w:cs="Arial" w:eastAsia="Arial" w:hAnsi="Arial"/>
                <w:sz w:val="21"/>
                <w:szCs w:val="21"/>
                <w:color w:val="auto"/>
                <w:w w:val="90"/>
              </w:rPr>
              <w:t>35%</w:t>
            </w:r>
          </w:p>
        </w:tc>
        <w:tc>
          <w:tcPr>
            <w:tcW w:w="3820" w:type="dxa"/>
            <w:vAlign w:val="bottom"/>
            <w:tcBorders>
              <w:bottom w:val="single" w:sz="8" w:color="auto"/>
              <w:right w:val="single" w:sz="8" w:color="auto"/>
            </w:tcBorders>
          </w:tcPr>
          <w:p>
            <w:pPr>
              <w:jc w:val="center"/>
              <w:spacing w:after="0" w:line="226" w:lineRule="exact"/>
              <w:rPr>
                <w:sz w:val="20"/>
                <w:szCs w:val="20"/>
                <w:color w:val="auto"/>
              </w:rPr>
            </w:pPr>
            <w:r>
              <w:rPr>
                <w:rFonts w:ascii="Arial" w:cs="Arial" w:eastAsia="Arial" w:hAnsi="Arial"/>
                <w:sz w:val="21"/>
                <w:szCs w:val="21"/>
                <w:color w:val="auto"/>
                <w:w w:val="90"/>
              </w:rPr>
              <w:t>40%</w:t>
            </w:r>
          </w:p>
        </w:tc>
      </w:tr>
    </w:tbl>
    <w:p>
      <w:pPr>
        <w:spacing w:after="0" w:line="203" w:lineRule="exact"/>
        <w:rPr>
          <w:sz w:val="20"/>
          <w:szCs w:val="20"/>
          <w:color w:val="auto"/>
        </w:rPr>
      </w:pPr>
    </w:p>
    <w:p>
      <w:pPr>
        <w:ind w:left="500" w:hanging="497"/>
        <w:spacing w:after="0"/>
        <w:tabs>
          <w:tab w:leader="none" w:pos="5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Personal Goals (20%): See Next Page</w:t>
      </w:r>
    </w:p>
    <w:p>
      <w:pPr>
        <w:spacing w:after="0" w:line="220" w:lineRule="exact"/>
        <w:rPr>
          <w:rFonts w:ascii="Arial" w:cs="Arial" w:eastAsia="Arial" w:hAnsi="Arial"/>
          <w:sz w:val="19"/>
          <w:szCs w:val="19"/>
          <w:color w:val="auto"/>
        </w:rPr>
      </w:pPr>
    </w:p>
    <w:p>
      <w:pPr>
        <w:ind w:left="440" w:hanging="437"/>
        <w:spacing w:after="0"/>
        <w:tabs>
          <w:tab w:leader="none" w:pos="4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Payouts for each component will be interpolated between levels. Potential Payouts at each level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11430</wp:posOffset>
            </wp:positionV>
            <wp:extent cx="5718175" cy="418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18175" cy="41846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6"/>
        </w:trPr>
        <w:tc>
          <w:tcPr>
            <w:tcW w:w="2420" w:type="dxa"/>
            <w:vAlign w:val="bottom"/>
            <w:tcBorders>
              <w:top w:val="single" w:sz="8" w:color="auto"/>
              <w:left w:val="single" w:sz="8" w:color="auto"/>
              <w:right w:val="single" w:sz="8" w:color="1F3864"/>
            </w:tcBorders>
            <w:gridSpan w:val="2"/>
            <w:shd w:val="clear" w:color="auto" w:fill="1F3864"/>
          </w:tcPr>
          <w:p>
            <w:pPr>
              <w:jc w:val="center"/>
              <w:spacing w:after="0" w:line="206" w:lineRule="exact"/>
              <w:rPr>
                <w:sz w:val="20"/>
                <w:szCs w:val="20"/>
                <w:color w:val="auto"/>
              </w:rPr>
            </w:pPr>
            <w:r>
              <w:rPr>
                <w:rFonts w:ascii="Arial" w:cs="Arial" w:eastAsia="Arial" w:hAnsi="Arial"/>
                <w:sz w:val="21"/>
                <w:szCs w:val="21"/>
                <w:color w:val="FFFFFF"/>
                <w:w w:val="88"/>
              </w:rPr>
              <w:t>Performance Achievement</w:t>
            </w:r>
          </w:p>
        </w:tc>
        <w:tc>
          <w:tcPr>
            <w:tcW w:w="1640" w:type="dxa"/>
            <w:vAlign w:val="bottom"/>
            <w:tcBorders>
              <w:top w:val="single" w:sz="8" w:color="auto"/>
            </w:tcBorders>
            <w:shd w:val="clear" w:color="auto" w:fill="1F3864"/>
          </w:tcPr>
          <w:p>
            <w:pPr>
              <w:spacing w:after="0"/>
              <w:rPr>
                <w:sz w:val="17"/>
                <w:szCs w:val="17"/>
                <w:color w:val="auto"/>
              </w:rPr>
            </w:pPr>
          </w:p>
        </w:tc>
        <w:tc>
          <w:tcPr>
            <w:tcW w:w="3540" w:type="dxa"/>
            <w:vAlign w:val="bottom"/>
            <w:tcBorders>
              <w:top w:val="single" w:sz="8" w:color="auto"/>
            </w:tcBorders>
            <w:gridSpan w:val="2"/>
            <w:shd w:val="clear" w:color="auto" w:fill="1F3864"/>
          </w:tcPr>
          <w:p>
            <w:pPr>
              <w:ind w:left="320"/>
              <w:spacing w:after="0" w:line="206" w:lineRule="exact"/>
              <w:rPr>
                <w:sz w:val="20"/>
                <w:szCs w:val="20"/>
                <w:color w:val="auto"/>
              </w:rPr>
            </w:pPr>
            <w:r>
              <w:rPr>
                <w:rFonts w:ascii="Arial" w:cs="Arial" w:eastAsia="Arial" w:hAnsi="Arial"/>
                <w:sz w:val="21"/>
                <w:szCs w:val="21"/>
                <w:color w:val="FFFFFF"/>
                <w:w w:val="96"/>
              </w:rPr>
              <w:t>Potential as Percent of Base Salary</w:t>
            </w:r>
          </w:p>
        </w:tc>
        <w:tc>
          <w:tcPr>
            <w:tcW w:w="1640" w:type="dxa"/>
            <w:vAlign w:val="bottom"/>
            <w:tcBorders>
              <w:top w:val="single" w:sz="8" w:color="auto"/>
              <w:right w:val="single" w:sz="8" w:color="auto"/>
            </w:tcBorders>
            <w:shd w:val="clear" w:color="auto" w:fill="1F3864"/>
          </w:tcPr>
          <w:p>
            <w:pPr>
              <w:spacing w:after="0"/>
              <w:rPr>
                <w:sz w:val="17"/>
                <w:szCs w:val="17"/>
                <w:color w:val="auto"/>
              </w:rPr>
            </w:pPr>
          </w:p>
        </w:tc>
        <w:tc>
          <w:tcPr>
            <w:tcW w:w="2180" w:type="dxa"/>
            <w:vAlign w:val="bottom"/>
            <w:tcBorders>
              <w:top w:val="single" w:sz="8" w:color="auto"/>
              <w:right w:val="single" w:sz="8" w:color="auto"/>
            </w:tcBorders>
            <w:shd w:val="clear" w:color="auto" w:fill="1F3864"/>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40" w:type="dxa"/>
            <w:vAlign w:val="bottom"/>
            <w:tcBorders>
              <w:left w:val="single" w:sz="8" w:color="auto"/>
            </w:tcBorders>
            <w:shd w:val="clear" w:color="auto" w:fill="1F3864"/>
          </w:tcPr>
          <w:p>
            <w:pPr>
              <w:spacing w:after="0"/>
              <w:rPr>
                <w:sz w:val="22"/>
                <w:szCs w:val="22"/>
                <w:color w:val="auto"/>
              </w:rPr>
            </w:pPr>
          </w:p>
        </w:tc>
        <w:tc>
          <w:tcPr>
            <w:tcW w:w="1980" w:type="dxa"/>
            <w:vAlign w:val="bottom"/>
            <w:tcBorders>
              <w:right w:val="single" w:sz="8" w:color="1F3864"/>
            </w:tcBorders>
            <w:shd w:val="clear" w:color="auto" w:fill="1F3864"/>
          </w:tcPr>
          <w:p>
            <w:pPr>
              <w:jc w:val="center"/>
              <w:ind w:right="317"/>
              <w:spacing w:after="0"/>
              <w:rPr>
                <w:sz w:val="20"/>
                <w:szCs w:val="20"/>
                <w:color w:val="auto"/>
              </w:rPr>
            </w:pPr>
            <w:r>
              <w:rPr>
                <w:rFonts w:ascii="Arial" w:cs="Arial" w:eastAsia="Arial" w:hAnsi="Arial"/>
                <w:sz w:val="21"/>
                <w:szCs w:val="21"/>
                <w:color w:val="FFFFFF"/>
                <w:w w:val="95"/>
              </w:rPr>
              <w:t>Level</w:t>
            </w:r>
          </w:p>
        </w:tc>
        <w:tc>
          <w:tcPr>
            <w:tcW w:w="1640" w:type="dxa"/>
            <w:vAlign w:val="bottom"/>
            <w:vMerge w:val="restart"/>
            <w:shd w:val="clear" w:color="auto" w:fill="1F3864"/>
          </w:tcPr>
          <w:p>
            <w:pPr>
              <w:ind w:left="860"/>
              <w:spacing w:after="0"/>
              <w:rPr>
                <w:sz w:val="20"/>
                <w:szCs w:val="20"/>
                <w:color w:val="auto"/>
              </w:rPr>
            </w:pPr>
            <w:r>
              <w:rPr>
                <w:rFonts w:ascii="Arial" w:cs="Arial" w:eastAsia="Arial" w:hAnsi="Arial"/>
                <w:sz w:val="21"/>
                <w:szCs w:val="21"/>
                <w:color w:val="FFFFFF"/>
              </w:rPr>
              <w:t>CEO</w:t>
            </w:r>
          </w:p>
        </w:tc>
        <w:tc>
          <w:tcPr>
            <w:tcW w:w="520" w:type="dxa"/>
            <w:vAlign w:val="bottom"/>
            <w:tcBorders>
              <w:right w:val="single" w:sz="8" w:color="1F3864"/>
            </w:tcBorders>
            <w:shd w:val="clear" w:color="auto" w:fill="1F3864"/>
          </w:tcPr>
          <w:p>
            <w:pPr>
              <w:spacing w:after="0"/>
              <w:rPr>
                <w:sz w:val="22"/>
                <w:szCs w:val="22"/>
                <w:color w:val="auto"/>
              </w:rPr>
            </w:pPr>
          </w:p>
        </w:tc>
        <w:tc>
          <w:tcPr>
            <w:tcW w:w="3020" w:type="dxa"/>
            <w:vAlign w:val="bottom"/>
            <w:vMerge w:val="restart"/>
            <w:shd w:val="clear" w:color="auto" w:fill="1F3864"/>
          </w:tcPr>
          <w:p>
            <w:pPr>
              <w:ind w:left="940"/>
              <w:spacing w:after="0"/>
              <w:rPr>
                <w:sz w:val="20"/>
                <w:szCs w:val="20"/>
                <w:color w:val="auto"/>
              </w:rPr>
            </w:pPr>
            <w:r>
              <w:rPr>
                <w:rFonts w:ascii="Arial" w:cs="Arial" w:eastAsia="Arial" w:hAnsi="Arial"/>
                <w:sz w:val="21"/>
                <w:szCs w:val="21"/>
                <w:color w:val="FFFFFF"/>
              </w:rPr>
              <w:t>CFO</w:t>
            </w:r>
          </w:p>
        </w:tc>
        <w:tc>
          <w:tcPr>
            <w:tcW w:w="1640" w:type="dxa"/>
            <w:vAlign w:val="bottom"/>
            <w:tcBorders>
              <w:right w:val="single" w:sz="8" w:color="auto"/>
            </w:tcBorders>
            <w:vMerge w:val="restart"/>
            <w:shd w:val="clear" w:color="auto" w:fill="1F3864"/>
          </w:tcPr>
          <w:p>
            <w:pPr>
              <w:ind w:left="320"/>
              <w:spacing w:after="0"/>
              <w:rPr>
                <w:sz w:val="20"/>
                <w:szCs w:val="20"/>
                <w:color w:val="auto"/>
              </w:rPr>
            </w:pPr>
            <w:r>
              <w:rPr>
                <w:rFonts w:ascii="Arial" w:cs="Arial" w:eastAsia="Arial" w:hAnsi="Arial"/>
                <w:sz w:val="21"/>
                <w:szCs w:val="21"/>
                <w:color w:val="FFFFFF"/>
              </w:rPr>
              <w:t>GC</w:t>
            </w:r>
          </w:p>
        </w:tc>
        <w:tc>
          <w:tcPr>
            <w:tcW w:w="2180" w:type="dxa"/>
            <w:vAlign w:val="bottom"/>
            <w:tcBorders>
              <w:right w:val="single" w:sz="8" w:color="auto"/>
            </w:tcBorders>
            <w:vMerge w:val="restart"/>
            <w:shd w:val="clear" w:color="auto" w:fill="1F3864"/>
          </w:tcPr>
          <w:p>
            <w:pPr>
              <w:ind w:left="880"/>
              <w:spacing w:after="0"/>
              <w:rPr>
                <w:sz w:val="20"/>
                <w:szCs w:val="20"/>
                <w:color w:val="auto"/>
              </w:rPr>
            </w:pPr>
            <w:r>
              <w:rPr>
                <w:rFonts w:ascii="Arial" w:cs="Arial" w:eastAsia="Arial" w:hAnsi="Arial"/>
                <w:sz w:val="21"/>
                <w:szCs w:val="21"/>
                <w:color w:val="FFFFFF"/>
              </w:rPr>
              <w:t>CTO</w:t>
            </w:r>
          </w:p>
        </w:tc>
        <w:tc>
          <w:tcPr>
            <w:tcW w:w="0" w:type="dxa"/>
            <w:vAlign w:val="bottom"/>
          </w:tcPr>
          <w:p>
            <w:pPr>
              <w:spacing w:after="0"/>
              <w:rPr>
                <w:sz w:val="1"/>
                <w:szCs w:val="1"/>
                <w:color w:val="auto"/>
              </w:rPr>
            </w:pPr>
          </w:p>
        </w:tc>
      </w:tr>
      <w:tr>
        <w:trPr>
          <w:trHeight w:val="90"/>
        </w:trPr>
        <w:tc>
          <w:tcPr>
            <w:tcW w:w="440" w:type="dxa"/>
            <w:vAlign w:val="bottom"/>
            <w:tcBorders>
              <w:left w:val="single" w:sz="8" w:color="auto"/>
            </w:tcBorders>
            <w:shd w:val="clear" w:color="auto" w:fill="1F3864"/>
          </w:tcPr>
          <w:p>
            <w:pPr>
              <w:spacing w:after="0"/>
              <w:rPr>
                <w:sz w:val="7"/>
                <w:szCs w:val="7"/>
                <w:color w:val="auto"/>
              </w:rPr>
            </w:pPr>
          </w:p>
        </w:tc>
        <w:tc>
          <w:tcPr>
            <w:tcW w:w="1980" w:type="dxa"/>
            <w:vAlign w:val="bottom"/>
            <w:tcBorders>
              <w:right w:val="single" w:sz="8" w:color="1F3864"/>
            </w:tcBorders>
            <w:shd w:val="clear" w:color="auto" w:fill="1F3864"/>
          </w:tcPr>
          <w:p>
            <w:pPr>
              <w:spacing w:after="0"/>
              <w:rPr>
                <w:sz w:val="7"/>
                <w:szCs w:val="7"/>
                <w:color w:val="auto"/>
              </w:rPr>
            </w:pPr>
          </w:p>
        </w:tc>
        <w:tc>
          <w:tcPr>
            <w:tcW w:w="1640" w:type="dxa"/>
            <w:vAlign w:val="bottom"/>
            <w:vMerge w:val="continue"/>
            <w:shd w:val="clear" w:color="auto" w:fill="1F3864"/>
          </w:tcPr>
          <w:p>
            <w:pPr>
              <w:spacing w:after="0"/>
              <w:rPr>
                <w:sz w:val="7"/>
                <w:szCs w:val="7"/>
                <w:color w:val="auto"/>
              </w:rPr>
            </w:pPr>
          </w:p>
        </w:tc>
        <w:tc>
          <w:tcPr>
            <w:tcW w:w="520" w:type="dxa"/>
            <w:vAlign w:val="bottom"/>
            <w:tcBorders>
              <w:right w:val="single" w:sz="8" w:color="1F3864"/>
            </w:tcBorders>
            <w:shd w:val="clear" w:color="auto" w:fill="1F3864"/>
          </w:tcPr>
          <w:p>
            <w:pPr>
              <w:spacing w:after="0"/>
              <w:rPr>
                <w:sz w:val="7"/>
                <w:szCs w:val="7"/>
                <w:color w:val="auto"/>
              </w:rPr>
            </w:pPr>
          </w:p>
        </w:tc>
        <w:tc>
          <w:tcPr>
            <w:tcW w:w="3020" w:type="dxa"/>
            <w:vAlign w:val="bottom"/>
            <w:vMerge w:val="continue"/>
            <w:shd w:val="clear" w:color="auto" w:fill="1F3864"/>
          </w:tcPr>
          <w:p>
            <w:pPr>
              <w:spacing w:after="0"/>
              <w:rPr>
                <w:sz w:val="7"/>
                <w:szCs w:val="7"/>
                <w:color w:val="auto"/>
              </w:rPr>
            </w:pPr>
          </w:p>
        </w:tc>
        <w:tc>
          <w:tcPr>
            <w:tcW w:w="1640" w:type="dxa"/>
            <w:vAlign w:val="bottom"/>
            <w:tcBorders>
              <w:right w:val="single" w:sz="8" w:color="auto"/>
            </w:tcBorders>
            <w:vMerge w:val="continue"/>
            <w:shd w:val="clear" w:color="auto" w:fill="1F3864"/>
          </w:tcPr>
          <w:p>
            <w:pPr>
              <w:spacing w:after="0"/>
              <w:rPr>
                <w:sz w:val="7"/>
                <w:szCs w:val="7"/>
                <w:color w:val="auto"/>
              </w:rPr>
            </w:pPr>
          </w:p>
        </w:tc>
        <w:tc>
          <w:tcPr>
            <w:tcW w:w="2180" w:type="dxa"/>
            <w:vAlign w:val="bottom"/>
            <w:tcBorders>
              <w:right w:val="single" w:sz="8" w:color="auto"/>
            </w:tcBorders>
            <w:vMerge w:val="continue"/>
            <w:shd w:val="clear" w:color="auto" w:fill="1F3864"/>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440" w:type="dxa"/>
            <w:vAlign w:val="bottom"/>
            <w:tcBorders>
              <w:left w:val="single" w:sz="8" w:color="auto"/>
              <w:bottom w:val="single" w:sz="8" w:color="auto"/>
            </w:tcBorders>
            <w:shd w:val="clear" w:color="auto" w:fill="1F3864"/>
          </w:tcPr>
          <w:p>
            <w:pPr>
              <w:spacing w:after="0"/>
              <w:rPr>
                <w:sz w:val="5"/>
                <w:szCs w:val="5"/>
                <w:color w:val="auto"/>
              </w:rPr>
            </w:pPr>
          </w:p>
        </w:tc>
        <w:tc>
          <w:tcPr>
            <w:tcW w:w="1980" w:type="dxa"/>
            <w:vAlign w:val="bottom"/>
            <w:tcBorders>
              <w:bottom w:val="single" w:sz="8" w:color="auto"/>
              <w:right w:val="single" w:sz="8" w:color="1F3864"/>
            </w:tcBorders>
            <w:shd w:val="clear" w:color="auto" w:fill="1F3864"/>
          </w:tcPr>
          <w:p>
            <w:pPr>
              <w:spacing w:after="0"/>
              <w:rPr>
                <w:sz w:val="5"/>
                <w:szCs w:val="5"/>
                <w:color w:val="auto"/>
              </w:rPr>
            </w:pPr>
          </w:p>
        </w:tc>
        <w:tc>
          <w:tcPr>
            <w:tcW w:w="1640" w:type="dxa"/>
            <w:vAlign w:val="bottom"/>
            <w:tcBorders>
              <w:bottom w:val="single" w:sz="8" w:color="auto"/>
            </w:tcBorders>
            <w:shd w:val="clear" w:color="auto" w:fill="1F3864"/>
          </w:tcPr>
          <w:p>
            <w:pPr>
              <w:spacing w:after="0"/>
              <w:rPr>
                <w:sz w:val="5"/>
                <w:szCs w:val="5"/>
                <w:color w:val="auto"/>
              </w:rPr>
            </w:pPr>
          </w:p>
        </w:tc>
        <w:tc>
          <w:tcPr>
            <w:tcW w:w="520" w:type="dxa"/>
            <w:vAlign w:val="bottom"/>
            <w:tcBorders>
              <w:bottom w:val="single" w:sz="8" w:color="auto"/>
              <w:right w:val="single" w:sz="8" w:color="1F3864"/>
            </w:tcBorders>
            <w:shd w:val="clear" w:color="auto" w:fill="1F3864"/>
          </w:tcPr>
          <w:p>
            <w:pPr>
              <w:spacing w:after="0"/>
              <w:rPr>
                <w:sz w:val="5"/>
                <w:szCs w:val="5"/>
                <w:color w:val="auto"/>
              </w:rPr>
            </w:pPr>
          </w:p>
        </w:tc>
        <w:tc>
          <w:tcPr>
            <w:tcW w:w="3020" w:type="dxa"/>
            <w:vAlign w:val="bottom"/>
            <w:tcBorders>
              <w:bottom w:val="single" w:sz="8" w:color="auto"/>
            </w:tcBorders>
            <w:shd w:val="clear" w:color="auto" w:fill="1F3864"/>
          </w:tcPr>
          <w:p>
            <w:pPr>
              <w:spacing w:after="0"/>
              <w:rPr>
                <w:sz w:val="5"/>
                <w:szCs w:val="5"/>
                <w:color w:val="auto"/>
              </w:rPr>
            </w:pPr>
          </w:p>
        </w:tc>
        <w:tc>
          <w:tcPr>
            <w:tcW w:w="1640" w:type="dxa"/>
            <w:vAlign w:val="bottom"/>
            <w:tcBorders>
              <w:bottom w:val="single" w:sz="8" w:color="auto"/>
              <w:right w:val="single" w:sz="8" w:color="auto"/>
            </w:tcBorders>
            <w:shd w:val="clear" w:color="auto" w:fill="1F3864"/>
          </w:tcPr>
          <w:p>
            <w:pPr>
              <w:spacing w:after="0"/>
              <w:rPr>
                <w:sz w:val="5"/>
                <w:szCs w:val="5"/>
                <w:color w:val="auto"/>
              </w:rPr>
            </w:pPr>
          </w:p>
        </w:tc>
        <w:tc>
          <w:tcPr>
            <w:tcW w:w="2180" w:type="dxa"/>
            <w:vAlign w:val="bottom"/>
            <w:tcBorders>
              <w:bottom w:val="single" w:sz="8" w:color="auto"/>
              <w:right w:val="single" w:sz="8" w:color="auto"/>
            </w:tcBorders>
            <w:shd w:val="clear" w:color="auto" w:fill="1F3864"/>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420" w:type="dxa"/>
            <w:vAlign w:val="bottom"/>
            <w:tcBorders>
              <w:left w:val="single" w:sz="8" w:color="auto"/>
              <w:right w:val="single" w:sz="8" w:color="auto"/>
            </w:tcBorders>
            <w:gridSpan w:val="2"/>
          </w:tcPr>
          <w:p>
            <w:pPr>
              <w:ind w:left="20"/>
              <w:spacing w:after="0" w:line="204" w:lineRule="exact"/>
              <w:rPr>
                <w:sz w:val="20"/>
                <w:szCs w:val="20"/>
                <w:color w:val="auto"/>
              </w:rPr>
            </w:pPr>
            <w:r>
              <w:rPr>
                <w:rFonts w:ascii="Arial" w:cs="Arial" w:eastAsia="Arial" w:hAnsi="Arial"/>
                <w:sz w:val="21"/>
                <w:szCs w:val="21"/>
                <w:color w:val="auto"/>
              </w:rPr>
              <w:t>Threshold</w:t>
            </w:r>
          </w:p>
        </w:tc>
        <w:tc>
          <w:tcPr>
            <w:tcW w:w="1640" w:type="dxa"/>
            <w:vAlign w:val="bottom"/>
          </w:tcPr>
          <w:p>
            <w:pPr>
              <w:jc w:val="center"/>
              <w:ind w:left="397"/>
              <w:spacing w:after="0" w:line="204" w:lineRule="exact"/>
              <w:rPr>
                <w:sz w:val="20"/>
                <w:szCs w:val="20"/>
                <w:color w:val="auto"/>
              </w:rPr>
            </w:pPr>
            <w:r>
              <w:rPr>
                <w:rFonts w:ascii="Arial" w:cs="Arial" w:eastAsia="Arial" w:hAnsi="Arial"/>
                <w:sz w:val="21"/>
                <w:szCs w:val="21"/>
                <w:color w:val="auto"/>
                <w:w w:val="90"/>
              </w:rPr>
              <w:t>75%</w:t>
            </w:r>
          </w:p>
        </w:tc>
        <w:tc>
          <w:tcPr>
            <w:tcW w:w="520" w:type="dxa"/>
            <w:vAlign w:val="bottom"/>
            <w:tcBorders>
              <w:right w:val="single" w:sz="8" w:color="auto"/>
            </w:tcBorders>
          </w:tcPr>
          <w:p>
            <w:pPr>
              <w:spacing w:after="0"/>
              <w:rPr>
                <w:sz w:val="17"/>
                <w:szCs w:val="17"/>
                <w:color w:val="auto"/>
              </w:rPr>
            </w:pPr>
          </w:p>
        </w:tc>
        <w:tc>
          <w:tcPr>
            <w:tcW w:w="3020" w:type="dxa"/>
            <w:vAlign w:val="bottom"/>
          </w:tcPr>
          <w:p>
            <w:pPr>
              <w:jc w:val="center"/>
              <w:ind w:left="1537"/>
              <w:spacing w:after="0" w:line="204" w:lineRule="exact"/>
              <w:rPr>
                <w:sz w:val="20"/>
                <w:szCs w:val="20"/>
                <w:color w:val="auto"/>
              </w:rPr>
            </w:pPr>
            <w:r>
              <w:rPr>
                <w:rFonts w:ascii="Arial" w:cs="Arial" w:eastAsia="Arial" w:hAnsi="Arial"/>
                <w:sz w:val="21"/>
                <w:szCs w:val="21"/>
                <w:color w:val="auto"/>
                <w:w w:val="90"/>
              </w:rPr>
              <w:t>50%</w:t>
            </w:r>
          </w:p>
        </w:tc>
        <w:tc>
          <w:tcPr>
            <w:tcW w:w="1640" w:type="dxa"/>
            <w:vAlign w:val="bottom"/>
            <w:tcBorders>
              <w:right w:val="single" w:sz="8" w:color="auto"/>
            </w:tcBorders>
          </w:tcPr>
          <w:p>
            <w:pPr>
              <w:spacing w:after="0"/>
              <w:rPr>
                <w:sz w:val="17"/>
                <w:szCs w:val="17"/>
                <w:color w:val="auto"/>
              </w:rPr>
            </w:pPr>
          </w:p>
        </w:tc>
        <w:tc>
          <w:tcPr>
            <w:tcW w:w="2180" w:type="dxa"/>
            <w:vAlign w:val="bottom"/>
            <w:tcBorders>
              <w:right w:val="single" w:sz="8" w:color="auto"/>
            </w:tcBorders>
          </w:tcPr>
          <w:p>
            <w:pPr>
              <w:jc w:val="center"/>
              <w:spacing w:after="0" w:line="204" w:lineRule="exact"/>
              <w:rPr>
                <w:sz w:val="20"/>
                <w:szCs w:val="20"/>
                <w:color w:val="auto"/>
              </w:rPr>
            </w:pPr>
            <w:r>
              <w:rPr>
                <w:rFonts w:ascii="Arial" w:cs="Arial" w:eastAsia="Arial" w:hAnsi="Arial"/>
                <w:sz w:val="21"/>
                <w:szCs w:val="21"/>
                <w:color w:val="auto"/>
                <w:w w:val="90"/>
              </w:rPr>
              <w:t>35%</w:t>
            </w:r>
          </w:p>
        </w:tc>
        <w:tc>
          <w:tcPr>
            <w:tcW w:w="0" w:type="dxa"/>
            <w:vAlign w:val="bottom"/>
          </w:tcPr>
          <w:p>
            <w:pPr>
              <w:spacing w:after="0"/>
              <w:rPr>
                <w:sz w:val="1"/>
                <w:szCs w:val="1"/>
                <w:color w:val="auto"/>
              </w:rPr>
            </w:pPr>
          </w:p>
        </w:tc>
      </w:tr>
      <w:tr>
        <w:trPr>
          <w:trHeight w:val="233"/>
        </w:trPr>
        <w:tc>
          <w:tcPr>
            <w:tcW w:w="2420" w:type="dxa"/>
            <w:vAlign w:val="bottom"/>
            <w:tcBorders>
              <w:left w:val="single" w:sz="8" w:color="auto"/>
              <w:right w:val="single" w:sz="8" w:color="auto"/>
            </w:tcBorders>
            <w:gridSpan w:val="2"/>
          </w:tcPr>
          <w:p>
            <w:pPr>
              <w:ind w:left="20"/>
              <w:spacing w:after="0" w:line="233" w:lineRule="exact"/>
              <w:rPr>
                <w:sz w:val="20"/>
                <w:szCs w:val="20"/>
                <w:color w:val="auto"/>
              </w:rPr>
            </w:pPr>
            <w:r>
              <w:rPr>
                <w:rFonts w:ascii="Arial" w:cs="Arial" w:eastAsia="Arial" w:hAnsi="Arial"/>
                <w:sz w:val="21"/>
                <w:szCs w:val="21"/>
                <w:color w:val="auto"/>
              </w:rPr>
              <w:t>Target</w:t>
            </w:r>
          </w:p>
        </w:tc>
        <w:tc>
          <w:tcPr>
            <w:tcW w:w="1640" w:type="dxa"/>
            <w:vAlign w:val="bottom"/>
          </w:tcPr>
          <w:p>
            <w:pPr>
              <w:jc w:val="center"/>
              <w:ind w:left="397"/>
              <w:spacing w:after="0" w:line="233" w:lineRule="exact"/>
              <w:rPr>
                <w:sz w:val="20"/>
                <w:szCs w:val="20"/>
                <w:color w:val="auto"/>
              </w:rPr>
            </w:pPr>
            <w:r>
              <w:rPr>
                <w:rFonts w:ascii="Arial" w:cs="Arial" w:eastAsia="Arial" w:hAnsi="Arial"/>
                <w:sz w:val="21"/>
                <w:szCs w:val="21"/>
                <w:color w:val="auto"/>
                <w:w w:val="93"/>
              </w:rPr>
              <w:t>150%</w:t>
            </w:r>
          </w:p>
        </w:tc>
        <w:tc>
          <w:tcPr>
            <w:tcW w:w="520" w:type="dxa"/>
            <w:vAlign w:val="bottom"/>
            <w:tcBorders>
              <w:right w:val="single" w:sz="8" w:color="auto"/>
            </w:tcBorders>
          </w:tcPr>
          <w:p>
            <w:pPr>
              <w:spacing w:after="0"/>
              <w:rPr>
                <w:sz w:val="20"/>
                <w:szCs w:val="20"/>
                <w:color w:val="auto"/>
              </w:rPr>
            </w:pPr>
          </w:p>
        </w:tc>
        <w:tc>
          <w:tcPr>
            <w:tcW w:w="3020" w:type="dxa"/>
            <w:vAlign w:val="bottom"/>
          </w:tcPr>
          <w:p>
            <w:pPr>
              <w:jc w:val="center"/>
              <w:ind w:left="1517"/>
              <w:spacing w:after="0" w:line="233" w:lineRule="exact"/>
              <w:rPr>
                <w:sz w:val="20"/>
                <w:szCs w:val="20"/>
                <w:color w:val="auto"/>
              </w:rPr>
            </w:pPr>
            <w:r>
              <w:rPr>
                <w:rFonts w:ascii="Arial" w:cs="Arial" w:eastAsia="Arial" w:hAnsi="Arial"/>
                <w:sz w:val="21"/>
                <w:szCs w:val="21"/>
                <w:color w:val="auto"/>
                <w:w w:val="89"/>
              </w:rPr>
              <w:t>100%</w:t>
            </w:r>
          </w:p>
        </w:tc>
        <w:tc>
          <w:tcPr>
            <w:tcW w:w="1640" w:type="dxa"/>
            <w:vAlign w:val="bottom"/>
            <w:tcBorders>
              <w:right w:val="single" w:sz="8" w:color="auto"/>
            </w:tcBorders>
          </w:tcPr>
          <w:p>
            <w:pPr>
              <w:spacing w:after="0"/>
              <w:rPr>
                <w:sz w:val="20"/>
                <w:szCs w:val="20"/>
                <w:color w:val="auto"/>
              </w:rPr>
            </w:pPr>
          </w:p>
        </w:tc>
        <w:tc>
          <w:tcPr>
            <w:tcW w:w="2180" w:type="dxa"/>
            <w:vAlign w:val="bottom"/>
            <w:tcBorders>
              <w:right w:val="single" w:sz="8" w:color="auto"/>
            </w:tcBorders>
          </w:tcPr>
          <w:p>
            <w:pPr>
              <w:jc w:val="center"/>
              <w:spacing w:after="0" w:line="233" w:lineRule="exact"/>
              <w:rPr>
                <w:sz w:val="20"/>
                <w:szCs w:val="20"/>
                <w:color w:val="auto"/>
              </w:rPr>
            </w:pPr>
            <w:r>
              <w:rPr>
                <w:rFonts w:ascii="Arial" w:cs="Arial" w:eastAsia="Arial" w:hAnsi="Arial"/>
                <w:sz w:val="21"/>
                <w:szCs w:val="21"/>
                <w:color w:val="auto"/>
                <w:w w:val="90"/>
              </w:rPr>
              <w:t>70%</w:t>
            </w:r>
          </w:p>
        </w:tc>
        <w:tc>
          <w:tcPr>
            <w:tcW w:w="0" w:type="dxa"/>
            <w:vAlign w:val="bottom"/>
          </w:tcPr>
          <w:p>
            <w:pPr>
              <w:spacing w:after="0"/>
              <w:rPr>
                <w:sz w:val="1"/>
                <w:szCs w:val="1"/>
                <w:color w:val="auto"/>
              </w:rPr>
            </w:pPr>
          </w:p>
        </w:tc>
      </w:tr>
      <w:tr>
        <w:trPr>
          <w:trHeight w:val="254"/>
        </w:trPr>
        <w:tc>
          <w:tcPr>
            <w:tcW w:w="24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1"/>
                <w:szCs w:val="21"/>
                <w:color w:val="auto"/>
              </w:rPr>
              <w:t>Superior</w:t>
            </w:r>
          </w:p>
        </w:tc>
        <w:tc>
          <w:tcPr>
            <w:tcW w:w="1640" w:type="dxa"/>
            <w:vAlign w:val="bottom"/>
            <w:tcBorders>
              <w:bottom w:val="single" w:sz="8" w:color="auto"/>
            </w:tcBorders>
          </w:tcPr>
          <w:p>
            <w:pPr>
              <w:jc w:val="center"/>
              <w:ind w:left="397"/>
              <w:spacing w:after="0"/>
              <w:rPr>
                <w:sz w:val="20"/>
                <w:szCs w:val="20"/>
                <w:color w:val="auto"/>
              </w:rPr>
            </w:pPr>
            <w:r>
              <w:rPr>
                <w:rFonts w:ascii="Arial" w:cs="Arial" w:eastAsia="Arial" w:hAnsi="Arial"/>
                <w:sz w:val="21"/>
                <w:szCs w:val="21"/>
                <w:color w:val="auto"/>
                <w:w w:val="93"/>
              </w:rPr>
              <w:t>225%</w:t>
            </w:r>
          </w:p>
        </w:tc>
        <w:tc>
          <w:tcPr>
            <w:tcW w:w="520" w:type="dxa"/>
            <w:vAlign w:val="bottom"/>
            <w:tcBorders>
              <w:bottom w:val="single" w:sz="8" w:color="auto"/>
              <w:right w:val="single" w:sz="8" w:color="auto"/>
            </w:tcBorders>
          </w:tcPr>
          <w:p>
            <w:pPr>
              <w:spacing w:after="0"/>
              <w:rPr>
                <w:sz w:val="22"/>
                <w:szCs w:val="22"/>
                <w:color w:val="auto"/>
              </w:rPr>
            </w:pPr>
          </w:p>
        </w:tc>
        <w:tc>
          <w:tcPr>
            <w:tcW w:w="3020" w:type="dxa"/>
            <w:vAlign w:val="bottom"/>
            <w:tcBorders>
              <w:bottom w:val="single" w:sz="8" w:color="auto"/>
            </w:tcBorders>
          </w:tcPr>
          <w:p>
            <w:pPr>
              <w:jc w:val="center"/>
              <w:ind w:left="1517"/>
              <w:spacing w:after="0"/>
              <w:rPr>
                <w:sz w:val="20"/>
                <w:szCs w:val="20"/>
                <w:color w:val="auto"/>
              </w:rPr>
            </w:pPr>
            <w:r>
              <w:rPr>
                <w:rFonts w:ascii="Arial" w:cs="Arial" w:eastAsia="Arial" w:hAnsi="Arial"/>
                <w:sz w:val="21"/>
                <w:szCs w:val="21"/>
                <w:color w:val="auto"/>
                <w:w w:val="89"/>
              </w:rPr>
              <w:t>150%</w:t>
            </w:r>
          </w:p>
        </w:tc>
        <w:tc>
          <w:tcPr>
            <w:tcW w:w="1640" w:type="dxa"/>
            <w:vAlign w:val="bottom"/>
            <w:tcBorders>
              <w:bottom w:val="single" w:sz="8" w:color="auto"/>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9"/>
              </w:rPr>
              <w:t>105%</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40" w:right="140" w:hanging="437"/>
        <w:spacing w:after="0" w:line="280" w:lineRule="auto"/>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Definition to be consistent with public reporting. Target includes signed transactions pending close with pro forma run rate synergies, adjusted for purchase price allocation effect. Metric will exclude any effect of dispositions, contributions to joint ventures, any effect of additional business expansion not contemplated in the Annual Operating Plan, such as entering new markets or rolling out / developing new products.</w:t>
      </w:r>
    </w:p>
    <w:p>
      <w:pPr>
        <w:ind w:left="440" w:right="320" w:hanging="437"/>
        <w:spacing w:after="0" w:line="265" w:lineRule="auto"/>
        <w:tabs>
          <w:tab w:leader="none" w:pos="4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Based on 4Q annualized results. Target includes signed transactions pending close. Transactions with Windstream will be excluded from the numerator and 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72523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-24130</wp:posOffset>
            </wp:positionV>
            <wp:extent cx="69735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73570"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139065</wp:posOffset>
            </wp:positionV>
            <wp:extent cx="69735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7357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725170</wp:posOffset>
            </wp:positionV>
            <wp:extent cx="729424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9"/>
          <w:szCs w:val="19"/>
          <w:b w:val="1"/>
          <w:bCs w:val="1"/>
          <w:u w:val="single" w:color="auto"/>
          <w:color w:val="auto"/>
        </w:rPr>
        <w:t>Exhibit A-1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9"/>
          <w:szCs w:val="19"/>
          <w:b w:val="1"/>
          <w:bCs w:val="1"/>
          <w:u w:val="single" w:color="auto"/>
          <w:color w:val="auto"/>
        </w:rPr>
        <w:t>2018 Short Term Incentive Plan (cont’d)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Personal Goals</w:t>
      </w:r>
    </w:p>
    <w:p>
      <w:pPr>
        <w:spacing w:after="0" w:line="3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Kenny Gunderman</w:t>
      </w:r>
    </w:p>
    <w:p>
      <w:pPr>
        <w:sectPr>
          <w:pgSz w:w="11900" w:h="16838" w:orient="portrait"/>
          <w:cols w:equalWidth="0" w:num="1">
            <w:col w:w="11420"/>
          </w:cols>
          <w:pgMar w:left="240" w:top="336" w:right="239" w:bottom="1440" w:gutter="0" w:footer="0" w:header="0"/>
        </w:sectPr>
      </w:pPr>
    </w:p>
    <w:p>
      <w:pPr>
        <w:spacing w:after="0" w:line="32" w:lineRule="exact"/>
        <w:rPr>
          <w:sz w:val="20"/>
          <w:szCs w:val="20"/>
          <w:color w:val="auto"/>
        </w:rPr>
      </w:pPr>
    </w:p>
    <w:p>
      <w:pPr>
        <w:ind w:left="440"/>
        <w:spacing w:after="0"/>
        <w:rPr>
          <w:sz w:val="20"/>
          <w:szCs w:val="20"/>
          <w:color w:val="auto"/>
        </w:rPr>
      </w:pPr>
      <w:r>
        <w:rPr>
          <w:rFonts w:ascii="Arial" w:cs="Arial" w:eastAsia="Arial" w:hAnsi="Arial"/>
          <w:sz w:val="31"/>
          <w:szCs w:val="31"/>
          <w:color w:val="auto"/>
        </w:rPr>
        <w:t>•</w:t>
      </w:r>
    </w:p>
    <w:p>
      <w:pPr>
        <w:ind w:left="440"/>
        <w:spacing w:after="0" w:line="183" w:lineRule="auto"/>
        <w:rPr>
          <w:sz w:val="20"/>
          <w:szCs w:val="20"/>
          <w:color w:val="auto"/>
        </w:rPr>
      </w:pPr>
      <w:r>
        <w:rPr>
          <w:rFonts w:ascii="Arial" w:cs="Arial" w:eastAsia="Arial" w:hAnsi="Arial"/>
          <w:sz w:val="25"/>
          <w:szCs w:val="25"/>
          <w:color w:val="auto"/>
        </w:rPr>
        <w:t>•</w:t>
      </w:r>
    </w:p>
    <w:p>
      <w:pPr>
        <w:ind w:left="440"/>
        <w:spacing w:after="0" w:line="183" w:lineRule="auto"/>
        <w:rPr>
          <w:sz w:val="20"/>
          <w:szCs w:val="20"/>
          <w:color w:val="auto"/>
        </w:rPr>
      </w:pPr>
      <w:r>
        <w:rPr>
          <w:rFonts w:ascii="Arial" w:cs="Arial" w:eastAsia="Arial" w:hAnsi="Arial"/>
          <w:sz w:val="25"/>
          <w:szCs w:val="25"/>
          <w:color w:val="auto"/>
        </w:rPr>
        <w:t>•</w:t>
      </w:r>
    </w:p>
    <w:p>
      <w:pPr>
        <w:ind w:left="440"/>
        <w:spacing w:after="0" w:line="184" w:lineRule="auto"/>
        <w:rPr>
          <w:sz w:val="20"/>
          <w:szCs w:val="20"/>
          <w:color w:val="auto"/>
        </w:rPr>
      </w:pPr>
      <w:r>
        <w:rPr>
          <w:rFonts w:ascii="Arial" w:cs="Arial" w:eastAsia="Arial" w:hAnsi="Arial"/>
          <w:sz w:val="25"/>
          <w:szCs w:val="25"/>
          <w:color w:val="auto"/>
        </w:rPr>
        <w:t>•</w:t>
      </w:r>
    </w:p>
    <w:p>
      <w:pPr>
        <w:ind w:left="440"/>
        <w:spacing w:after="0"/>
        <w:rPr>
          <w:sz w:val="20"/>
          <w:szCs w:val="20"/>
          <w:color w:val="auto"/>
        </w:rPr>
      </w:pPr>
      <w:r>
        <w:rPr>
          <w:rFonts w:ascii="Arial" w:cs="Arial" w:eastAsia="Arial" w:hAnsi="Arial"/>
          <w:sz w:val="31"/>
          <w:szCs w:val="31"/>
          <w:color w:val="auto"/>
        </w:rPr>
        <w: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4180"/>
        <w:spacing w:after="0" w:line="265" w:lineRule="auto"/>
        <w:rPr>
          <w:sz w:val="20"/>
          <w:szCs w:val="20"/>
          <w:color w:val="auto"/>
        </w:rPr>
      </w:pPr>
      <w:r>
        <w:rPr>
          <w:rFonts w:ascii="Arial" w:cs="Arial" w:eastAsia="Arial" w:hAnsi="Arial"/>
          <w:sz w:val="18"/>
          <w:szCs w:val="18"/>
          <w:color w:val="auto"/>
        </w:rPr>
        <w:t>Corporate values (unity/teamwork, innovation, hard work, integrity) – 20% Strategic planning session with key management (3rdparty moderator) –20%</w:t>
      </w:r>
    </w:p>
    <w:p>
      <w:pPr>
        <w:spacing w:after="0"/>
        <w:rPr>
          <w:sz w:val="20"/>
          <w:szCs w:val="20"/>
          <w:color w:val="auto"/>
        </w:rPr>
      </w:pPr>
      <w:r>
        <w:rPr>
          <w:rFonts w:ascii="Arial" w:cs="Arial" w:eastAsia="Arial" w:hAnsi="Arial"/>
          <w:sz w:val="18"/>
          <w:szCs w:val="18"/>
          <w:color w:val="auto"/>
        </w:rPr>
        <w:t>Company-wide employee engagement (regular town hall meetings, newsletters, intra-company twitter) – 20%</w:t>
      </w:r>
    </w:p>
    <w:p>
      <w:pPr>
        <w:spacing w:after="0" w:line="230" w:lineRule="auto"/>
        <w:rPr>
          <w:sz w:val="20"/>
          <w:szCs w:val="20"/>
          <w:color w:val="auto"/>
        </w:rPr>
      </w:pPr>
      <w:r>
        <w:rPr>
          <w:rFonts w:ascii="Arial" w:cs="Arial" w:eastAsia="Arial" w:hAnsi="Arial"/>
          <w:sz w:val="21"/>
          <w:szCs w:val="21"/>
          <w:color w:val="auto"/>
        </w:rPr>
        <w:t>Permanent operational leadership at Uniti Fiber –20%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Sustainable growth at Uniti Leasing (1%+) –20%</w:t>
      </w:r>
    </w:p>
    <w:p>
      <w:pPr>
        <w:spacing w:after="0" w:line="173" w:lineRule="exact"/>
        <w:rPr>
          <w:sz w:val="20"/>
          <w:szCs w:val="20"/>
          <w:color w:val="auto"/>
        </w:rPr>
      </w:pPr>
    </w:p>
    <w:p>
      <w:pPr>
        <w:sectPr>
          <w:pgSz w:w="11900" w:h="16838" w:orient="portrait"/>
          <w:cols w:equalWidth="0" w:num="2">
            <w:col w:w="560" w:space="320"/>
            <w:col w:w="10540"/>
          </w:cols>
          <w:pgMar w:left="240" w:top="336" w:right="2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Mark Wallace</w:t>
      </w:r>
    </w:p>
    <w:p>
      <w:pPr>
        <w:sectPr>
          <w:pgSz w:w="11900" w:h="16838" w:orient="portrait"/>
          <w:cols w:equalWidth="0" w:num="1">
            <w:col w:w="11420"/>
          </w:cols>
          <w:pgMar w:left="240" w:top="336" w:right="239" w:bottom="1440" w:gutter="0" w:footer="0" w:header="0"/>
          <w:type w:val="continuous"/>
        </w:sectPr>
      </w:pPr>
    </w:p>
    <w:p>
      <w:pPr>
        <w:spacing w:after="0" w:line="68" w:lineRule="exact"/>
        <w:rPr>
          <w:sz w:val="20"/>
          <w:szCs w:val="20"/>
          <w:color w:val="auto"/>
        </w:rPr>
      </w:pPr>
    </w:p>
    <w:p>
      <w:pPr>
        <w:ind w:left="440"/>
        <w:spacing w:after="0"/>
        <w:rPr>
          <w:sz w:val="20"/>
          <w:szCs w:val="20"/>
          <w:color w:val="auto"/>
        </w:rPr>
      </w:pPr>
      <w:r>
        <w:rPr>
          <w:rFonts w:ascii="Arial" w:cs="Arial" w:eastAsia="Arial" w:hAnsi="Arial"/>
          <w:sz w:val="31"/>
          <w:szCs w:val="31"/>
          <w:color w:val="auto"/>
        </w:rPr>
        <w:t>•</w:t>
      </w:r>
    </w:p>
    <w:p>
      <w:pPr>
        <w:ind w:left="440"/>
        <w:spacing w:after="0" w:line="183" w:lineRule="auto"/>
        <w:rPr>
          <w:sz w:val="20"/>
          <w:szCs w:val="20"/>
          <w:color w:val="auto"/>
        </w:rPr>
      </w:pPr>
      <w:r>
        <w:rPr>
          <w:rFonts w:ascii="Arial" w:cs="Arial" w:eastAsia="Arial" w:hAnsi="Arial"/>
          <w:sz w:val="25"/>
          <w:szCs w:val="25"/>
          <w:color w:val="auto"/>
        </w:rPr>
        <w:t>•</w:t>
      </w:r>
    </w:p>
    <w:p>
      <w:pPr>
        <w:ind w:left="440"/>
        <w:spacing w:after="0" w:line="183" w:lineRule="auto"/>
        <w:rPr>
          <w:sz w:val="20"/>
          <w:szCs w:val="20"/>
          <w:color w:val="auto"/>
        </w:rPr>
      </w:pPr>
      <w:r>
        <w:rPr>
          <w:rFonts w:ascii="Arial" w:cs="Arial" w:eastAsia="Arial" w:hAnsi="Arial"/>
          <w:sz w:val="25"/>
          <w:szCs w:val="25"/>
          <w:color w:val="auto"/>
        </w:rPr>
        <w:t>•</w:t>
      </w:r>
    </w:p>
    <w:p>
      <w:pPr>
        <w:ind w:left="440"/>
        <w:spacing w:after="0" w:line="184" w:lineRule="auto"/>
        <w:rPr>
          <w:sz w:val="20"/>
          <w:szCs w:val="20"/>
          <w:color w:val="auto"/>
        </w:rPr>
      </w:pPr>
      <w:r>
        <w:rPr>
          <w:rFonts w:ascii="Arial" w:cs="Arial" w:eastAsia="Arial" w:hAnsi="Arial"/>
          <w:sz w:val="25"/>
          <w:szCs w:val="25"/>
          <w:color w:val="auto"/>
        </w:rPr>
        <w:t>•</w:t>
      </w:r>
    </w:p>
    <w:p>
      <w:pPr>
        <w:ind w:left="440"/>
        <w:spacing w:after="0"/>
        <w:rPr>
          <w:sz w:val="20"/>
          <w:szCs w:val="20"/>
          <w:color w:val="auto"/>
        </w:rPr>
      </w:pPr>
      <w:r>
        <w:rPr>
          <w:rFonts w:ascii="Arial" w:cs="Arial" w:eastAsia="Arial" w:hAnsi="Arial"/>
          <w:sz w:val="31"/>
          <w:szCs w:val="31"/>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Corporate values (unity/teamwork, innovation, hard work, integrity) –20%</w:t>
      </w:r>
    </w:p>
    <w:p>
      <w:pPr>
        <w:spacing w:after="0"/>
        <w:rPr>
          <w:sz w:val="20"/>
          <w:szCs w:val="20"/>
          <w:color w:val="auto"/>
        </w:rPr>
      </w:pPr>
      <w:r>
        <w:rPr>
          <w:rFonts w:ascii="Arial" w:cs="Arial" w:eastAsia="Arial" w:hAnsi="Arial"/>
          <w:sz w:val="18"/>
          <w:szCs w:val="18"/>
          <w:color w:val="auto"/>
        </w:rPr>
        <w:t>Seamless, permanent organization with accounting, FP&amp;A, operational finance –20%</w:t>
      </w:r>
    </w:p>
    <w:p>
      <w:pPr>
        <w:spacing w:after="0" w:line="230" w:lineRule="auto"/>
        <w:rPr>
          <w:sz w:val="20"/>
          <w:szCs w:val="20"/>
          <w:color w:val="auto"/>
        </w:rPr>
      </w:pPr>
      <w:r>
        <w:rPr>
          <w:rFonts w:ascii="Arial" w:cs="Arial" w:eastAsia="Arial" w:hAnsi="Arial"/>
          <w:sz w:val="21"/>
          <w:szCs w:val="21"/>
          <w:color w:val="auto"/>
        </w:rPr>
        <w:t>Timely internal reporting including executive KPI dashboard –20%</w:t>
      </w:r>
    </w:p>
    <w:p>
      <w:pPr>
        <w:spacing w:after="0" w:line="1" w:lineRule="exact"/>
        <w:rPr>
          <w:sz w:val="20"/>
          <w:szCs w:val="20"/>
          <w:color w:val="auto"/>
        </w:rPr>
      </w:pPr>
    </w:p>
    <w:p>
      <w:pPr>
        <w:ind w:right="3440"/>
        <w:spacing w:after="0" w:line="246" w:lineRule="auto"/>
        <w:rPr>
          <w:sz w:val="20"/>
          <w:szCs w:val="20"/>
          <w:color w:val="auto"/>
        </w:rPr>
      </w:pPr>
      <w:r>
        <w:rPr>
          <w:rFonts w:ascii="Arial" w:cs="Arial" w:eastAsia="Arial" w:hAnsi="Arial"/>
          <w:sz w:val="20"/>
          <w:szCs w:val="20"/>
          <w:color w:val="auto"/>
        </w:rPr>
        <w:t>Develop attractive, actionable private equity / infrastructure fund capital source –20% Reduce reliance upon external tax and accounting advisors –20%</w:t>
      </w:r>
    </w:p>
    <w:p>
      <w:pPr>
        <w:spacing w:after="0" w:line="163" w:lineRule="exact"/>
        <w:rPr>
          <w:sz w:val="20"/>
          <w:szCs w:val="20"/>
          <w:color w:val="auto"/>
        </w:rPr>
      </w:pPr>
    </w:p>
    <w:p>
      <w:pPr>
        <w:sectPr>
          <w:pgSz w:w="11900" w:h="16838" w:orient="portrait"/>
          <w:cols w:equalWidth="0" w:num="2">
            <w:col w:w="560" w:space="320"/>
            <w:col w:w="10540"/>
          </w:cols>
          <w:pgMar w:left="240" w:top="336" w:right="2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Daniel Heard</w:t>
      </w:r>
    </w:p>
    <w:p>
      <w:pPr>
        <w:sectPr>
          <w:pgSz w:w="11900" w:h="16838" w:orient="portrait"/>
          <w:cols w:equalWidth="0" w:num="1">
            <w:col w:w="11420"/>
          </w:cols>
          <w:pgMar w:left="240" w:top="336" w:right="239" w:bottom="1440" w:gutter="0" w:footer="0" w:header="0"/>
          <w:type w:val="continuous"/>
        </w:sectPr>
      </w:pPr>
    </w:p>
    <w:p>
      <w:pPr>
        <w:spacing w:after="0" w:line="55" w:lineRule="exact"/>
        <w:rPr>
          <w:sz w:val="20"/>
          <w:szCs w:val="20"/>
          <w:color w:val="auto"/>
        </w:rPr>
      </w:pPr>
    </w:p>
    <w:p>
      <w:pPr>
        <w:ind w:left="440"/>
        <w:spacing w:after="0"/>
        <w:rPr>
          <w:sz w:val="20"/>
          <w:szCs w:val="20"/>
          <w:color w:val="auto"/>
        </w:rPr>
      </w:pPr>
      <w:r>
        <w:rPr>
          <w:rFonts w:ascii="Arial" w:cs="Arial" w:eastAsia="Arial" w:hAnsi="Arial"/>
          <w:sz w:val="31"/>
          <w:szCs w:val="31"/>
          <w:color w:val="auto"/>
        </w:rPr>
        <w:t>•</w:t>
      </w:r>
    </w:p>
    <w:p>
      <w:pPr>
        <w:ind w:left="440"/>
        <w:spacing w:after="0" w:line="183" w:lineRule="auto"/>
        <w:rPr>
          <w:sz w:val="20"/>
          <w:szCs w:val="20"/>
          <w:color w:val="auto"/>
        </w:rPr>
      </w:pPr>
      <w:r>
        <w:rPr>
          <w:rFonts w:ascii="Arial" w:cs="Arial" w:eastAsia="Arial" w:hAnsi="Arial"/>
          <w:sz w:val="25"/>
          <w:szCs w:val="25"/>
          <w:color w:val="auto"/>
        </w:rPr>
        <w:t>•</w:t>
      </w:r>
    </w:p>
    <w:p>
      <w:pPr>
        <w:ind w:left="440"/>
        <w:spacing w:after="0"/>
        <w:rPr>
          <w:sz w:val="20"/>
          <w:szCs w:val="20"/>
          <w:color w:val="auto"/>
        </w:rPr>
      </w:pPr>
      <w:r>
        <w:rPr>
          <w:rFonts w:ascii="Arial" w:cs="Arial" w:eastAsia="Arial" w:hAnsi="Arial"/>
          <w:sz w:val="31"/>
          <w:szCs w:val="31"/>
          <w:color w:val="auto"/>
        </w:rPr>
        <w:t>•</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31"/>
          <w:szCs w:val="31"/>
          <w:color w:val="auto"/>
        </w:rPr>
        <w:t>•</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right="4300"/>
        <w:spacing w:after="0" w:line="238" w:lineRule="auto"/>
        <w:rPr>
          <w:sz w:val="20"/>
          <w:szCs w:val="20"/>
          <w:color w:val="auto"/>
        </w:rPr>
      </w:pPr>
      <w:r>
        <w:rPr>
          <w:rFonts w:ascii="Arial" w:cs="Arial" w:eastAsia="Arial" w:hAnsi="Arial"/>
          <w:sz w:val="20"/>
          <w:szCs w:val="20"/>
          <w:color w:val="auto"/>
        </w:rPr>
        <w:t>Corporate values (unity/teamwork, innovation, hard work, integrity) – 25% Acceptable ratings from shareholder advisory services –25%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Seamless integration of Legal organization across Uniti Group, Uniti Fiber and Uniti Leasing (i.e. permitting process, contract</w:t>
      </w:r>
    </w:p>
    <w:p>
      <w:pPr>
        <w:spacing w:after="0" w:line="230" w:lineRule="auto"/>
        <w:rPr>
          <w:sz w:val="20"/>
          <w:szCs w:val="20"/>
          <w:color w:val="auto"/>
        </w:rPr>
      </w:pPr>
      <w:r>
        <w:rPr>
          <w:rFonts w:ascii="Arial" w:cs="Arial" w:eastAsia="Arial" w:hAnsi="Arial"/>
          <w:sz w:val="21"/>
          <w:szCs w:val="21"/>
          <w:color w:val="auto"/>
        </w:rPr>
        <w:t>administration, Washington D.C. engagement) –25%</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Reduce outside legal costs year over year –25%</w:t>
      </w:r>
    </w:p>
    <w:p>
      <w:pPr>
        <w:spacing w:after="0" w:line="173" w:lineRule="exact"/>
        <w:rPr>
          <w:sz w:val="20"/>
          <w:szCs w:val="20"/>
          <w:color w:val="auto"/>
        </w:rPr>
      </w:pPr>
    </w:p>
    <w:p>
      <w:pPr>
        <w:sectPr>
          <w:pgSz w:w="11900" w:h="16838" w:orient="portrait"/>
          <w:cols w:equalWidth="0" w:num="2">
            <w:col w:w="560" w:space="320"/>
            <w:col w:w="10540"/>
          </w:cols>
          <w:pgMar w:left="240" w:top="336" w:right="2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Mike Friloux</w:t>
      </w:r>
    </w:p>
    <w:p>
      <w:pPr>
        <w:sectPr>
          <w:pgSz w:w="11900" w:h="16838" w:orient="portrait"/>
          <w:cols w:equalWidth="0" w:num="1">
            <w:col w:w="11420"/>
          </w:cols>
          <w:pgMar w:left="240" w:top="336" w:right="239" w:bottom="1440" w:gutter="0" w:footer="0" w:header="0"/>
          <w:type w:val="continuous"/>
        </w:sectPr>
      </w:pPr>
    </w:p>
    <w:p>
      <w:pPr>
        <w:spacing w:after="0" w:line="55" w:lineRule="exact"/>
        <w:rPr>
          <w:sz w:val="20"/>
          <w:szCs w:val="20"/>
          <w:color w:val="auto"/>
        </w:rPr>
      </w:pPr>
    </w:p>
    <w:p>
      <w:pPr>
        <w:ind w:left="440"/>
        <w:spacing w:after="0"/>
        <w:rPr>
          <w:sz w:val="20"/>
          <w:szCs w:val="20"/>
          <w:color w:val="auto"/>
        </w:rPr>
      </w:pPr>
      <w:r>
        <w:rPr>
          <w:rFonts w:ascii="Arial" w:cs="Arial" w:eastAsia="Arial" w:hAnsi="Arial"/>
          <w:sz w:val="31"/>
          <w:szCs w:val="31"/>
          <w:color w:val="auto"/>
        </w:rPr>
        <w:t>•</w:t>
      </w:r>
    </w:p>
    <w:p>
      <w:pPr>
        <w:ind w:left="440"/>
        <w:spacing w:after="0" w:line="183" w:lineRule="auto"/>
        <w:rPr>
          <w:sz w:val="20"/>
          <w:szCs w:val="20"/>
          <w:color w:val="auto"/>
        </w:rPr>
      </w:pPr>
      <w:r>
        <w:rPr>
          <w:rFonts w:ascii="Arial" w:cs="Arial" w:eastAsia="Arial" w:hAnsi="Arial"/>
          <w:sz w:val="25"/>
          <w:szCs w:val="25"/>
          <w:color w:val="auto"/>
        </w:rPr>
        <w:t>•</w:t>
      </w:r>
    </w:p>
    <w:p>
      <w:pPr>
        <w:ind w:left="440"/>
        <w:spacing w:after="0"/>
        <w:rPr>
          <w:sz w:val="20"/>
          <w:szCs w:val="20"/>
          <w:color w:val="auto"/>
        </w:rPr>
      </w:pPr>
      <w:r>
        <w:rPr>
          <w:rFonts w:ascii="Arial" w:cs="Arial" w:eastAsia="Arial" w:hAnsi="Arial"/>
          <w:sz w:val="31"/>
          <w:szCs w:val="31"/>
          <w:color w:val="auto"/>
        </w:rPr>
        <w:t>•</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Corporate values (unity/teamwork, innovation, hard work, integrity)</w:t>
      </w:r>
    </w:p>
    <w:p>
      <w:pPr>
        <w:spacing w:after="0" w:line="237" w:lineRule="auto"/>
        <w:rPr>
          <w:sz w:val="20"/>
          <w:szCs w:val="20"/>
          <w:color w:val="auto"/>
        </w:rPr>
      </w:pPr>
      <w:r>
        <w:rPr>
          <w:rFonts w:ascii="Arial" w:cs="Arial" w:eastAsia="Arial" w:hAnsi="Arial"/>
          <w:sz w:val="21"/>
          <w:szCs w:val="21"/>
          <w:color w:val="auto"/>
        </w:rPr>
        <w:t>Integration and synergy achievement on schedule</w:t>
      </w:r>
    </w:p>
    <w:p>
      <w:pPr>
        <w:spacing w:after="0"/>
        <w:rPr>
          <w:sz w:val="20"/>
          <w:szCs w:val="20"/>
          <w:color w:val="auto"/>
        </w:rPr>
      </w:pPr>
      <w:r>
        <w:rPr>
          <w:rFonts w:ascii="Arial" w:cs="Arial" w:eastAsia="Arial" w:hAnsi="Arial"/>
          <w:sz w:val="21"/>
          <w:szCs w:val="21"/>
          <w:color w:val="auto"/>
        </w:rPr>
        <w:t>M&amp;A creativity and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656590</wp:posOffset>
            </wp:positionV>
            <wp:extent cx="729424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2">
            <w:col w:w="560" w:space="320"/>
            <w:col w:w="10540"/>
          </w:cols>
          <w:pgMar w:left="240" w:top="336" w:right="239" w:bottom="1440" w:gutter="0" w:footer="0" w:header="0"/>
          <w:type w:val="continuous"/>
        </w:sectPr>
      </w:pPr>
    </w:p>
    <w:bookmarkStart w:id="56" w:name="page57"/>
    <w:bookmarkEnd w:id="56"/>
    <w:tbl>
      <w:tblPr>
        <w:tblLayout w:type="fixed"/>
        <w:tblInd w:w="10" w:type="dxa"/>
        <w:tblCellMar>
          <w:top w:w="0" w:type="dxa"/>
          <w:left w:w="0" w:type="dxa"/>
          <w:bottom w:w="0" w:type="dxa"/>
          <w:right w:w="0" w:type="dxa"/>
        </w:tblCellMar>
      </w:tblPr>
      <w:tr>
        <w:trPr>
          <w:trHeight w:val="218"/>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b w:val="1"/>
                <w:bCs w:val="1"/>
                <w:color w:val="auto"/>
                <w:w w:val="91"/>
              </w:rPr>
              <w:t>Exhibit A-2 to</w:t>
            </w:r>
          </w:p>
        </w:tc>
      </w:tr>
      <w:tr>
        <w:trPr>
          <w:trHeight w:val="200"/>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80" w:type="dxa"/>
            <w:vAlign w:val="bottom"/>
            <w:tcBorders>
              <w:bottom w:val="single" w:sz="8" w:color="auto"/>
            </w:tcBorders>
            <w:gridSpan w:val="3"/>
          </w:tcPr>
          <w:p>
            <w:pPr>
              <w:jc w:val="right"/>
              <w:ind w:right="20"/>
              <w:spacing w:after="0" w:line="200" w:lineRule="exact"/>
              <w:rPr>
                <w:sz w:val="20"/>
                <w:szCs w:val="20"/>
                <w:color w:val="auto"/>
              </w:rPr>
            </w:pPr>
            <w:r>
              <w:rPr>
                <w:rFonts w:ascii="Arial" w:cs="Arial" w:eastAsia="Arial" w:hAnsi="Arial"/>
                <w:sz w:val="19"/>
                <w:szCs w:val="19"/>
                <w:b w:val="1"/>
                <w:bCs w:val="1"/>
                <w:color w:val="auto"/>
                <w:w w:val="90"/>
              </w:rPr>
              <w:t>2018 Short Term Incentive Plan</w:t>
            </w:r>
          </w:p>
        </w:tc>
      </w:tr>
      <w:tr>
        <w:trPr>
          <w:trHeight w:val="604"/>
        </w:trPr>
        <w:tc>
          <w:tcPr>
            <w:tcW w:w="5140" w:type="dxa"/>
            <w:vAlign w:val="bottom"/>
            <w:gridSpan w:val="3"/>
          </w:tcPr>
          <w:p>
            <w:pPr>
              <w:spacing w:after="0"/>
              <w:rPr>
                <w:sz w:val="20"/>
                <w:szCs w:val="20"/>
                <w:color w:val="auto"/>
              </w:rPr>
            </w:pPr>
            <w:r>
              <w:rPr>
                <w:rFonts w:ascii="Arial" w:cs="Arial" w:eastAsia="Arial" w:hAnsi="Arial"/>
                <w:sz w:val="19"/>
                <w:szCs w:val="19"/>
                <w:color w:val="auto"/>
              </w:rPr>
              <w:t>Metrics applicable to Ron Mudry and Andy Newton:</w:t>
            </w:r>
          </w:p>
        </w:tc>
        <w:tc>
          <w:tcPr>
            <w:tcW w:w="2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5"/>
        </w:trPr>
        <w:tc>
          <w:tcPr>
            <w:tcW w:w="514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rPr>
              <w:t>A.   Sales Bookings ($MRR +$MAR)</w:t>
            </w:r>
            <w:r>
              <w:rPr>
                <w:rFonts w:ascii="Arial" w:cs="Arial" w:eastAsia="Arial" w:hAnsi="Arial"/>
                <w:sz w:val="16"/>
                <w:szCs w:val="16"/>
                <w:color w:val="auto"/>
              </w:rPr>
              <w:t>(1)</w:t>
            </w:r>
            <w:r>
              <w:rPr>
                <w:rFonts w:ascii="Arial" w:cs="Arial" w:eastAsia="Arial" w:hAnsi="Arial"/>
                <w:sz w:val="19"/>
                <w:szCs w:val="19"/>
                <w:color w:val="auto"/>
              </w:rPr>
              <w:t xml:space="preserve"> (30%)</w:t>
            </w:r>
          </w:p>
        </w:tc>
        <w:tc>
          <w:tcPr>
            <w:tcW w:w="2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3820" w:type="dxa"/>
            <w:vAlign w:val="bottom"/>
            <w:tcBorders>
              <w:left w:val="single" w:sz="8" w:color="auto"/>
              <w:bottom w:val="single" w:sz="8" w:color="auto"/>
              <w:right w:val="single" w:sz="8" w:color="auto"/>
            </w:tcBorders>
            <w:shd w:val="clear" w:color="auto" w:fill="1F3864"/>
          </w:tcPr>
          <w:p>
            <w:pPr>
              <w:jc w:val="center"/>
              <w:spacing w:after="0" w:line="213" w:lineRule="exact"/>
              <w:rPr>
                <w:sz w:val="20"/>
                <w:szCs w:val="20"/>
                <w:color w:val="auto"/>
              </w:rPr>
            </w:pPr>
            <w:r>
              <w:rPr>
                <w:rFonts w:ascii="Arial" w:cs="Arial" w:eastAsia="Arial" w:hAnsi="Arial"/>
                <w:sz w:val="19"/>
                <w:szCs w:val="19"/>
                <w:color w:val="FFFFFF"/>
                <w:w w:val="92"/>
              </w:rPr>
              <w:t>Threshold</w:t>
            </w:r>
          </w:p>
        </w:tc>
        <w:tc>
          <w:tcPr>
            <w:tcW w:w="200" w:type="dxa"/>
            <w:vAlign w:val="bottom"/>
            <w:tcBorders>
              <w:bottom w:val="single" w:sz="8" w:color="auto"/>
              <w:right w:val="single" w:sz="8" w:color="1F3864"/>
            </w:tcBorders>
            <w:shd w:val="clear" w:color="auto" w:fill="1F3864"/>
          </w:tcPr>
          <w:p>
            <w:pPr>
              <w:spacing w:after="0"/>
              <w:rPr>
                <w:sz w:val="18"/>
                <w:szCs w:val="18"/>
                <w:color w:val="auto"/>
              </w:rPr>
            </w:pPr>
          </w:p>
        </w:tc>
        <w:tc>
          <w:tcPr>
            <w:tcW w:w="1120" w:type="dxa"/>
            <w:vAlign w:val="bottom"/>
            <w:tcBorders>
              <w:bottom w:val="single" w:sz="8" w:color="auto"/>
            </w:tcBorders>
            <w:shd w:val="clear" w:color="auto" w:fill="1F3864"/>
          </w:tcPr>
          <w:p>
            <w:pPr>
              <w:spacing w:after="0"/>
              <w:rPr>
                <w:sz w:val="18"/>
                <w:szCs w:val="18"/>
                <w:color w:val="auto"/>
              </w:rPr>
            </w:pPr>
          </w:p>
        </w:tc>
        <w:tc>
          <w:tcPr>
            <w:tcW w:w="2480" w:type="dxa"/>
            <w:vAlign w:val="bottom"/>
            <w:tcBorders>
              <w:bottom w:val="single" w:sz="8" w:color="auto"/>
              <w:right w:val="single" w:sz="8" w:color="auto"/>
            </w:tcBorders>
            <w:shd w:val="clear" w:color="auto" w:fill="1F3864"/>
          </w:tcPr>
          <w:p>
            <w:pPr>
              <w:jc w:val="center"/>
              <w:ind w:right="1263"/>
              <w:spacing w:after="0" w:line="213" w:lineRule="exact"/>
              <w:rPr>
                <w:sz w:val="20"/>
                <w:szCs w:val="20"/>
                <w:color w:val="auto"/>
              </w:rPr>
            </w:pPr>
            <w:r>
              <w:rPr>
                <w:rFonts w:ascii="Arial" w:cs="Arial" w:eastAsia="Arial" w:hAnsi="Arial"/>
                <w:sz w:val="19"/>
                <w:szCs w:val="19"/>
                <w:color w:val="FFFFFF"/>
                <w:w w:val="87"/>
              </w:rPr>
              <w:t>Target</w:t>
            </w:r>
          </w:p>
        </w:tc>
        <w:tc>
          <w:tcPr>
            <w:tcW w:w="540" w:type="dxa"/>
            <w:vAlign w:val="bottom"/>
            <w:tcBorders>
              <w:bottom w:val="single" w:sz="8" w:color="auto"/>
            </w:tcBorders>
            <w:shd w:val="clear" w:color="auto" w:fill="1F3864"/>
          </w:tcPr>
          <w:p>
            <w:pPr>
              <w:spacing w:after="0"/>
              <w:rPr>
                <w:sz w:val="18"/>
                <w:szCs w:val="18"/>
                <w:color w:val="auto"/>
              </w:rPr>
            </w:pPr>
          </w:p>
        </w:tc>
        <w:tc>
          <w:tcPr>
            <w:tcW w:w="700" w:type="dxa"/>
            <w:vAlign w:val="bottom"/>
            <w:tcBorders>
              <w:bottom w:val="single" w:sz="8" w:color="auto"/>
            </w:tcBorders>
            <w:shd w:val="clear" w:color="auto" w:fill="1F3864"/>
          </w:tcPr>
          <w:p>
            <w:pPr>
              <w:spacing w:after="0"/>
              <w:rPr>
                <w:sz w:val="18"/>
                <w:szCs w:val="18"/>
                <w:color w:val="auto"/>
              </w:rPr>
            </w:pPr>
          </w:p>
        </w:tc>
        <w:tc>
          <w:tcPr>
            <w:tcW w:w="2560" w:type="dxa"/>
            <w:vAlign w:val="bottom"/>
            <w:tcBorders>
              <w:bottom w:val="single" w:sz="8" w:color="auto"/>
              <w:right w:val="single" w:sz="8" w:color="auto"/>
            </w:tcBorders>
            <w:gridSpan w:val="2"/>
            <w:shd w:val="clear" w:color="auto" w:fill="1F3864"/>
          </w:tcPr>
          <w:p>
            <w:pPr>
              <w:jc w:val="center"/>
              <w:ind w:right="1165"/>
              <w:spacing w:after="0" w:line="213" w:lineRule="exact"/>
              <w:rPr>
                <w:sz w:val="20"/>
                <w:szCs w:val="20"/>
                <w:color w:val="auto"/>
              </w:rPr>
            </w:pPr>
            <w:r>
              <w:rPr>
                <w:rFonts w:ascii="Arial" w:cs="Arial" w:eastAsia="Arial" w:hAnsi="Arial"/>
                <w:sz w:val="19"/>
                <w:szCs w:val="19"/>
                <w:color w:val="FFFFFF"/>
                <w:w w:val="91"/>
              </w:rPr>
              <w:t>Superior</w:t>
            </w:r>
          </w:p>
        </w:tc>
        <w:tc>
          <w:tcPr>
            <w:tcW w:w="20" w:type="dxa"/>
            <w:vAlign w:val="bottom"/>
          </w:tcPr>
          <w:p>
            <w:pPr>
              <w:spacing w:after="0"/>
              <w:rPr>
                <w:sz w:val="18"/>
                <w:szCs w:val="18"/>
                <w:color w:val="auto"/>
              </w:rPr>
            </w:pPr>
          </w:p>
        </w:tc>
      </w:tr>
      <w:tr>
        <w:trPr>
          <w:trHeight w:val="213"/>
        </w:trPr>
        <w:tc>
          <w:tcPr>
            <w:tcW w:w="382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Arial" w:cs="Arial" w:eastAsia="Arial" w:hAnsi="Arial"/>
                <w:sz w:val="19"/>
                <w:szCs w:val="19"/>
                <w:color w:val="auto"/>
                <w:w w:val="97"/>
              </w:rPr>
              <w:t>$2.6 million</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jc w:val="center"/>
              <w:ind w:right="1243"/>
              <w:spacing w:after="0" w:line="213" w:lineRule="exact"/>
              <w:rPr>
                <w:sz w:val="20"/>
                <w:szCs w:val="20"/>
                <w:color w:val="auto"/>
              </w:rPr>
            </w:pPr>
            <w:r>
              <w:rPr>
                <w:rFonts w:ascii="Arial" w:cs="Arial" w:eastAsia="Arial" w:hAnsi="Arial"/>
                <w:sz w:val="19"/>
                <w:szCs w:val="19"/>
                <w:color w:val="auto"/>
                <w:w w:val="97"/>
              </w:rPr>
              <w:t>$3.4 million</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560" w:type="dxa"/>
            <w:vAlign w:val="bottom"/>
            <w:tcBorders>
              <w:bottom w:val="single" w:sz="8" w:color="auto"/>
              <w:right w:val="single" w:sz="8" w:color="auto"/>
            </w:tcBorders>
            <w:gridSpan w:val="2"/>
          </w:tcPr>
          <w:p>
            <w:pPr>
              <w:jc w:val="center"/>
              <w:ind w:right="1185"/>
              <w:spacing w:after="0" w:line="213" w:lineRule="exact"/>
              <w:rPr>
                <w:sz w:val="20"/>
                <w:szCs w:val="20"/>
                <w:color w:val="auto"/>
              </w:rPr>
            </w:pPr>
            <w:r>
              <w:rPr>
                <w:rFonts w:ascii="Arial" w:cs="Arial" w:eastAsia="Arial" w:hAnsi="Arial"/>
                <w:sz w:val="19"/>
                <w:szCs w:val="19"/>
                <w:color w:val="auto"/>
                <w:w w:val="95"/>
              </w:rPr>
              <w:t>$4.4 million</w:t>
            </w:r>
          </w:p>
        </w:tc>
        <w:tc>
          <w:tcPr>
            <w:tcW w:w="20" w:type="dxa"/>
            <w:vAlign w:val="bottom"/>
          </w:tcPr>
          <w:p>
            <w:pPr>
              <w:spacing w:after="0"/>
              <w:rPr>
                <w:sz w:val="18"/>
                <w:szCs w:val="18"/>
                <w:color w:val="auto"/>
              </w:rPr>
            </w:pPr>
          </w:p>
        </w:tc>
      </w:tr>
      <w:tr>
        <w:trPr>
          <w:trHeight w:val="432"/>
        </w:trPr>
        <w:tc>
          <w:tcPr>
            <w:tcW w:w="514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rPr>
              <w:t>B. Adjusted EBITDA</w:t>
            </w:r>
            <w:r>
              <w:rPr>
                <w:rFonts w:ascii="Arial" w:cs="Arial" w:eastAsia="Arial" w:hAnsi="Arial"/>
                <w:sz w:val="16"/>
                <w:szCs w:val="16"/>
                <w:color w:val="auto"/>
              </w:rPr>
              <w:t>(1)</w:t>
            </w:r>
            <w:r>
              <w:rPr>
                <w:rFonts w:ascii="Arial" w:cs="Arial" w:eastAsia="Arial" w:hAnsi="Arial"/>
                <w:sz w:val="19"/>
                <w:szCs w:val="19"/>
                <w:color w:val="auto"/>
              </w:rPr>
              <w:t xml:space="preserve"> (25%)</w:t>
            </w:r>
          </w:p>
        </w:tc>
        <w:tc>
          <w:tcPr>
            <w:tcW w:w="2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3820" w:type="dxa"/>
            <w:vAlign w:val="bottom"/>
            <w:tcBorders>
              <w:left w:val="single" w:sz="8" w:color="auto"/>
              <w:bottom w:val="single" w:sz="8" w:color="auto"/>
              <w:right w:val="single" w:sz="8" w:color="auto"/>
            </w:tcBorders>
            <w:shd w:val="clear" w:color="auto" w:fill="1F3864"/>
          </w:tcPr>
          <w:p>
            <w:pPr>
              <w:jc w:val="center"/>
              <w:spacing w:after="0" w:line="213" w:lineRule="exact"/>
              <w:rPr>
                <w:sz w:val="20"/>
                <w:szCs w:val="20"/>
                <w:color w:val="auto"/>
              </w:rPr>
            </w:pPr>
            <w:r>
              <w:rPr>
                <w:rFonts w:ascii="Arial" w:cs="Arial" w:eastAsia="Arial" w:hAnsi="Arial"/>
                <w:sz w:val="19"/>
                <w:szCs w:val="19"/>
                <w:color w:val="FFFFFF"/>
                <w:w w:val="92"/>
              </w:rPr>
              <w:t>Threshold</w:t>
            </w:r>
          </w:p>
        </w:tc>
        <w:tc>
          <w:tcPr>
            <w:tcW w:w="200" w:type="dxa"/>
            <w:vAlign w:val="bottom"/>
            <w:tcBorders>
              <w:bottom w:val="single" w:sz="8" w:color="auto"/>
              <w:right w:val="single" w:sz="8" w:color="1F3864"/>
            </w:tcBorders>
            <w:shd w:val="clear" w:color="auto" w:fill="1F3864"/>
          </w:tcPr>
          <w:p>
            <w:pPr>
              <w:spacing w:after="0"/>
              <w:rPr>
                <w:sz w:val="18"/>
                <w:szCs w:val="18"/>
                <w:color w:val="auto"/>
              </w:rPr>
            </w:pPr>
          </w:p>
        </w:tc>
        <w:tc>
          <w:tcPr>
            <w:tcW w:w="1120" w:type="dxa"/>
            <w:vAlign w:val="bottom"/>
            <w:tcBorders>
              <w:bottom w:val="single" w:sz="8" w:color="auto"/>
            </w:tcBorders>
            <w:shd w:val="clear" w:color="auto" w:fill="1F3864"/>
          </w:tcPr>
          <w:p>
            <w:pPr>
              <w:spacing w:after="0"/>
              <w:rPr>
                <w:sz w:val="18"/>
                <w:szCs w:val="18"/>
                <w:color w:val="auto"/>
              </w:rPr>
            </w:pPr>
          </w:p>
        </w:tc>
        <w:tc>
          <w:tcPr>
            <w:tcW w:w="2480" w:type="dxa"/>
            <w:vAlign w:val="bottom"/>
            <w:tcBorders>
              <w:bottom w:val="single" w:sz="8" w:color="auto"/>
              <w:right w:val="single" w:sz="8" w:color="auto"/>
            </w:tcBorders>
            <w:shd w:val="clear" w:color="auto" w:fill="1F3864"/>
          </w:tcPr>
          <w:p>
            <w:pPr>
              <w:jc w:val="center"/>
              <w:ind w:right="1263"/>
              <w:spacing w:after="0" w:line="213" w:lineRule="exact"/>
              <w:rPr>
                <w:sz w:val="20"/>
                <w:szCs w:val="20"/>
                <w:color w:val="auto"/>
              </w:rPr>
            </w:pPr>
            <w:r>
              <w:rPr>
                <w:rFonts w:ascii="Arial" w:cs="Arial" w:eastAsia="Arial" w:hAnsi="Arial"/>
                <w:sz w:val="19"/>
                <w:szCs w:val="19"/>
                <w:color w:val="FFFFFF"/>
                <w:w w:val="87"/>
              </w:rPr>
              <w:t>Target</w:t>
            </w:r>
          </w:p>
        </w:tc>
        <w:tc>
          <w:tcPr>
            <w:tcW w:w="540" w:type="dxa"/>
            <w:vAlign w:val="bottom"/>
            <w:tcBorders>
              <w:bottom w:val="single" w:sz="8" w:color="auto"/>
            </w:tcBorders>
            <w:shd w:val="clear" w:color="auto" w:fill="1F3864"/>
          </w:tcPr>
          <w:p>
            <w:pPr>
              <w:spacing w:after="0"/>
              <w:rPr>
                <w:sz w:val="18"/>
                <w:szCs w:val="18"/>
                <w:color w:val="auto"/>
              </w:rPr>
            </w:pPr>
          </w:p>
        </w:tc>
        <w:tc>
          <w:tcPr>
            <w:tcW w:w="700" w:type="dxa"/>
            <w:vAlign w:val="bottom"/>
            <w:tcBorders>
              <w:bottom w:val="single" w:sz="8" w:color="auto"/>
            </w:tcBorders>
            <w:shd w:val="clear" w:color="auto" w:fill="1F3864"/>
          </w:tcPr>
          <w:p>
            <w:pPr>
              <w:spacing w:after="0"/>
              <w:rPr>
                <w:sz w:val="18"/>
                <w:szCs w:val="18"/>
                <w:color w:val="auto"/>
              </w:rPr>
            </w:pPr>
          </w:p>
        </w:tc>
        <w:tc>
          <w:tcPr>
            <w:tcW w:w="2560" w:type="dxa"/>
            <w:vAlign w:val="bottom"/>
            <w:tcBorders>
              <w:bottom w:val="single" w:sz="8" w:color="auto"/>
              <w:right w:val="single" w:sz="8" w:color="auto"/>
            </w:tcBorders>
            <w:gridSpan w:val="2"/>
            <w:shd w:val="clear" w:color="auto" w:fill="1F3864"/>
          </w:tcPr>
          <w:p>
            <w:pPr>
              <w:jc w:val="center"/>
              <w:ind w:right="1165"/>
              <w:spacing w:after="0" w:line="213" w:lineRule="exact"/>
              <w:rPr>
                <w:sz w:val="20"/>
                <w:szCs w:val="20"/>
                <w:color w:val="auto"/>
              </w:rPr>
            </w:pPr>
            <w:r>
              <w:rPr>
                <w:rFonts w:ascii="Arial" w:cs="Arial" w:eastAsia="Arial" w:hAnsi="Arial"/>
                <w:sz w:val="19"/>
                <w:szCs w:val="19"/>
                <w:color w:val="FFFFFF"/>
                <w:w w:val="91"/>
              </w:rPr>
              <w:t>Superior</w:t>
            </w:r>
          </w:p>
        </w:tc>
        <w:tc>
          <w:tcPr>
            <w:tcW w:w="20" w:type="dxa"/>
            <w:vAlign w:val="bottom"/>
          </w:tcPr>
          <w:p>
            <w:pPr>
              <w:spacing w:after="0"/>
              <w:rPr>
                <w:sz w:val="18"/>
                <w:szCs w:val="18"/>
                <w:color w:val="auto"/>
              </w:rPr>
            </w:pPr>
          </w:p>
        </w:tc>
      </w:tr>
      <w:tr>
        <w:trPr>
          <w:trHeight w:val="213"/>
        </w:trPr>
        <w:tc>
          <w:tcPr>
            <w:tcW w:w="382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Arial" w:cs="Arial" w:eastAsia="Arial" w:hAnsi="Arial"/>
                <w:sz w:val="19"/>
                <w:szCs w:val="19"/>
                <w:color w:val="auto"/>
                <w:w w:val="93"/>
              </w:rPr>
              <w:t>$124.2 million</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jc w:val="center"/>
              <w:ind w:right="1243"/>
              <w:spacing w:after="0" w:line="213" w:lineRule="exact"/>
              <w:rPr>
                <w:sz w:val="20"/>
                <w:szCs w:val="20"/>
                <w:color w:val="auto"/>
              </w:rPr>
            </w:pPr>
            <w:r>
              <w:rPr>
                <w:rFonts w:ascii="Arial" w:cs="Arial" w:eastAsia="Arial" w:hAnsi="Arial"/>
                <w:sz w:val="19"/>
                <w:szCs w:val="19"/>
                <w:color w:val="auto"/>
                <w:w w:val="93"/>
              </w:rPr>
              <w:t>$128.2 million</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560" w:type="dxa"/>
            <w:vAlign w:val="bottom"/>
            <w:tcBorders>
              <w:bottom w:val="single" w:sz="8" w:color="auto"/>
              <w:right w:val="single" w:sz="8" w:color="auto"/>
            </w:tcBorders>
            <w:gridSpan w:val="2"/>
          </w:tcPr>
          <w:p>
            <w:pPr>
              <w:jc w:val="center"/>
              <w:ind w:right="1165"/>
              <w:spacing w:after="0" w:line="213" w:lineRule="exact"/>
              <w:rPr>
                <w:sz w:val="20"/>
                <w:szCs w:val="20"/>
                <w:color w:val="auto"/>
              </w:rPr>
            </w:pPr>
            <w:r>
              <w:rPr>
                <w:rFonts w:ascii="Arial" w:cs="Arial" w:eastAsia="Arial" w:hAnsi="Arial"/>
                <w:sz w:val="19"/>
                <w:szCs w:val="19"/>
                <w:color w:val="auto"/>
                <w:w w:val="96"/>
              </w:rPr>
              <w:t>$133 million</w:t>
            </w:r>
          </w:p>
        </w:tc>
        <w:tc>
          <w:tcPr>
            <w:tcW w:w="20" w:type="dxa"/>
            <w:vAlign w:val="bottom"/>
          </w:tcPr>
          <w:p>
            <w:pPr>
              <w:spacing w:after="0"/>
              <w:rPr>
                <w:sz w:val="18"/>
                <w:szCs w:val="18"/>
                <w:color w:val="auto"/>
              </w:rPr>
            </w:pPr>
          </w:p>
        </w:tc>
      </w:tr>
      <w:tr>
        <w:trPr>
          <w:trHeight w:val="432"/>
        </w:trPr>
        <w:tc>
          <w:tcPr>
            <w:tcW w:w="514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rPr>
              <w:t>C. Revenue (25%)</w:t>
            </w:r>
          </w:p>
        </w:tc>
        <w:tc>
          <w:tcPr>
            <w:tcW w:w="2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3820" w:type="dxa"/>
            <w:vAlign w:val="bottom"/>
            <w:tcBorders>
              <w:left w:val="single" w:sz="8" w:color="auto"/>
              <w:bottom w:val="single" w:sz="8" w:color="auto"/>
              <w:right w:val="single" w:sz="8" w:color="auto"/>
            </w:tcBorders>
            <w:shd w:val="clear" w:color="auto" w:fill="1F3864"/>
          </w:tcPr>
          <w:p>
            <w:pPr>
              <w:jc w:val="center"/>
              <w:spacing w:after="0" w:line="213" w:lineRule="exact"/>
              <w:rPr>
                <w:sz w:val="20"/>
                <w:szCs w:val="20"/>
                <w:color w:val="auto"/>
              </w:rPr>
            </w:pPr>
            <w:r>
              <w:rPr>
                <w:rFonts w:ascii="Arial" w:cs="Arial" w:eastAsia="Arial" w:hAnsi="Arial"/>
                <w:sz w:val="19"/>
                <w:szCs w:val="19"/>
                <w:color w:val="FFFFFF"/>
                <w:w w:val="92"/>
              </w:rPr>
              <w:t>Threshold</w:t>
            </w:r>
          </w:p>
        </w:tc>
        <w:tc>
          <w:tcPr>
            <w:tcW w:w="200" w:type="dxa"/>
            <w:vAlign w:val="bottom"/>
            <w:tcBorders>
              <w:bottom w:val="single" w:sz="8" w:color="auto"/>
              <w:right w:val="single" w:sz="8" w:color="1F3864"/>
            </w:tcBorders>
            <w:shd w:val="clear" w:color="auto" w:fill="1F3864"/>
          </w:tcPr>
          <w:p>
            <w:pPr>
              <w:spacing w:after="0"/>
              <w:rPr>
                <w:sz w:val="18"/>
                <w:szCs w:val="18"/>
                <w:color w:val="auto"/>
              </w:rPr>
            </w:pPr>
          </w:p>
        </w:tc>
        <w:tc>
          <w:tcPr>
            <w:tcW w:w="1120" w:type="dxa"/>
            <w:vAlign w:val="bottom"/>
            <w:tcBorders>
              <w:bottom w:val="single" w:sz="8" w:color="auto"/>
            </w:tcBorders>
            <w:shd w:val="clear" w:color="auto" w:fill="1F3864"/>
          </w:tcPr>
          <w:p>
            <w:pPr>
              <w:spacing w:after="0"/>
              <w:rPr>
                <w:sz w:val="18"/>
                <w:szCs w:val="18"/>
                <w:color w:val="auto"/>
              </w:rPr>
            </w:pPr>
          </w:p>
        </w:tc>
        <w:tc>
          <w:tcPr>
            <w:tcW w:w="2480" w:type="dxa"/>
            <w:vAlign w:val="bottom"/>
            <w:tcBorders>
              <w:bottom w:val="single" w:sz="8" w:color="auto"/>
              <w:right w:val="single" w:sz="8" w:color="auto"/>
            </w:tcBorders>
            <w:shd w:val="clear" w:color="auto" w:fill="1F3864"/>
          </w:tcPr>
          <w:p>
            <w:pPr>
              <w:jc w:val="center"/>
              <w:ind w:right="1263"/>
              <w:spacing w:after="0" w:line="213" w:lineRule="exact"/>
              <w:rPr>
                <w:sz w:val="20"/>
                <w:szCs w:val="20"/>
                <w:color w:val="auto"/>
              </w:rPr>
            </w:pPr>
            <w:r>
              <w:rPr>
                <w:rFonts w:ascii="Arial" w:cs="Arial" w:eastAsia="Arial" w:hAnsi="Arial"/>
                <w:sz w:val="19"/>
                <w:szCs w:val="19"/>
                <w:color w:val="FFFFFF"/>
                <w:w w:val="87"/>
              </w:rPr>
              <w:t>Target</w:t>
            </w:r>
          </w:p>
        </w:tc>
        <w:tc>
          <w:tcPr>
            <w:tcW w:w="540" w:type="dxa"/>
            <w:vAlign w:val="bottom"/>
            <w:tcBorders>
              <w:bottom w:val="single" w:sz="8" w:color="auto"/>
            </w:tcBorders>
            <w:shd w:val="clear" w:color="auto" w:fill="1F3864"/>
          </w:tcPr>
          <w:p>
            <w:pPr>
              <w:spacing w:after="0"/>
              <w:rPr>
                <w:sz w:val="18"/>
                <w:szCs w:val="18"/>
                <w:color w:val="auto"/>
              </w:rPr>
            </w:pPr>
          </w:p>
        </w:tc>
        <w:tc>
          <w:tcPr>
            <w:tcW w:w="700" w:type="dxa"/>
            <w:vAlign w:val="bottom"/>
            <w:tcBorders>
              <w:bottom w:val="single" w:sz="8" w:color="auto"/>
            </w:tcBorders>
            <w:shd w:val="clear" w:color="auto" w:fill="1F3864"/>
          </w:tcPr>
          <w:p>
            <w:pPr>
              <w:spacing w:after="0"/>
              <w:rPr>
                <w:sz w:val="18"/>
                <w:szCs w:val="18"/>
                <w:color w:val="auto"/>
              </w:rPr>
            </w:pPr>
          </w:p>
        </w:tc>
        <w:tc>
          <w:tcPr>
            <w:tcW w:w="2560" w:type="dxa"/>
            <w:vAlign w:val="bottom"/>
            <w:tcBorders>
              <w:bottom w:val="single" w:sz="8" w:color="auto"/>
              <w:right w:val="single" w:sz="8" w:color="auto"/>
            </w:tcBorders>
            <w:gridSpan w:val="2"/>
            <w:shd w:val="clear" w:color="auto" w:fill="1F3864"/>
          </w:tcPr>
          <w:p>
            <w:pPr>
              <w:jc w:val="center"/>
              <w:ind w:right="1165"/>
              <w:spacing w:after="0" w:line="213" w:lineRule="exact"/>
              <w:rPr>
                <w:sz w:val="20"/>
                <w:szCs w:val="20"/>
                <w:color w:val="auto"/>
              </w:rPr>
            </w:pPr>
            <w:r>
              <w:rPr>
                <w:rFonts w:ascii="Arial" w:cs="Arial" w:eastAsia="Arial" w:hAnsi="Arial"/>
                <w:sz w:val="19"/>
                <w:szCs w:val="19"/>
                <w:color w:val="FFFFFF"/>
                <w:w w:val="91"/>
              </w:rPr>
              <w:t>Superior</w:t>
            </w:r>
          </w:p>
        </w:tc>
        <w:tc>
          <w:tcPr>
            <w:tcW w:w="20" w:type="dxa"/>
            <w:vAlign w:val="bottom"/>
          </w:tcPr>
          <w:p>
            <w:pPr>
              <w:spacing w:after="0"/>
              <w:rPr>
                <w:sz w:val="18"/>
                <w:szCs w:val="18"/>
                <w:color w:val="auto"/>
              </w:rPr>
            </w:pPr>
          </w:p>
        </w:tc>
      </w:tr>
      <w:tr>
        <w:trPr>
          <w:trHeight w:val="213"/>
        </w:trPr>
        <w:tc>
          <w:tcPr>
            <w:tcW w:w="382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Arial" w:cs="Arial" w:eastAsia="Arial" w:hAnsi="Arial"/>
                <w:sz w:val="19"/>
                <w:szCs w:val="19"/>
                <w:color w:val="auto"/>
                <w:w w:val="96"/>
              </w:rPr>
              <w:t>$279 million</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jc w:val="center"/>
              <w:ind w:right="1243"/>
              <w:spacing w:after="0" w:line="213" w:lineRule="exact"/>
              <w:rPr>
                <w:sz w:val="20"/>
                <w:szCs w:val="20"/>
                <w:color w:val="auto"/>
              </w:rPr>
            </w:pPr>
            <w:r>
              <w:rPr>
                <w:rFonts w:ascii="Arial" w:cs="Arial" w:eastAsia="Arial" w:hAnsi="Arial"/>
                <w:sz w:val="19"/>
                <w:szCs w:val="19"/>
                <w:color w:val="auto"/>
                <w:w w:val="93"/>
              </w:rPr>
              <w:t>$284.6 million</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560" w:type="dxa"/>
            <w:vAlign w:val="bottom"/>
            <w:tcBorders>
              <w:bottom w:val="single" w:sz="8" w:color="auto"/>
              <w:right w:val="single" w:sz="8" w:color="auto"/>
            </w:tcBorders>
            <w:gridSpan w:val="2"/>
          </w:tcPr>
          <w:p>
            <w:pPr>
              <w:jc w:val="center"/>
              <w:ind w:right="1165"/>
              <w:spacing w:after="0" w:line="213" w:lineRule="exact"/>
              <w:rPr>
                <w:sz w:val="20"/>
                <w:szCs w:val="20"/>
                <w:color w:val="auto"/>
              </w:rPr>
            </w:pPr>
            <w:r>
              <w:rPr>
                <w:rFonts w:ascii="Arial" w:cs="Arial" w:eastAsia="Arial" w:hAnsi="Arial"/>
                <w:sz w:val="19"/>
                <w:szCs w:val="19"/>
                <w:color w:val="auto"/>
                <w:w w:val="96"/>
              </w:rPr>
              <w:t>$293 million</w:t>
            </w:r>
          </w:p>
        </w:tc>
        <w:tc>
          <w:tcPr>
            <w:tcW w:w="20" w:type="dxa"/>
            <w:vAlign w:val="bottom"/>
          </w:tcPr>
          <w:p>
            <w:pPr>
              <w:spacing w:after="0"/>
              <w:rPr>
                <w:sz w:val="18"/>
                <w:szCs w:val="18"/>
                <w:color w:val="auto"/>
              </w:rPr>
            </w:pPr>
          </w:p>
        </w:tc>
      </w:tr>
      <w:tr>
        <w:trPr>
          <w:trHeight w:val="432"/>
        </w:trPr>
        <w:tc>
          <w:tcPr>
            <w:tcW w:w="514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rPr>
              <w:t>D. Network Performance / MTTD</w:t>
            </w:r>
            <w:r>
              <w:rPr>
                <w:rFonts w:ascii="Arial" w:cs="Arial" w:eastAsia="Arial" w:hAnsi="Arial"/>
                <w:sz w:val="16"/>
                <w:szCs w:val="16"/>
                <w:color w:val="auto"/>
              </w:rPr>
              <w:t>(2)</w:t>
            </w:r>
            <w:r>
              <w:rPr>
                <w:rFonts w:ascii="Arial" w:cs="Arial" w:eastAsia="Arial" w:hAnsi="Arial"/>
                <w:sz w:val="19"/>
                <w:szCs w:val="19"/>
                <w:color w:val="auto"/>
              </w:rPr>
              <w:t xml:space="preserve"> (20%)</w:t>
            </w:r>
          </w:p>
        </w:tc>
        <w:tc>
          <w:tcPr>
            <w:tcW w:w="2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3820" w:type="dxa"/>
            <w:vAlign w:val="bottom"/>
            <w:tcBorders>
              <w:left w:val="single" w:sz="8" w:color="auto"/>
              <w:bottom w:val="single" w:sz="8" w:color="auto"/>
              <w:right w:val="single" w:sz="8" w:color="auto"/>
            </w:tcBorders>
            <w:shd w:val="clear" w:color="auto" w:fill="1F3864"/>
          </w:tcPr>
          <w:p>
            <w:pPr>
              <w:jc w:val="center"/>
              <w:spacing w:after="0" w:line="213" w:lineRule="exact"/>
              <w:rPr>
                <w:sz w:val="20"/>
                <w:szCs w:val="20"/>
                <w:color w:val="auto"/>
              </w:rPr>
            </w:pPr>
            <w:r>
              <w:rPr>
                <w:rFonts w:ascii="Arial" w:cs="Arial" w:eastAsia="Arial" w:hAnsi="Arial"/>
                <w:sz w:val="19"/>
                <w:szCs w:val="19"/>
                <w:color w:val="FFFFFF"/>
                <w:w w:val="92"/>
              </w:rPr>
              <w:t>Threshold</w:t>
            </w:r>
          </w:p>
        </w:tc>
        <w:tc>
          <w:tcPr>
            <w:tcW w:w="200" w:type="dxa"/>
            <w:vAlign w:val="bottom"/>
            <w:tcBorders>
              <w:bottom w:val="single" w:sz="8" w:color="auto"/>
              <w:right w:val="single" w:sz="8" w:color="1F3864"/>
            </w:tcBorders>
            <w:shd w:val="clear" w:color="auto" w:fill="1F3864"/>
          </w:tcPr>
          <w:p>
            <w:pPr>
              <w:spacing w:after="0"/>
              <w:rPr>
                <w:sz w:val="18"/>
                <w:szCs w:val="18"/>
                <w:color w:val="auto"/>
              </w:rPr>
            </w:pPr>
          </w:p>
        </w:tc>
        <w:tc>
          <w:tcPr>
            <w:tcW w:w="1120" w:type="dxa"/>
            <w:vAlign w:val="bottom"/>
            <w:tcBorders>
              <w:bottom w:val="single" w:sz="8" w:color="auto"/>
            </w:tcBorders>
            <w:shd w:val="clear" w:color="auto" w:fill="1F3864"/>
          </w:tcPr>
          <w:p>
            <w:pPr>
              <w:spacing w:after="0"/>
              <w:rPr>
                <w:sz w:val="18"/>
                <w:szCs w:val="18"/>
                <w:color w:val="auto"/>
              </w:rPr>
            </w:pPr>
          </w:p>
        </w:tc>
        <w:tc>
          <w:tcPr>
            <w:tcW w:w="2480" w:type="dxa"/>
            <w:vAlign w:val="bottom"/>
            <w:tcBorders>
              <w:bottom w:val="single" w:sz="8" w:color="auto"/>
              <w:right w:val="single" w:sz="8" w:color="auto"/>
            </w:tcBorders>
            <w:shd w:val="clear" w:color="auto" w:fill="1F3864"/>
          </w:tcPr>
          <w:p>
            <w:pPr>
              <w:jc w:val="center"/>
              <w:ind w:right="1263"/>
              <w:spacing w:after="0" w:line="213" w:lineRule="exact"/>
              <w:rPr>
                <w:sz w:val="20"/>
                <w:szCs w:val="20"/>
                <w:color w:val="auto"/>
              </w:rPr>
            </w:pPr>
            <w:r>
              <w:rPr>
                <w:rFonts w:ascii="Arial" w:cs="Arial" w:eastAsia="Arial" w:hAnsi="Arial"/>
                <w:sz w:val="19"/>
                <w:szCs w:val="19"/>
                <w:color w:val="FFFFFF"/>
                <w:w w:val="87"/>
              </w:rPr>
              <w:t>Target</w:t>
            </w:r>
          </w:p>
        </w:tc>
        <w:tc>
          <w:tcPr>
            <w:tcW w:w="540" w:type="dxa"/>
            <w:vAlign w:val="bottom"/>
            <w:tcBorders>
              <w:bottom w:val="single" w:sz="8" w:color="auto"/>
            </w:tcBorders>
            <w:shd w:val="clear" w:color="auto" w:fill="1F3864"/>
          </w:tcPr>
          <w:p>
            <w:pPr>
              <w:spacing w:after="0"/>
              <w:rPr>
                <w:sz w:val="18"/>
                <w:szCs w:val="18"/>
                <w:color w:val="auto"/>
              </w:rPr>
            </w:pPr>
          </w:p>
        </w:tc>
        <w:tc>
          <w:tcPr>
            <w:tcW w:w="700" w:type="dxa"/>
            <w:vAlign w:val="bottom"/>
            <w:tcBorders>
              <w:bottom w:val="single" w:sz="8" w:color="auto"/>
            </w:tcBorders>
            <w:shd w:val="clear" w:color="auto" w:fill="1F3864"/>
          </w:tcPr>
          <w:p>
            <w:pPr>
              <w:spacing w:after="0"/>
              <w:rPr>
                <w:sz w:val="18"/>
                <w:szCs w:val="18"/>
                <w:color w:val="auto"/>
              </w:rPr>
            </w:pPr>
          </w:p>
        </w:tc>
        <w:tc>
          <w:tcPr>
            <w:tcW w:w="2560" w:type="dxa"/>
            <w:vAlign w:val="bottom"/>
            <w:tcBorders>
              <w:bottom w:val="single" w:sz="8" w:color="auto"/>
              <w:right w:val="single" w:sz="8" w:color="auto"/>
            </w:tcBorders>
            <w:gridSpan w:val="2"/>
            <w:shd w:val="clear" w:color="auto" w:fill="1F3864"/>
          </w:tcPr>
          <w:p>
            <w:pPr>
              <w:jc w:val="center"/>
              <w:ind w:right="1165"/>
              <w:spacing w:after="0" w:line="213" w:lineRule="exact"/>
              <w:rPr>
                <w:sz w:val="20"/>
                <w:szCs w:val="20"/>
                <w:color w:val="auto"/>
              </w:rPr>
            </w:pPr>
            <w:r>
              <w:rPr>
                <w:rFonts w:ascii="Arial" w:cs="Arial" w:eastAsia="Arial" w:hAnsi="Arial"/>
                <w:sz w:val="19"/>
                <w:szCs w:val="19"/>
                <w:color w:val="FFFFFF"/>
                <w:w w:val="91"/>
              </w:rPr>
              <w:t>Superior</w:t>
            </w:r>
          </w:p>
        </w:tc>
        <w:tc>
          <w:tcPr>
            <w:tcW w:w="20" w:type="dxa"/>
            <w:vAlign w:val="bottom"/>
          </w:tcPr>
          <w:p>
            <w:pPr>
              <w:spacing w:after="0"/>
              <w:rPr>
                <w:sz w:val="18"/>
                <w:szCs w:val="18"/>
                <w:color w:val="auto"/>
              </w:rPr>
            </w:pPr>
          </w:p>
        </w:tc>
      </w:tr>
      <w:tr>
        <w:trPr>
          <w:trHeight w:val="213"/>
        </w:trPr>
        <w:tc>
          <w:tcPr>
            <w:tcW w:w="382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Arial" w:cs="Arial" w:eastAsia="Arial" w:hAnsi="Arial"/>
                <w:sz w:val="19"/>
                <w:szCs w:val="19"/>
                <w:color w:val="auto"/>
                <w:w w:val="88"/>
              </w:rPr>
              <w:t>90 Days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jc w:val="center"/>
              <w:ind w:right="1243"/>
              <w:spacing w:after="0" w:line="213" w:lineRule="exact"/>
              <w:rPr>
                <w:sz w:val="20"/>
                <w:szCs w:val="20"/>
                <w:color w:val="auto"/>
              </w:rPr>
            </w:pPr>
            <w:r>
              <w:rPr>
                <w:rFonts w:ascii="Arial" w:cs="Arial" w:eastAsia="Arial" w:hAnsi="Arial"/>
                <w:sz w:val="19"/>
                <w:szCs w:val="19"/>
                <w:color w:val="auto"/>
                <w:w w:val="88"/>
              </w:rPr>
              <w:t>60 Days</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560" w:type="dxa"/>
            <w:vAlign w:val="bottom"/>
            <w:tcBorders>
              <w:bottom w:val="single" w:sz="8" w:color="auto"/>
              <w:right w:val="single" w:sz="8" w:color="auto"/>
            </w:tcBorders>
            <w:gridSpan w:val="2"/>
          </w:tcPr>
          <w:p>
            <w:pPr>
              <w:jc w:val="center"/>
              <w:ind w:right="1165"/>
              <w:spacing w:after="0" w:line="213" w:lineRule="exact"/>
              <w:rPr>
                <w:sz w:val="20"/>
                <w:szCs w:val="20"/>
                <w:color w:val="auto"/>
              </w:rPr>
            </w:pPr>
            <w:r>
              <w:rPr>
                <w:rFonts w:ascii="Arial" w:cs="Arial" w:eastAsia="Arial" w:hAnsi="Arial"/>
                <w:sz w:val="19"/>
                <w:szCs w:val="19"/>
                <w:color w:val="auto"/>
                <w:w w:val="88"/>
              </w:rPr>
              <w:t>30 Days</w:t>
            </w:r>
          </w:p>
        </w:tc>
        <w:tc>
          <w:tcPr>
            <w:tcW w:w="20" w:type="dxa"/>
            <w:vAlign w:val="bottom"/>
          </w:tcPr>
          <w:p>
            <w:pPr>
              <w:spacing w:after="0"/>
              <w:rPr>
                <w:sz w:val="18"/>
                <w:szCs w:val="18"/>
                <w:color w:val="auto"/>
              </w:rPr>
            </w:pPr>
          </w:p>
        </w:tc>
      </w:tr>
      <w:tr>
        <w:trPr>
          <w:trHeight w:val="432"/>
        </w:trPr>
        <w:tc>
          <w:tcPr>
            <w:tcW w:w="514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w w:val="90"/>
              </w:rPr>
              <w:t>E. Payouts for each component will be interpolated between levels.</w:t>
            </w:r>
          </w:p>
        </w:tc>
        <w:tc>
          <w:tcPr>
            <w:tcW w:w="3020" w:type="dxa"/>
            <w:vAlign w:val="bottom"/>
            <w:tcBorders>
              <w:bottom w:val="single" w:sz="8" w:color="auto"/>
            </w:tcBorders>
            <w:gridSpan w:val="2"/>
          </w:tcPr>
          <w:p>
            <w:pPr>
              <w:ind w:left="100"/>
              <w:spacing w:after="0"/>
              <w:rPr>
                <w:sz w:val="20"/>
                <w:szCs w:val="20"/>
                <w:color w:val="auto"/>
              </w:rPr>
            </w:pPr>
            <w:r>
              <w:rPr>
                <w:rFonts w:ascii="Arial" w:cs="Arial" w:eastAsia="Arial" w:hAnsi="Arial"/>
                <w:sz w:val="19"/>
                <w:szCs w:val="19"/>
                <w:color w:val="auto"/>
                <w:w w:val="91"/>
              </w:rPr>
              <w:t>Potential Payouts at each level are as</w:t>
            </w:r>
          </w:p>
        </w:tc>
        <w:tc>
          <w:tcPr>
            <w:tcW w:w="3280" w:type="dxa"/>
            <w:vAlign w:val="bottom"/>
            <w:tcBorders>
              <w:bottom w:val="single" w:sz="8" w:color="auto"/>
            </w:tcBorders>
            <w:gridSpan w:val="4"/>
          </w:tcPr>
          <w:p>
            <w:pPr>
              <w:jc w:val="right"/>
              <w:ind w:right="2540"/>
              <w:spacing w:after="0"/>
              <w:rPr>
                <w:sz w:val="20"/>
                <w:szCs w:val="20"/>
                <w:color w:val="auto"/>
              </w:rPr>
            </w:pPr>
            <w:r>
              <w:rPr>
                <w:rFonts w:ascii="Arial" w:cs="Arial" w:eastAsia="Arial" w:hAnsi="Arial"/>
                <w:sz w:val="19"/>
                <w:szCs w:val="19"/>
                <w:color w:val="auto"/>
              </w:rPr>
              <w:t>follows:</w:t>
            </w:r>
          </w:p>
        </w:tc>
      </w:tr>
      <w:tr>
        <w:trPr>
          <w:trHeight w:val="430"/>
        </w:trPr>
        <w:tc>
          <w:tcPr>
            <w:tcW w:w="4020" w:type="dxa"/>
            <w:vAlign w:val="bottom"/>
            <w:tcBorders>
              <w:left w:val="single" w:sz="8" w:color="auto"/>
              <w:right w:val="single" w:sz="8" w:color="auto"/>
            </w:tcBorders>
            <w:gridSpan w:val="2"/>
            <w:shd w:val="clear" w:color="auto" w:fill="1F3864"/>
          </w:tcPr>
          <w:p>
            <w:pPr>
              <w:ind w:left="640"/>
              <w:spacing w:after="0"/>
              <w:rPr>
                <w:sz w:val="20"/>
                <w:szCs w:val="20"/>
                <w:color w:val="auto"/>
              </w:rPr>
            </w:pPr>
            <w:r>
              <w:rPr>
                <w:rFonts w:ascii="Arial" w:cs="Arial" w:eastAsia="Arial" w:hAnsi="Arial"/>
                <w:sz w:val="21"/>
                <w:szCs w:val="21"/>
                <w:color w:val="FFFFFF"/>
              </w:rPr>
              <w:t>Performance Achievement Level</w:t>
            </w:r>
          </w:p>
        </w:tc>
        <w:tc>
          <w:tcPr>
            <w:tcW w:w="1120" w:type="dxa"/>
            <w:vAlign w:val="bottom"/>
            <w:shd w:val="clear" w:color="auto" w:fill="1F3864"/>
          </w:tcPr>
          <w:p>
            <w:pPr>
              <w:spacing w:after="0"/>
              <w:rPr>
                <w:sz w:val="24"/>
                <w:szCs w:val="24"/>
                <w:color w:val="auto"/>
              </w:rPr>
            </w:pPr>
          </w:p>
        </w:tc>
        <w:tc>
          <w:tcPr>
            <w:tcW w:w="6280" w:type="dxa"/>
            <w:vAlign w:val="bottom"/>
            <w:tcBorders>
              <w:right w:val="single" w:sz="8" w:color="1F3864"/>
            </w:tcBorders>
            <w:gridSpan w:val="5"/>
            <w:shd w:val="clear" w:color="auto" w:fill="1F3864"/>
          </w:tcPr>
          <w:p>
            <w:pPr>
              <w:jc w:val="right"/>
              <w:ind w:right="2165"/>
              <w:spacing w:after="0"/>
              <w:rPr>
                <w:sz w:val="20"/>
                <w:szCs w:val="20"/>
                <w:color w:val="auto"/>
              </w:rPr>
            </w:pPr>
            <w:r>
              <w:rPr>
                <w:rFonts w:ascii="Arial" w:cs="Arial" w:eastAsia="Arial" w:hAnsi="Arial"/>
                <w:sz w:val="21"/>
                <w:szCs w:val="21"/>
                <w:color w:val="FFFFFF"/>
              </w:rPr>
              <w:t>Potential as Percent of Base Salary</w:t>
            </w:r>
          </w:p>
        </w:tc>
        <w:tc>
          <w:tcPr>
            <w:tcW w:w="20" w:type="dxa"/>
            <w:vAlign w:val="bottom"/>
            <w:shd w:val="clear" w:color="auto" w:fill="000000"/>
          </w:tcPr>
          <w:p>
            <w:pPr>
              <w:spacing w:after="0"/>
              <w:rPr>
                <w:sz w:val="24"/>
                <w:szCs w:val="24"/>
                <w:color w:val="auto"/>
              </w:rPr>
            </w:pPr>
          </w:p>
        </w:tc>
      </w:tr>
      <w:tr>
        <w:trPr>
          <w:trHeight w:val="183"/>
        </w:trPr>
        <w:tc>
          <w:tcPr>
            <w:tcW w:w="4020" w:type="dxa"/>
            <w:vAlign w:val="bottom"/>
            <w:tcBorders>
              <w:left w:val="single" w:sz="8" w:color="auto"/>
              <w:bottom w:val="single" w:sz="8" w:color="auto"/>
              <w:right w:val="single" w:sz="8" w:color="auto"/>
            </w:tcBorders>
            <w:gridSpan w:val="2"/>
            <w:shd w:val="clear" w:color="auto" w:fill="1F3864"/>
          </w:tcPr>
          <w:p>
            <w:pPr>
              <w:spacing w:after="0"/>
              <w:rPr>
                <w:sz w:val="15"/>
                <w:szCs w:val="15"/>
                <w:color w:val="auto"/>
              </w:rPr>
            </w:pPr>
          </w:p>
        </w:tc>
        <w:tc>
          <w:tcPr>
            <w:tcW w:w="1120" w:type="dxa"/>
            <w:vAlign w:val="bottom"/>
            <w:tcBorders>
              <w:bottom w:val="single" w:sz="8" w:color="auto"/>
            </w:tcBorders>
            <w:shd w:val="clear" w:color="auto" w:fill="1F3864"/>
          </w:tcPr>
          <w:p>
            <w:pPr>
              <w:spacing w:after="0"/>
              <w:rPr>
                <w:sz w:val="15"/>
                <w:szCs w:val="15"/>
                <w:color w:val="auto"/>
              </w:rPr>
            </w:pPr>
          </w:p>
        </w:tc>
        <w:tc>
          <w:tcPr>
            <w:tcW w:w="3020" w:type="dxa"/>
            <w:vAlign w:val="bottom"/>
            <w:tcBorders>
              <w:bottom w:val="single" w:sz="8" w:color="auto"/>
            </w:tcBorders>
            <w:gridSpan w:val="2"/>
            <w:shd w:val="clear" w:color="auto" w:fill="1F3864"/>
          </w:tcPr>
          <w:p>
            <w:pPr>
              <w:spacing w:after="0"/>
              <w:rPr>
                <w:sz w:val="15"/>
                <w:szCs w:val="15"/>
                <w:color w:val="auto"/>
              </w:rPr>
            </w:pPr>
          </w:p>
        </w:tc>
        <w:tc>
          <w:tcPr>
            <w:tcW w:w="700" w:type="dxa"/>
            <w:vAlign w:val="bottom"/>
            <w:tcBorders>
              <w:bottom w:val="single" w:sz="8" w:color="auto"/>
            </w:tcBorders>
            <w:shd w:val="clear" w:color="auto" w:fill="1F3864"/>
          </w:tcPr>
          <w:p>
            <w:pPr>
              <w:spacing w:after="0"/>
              <w:rPr>
                <w:sz w:val="15"/>
                <w:szCs w:val="15"/>
                <w:color w:val="auto"/>
              </w:rPr>
            </w:pPr>
          </w:p>
        </w:tc>
        <w:tc>
          <w:tcPr>
            <w:tcW w:w="1420" w:type="dxa"/>
            <w:vAlign w:val="bottom"/>
            <w:tcBorders>
              <w:bottom w:val="single" w:sz="8" w:color="auto"/>
            </w:tcBorders>
            <w:shd w:val="clear" w:color="auto" w:fill="1F3864"/>
          </w:tcPr>
          <w:p>
            <w:pPr>
              <w:spacing w:after="0"/>
              <w:rPr>
                <w:sz w:val="15"/>
                <w:szCs w:val="15"/>
                <w:color w:val="auto"/>
              </w:rPr>
            </w:pPr>
          </w:p>
        </w:tc>
        <w:tc>
          <w:tcPr>
            <w:tcW w:w="1140" w:type="dxa"/>
            <w:vAlign w:val="bottom"/>
            <w:tcBorders>
              <w:bottom w:val="single" w:sz="8" w:color="auto"/>
              <w:right w:val="single" w:sz="8" w:color="1F3864"/>
            </w:tcBorders>
            <w:shd w:val="clear" w:color="auto" w:fill="1F3864"/>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r>
      <w:tr>
        <w:trPr>
          <w:trHeight w:val="204"/>
        </w:trPr>
        <w:tc>
          <w:tcPr>
            <w:tcW w:w="4020" w:type="dxa"/>
            <w:vAlign w:val="bottom"/>
            <w:tcBorders>
              <w:left w:val="single" w:sz="8" w:color="auto"/>
              <w:right w:val="single" w:sz="8" w:color="auto"/>
            </w:tcBorders>
            <w:gridSpan w:val="2"/>
          </w:tcPr>
          <w:p>
            <w:pPr>
              <w:ind w:left="20"/>
              <w:spacing w:after="0" w:line="204" w:lineRule="exact"/>
              <w:rPr>
                <w:sz w:val="20"/>
                <w:szCs w:val="20"/>
                <w:color w:val="auto"/>
              </w:rPr>
            </w:pPr>
            <w:r>
              <w:rPr>
                <w:rFonts w:ascii="Arial" w:cs="Arial" w:eastAsia="Arial" w:hAnsi="Arial"/>
                <w:sz w:val="21"/>
                <w:szCs w:val="21"/>
                <w:color w:val="auto"/>
              </w:rPr>
              <w:t>Threshold</w:t>
            </w:r>
          </w:p>
        </w:tc>
        <w:tc>
          <w:tcPr>
            <w:tcW w:w="1120" w:type="dxa"/>
            <w:vAlign w:val="bottom"/>
          </w:tcPr>
          <w:p>
            <w:pPr>
              <w:spacing w:after="0"/>
              <w:rPr>
                <w:sz w:val="17"/>
                <w:szCs w:val="17"/>
                <w:color w:val="auto"/>
              </w:rPr>
            </w:pPr>
          </w:p>
        </w:tc>
        <w:tc>
          <w:tcPr>
            <w:tcW w:w="3020" w:type="dxa"/>
            <w:vAlign w:val="bottom"/>
            <w:gridSpan w:val="2"/>
          </w:tcPr>
          <w:p>
            <w:pPr>
              <w:jc w:val="center"/>
              <w:ind w:left="2023"/>
              <w:spacing w:after="0" w:line="204" w:lineRule="exact"/>
              <w:rPr>
                <w:sz w:val="20"/>
                <w:szCs w:val="20"/>
                <w:color w:val="auto"/>
              </w:rPr>
            </w:pPr>
            <w:r>
              <w:rPr>
                <w:rFonts w:ascii="Arial" w:cs="Arial" w:eastAsia="Arial" w:hAnsi="Arial"/>
                <w:sz w:val="21"/>
                <w:szCs w:val="21"/>
                <w:color w:val="auto"/>
                <w:w w:val="90"/>
              </w:rPr>
              <w:t>50%</w:t>
            </w:r>
          </w:p>
        </w:tc>
        <w:tc>
          <w:tcPr>
            <w:tcW w:w="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r>
      <w:tr>
        <w:trPr>
          <w:trHeight w:val="233"/>
        </w:trPr>
        <w:tc>
          <w:tcPr>
            <w:tcW w:w="4020" w:type="dxa"/>
            <w:vAlign w:val="bottom"/>
            <w:tcBorders>
              <w:left w:val="single" w:sz="8" w:color="auto"/>
              <w:right w:val="single" w:sz="8" w:color="auto"/>
            </w:tcBorders>
            <w:gridSpan w:val="2"/>
          </w:tcPr>
          <w:p>
            <w:pPr>
              <w:ind w:left="20"/>
              <w:spacing w:after="0" w:line="233" w:lineRule="exact"/>
              <w:rPr>
                <w:sz w:val="20"/>
                <w:szCs w:val="20"/>
                <w:color w:val="auto"/>
              </w:rPr>
            </w:pPr>
            <w:r>
              <w:rPr>
                <w:rFonts w:ascii="Arial" w:cs="Arial" w:eastAsia="Arial" w:hAnsi="Arial"/>
                <w:sz w:val="21"/>
                <w:szCs w:val="21"/>
                <w:color w:val="auto"/>
              </w:rPr>
              <w:t>Target</w:t>
            </w:r>
          </w:p>
        </w:tc>
        <w:tc>
          <w:tcPr>
            <w:tcW w:w="1120" w:type="dxa"/>
            <w:vAlign w:val="bottom"/>
          </w:tcPr>
          <w:p>
            <w:pPr>
              <w:spacing w:after="0"/>
              <w:rPr>
                <w:sz w:val="20"/>
                <w:szCs w:val="20"/>
                <w:color w:val="auto"/>
              </w:rPr>
            </w:pPr>
          </w:p>
        </w:tc>
        <w:tc>
          <w:tcPr>
            <w:tcW w:w="3020" w:type="dxa"/>
            <w:vAlign w:val="bottom"/>
            <w:gridSpan w:val="2"/>
          </w:tcPr>
          <w:p>
            <w:pPr>
              <w:jc w:val="center"/>
              <w:ind w:left="2043"/>
              <w:spacing w:after="0" w:line="233" w:lineRule="exact"/>
              <w:rPr>
                <w:sz w:val="20"/>
                <w:szCs w:val="20"/>
                <w:color w:val="auto"/>
              </w:rPr>
            </w:pPr>
            <w:r>
              <w:rPr>
                <w:rFonts w:ascii="Arial" w:cs="Arial" w:eastAsia="Arial" w:hAnsi="Arial"/>
                <w:sz w:val="21"/>
                <w:szCs w:val="21"/>
                <w:color w:val="auto"/>
                <w:w w:val="89"/>
              </w:rPr>
              <w:t>100%</w:t>
            </w:r>
          </w:p>
        </w:tc>
        <w:tc>
          <w:tcPr>
            <w:tcW w:w="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254"/>
        </w:trPr>
        <w:tc>
          <w:tcPr>
            <w:tcW w:w="40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1"/>
                <w:szCs w:val="21"/>
                <w:color w:val="auto"/>
              </w:rPr>
              <w:t>Superior</w:t>
            </w:r>
          </w:p>
        </w:tc>
        <w:tc>
          <w:tcPr>
            <w:tcW w:w="112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2"/>
          </w:tcPr>
          <w:p>
            <w:pPr>
              <w:jc w:val="center"/>
              <w:ind w:left="2043"/>
              <w:spacing w:after="0"/>
              <w:rPr>
                <w:sz w:val="20"/>
                <w:szCs w:val="20"/>
                <w:color w:val="auto"/>
              </w:rPr>
            </w:pPr>
            <w:r>
              <w:rPr>
                <w:rFonts w:ascii="Arial" w:cs="Arial" w:eastAsia="Arial" w:hAnsi="Arial"/>
                <w:sz w:val="21"/>
                <w:szCs w:val="21"/>
                <w:color w:val="auto"/>
                <w:w w:val="89"/>
              </w:rPr>
              <w:t>150%</w:t>
            </w:r>
          </w:p>
        </w:tc>
        <w:tc>
          <w:tcPr>
            <w:tcW w:w="7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233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pacing w:after="0" w:line="364" w:lineRule="exact"/>
        <w:rPr>
          <w:sz w:val="20"/>
          <w:szCs w:val="20"/>
          <w:color w:val="auto"/>
        </w:rPr>
      </w:pPr>
    </w:p>
    <w:p>
      <w:pPr>
        <w:ind w:left="440" w:hanging="437"/>
        <w:spacing w:after="0"/>
        <w:tabs>
          <w:tab w:leader="none" w:pos="4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Definition to be consistent with public reporting. Excludes M&amp;A and capital markets transactions.</w:t>
      </w:r>
    </w:p>
    <w:p>
      <w:pPr>
        <w:spacing w:after="0" w:line="17" w:lineRule="exact"/>
        <w:rPr>
          <w:rFonts w:ascii="Arial" w:cs="Arial" w:eastAsia="Arial" w:hAnsi="Arial"/>
          <w:sz w:val="19"/>
          <w:szCs w:val="19"/>
          <w:color w:val="auto"/>
        </w:rPr>
      </w:pPr>
    </w:p>
    <w:p>
      <w:pPr>
        <w:ind w:left="440" w:hanging="437"/>
        <w:spacing w:after="0"/>
        <w:tabs>
          <w:tab w:leader="none" w:pos="4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Mean Time to Deliver enterprise, E-rate and wholesale customers, not including wireless broadband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652780</wp:posOffset>
            </wp:positionV>
            <wp:extent cx="729424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57" w:name="page58"/>
    <w:bookmarkEnd w:id="57"/>
    <w:tbl>
      <w:tblPr>
        <w:tblLayout w:type="fixed"/>
        <w:tblInd w:w="10" w:type="dxa"/>
        <w:tblCellMar>
          <w:top w:w="0" w:type="dxa"/>
          <w:left w:w="0" w:type="dxa"/>
          <w:bottom w:w="0" w:type="dxa"/>
          <w:right w:w="0" w:type="dxa"/>
        </w:tblCellMar>
      </w:tblPr>
      <w:tr>
        <w:trPr>
          <w:trHeight w:val="218"/>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b w:val="1"/>
                <w:bCs w:val="1"/>
                <w:color w:val="auto"/>
                <w:w w:val="91"/>
              </w:rPr>
              <w:t>Exhibit A-3 to</w:t>
            </w:r>
          </w:p>
        </w:tc>
      </w:tr>
      <w:tr>
        <w:trPr>
          <w:trHeight w:val="200"/>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80" w:type="dxa"/>
            <w:vAlign w:val="bottom"/>
            <w:tcBorders>
              <w:bottom w:val="single" w:sz="8" w:color="auto"/>
            </w:tcBorders>
            <w:gridSpan w:val="3"/>
          </w:tcPr>
          <w:p>
            <w:pPr>
              <w:jc w:val="right"/>
              <w:ind w:right="20"/>
              <w:spacing w:after="0" w:line="200" w:lineRule="exact"/>
              <w:rPr>
                <w:sz w:val="20"/>
                <w:szCs w:val="20"/>
                <w:color w:val="auto"/>
              </w:rPr>
            </w:pPr>
            <w:r>
              <w:rPr>
                <w:rFonts w:ascii="Arial" w:cs="Arial" w:eastAsia="Arial" w:hAnsi="Arial"/>
                <w:sz w:val="19"/>
                <w:szCs w:val="19"/>
                <w:b w:val="1"/>
                <w:bCs w:val="1"/>
                <w:color w:val="auto"/>
                <w:w w:val="90"/>
              </w:rPr>
              <w:t>2018 Short Term Incentive Plan</w:t>
            </w:r>
          </w:p>
        </w:tc>
      </w:tr>
      <w:tr>
        <w:trPr>
          <w:trHeight w:val="604"/>
        </w:trPr>
        <w:tc>
          <w:tcPr>
            <w:tcW w:w="5180" w:type="dxa"/>
            <w:vAlign w:val="bottom"/>
            <w:gridSpan w:val="3"/>
          </w:tcPr>
          <w:p>
            <w:pPr>
              <w:spacing w:after="0"/>
              <w:rPr>
                <w:sz w:val="20"/>
                <w:szCs w:val="20"/>
                <w:color w:val="auto"/>
              </w:rPr>
            </w:pPr>
            <w:r>
              <w:rPr>
                <w:rFonts w:ascii="Arial" w:cs="Arial" w:eastAsia="Arial" w:hAnsi="Arial"/>
                <w:sz w:val="19"/>
                <w:szCs w:val="19"/>
                <w:color w:val="auto"/>
              </w:rPr>
              <w:t>Metrics applicable to Lawrence Gleason:</w:t>
            </w:r>
          </w:p>
        </w:tc>
        <w:tc>
          <w:tcPr>
            <w:tcW w:w="2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5"/>
        </w:trPr>
        <w:tc>
          <w:tcPr>
            <w:tcW w:w="518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rPr>
              <w:t>A.   Third Party MRR</w:t>
            </w:r>
            <w:r>
              <w:rPr>
                <w:rFonts w:ascii="Arial" w:cs="Arial" w:eastAsia="Arial" w:hAnsi="Arial"/>
                <w:sz w:val="16"/>
                <w:szCs w:val="16"/>
                <w:color w:val="auto"/>
              </w:rPr>
              <w:t>(1)</w:t>
            </w:r>
            <w:r>
              <w:rPr>
                <w:rFonts w:ascii="Arial" w:cs="Arial" w:eastAsia="Arial" w:hAnsi="Arial"/>
                <w:sz w:val="19"/>
                <w:szCs w:val="19"/>
                <w:color w:val="auto"/>
              </w:rPr>
              <w:t xml:space="preserve"> (25%)</w:t>
            </w:r>
          </w:p>
        </w:tc>
        <w:tc>
          <w:tcPr>
            <w:tcW w:w="2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3820" w:type="dxa"/>
            <w:vAlign w:val="bottom"/>
            <w:tcBorders>
              <w:left w:val="single" w:sz="8" w:color="auto"/>
              <w:bottom w:val="single" w:sz="8" w:color="auto"/>
              <w:right w:val="single" w:sz="8" w:color="auto"/>
            </w:tcBorders>
            <w:shd w:val="clear" w:color="auto" w:fill="1F3864"/>
          </w:tcPr>
          <w:p>
            <w:pPr>
              <w:jc w:val="center"/>
              <w:spacing w:after="0" w:line="213" w:lineRule="exact"/>
              <w:rPr>
                <w:sz w:val="20"/>
                <w:szCs w:val="20"/>
                <w:color w:val="auto"/>
              </w:rPr>
            </w:pPr>
            <w:r>
              <w:rPr>
                <w:rFonts w:ascii="Arial" w:cs="Arial" w:eastAsia="Arial" w:hAnsi="Arial"/>
                <w:sz w:val="19"/>
                <w:szCs w:val="19"/>
                <w:color w:val="FFFFFF"/>
                <w:w w:val="92"/>
              </w:rPr>
              <w:t>Threshold</w:t>
            </w:r>
          </w:p>
        </w:tc>
        <w:tc>
          <w:tcPr>
            <w:tcW w:w="200" w:type="dxa"/>
            <w:vAlign w:val="bottom"/>
            <w:tcBorders>
              <w:bottom w:val="single" w:sz="8" w:color="auto"/>
              <w:right w:val="single" w:sz="8" w:color="1F3864"/>
            </w:tcBorders>
            <w:shd w:val="clear" w:color="auto" w:fill="1F3864"/>
          </w:tcPr>
          <w:p>
            <w:pPr>
              <w:spacing w:after="0"/>
              <w:rPr>
                <w:sz w:val="18"/>
                <w:szCs w:val="18"/>
                <w:color w:val="auto"/>
              </w:rPr>
            </w:pPr>
          </w:p>
        </w:tc>
        <w:tc>
          <w:tcPr>
            <w:tcW w:w="1160" w:type="dxa"/>
            <w:vAlign w:val="bottom"/>
            <w:tcBorders>
              <w:bottom w:val="single" w:sz="8" w:color="auto"/>
            </w:tcBorders>
            <w:shd w:val="clear" w:color="auto" w:fill="1F3864"/>
          </w:tcPr>
          <w:p>
            <w:pPr>
              <w:spacing w:after="0"/>
              <w:rPr>
                <w:sz w:val="18"/>
                <w:szCs w:val="18"/>
                <w:color w:val="auto"/>
              </w:rPr>
            </w:pPr>
          </w:p>
        </w:tc>
        <w:tc>
          <w:tcPr>
            <w:tcW w:w="2440" w:type="dxa"/>
            <w:vAlign w:val="bottom"/>
            <w:tcBorders>
              <w:bottom w:val="single" w:sz="8" w:color="auto"/>
              <w:right w:val="single" w:sz="8" w:color="auto"/>
            </w:tcBorders>
            <w:shd w:val="clear" w:color="auto" w:fill="1F3864"/>
          </w:tcPr>
          <w:p>
            <w:pPr>
              <w:jc w:val="center"/>
              <w:ind w:right="1303"/>
              <w:spacing w:after="0" w:line="213" w:lineRule="exact"/>
              <w:rPr>
                <w:sz w:val="20"/>
                <w:szCs w:val="20"/>
                <w:color w:val="auto"/>
              </w:rPr>
            </w:pPr>
            <w:r>
              <w:rPr>
                <w:rFonts w:ascii="Arial" w:cs="Arial" w:eastAsia="Arial" w:hAnsi="Arial"/>
                <w:sz w:val="19"/>
                <w:szCs w:val="19"/>
                <w:color w:val="FFFFFF"/>
                <w:w w:val="87"/>
              </w:rPr>
              <w:t>Target</w:t>
            </w:r>
          </w:p>
        </w:tc>
        <w:tc>
          <w:tcPr>
            <w:tcW w:w="540" w:type="dxa"/>
            <w:vAlign w:val="bottom"/>
            <w:tcBorders>
              <w:bottom w:val="single" w:sz="8" w:color="auto"/>
            </w:tcBorders>
            <w:shd w:val="clear" w:color="auto" w:fill="1F3864"/>
          </w:tcPr>
          <w:p>
            <w:pPr>
              <w:spacing w:after="0"/>
              <w:rPr>
                <w:sz w:val="18"/>
                <w:szCs w:val="18"/>
                <w:color w:val="auto"/>
              </w:rPr>
            </w:pPr>
          </w:p>
        </w:tc>
        <w:tc>
          <w:tcPr>
            <w:tcW w:w="700" w:type="dxa"/>
            <w:vAlign w:val="bottom"/>
            <w:tcBorders>
              <w:bottom w:val="single" w:sz="8" w:color="auto"/>
            </w:tcBorders>
            <w:shd w:val="clear" w:color="auto" w:fill="1F3864"/>
          </w:tcPr>
          <w:p>
            <w:pPr>
              <w:spacing w:after="0"/>
              <w:rPr>
                <w:sz w:val="18"/>
                <w:szCs w:val="18"/>
                <w:color w:val="auto"/>
              </w:rPr>
            </w:pPr>
          </w:p>
        </w:tc>
        <w:tc>
          <w:tcPr>
            <w:tcW w:w="2560" w:type="dxa"/>
            <w:vAlign w:val="bottom"/>
            <w:tcBorders>
              <w:bottom w:val="single" w:sz="8" w:color="auto"/>
              <w:right w:val="single" w:sz="8" w:color="auto"/>
            </w:tcBorders>
            <w:gridSpan w:val="2"/>
            <w:shd w:val="clear" w:color="auto" w:fill="1F3864"/>
          </w:tcPr>
          <w:p>
            <w:pPr>
              <w:jc w:val="center"/>
              <w:ind w:right="1165"/>
              <w:spacing w:after="0" w:line="213" w:lineRule="exact"/>
              <w:rPr>
                <w:sz w:val="20"/>
                <w:szCs w:val="20"/>
                <w:color w:val="auto"/>
              </w:rPr>
            </w:pPr>
            <w:r>
              <w:rPr>
                <w:rFonts w:ascii="Arial" w:cs="Arial" w:eastAsia="Arial" w:hAnsi="Arial"/>
                <w:sz w:val="19"/>
                <w:szCs w:val="19"/>
                <w:color w:val="FFFFFF"/>
                <w:w w:val="91"/>
              </w:rPr>
              <w:t>Superior</w:t>
            </w:r>
          </w:p>
        </w:tc>
        <w:tc>
          <w:tcPr>
            <w:tcW w:w="20" w:type="dxa"/>
            <w:vAlign w:val="bottom"/>
          </w:tcPr>
          <w:p>
            <w:pPr>
              <w:spacing w:after="0"/>
              <w:rPr>
                <w:sz w:val="18"/>
                <w:szCs w:val="18"/>
                <w:color w:val="auto"/>
              </w:rPr>
            </w:pPr>
          </w:p>
        </w:tc>
      </w:tr>
      <w:tr>
        <w:trPr>
          <w:trHeight w:val="213"/>
        </w:trPr>
        <w:tc>
          <w:tcPr>
            <w:tcW w:w="3820" w:type="dxa"/>
            <w:vAlign w:val="bottom"/>
            <w:tcBorders>
              <w:left w:val="single" w:sz="8" w:color="auto"/>
              <w:bottom w:val="single" w:sz="8" w:color="auto"/>
              <w:right w:val="single" w:sz="8" w:color="auto"/>
            </w:tcBorders>
          </w:tcPr>
          <w:p>
            <w:pPr>
              <w:jc w:val="right"/>
              <w:ind w:right="1503"/>
              <w:spacing w:after="0" w:line="213" w:lineRule="exact"/>
              <w:rPr>
                <w:sz w:val="20"/>
                <w:szCs w:val="20"/>
                <w:color w:val="auto"/>
              </w:rPr>
            </w:pPr>
            <w:r>
              <w:rPr>
                <w:rFonts w:ascii="Arial" w:cs="Arial" w:eastAsia="Arial" w:hAnsi="Arial"/>
                <w:sz w:val="19"/>
                <w:szCs w:val="19"/>
                <w:color w:val="auto"/>
              </w:rPr>
              <w:t>$66,000</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jc w:val="right"/>
              <w:ind w:right="1503"/>
              <w:spacing w:after="0" w:line="213" w:lineRule="exact"/>
              <w:rPr>
                <w:sz w:val="20"/>
                <w:szCs w:val="20"/>
                <w:color w:val="auto"/>
              </w:rPr>
            </w:pPr>
            <w:r>
              <w:rPr>
                <w:rFonts w:ascii="Arial" w:cs="Arial" w:eastAsia="Arial" w:hAnsi="Arial"/>
                <w:sz w:val="19"/>
                <w:szCs w:val="19"/>
                <w:color w:val="auto"/>
              </w:rPr>
              <w:t>$77,500</w:t>
            </w:r>
          </w:p>
        </w:tc>
        <w:tc>
          <w:tcPr>
            <w:tcW w:w="5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365"/>
              <w:spacing w:after="0" w:line="213" w:lineRule="exact"/>
              <w:rPr>
                <w:sz w:val="20"/>
                <w:szCs w:val="20"/>
                <w:color w:val="auto"/>
              </w:rPr>
            </w:pPr>
            <w:r>
              <w:rPr>
                <w:rFonts w:ascii="Arial" w:cs="Arial" w:eastAsia="Arial" w:hAnsi="Arial"/>
                <w:sz w:val="19"/>
                <w:szCs w:val="19"/>
                <w:color w:val="auto"/>
              </w:rPr>
              <w:t>$90,000</w:t>
            </w:r>
          </w:p>
        </w:tc>
        <w:tc>
          <w:tcPr>
            <w:tcW w:w="114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518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rPr>
              <w:t>B. Adjusted EBITDA</w:t>
            </w:r>
            <w:r>
              <w:rPr>
                <w:rFonts w:ascii="Arial" w:cs="Arial" w:eastAsia="Arial" w:hAnsi="Arial"/>
                <w:sz w:val="16"/>
                <w:szCs w:val="16"/>
                <w:color w:val="auto"/>
              </w:rPr>
              <w:t>(2)</w:t>
            </w:r>
            <w:r>
              <w:rPr>
                <w:rFonts w:ascii="Arial" w:cs="Arial" w:eastAsia="Arial" w:hAnsi="Arial"/>
                <w:sz w:val="19"/>
                <w:szCs w:val="19"/>
                <w:color w:val="auto"/>
              </w:rPr>
              <w:t xml:space="preserve"> (25%)</w:t>
            </w:r>
          </w:p>
        </w:tc>
        <w:tc>
          <w:tcPr>
            <w:tcW w:w="2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3820" w:type="dxa"/>
            <w:vAlign w:val="bottom"/>
            <w:tcBorders>
              <w:left w:val="single" w:sz="8" w:color="auto"/>
              <w:bottom w:val="single" w:sz="8" w:color="auto"/>
              <w:right w:val="single" w:sz="8" w:color="auto"/>
            </w:tcBorders>
            <w:shd w:val="clear" w:color="auto" w:fill="1F3864"/>
          </w:tcPr>
          <w:p>
            <w:pPr>
              <w:jc w:val="center"/>
              <w:spacing w:after="0" w:line="213" w:lineRule="exact"/>
              <w:rPr>
                <w:sz w:val="20"/>
                <w:szCs w:val="20"/>
                <w:color w:val="auto"/>
              </w:rPr>
            </w:pPr>
            <w:r>
              <w:rPr>
                <w:rFonts w:ascii="Arial" w:cs="Arial" w:eastAsia="Arial" w:hAnsi="Arial"/>
                <w:sz w:val="19"/>
                <w:szCs w:val="19"/>
                <w:color w:val="FFFFFF"/>
                <w:w w:val="92"/>
              </w:rPr>
              <w:t>Threshold</w:t>
            </w:r>
          </w:p>
        </w:tc>
        <w:tc>
          <w:tcPr>
            <w:tcW w:w="200" w:type="dxa"/>
            <w:vAlign w:val="bottom"/>
            <w:tcBorders>
              <w:bottom w:val="single" w:sz="8" w:color="auto"/>
              <w:right w:val="single" w:sz="8" w:color="1F3864"/>
            </w:tcBorders>
            <w:shd w:val="clear" w:color="auto" w:fill="1F3864"/>
          </w:tcPr>
          <w:p>
            <w:pPr>
              <w:spacing w:after="0"/>
              <w:rPr>
                <w:sz w:val="18"/>
                <w:szCs w:val="18"/>
                <w:color w:val="auto"/>
              </w:rPr>
            </w:pPr>
          </w:p>
        </w:tc>
        <w:tc>
          <w:tcPr>
            <w:tcW w:w="1160" w:type="dxa"/>
            <w:vAlign w:val="bottom"/>
            <w:tcBorders>
              <w:bottom w:val="single" w:sz="8" w:color="auto"/>
            </w:tcBorders>
            <w:shd w:val="clear" w:color="auto" w:fill="1F3864"/>
          </w:tcPr>
          <w:p>
            <w:pPr>
              <w:spacing w:after="0"/>
              <w:rPr>
                <w:sz w:val="18"/>
                <w:szCs w:val="18"/>
                <w:color w:val="auto"/>
              </w:rPr>
            </w:pPr>
          </w:p>
        </w:tc>
        <w:tc>
          <w:tcPr>
            <w:tcW w:w="2440" w:type="dxa"/>
            <w:vAlign w:val="bottom"/>
            <w:tcBorders>
              <w:bottom w:val="single" w:sz="8" w:color="auto"/>
              <w:right w:val="single" w:sz="8" w:color="auto"/>
            </w:tcBorders>
            <w:shd w:val="clear" w:color="auto" w:fill="1F3864"/>
          </w:tcPr>
          <w:p>
            <w:pPr>
              <w:jc w:val="center"/>
              <w:ind w:right="1303"/>
              <w:spacing w:after="0" w:line="213" w:lineRule="exact"/>
              <w:rPr>
                <w:sz w:val="20"/>
                <w:szCs w:val="20"/>
                <w:color w:val="auto"/>
              </w:rPr>
            </w:pPr>
            <w:r>
              <w:rPr>
                <w:rFonts w:ascii="Arial" w:cs="Arial" w:eastAsia="Arial" w:hAnsi="Arial"/>
                <w:sz w:val="19"/>
                <w:szCs w:val="19"/>
                <w:color w:val="FFFFFF"/>
                <w:w w:val="87"/>
              </w:rPr>
              <w:t>Target</w:t>
            </w:r>
          </w:p>
        </w:tc>
        <w:tc>
          <w:tcPr>
            <w:tcW w:w="540" w:type="dxa"/>
            <w:vAlign w:val="bottom"/>
            <w:tcBorders>
              <w:bottom w:val="single" w:sz="8" w:color="auto"/>
            </w:tcBorders>
            <w:shd w:val="clear" w:color="auto" w:fill="1F3864"/>
          </w:tcPr>
          <w:p>
            <w:pPr>
              <w:spacing w:after="0"/>
              <w:rPr>
                <w:sz w:val="18"/>
                <w:szCs w:val="18"/>
                <w:color w:val="auto"/>
              </w:rPr>
            </w:pPr>
          </w:p>
        </w:tc>
        <w:tc>
          <w:tcPr>
            <w:tcW w:w="700" w:type="dxa"/>
            <w:vAlign w:val="bottom"/>
            <w:tcBorders>
              <w:bottom w:val="single" w:sz="8" w:color="auto"/>
            </w:tcBorders>
            <w:shd w:val="clear" w:color="auto" w:fill="1F3864"/>
          </w:tcPr>
          <w:p>
            <w:pPr>
              <w:spacing w:after="0"/>
              <w:rPr>
                <w:sz w:val="18"/>
                <w:szCs w:val="18"/>
                <w:color w:val="auto"/>
              </w:rPr>
            </w:pPr>
          </w:p>
        </w:tc>
        <w:tc>
          <w:tcPr>
            <w:tcW w:w="2560" w:type="dxa"/>
            <w:vAlign w:val="bottom"/>
            <w:tcBorders>
              <w:bottom w:val="single" w:sz="8" w:color="auto"/>
              <w:right w:val="single" w:sz="8" w:color="auto"/>
            </w:tcBorders>
            <w:gridSpan w:val="2"/>
            <w:shd w:val="clear" w:color="auto" w:fill="1F3864"/>
          </w:tcPr>
          <w:p>
            <w:pPr>
              <w:jc w:val="center"/>
              <w:ind w:right="1165"/>
              <w:spacing w:after="0" w:line="213" w:lineRule="exact"/>
              <w:rPr>
                <w:sz w:val="20"/>
                <w:szCs w:val="20"/>
                <w:color w:val="auto"/>
              </w:rPr>
            </w:pPr>
            <w:r>
              <w:rPr>
                <w:rFonts w:ascii="Arial" w:cs="Arial" w:eastAsia="Arial" w:hAnsi="Arial"/>
                <w:sz w:val="19"/>
                <w:szCs w:val="19"/>
                <w:color w:val="FFFFFF"/>
                <w:w w:val="91"/>
              </w:rPr>
              <w:t>Superior</w:t>
            </w:r>
          </w:p>
        </w:tc>
        <w:tc>
          <w:tcPr>
            <w:tcW w:w="20" w:type="dxa"/>
            <w:vAlign w:val="bottom"/>
          </w:tcPr>
          <w:p>
            <w:pPr>
              <w:spacing w:after="0"/>
              <w:rPr>
                <w:sz w:val="18"/>
                <w:szCs w:val="18"/>
                <w:color w:val="auto"/>
              </w:rPr>
            </w:pPr>
          </w:p>
        </w:tc>
      </w:tr>
      <w:tr>
        <w:trPr>
          <w:trHeight w:val="213"/>
        </w:trPr>
        <w:tc>
          <w:tcPr>
            <w:tcW w:w="382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Arial" w:cs="Arial" w:eastAsia="Arial" w:hAnsi="Arial"/>
                <w:sz w:val="19"/>
                <w:szCs w:val="19"/>
                <w:color w:val="auto"/>
                <w:w w:val="97"/>
              </w:rPr>
              <w:t>$1.8 million</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jc w:val="center"/>
              <w:ind w:right="1283"/>
              <w:spacing w:after="0" w:line="213" w:lineRule="exact"/>
              <w:rPr>
                <w:sz w:val="20"/>
                <w:szCs w:val="20"/>
                <w:color w:val="auto"/>
              </w:rPr>
            </w:pPr>
            <w:r>
              <w:rPr>
                <w:rFonts w:ascii="Arial" w:cs="Arial" w:eastAsia="Arial" w:hAnsi="Arial"/>
                <w:sz w:val="19"/>
                <w:szCs w:val="19"/>
                <w:color w:val="auto"/>
                <w:w w:val="97"/>
              </w:rPr>
              <w:t>$2 million</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560" w:type="dxa"/>
            <w:vAlign w:val="bottom"/>
            <w:tcBorders>
              <w:bottom w:val="single" w:sz="8" w:color="auto"/>
              <w:right w:val="single" w:sz="8" w:color="auto"/>
            </w:tcBorders>
            <w:gridSpan w:val="2"/>
          </w:tcPr>
          <w:p>
            <w:pPr>
              <w:jc w:val="center"/>
              <w:ind w:right="1185"/>
              <w:spacing w:after="0" w:line="213" w:lineRule="exact"/>
              <w:rPr>
                <w:sz w:val="20"/>
                <w:szCs w:val="20"/>
                <w:color w:val="auto"/>
              </w:rPr>
            </w:pPr>
            <w:r>
              <w:rPr>
                <w:rFonts w:ascii="Arial" w:cs="Arial" w:eastAsia="Arial" w:hAnsi="Arial"/>
                <w:sz w:val="19"/>
                <w:szCs w:val="19"/>
                <w:color w:val="auto"/>
                <w:w w:val="95"/>
              </w:rPr>
              <w:t>$2.4 million</w:t>
            </w:r>
          </w:p>
        </w:tc>
        <w:tc>
          <w:tcPr>
            <w:tcW w:w="20" w:type="dxa"/>
            <w:vAlign w:val="bottom"/>
          </w:tcPr>
          <w:p>
            <w:pPr>
              <w:spacing w:after="0"/>
              <w:rPr>
                <w:sz w:val="18"/>
                <w:szCs w:val="18"/>
                <w:color w:val="auto"/>
              </w:rPr>
            </w:pPr>
          </w:p>
        </w:tc>
      </w:tr>
      <w:tr>
        <w:trPr>
          <w:trHeight w:val="432"/>
        </w:trPr>
        <w:tc>
          <w:tcPr>
            <w:tcW w:w="518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rPr>
              <w:t>C. Revenue</w:t>
            </w:r>
            <w:r>
              <w:rPr>
                <w:rFonts w:ascii="Arial" w:cs="Arial" w:eastAsia="Arial" w:hAnsi="Arial"/>
                <w:sz w:val="16"/>
                <w:szCs w:val="16"/>
                <w:color w:val="auto"/>
              </w:rPr>
              <w:t>(2)</w:t>
            </w:r>
            <w:r>
              <w:rPr>
                <w:rFonts w:ascii="Arial" w:cs="Arial" w:eastAsia="Arial" w:hAnsi="Arial"/>
                <w:sz w:val="19"/>
                <w:szCs w:val="19"/>
                <w:color w:val="auto"/>
              </w:rPr>
              <w:t xml:space="preserve"> (25%)</w:t>
            </w:r>
          </w:p>
        </w:tc>
        <w:tc>
          <w:tcPr>
            <w:tcW w:w="2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3820" w:type="dxa"/>
            <w:vAlign w:val="bottom"/>
            <w:tcBorders>
              <w:left w:val="single" w:sz="8" w:color="auto"/>
              <w:bottom w:val="single" w:sz="8" w:color="auto"/>
              <w:right w:val="single" w:sz="8" w:color="auto"/>
            </w:tcBorders>
            <w:shd w:val="clear" w:color="auto" w:fill="1F3864"/>
          </w:tcPr>
          <w:p>
            <w:pPr>
              <w:jc w:val="center"/>
              <w:spacing w:after="0" w:line="213" w:lineRule="exact"/>
              <w:rPr>
                <w:sz w:val="20"/>
                <w:szCs w:val="20"/>
                <w:color w:val="auto"/>
              </w:rPr>
            </w:pPr>
            <w:r>
              <w:rPr>
                <w:rFonts w:ascii="Arial" w:cs="Arial" w:eastAsia="Arial" w:hAnsi="Arial"/>
                <w:sz w:val="19"/>
                <w:szCs w:val="19"/>
                <w:color w:val="FFFFFF"/>
                <w:w w:val="92"/>
              </w:rPr>
              <w:t>Threshold</w:t>
            </w:r>
          </w:p>
        </w:tc>
        <w:tc>
          <w:tcPr>
            <w:tcW w:w="200" w:type="dxa"/>
            <w:vAlign w:val="bottom"/>
            <w:tcBorders>
              <w:bottom w:val="single" w:sz="8" w:color="auto"/>
              <w:right w:val="single" w:sz="8" w:color="1F3864"/>
            </w:tcBorders>
            <w:shd w:val="clear" w:color="auto" w:fill="1F3864"/>
          </w:tcPr>
          <w:p>
            <w:pPr>
              <w:spacing w:after="0"/>
              <w:rPr>
                <w:sz w:val="18"/>
                <w:szCs w:val="18"/>
                <w:color w:val="auto"/>
              </w:rPr>
            </w:pPr>
          </w:p>
        </w:tc>
        <w:tc>
          <w:tcPr>
            <w:tcW w:w="1160" w:type="dxa"/>
            <w:vAlign w:val="bottom"/>
            <w:tcBorders>
              <w:bottom w:val="single" w:sz="8" w:color="auto"/>
            </w:tcBorders>
            <w:shd w:val="clear" w:color="auto" w:fill="1F3864"/>
          </w:tcPr>
          <w:p>
            <w:pPr>
              <w:spacing w:after="0"/>
              <w:rPr>
                <w:sz w:val="18"/>
                <w:szCs w:val="18"/>
                <w:color w:val="auto"/>
              </w:rPr>
            </w:pPr>
          </w:p>
        </w:tc>
        <w:tc>
          <w:tcPr>
            <w:tcW w:w="2440" w:type="dxa"/>
            <w:vAlign w:val="bottom"/>
            <w:tcBorders>
              <w:bottom w:val="single" w:sz="8" w:color="auto"/>
              <w:right w:val="single" w:sz="8" w:color="auto"/>
            </w:tcBorders>
            <w:shd w:val="clear" w:color="auto" w:fill="1F3864"/>
          </w:tcPr>
          <w:p>
            <w:pPr>
              <w:jc w:val="center"/>
              <w:ind w:right="1303"/>
              <w:spacing w:after="0" w:line="213" w:lineRule="exact"/>
              <w:rPr>
                <w:sz w:val="20"/>
                <w:szCs w:val="20"/>
                <w:color w:val="auto"/>
              </w:rPr>
            </w:pPr>
            <w:r>
              <w:rPr>
                <w:rFonts w:ascii="Arial" w:cs="Arial" w:eastAsia="Arial" w:hAnsi="Arial"/>
                <w:sz w:val="19"/>
                <w:szCs w:val="19"/>
                <w:color w:val="FFFFFF"/>
                <w:w w:val="87"/>
              </w:rPr>
              <w:t>Target</w:t>
            </w:r>
          </w:p>
        </w:tc>
        <w:tc>
          <w:tcPr>
            <w:tcW w:w="540" w:type="dxa"/>
            <w:vAlign w:val="bottom"/>
            <w:tcBorders>
              <w:bottom w:val="single" w:sz="8" w:color="auto"/>
            </w:tcBorders>
            <w:shd w:val="clear" w:color="auto" w:fill="1F3864"/>
          </w:tcPr>
          <w:p>
            <w:pPr>
              <w:spacing w:after="0"/>
              <w:rPr>
                <w:sz w:val="18"/>
                <w:szCs w:val="18"/>
                <w:color w:val="auto"/>
              </w:rPr>
            </w:pPr>
          </w:p>
        </w:tc>
        <w:tc>
          <w:tcPr>
            <w:tcW w:w="700" w:type="dxa"/>
            <w:vAlign w:val="bottom"/>
            <w:tcBorders>
              <w:bottom w:val="single" w:sz="8" w:color="auto"/>
            </w:tcBorders>
            <w:shd w:val="clear" w:color="auto" w:fill="1F3864"/>
          </w:tcPr>
          <w:p>
            <w:pPr>
              <w:spacing w:after="0"/>
              <w:rPr>
                <w:sz w:val="18"/>
                <w:szCs w:val="18"/>
                <w:color w:val="auto"/>
              </w:rPr>
            </w:pPr>
          </w:p>
        </w:tc>
        <w:tc>
          <w:tcPr>
            <w:tcW w:w="2560" w:type="dxa"/>
            <w:vAlign w:val="bottom"/>
            <w:tcBorders>
              <w:bottom w:val="single" w:sz="8" w:color="auto"/>
              <w:right w:val="single" w:sz="8" w:color="auto"/>
            </w:tcBorders>
            <w:gridSpan w:val="2"/>
            <w:shd w:val="clear" w:color="auto" w:fill="1F3864"/>
          </w:tcPr>
          <w:p>
            <w:pPr>
              <w:jc w:val="center"/>
              <w:ind w:right="1165"/>
              <w:spacing w:after="0" w:line="213" w:lineRule="exact"/>
              <w:rPr>
                <w:sz w:val="20"/>
                <w:szCs w:val="20"/>
                <w:color w:val="auto"/>
              </w:rPr>
            </w:pPr>
            <w:r>
              <w:rPr>
                <w:rFonts w:ascii="Arial" w:cs="Arial" w:eastAsia="Arial" w:hAnsi="Arial"/>
                <w:sz w:val="19"/>
                <w:szCs w:val="19"/>
                <w:color w:val="FFFFFF"/>
                <w:w w:val="91"/>
              </w:rPr>
              <w:t>Superior</w:t>
            </w:r>
          </w:p>
        </w:tc>
        <w:tc>
          <w:tcPr>
            <w:tcW w:w="20" w:type="dxa"/>
            <w:vAlign w:val="bottom"/>
          </w:tcPr>
          <w:p>
            <w:pPr>
              <w:spacing w:after="0"/>
              <w:rPr>
                <w:sz w:val="18"/>
                <w:szCs w:val="18"/>
                <w:color w:val="auto"/>
              </w:rPr>
            </w:pPr>
          </w:p>
        </w:tc>
      </w:tr>
      <w:tr>
        <w:trPr>
          <w:trHeight w:val="213"/>
        </w:trPr>
        <w:tc>
          <w:tcPr>
            <w:tcW w:w="382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Arial" w:cs="Arial" w:eastAsia="Arial" w:hAnsi="Arial"/>
                <w:sz w:val="19"/>
                <w:szCs w:val="19"/>
                <w:color w:val="auto"/>
                <w:w w:val="95"/>
              </w:rPr>
              <w:t>$12.6 million</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jc w:val="center"/>
              <w:ind w:right="1283"/>
              <w:spacing w:after="0" w:line="213" w:lineRule="exact"/>
              <w:rPr>
                <w:sz w:val="20"/>
                <w:szCs w:val="20"/>
                <w:color w:val="auto"/>
              </w:rPr>
            </w:pPr>
            <w:r>
              <w:rPr>
                <w:rFonts w:ascii="Arial" w:cs="Arial" w:eastAsia="Arial" w:hAnsi="Arial"/>
                <w:sz w:val="19"/>
                <w:szCs w:val="19"/>
                <w:color w:val="auto"/>
                <w:w w:val="95"/>
              </w:rPr>
              <w:t>$14.9 million</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560" w:type="dxa"/>
            <w:vAlign w:val="bottom"/>
            <w:tcBorders>
              <w:bottom w:val="single" w:sz="8" w:color="auto"/>
              <w:right w:val="single" w:sz="8" w:color="auto"/>
            </w:tcBorders>
            <w:gridSpan w:val="2"/>
          </w:tcPr>
          <w:p>
            <w:pPr>
              <w:jc w:val="center"/>
              <w:ind w:right="1165"/>
              <w:spacing w:after="0" w:line="213" w:lineRule="exact"/>
              <w:rPr>
                <w:sz w:val="20"/>
                <w:szCs w:val="20"/>
                <w:color w:val="auto"/>
              </w:rPr>
            </w:pPr>
            <w:r>
              <w:rPr>
                <w:rFonts w:ascii="Arial" w:cs="Arial" w:eastAsia="Arial" w:hAnsi="Arial"/>
                <w:sz w:val="19"/>
                <w:szCs w:val="19"/>
                <w:color w:val="auto"/>
                <w:w w:val="95"/>
              </w:rPr>
              <w:t>$17.1 million</w:t>
            </w:r>
          </w:p>
        </w:tc>
        <w:tc>
          <w:tcPr>
            <w:tcW w:w="20" w:type="dxa"/>
            <w:vAlign w:val="bottom"/>
          </w:tcPr>
          <w:p>
            <w:pPr>
              <w:spacing w:after="0"/>
              <w:rPr>
                <w:sz w:val="18"/>
                <w:szCs w:val="18"/>
                <w:color w:val="auto"/>
              </w:rPr>
            </w:pPr>
          </w:p>
        </w:tc>
      </w:tr>
      <w:tr>
        <w:trPr>
          <w:trHeight w:val="432"/>
        </w:trPr>
        <w:tc>
          <w:tcPr>
            <w:tcW w:w="518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rPr>
              <w:t>D. Towers Under Construction</w:t>
            </w:r>
            <w:r>
              <w:rPr>
                <w:rFonts w:ascii="Arial" w:cs="Arial" w:eastAsia="Arial" w:hAnsi="Arial"/>
                <w:sz w:val="16"/>
                <w:szCs w:val="16"/>
                <w:color w:val="auto"/>
              </w:rPr>
              <w:t>(3)</w:t>
            </w:r>
            <w:r>
              <w:rPr>
                <w:rFonts w:ascii="Arial" w:cs="Arial" w:eastAsia="Arial" w:hAnsi="Arial"/>
                <w:sz w:val="19"/>
                <w:szCs w:val="19"/>
                <w:color w:val="auto"/>
              </w:rPr>
              <w:t xml:space="preserve"> (25%)</w:t>
            </w:r>
          </w:p>
        </w:tc>
        <w:tc>
          <w:tcPr>
            <w:tcW w:w="2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3820" w:type="dxa"/>
            <w:vAlign w:val="bottom"/>
            <w:tcBorders>
              <w:left w:val="single" w:sz="8" w:color="auto"/>
              <w:bottom w:val="single" w:sz="8" w:color="auto"/>
              <w:right w:val="single" w:sz="8" w:color="auto"/>
            </w:tcBorders>
            <w:shd w:val="clear" w:color="auto" w:fill="1F3864"/>
          </w:tcPr>
          <w:p>
            <w:pPr>
              <w:jc w:val="center"/>
              <w:spacing w:after="0" w:line="213" w:lineRule="exact"/>
              <w:rPr>
                <w:sz w:val="20"/>
                <w:szCs w:val="20"/>
                <w:color w:val="auto"/>
              </w:rPr>
            </w:pPr>
            <w:r>
              <w:rPr>
                <w:rFonts w:ascii="Arial" w:cs="Arial" w:eastAsia="Arial" w:hAnsi="Arial"/>
                <w:sz w:val="19"/>
                <w:szCs w:val="19"/>
                <w:color w:val="FFFFFF"/>
                <w:w w:val="92"/>
              </w:rPr>
              <w:t>Threshold</w:t>
            </w:r>
          </w:p>
        </w:tc>
        <w:tc>
          <w:tcPr>
            <w:tcW w:w="200" w:type="dxa"/>
            <w:vAlign w:val="bottom"/>
            <w:tcBorders>
              <w:bottom w:val="single" w:sz="8" w:color="auto"/>
              <w:right w:val="single" w:sz="8" w:color="1F3864"/>
            </w:tcBorders>
            <w:shd w:val="clear" w:color="auto" w:fill="1F3864"/>
          </w:tcPr>
          <w:p>
            <w:pPr>
              <w:spacing w:after="0"/>
              <w:rPr>
                <w:sz w:val="18"/>
                <w:szCs w:val="18"/>
                <w:color w:val="auto"/>
              </w:rPr>
            </w:pPr>
          </w:p>
        </w:tc>
        <w:tc>
          <w:tcPr>
            <w:tcW w:w="1160" w:type="dxa"/>
            <w:vAlign w:val="bottom"/>
            <w:tcBorders>
              <w:bottom w:val="single" w:sz="8" w:color="auto"/>
            </w:tcBorders>
            <w:shd w:val="clear" w:color="auto" w:fill="1F3864"/>
          </w:tcPr>
          <w:p>
            <w:pPr>
              <w:spacing w:after="0"/>
              <w:rPr>
                <w:sz w:val="18"/>
                <w:szCs w:val="18"/>
                <w:color w:val="auto"/>
              </w:rPr>
            </w:pPr>
          </w:p>
        </w:tc>
        <w:tc>
          <w:tcPr>
            <w:tcW w:w="2440" w:type="dxa"/>
            <w:vAlign w:val="bottom"/>
            <w:tcBorders>
              <w:bottom w:val="single" w:sz="8" w:color="auto"/>
              <w:right w:val="single" w:sz="8" w:color="auto"/>
            </w:tcBorders>
            <w:shd w:val="clear" w:color="auto" w:fill="1F3864"/>
          </w:tcPr>
          <w:p>
            <w:pPr>
              <w:jc w:val="center"/>
              <w:ind w:right="1303"/>
              <w:spacing w:after="0" w:line="213" w:lineRule="exact"/>
              <w:rPr>
                <w:sz w:val="20"/>
                <w:szCs w:val="20"/>
                <w:color w:val="auto"/>
              </w:rPr>
            </w:pPr>
            <w:r>
              <w:rPr>
                <w:rFonts w:ascii="Arial" w:cs="Arial" w:eastAsia="Arial" w:hAnsi="Arial"/>
                <w:sz w:val="19"/>
                <w:szCs w:val="19"/>
                <w:color w:val="FFFFFF"/>
                <w:w w:val="87"/>
              </w:rPr>
              <w:t>Target</w:t>
            </w:r>
          </w:p>
        </w:tc>
        <w:tc>
          <w:tcPr>
            <w:tcW w:w="540" w:type="dxa"/>
            <w:vAlign w:val="bottom"/>
            <w:tcBorders>
              <w:bottom w:val="single" w:sz="8" w:color="auto"/>
            </w:tcBorders>
            <w:shd w:val="clear" w:color="auto" w:fill="1F3864"/>
          </w:tcPr>
          <w:p>
            <w:pPr>
              <w:spacing w:after="0"/>
              <w:rPr>
                <w:sz w:val="18"/>
                <w:szCs w:val="18"/>
                <w:color w:val="auto"/>
              </w:rPr>
            </w:pPr>
          </w:p>
        </w:tc>
        <w:tc>
          <w:tcPr>
            <w:tcW w:w="700" w:type="dxa"/>
            <w:vAlign w:val="bottom"/>
            <w:tcBorders>
              <w:bottom w:val="single" w:sz="8" w:color="auto"/>
            </w:tcBorders>
            <w:shd w:val="clear" w:color="auto" w:fill="1F3864"/>
          </w:tcPr>
          <w:p>
            <w:pPr>
              <w:spacing w:after="0"/>
              <w:rPr>
                <w:sz w:val="18"/>
                <w:szCs w:val="18"/>
                <w:color w:val="auto"/>
              </w:rPr>
            </w:pPr>
          </w:p>
        </w:tc>
        <w:tc>
          <w:tcPr>
            <w:tcW w:w="2560" w:type="dxa"/>
            <w:vAlign w:val="bottom"/>
            <w:tcBorders>
              <w:bottom w:val="single" w:sz="8" w:color="auto"/>
              <w:right w:val="single" w:sz="8" w:color="auto"/>
            </w:tcBorders>
            <w:gridSpan w:val="2"/>
            <w:shd w:val="clear" w:color="auto" w:fill="1F3864"/>
          </w:tcPr>
          <w:p>
            <w:pPr>
              <w:jc w:val="center"/>
              <w:ind w:right="1165"/>
              <w:spacing w:after="0" w:line="213" w:lineRule="exact"/>
              <w:rPr>
                <w:sz w:val="20"/>
                <w:szCs w:val="20"/>
                <w:color w:val="auto"/>
              </w:rPr>
            </w:pPr>
            <w:r>
              <w:rPr>
                <w:rFonts w:ascii="Arial" w:cs="Arial" w:eastAsia="Arial" w:hAnsi="Arial"/>
                <w:sz w:val="19"/>
                <w:szCs w:val="19"/>
                <w:color w:val="FFFFFF"/>
                <w:w w:val="91"/>
              </w:rPr>
              <w:t>Superior</w:t>
            </w:r>
          </w:p>
        </w:tc>
        <w:tc>
          <w:tcPr>
            <w:tcW w:w="20" w:type="dxa"/>
            <w:vAlign w:val="bottom"/>
          </w:tcPr>
          <w:p>
            <w:pPr>
              <w:spacing w:after="0"/>
              <w:rPr>
                <w:sz w:val="18"/>
                <w:szCs w:val="18"/>
                <w:color w:val="auto"/>
              </w:rPr>
            </w:pPr>
          </w:p>
        </w:tc>
      </w:tr>
      <w:tr>
        <w:trPr>
          <w:trHeight w:val="213"/>
        </w:trPr>
        <w:tc>
          <w:tcPr>
            <w:tcW w:w="3820" w:type="dxa"/>
            <w:vAlign w:val="bottom"/>
            <w:tcBorders>
              <w:left w:val="single" w:sz="8" w:color="auto"/>
              <w:bottom w:val="single" w:sz="8" w:color="auto"/>
              <w:right w:val="single" w:sz="8" w:color="auto"/>
            </w:tcBorders>
          </w:tcPr>
          <w:p>
            <w:pPr>
              <w:jc w:val="right"/>
              <w:ind w:right="1663"/>
              <w:spacing w:after="0" w:line="213" w:lineRule="exact"/>
              <w:rPr>
                <w:sz w:val="20"/>
                <w:szCs w:val="20"/>
                <w:color w:val="auto"/>
              </w:rPr>
            </w:pPr>
            <w:r>
              <w:rPr>
                <w:rFonts w:ascii="Arial" w:cs="Arial" w:eastAsia="Arial" w:hAnsi="Arial"/>
                <w:sz w:val="19"/>
                <w:szCs w:val="19"/>
                <w:color w:val="auto"/>
              </w:rPr>
              <w:t>200</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jc w:val="right"/>
              <w:ind w:right="1683"/>
              <w:spacing w:after="0" w:line="213" w:lineRule="exact"/>
              <w:rPr>
                <w:sz w:val="20"/>
                <w:szCs w:val="20"/>
                <w:color w:val="auto"/>
              </w:rPr>
            </w:pPr>
            <w:r>
              <w:rPr>
                <w:rFonts w:ascii="Arial" w:cs="Arial" w:eastAsia="Arial" w:hAnsi="Arial"/>
                <w:sz w:val="19"/>
                <w:szCs w:val="19"/>
                <w:color w:val="auto"/>
              </w:rPr>
              <w:t>235</w:t>
            </w:r>
          </w:p>
        </w:tc>
        <w:tc>
          <w:tcPr>
            <w:tcW w:w="5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545"/>
              <w:spacing w:after="0" w:line="213" w:lineRule="exact"/>
              <w:rPr>
                <w:sz w:val="20"/>
                <w:szCs w:val="20"/>
                <w:color w:val="auto"/>
              </w:rPr>
            </w:pPr>
            <w:r>
              <w:rPr>
                <w:rFonts w:ascii="Arial" w:cs="Arial" w:eastAsia="Arial" w:hAnsi="Arial"/>
                <w:sz w:val="19"/>
                <w:szCs w:val="19"/>
                <w:color w:val="auto"/>
              </w:rPr>
              <w:t>270</w:t>
            </w:r>
          </w:p>
        </w:tc>
        <w:tc>
          <w:tcPr>
            <w:tcW w:w="114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518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w w:val="91"/>
              </w:rPr>
              <w:t>E. Payouts for each component will be interpolated between levels.</w:t>
            </w:r>
          </w:p>
        </w:tc>
        <w:tc>
          <w:tcPr>
            <w:tcW w:w="2980" w:type="dxa"/>
            <w:vAlign w:val="bottom"/>
            <w:tcBorders>
              <w:bottom w:val="single" w:sz="8" w:color="auto"/>
            </w:tcBorders>
            <w:gridSpan w:val="2"/>
          </w:tcPr>
          <w:p>
            <w:pPr>
              <w:ind w:left="60"/>
              <w:spacing w:after="0"/>
              <w:rPr>
                <w:sz w:val="20"/>
                <w:szCs w:val="20"/>
                <w:color w:val="auto"/>
              </w:rPr>
            </w:pPr>
            <w:r>
              <w:rPr>
                <w:rFonts w:ascii="Arial" w:cs="Arial" w:eastAsia="Arial" w:hAnsi="Arial"/>
                <w:sz w:val="19"/>
                <w:szCs w:val="19"/>
                <w:color w:val="auto"/>
                <w:w w:val="91"/>
              </w:rPr>
              <w:t>Potential Payouts at each level are as</w:t>
            </w:r>
          </w:p>
        </w:tc>
        <w:tc>
          <w:tcPr>
            <w:tcW w:w="3280" w:type="dxa"/>
            <w:vAlign w:val="bottom"/>
            <w:tcBorders>
              <w:bottom w:val="single" w:sz="8" w:color="auto"/>
            </w:tcBorders>
            <w:gridSpan w:val="4"/>
          </w:tcPr>
          <w:p>
            <w:pPr>
              <w:jc w:val="right"/>
              <w:ind w:right="2540"/>
              <w:spacing w:after="0"/>
              <w:rPr>
                <w:sz w:val="20"/>
                <w:szCs w:val="20"/>
                <w:color w:val="auto"/>
              </w:rPr>
            </w:pPr>
            <w:r>
              <w:rPr>
                <w:rFonts w:ascii="Arial" w:cs="Arial" w:eastAsia="Arial" w:hAnsi="Arial"/>
                <w:sz w:val="19"/>
                <w:szCs w:val="19"/>
                <w:color w:val="auto"/>
              </w:rPr>
              <w:t>follows:</w:t>
            </w:r>
          </w:p>
        </w:tc>
      </w:tr>
      <w:tr>
        <w:trPr>
          <w:trHeight w:val="455"/>
        </w:trPr>
        <w:tc>
          <w:tcPr>
            <w:tcW w:w="4020" w:type="dxa"/>
            <w:vAlign w:val="bottom"/>
            <w:tcBorders>
              <w:left w:val="single" w:sz="8" w:color="auto"/>
              <w:right w:val="single" w:sz="8" w:color="auto"/>
            </w:tcBorders>
            <w:gridSpan w:val="2"/>
            <w:shd w:val="clear" w:color="auto" w:fill="1F3864"/>
          </w:tcPr>
          <w:p>
            <w:pPr>
              <w:ind w:left="640"/>
              <w:spacing w:after="0"/>
              <w:rPr>
                <w:sz w:val="20"/>
                <w:szCs w:val="20"/>
                <w:color w:val="auto"/>
              </w:rPr>
            </w:pPr>
            <w:r>
              <w:rPr>
                <w:rFonts w:ascii="Arial" w:cs="Arial" w:eastAsia="Arial" w:hAnsi="Arial"/>
                <w:sz w:val="21"/>
                <w:szCs w:val="21"/>
                <w:color w:val="FFFFFF"/>
              </w:rPr>
              <w:t>Performance Achievement Level</w:t>
            </w:r>
          </w:p>
        </w:tc>
        <w:tc>
          <w:tcPr>
            <w:tcW w:w="1160" w:type="dxa"/>
            <w:vAlign w:val="bottom"/>
            <w:shd w:val="clear" w:color="auto" w:fill="1F3864"/>
          </w:tcPr>
          <w:p>
            <w:pPr>
              <w:spacing w:after="0"/>
              <w:rPr>
                <w:sz w:val="24"/>
                <w:szCs w:val="24"/>
                <w:color w:val="auto"/>
              </w:rPr>
            </w:pPr>
          </w:p>
        </w:tc>
        <w:tc>
          <w:tcPr>
            <w:tcW w:w="6240" w:type="dxa"/>
            <w:vAlign w:val="bottom"/>
            <w:tcBorders>
              <w:right w:val="single" w:sz="8" w:color="1F3864"/>
            </w:tcBorders>
            <w:gridSpan w:val="5"/>
            <w:shd w:val="clear" w:color="auto" w:fill="1F3864"/>
          </w:tcPr>
          <w:p>
            <w:pPr>
              <w:jc w:val="right"/>
              <w:ind w:right="2165"/>
              <w:spacing w:after="0"/>
              <w:rPr>
                <w:sz w:val="20"/>
                <w:szCs w:val="20"/>
                <w:color w:val="auto"/>
              </w:rPr>
            </w:pPr>
            <w:r>
              <w:rPr>
                <w:rFonts w:ascii="Arial" w:cs="Arial" w:eastAsia="Arial" w:hAnsi="Arial"/>
                <w:sz w:val="21"/>
                <w:szCs w:val="21"/>
                <w:color w:val="FFFFFF"/>
              </w:rPr>
              <w:t>Potential as Percent of Base Salary</w:t>
            </w:r>
          </w:p>
        </w:tc>
        <w:tc>
          <w:tcPr>
            <w:tcW w:w="20" w:type="dxa"/>
            <w:vAlign w:val="bottom"/>
            <w:shd w:val="clear" w:color="auto" w:fill="000000"/>
          </w:tcPr>
          <w:p>
            <w:pPr>
              <w:spacing w:after="0"/>
              <w:rPr>
                <w:sz w:val="24"/>
                <w:szCs w:val="24"/>
                <w:color w:val="auto"/>
              </w:rPr>
            </w:pPr>
          </w:p>
        </w:tc>
      </w:tr>
      <w:tr>
        <w:trPr>
          <w:trHeight w:val="209"/>
        </w:trPr>
        <w:tc>
          <w:tcPr>
            <w:tcW w:w="4020" w:type="dxa"/>
            <w:vAlign w:val="bottom"/>
            <w:tcBorders>
              <w:left w:val="single" w:sz="8" w:color="auto"/>
              <w:bottom w:val="single" w:sz="8" w:color="auto"/>
              <w:right w:val="single" w:sz="8" w:color="auto"/>
            </w:tcBorders>
            <w:gridSpan w:val="2"/>
            <w:shd w:val="clear" w:color="auto" w:fill="1F3864"/>
          </w:tcPr>
          <w:p>
            <w:pPr>
              <w:spacing w:after="0"/>
              <w:rPr>
                <w:sz w:val="18"/>
                <w:szCs w:val="18"/>
                <w:color w:val="auto"/>
              </w:rPr>
            </w:pPr>
          </w:p>
        </w:tc>
        <w:tc>
          <w:tcPr>
            <w:tcW w:w="1160" w:type="dxa"/>
            <w:vAlign w:val="bottom"/>
            <w:tcBorders>
              <w:bottom w:val="single" w:sz="8" w:color="auto"/>
            </w:tcBorders>
            <w:shd w:val="clear" w:color="auto" w:fill="1F3864"/>
          </w:tcPr>
          <w:p>
            <w:pPr>
              <w:spacing w:after="0"/>
              <w:rPr>
                <w:sz w:val="18"/>
                <w:szCs w:val="18"/>
                <w:color w:val="auto"/>
              </w:rPr>
            </w:pPr>
          </w:p>
        </w:tc>
        <w:tc>
          <w:tcPr>
            <w:tcW w:w="2980" w:type="dxa"/>
            <w:vAlign w:val="bottom"/>
            <w:tcBorders>
              <w:bottom w:val="single" w:sz="8" w:color="auto"/>
            </w:tcBorders>
            <w:gridSpan w:val="2"/>
            <w:shd w:val="clear" w:color="auto" w:fill="1F3864"/>
          </w:tcPr>
          <w:p>
            <w:pPr>
              <w:spacing w:after="0"/>
              <w:rPr>
                <w:sz w:val="18"/>
                <w:szCs w:val="18"/>
                <w:color w:val="auto"/>
              </w:rPr>
            </w:pPr>
          </w:p>
        </w:tc>
        <w:tc>
          <w:tcPr>
            <w:tcW w:w="700" w:type="dxa"/>
            <w:vAlign w:val="bottom"/>
            <w:tcBorders>
              <w:bottom w:val="single" w:sz="8" w:color="auto"/>
            </w:tcBorders>
            <w:shd w:val="clear" w:color="auto" w:fill="1F3864"/>
          </w:tcPr>
          <w:p>
            <w:pPr>
              <w:spacing w:after="0"/>
              <w:rPr>
                <w:sz w:val="18"/>
                <w:szCs w:val="18"/>
                <w:color w:val="auto"/>
              </w:rPr>
            </w:pPr>
          </w:p>
        </w:tc>
        <w:tc>
          <w:tcPr>
            <w:tcW w:w="1420" w:type="dxa"/>
            <w:vAlign w:val="bottom"/>
            <w:tcBorders>
              <w:bottom w:val="single" w:sz="8" w:color="auto"/>
            </w:tcBorders>
            <w:shd w:val="clear" w:color="auto" w:fill="1F3864"/>
          </w:tcPr>
          <w:p>
            <w:pPr>
              <w:spacing w:after="0"/>
              <w:rPr>
                <w:sz w:val="18"/>
                <w:szCs w:val="18"/>
                <w:color w:val="auto"/>
              </w:rPr>
            </w:pPr>
          </w:p>
        </w:tc>
        <w:tc>
          <w:tcPr>
            <w:tcW w:w="1140" w:type="dxa"/>
            <w:vAlign w:val="bottom"/>
            <w:tcBorders>
              <w:bottom w:val="single" w:sz="8" w:color="auto"/>
              <w:right w:val="single" w:sz="8" w:color="1F3864"/>
            </w:tcBorders>
            <w:shd w:val="clear" w:color="auto" w:fill="1F3864"/>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r>
        <w:trPr>
          <w:trHeight w:val="204"/>
        </w:trPr>
        <w:tc>
          <w:tcPr>
            <w:tcW w:w="4020" w:type="dxa"/>
            <w:vAlign w:val="bottom"/>
            <w:tcBorders>
              <w:left w:val="single" w:sz="8" w:color="auto"/>
              <w:right w:val="single" w:sz="8" w:color="auto"/>
            </w:tcBorders>
            <w:gridSpan w:val="2"/>
          </w:tcPr>
          <w:p>
            <w:pPr>
              <w:ind w:left="20"/>
              <w:spacing w:after="0" w:line="204" w:lineRule="exact"/>
              <w:rPr>
                <w:sz w:val="20"/>
                <w:szCs w:val="20"/>
                <w:color w:val="auto"/>
              </w:rPr>
            </w:pPr>
            <w:r>
              <w:rPr>
                <w:rFonts w:ascii="Arial" w:cs="Arial" w:eastAsia="Arial" w:hAnsi="Arial"/>
                <w:sz w:val="21"/>
                <w:szCs w:val="21"/>
                <w:color w:val="auto"/>
              </w:rPr>
              <w:t>Threshold</w:t>
            </w:r>
          </w:p>
        </w:tc>
        <w:tc>
          <w:tcPr>
            <w:tcW w:w="1160" w:type="dxa"/>
            <w:vAlign w:val="bottom"/>
          </w:tcPr>
          <w:p>
            <w:pPr>
              <w:spacing w:after="0"/>
              <w:rPr>
                <w:sz w:val="17"/>
                <w:szCs w:val="17"/>
                <w:color w:val="auto"/>
              </w:rPr>
            </w:pPr>
          </w:p>
        </w:tc>
        <w:tc>
          <w:tcPr>
            <w:tcW w:w="2980" w:type="dxa"/>
            <w:vAlign w:val="bottom"/>
            <w:gridSpan w:val="2"/>
          </w:tcPr>
          <w:p>
            <w:pPr>
              <w:jc w:val="center"/>
              <w:ind w:left="1983"/>
              <w:spacing w:after="0" w:line="204" w:lineRule="exact"/>
              <w:rPr>
                <w:sz w:val="20"/>
                <w:szCs w:val="20"/>
                <w:color w:val="auto"/>
              </w:rPr>
            </w:pPr>
            <w:r>
              <w:rPr>
                <w:rFonts w:ascii="Arial" w:cs="Arial" w:eastAsia="Arial" w:hAnsi="Arial"/>
                <w:sz w:val="21"/>
                <w:szCs w:val="21"/>
                <w:color w:val="auto"/>
                <w:w w:val="90"/>
              </w:rPr>
              <w:t>50%</w:t>
            </w:r>
          </w:p>
        </w:tc>
        <w:tc>
          <w:tcPr>
            <w:tcW w:w="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r>
      <w:tr>
        <w:trPr>
          <w:trHeight w:val="233"/>
        </w:trPr>
        <w:tc>
          <w:tcPr>
            <w:tcW w:w="4020" w:type="dxa"/>
            <w:vAlign w:val="bottom"/>
            <w:tcBorders>
              <w:left w:val="single" w:sz="8" w:color="auto"/>
              <w:right w:val="single" w:sz="8" w:color="auto"/>
            </w:tcBorders>
            <w:gridSpan w:val="2"/>
          </w:tcPr>
          <w:p>
            <w:pPr>
              <w:ind w:left="20"/>
              <w:spacing w:after="0" w:line="233" w:lineRule="exact"/>
              <w:rPr>
                <w:sz w:val="20"/>
                <w:szCs w:val="20"/>
                <w:color w:val="auto"/>
              </w:rPr>
            </w:pPr>
            <w:r>
              <w:rPr>
                <w:rFonts w:ascii="Arial" w:cs="Arial" w:eastAsia="Arial" w:hAnsi="Arial"/>
                <w:sz w:val="21"/>
                <w:szCs w:val="21"/>
                <w:color w:val="auto"/>
              </w:rPr>
              <w:t>Target</w:t>
            </w:r>
          </w:p>
        </w:tc>
        <w:tc>
          <w:tcPr>
            <w:tcW w:w="1160" w:type="dxa"/>
            <w:vAlign w:val="bottom"/>
          </w:tcPr>
          <w:p>
            <w:pPr>
              <w:spacing w:after="0"/>
              <w:rPr>
                <w:sz w:val="20"/>
                <w:szCs w:val="20"/>
                <w:color w:val="auto"/>
              </w:rPr>
            </w:pPr>
          </w:p>
        </w:tc>
        <w:tc>
          <w:tcPr>
            <w:tcW w:w="2980" w:type="dxa"/>
            <w:vAlign w:val="bottom"/>
            <w:gridSpan w:val="2"/>
          </w:tcPr>
          <w:p>
            <w:pPr>
              <w:jc w:val="center"/>
              <w:ind w:left="2003"/>
              <w:spacing w:after="0" w:line="233" w:lineRule="exact"/>
              <w:rPr>
                <w:sz w:val="20"/>
                <w:szCs w:val="20"/>
                <w:color w:val="auto"/>
              </w:rPr>
            </w:pPr>
            <w:r>
              <w:rPr>
                <w:rFonts w:ascii="Arial" w:cs="Arial" w:eastAsia="Arial" w:hAnsi="Arial"/>
                <w:sz w:val="21"/>
                <w:szCs w:val="21"/>
                <w:color w:val="auto"/>
                <w:w w:val="89"/>
              </w:rPr>
              <w:t>100%</w:t>
            </w:r>
          </w:p>
        </w:tc>
        <w:tc>
          <w:tcPr>
            <w:tcW w:w="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254"/>
        </w:trPr>
        <w:tc>
          <w:tcPr>
            <w:tcW w:w="40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1"/>
                <w:szCs w:val="21"/>
                <w:color w:val="auto"/>
              </w:rPr>
              <w:t>Superior</w:t>
            </w:r>
          </w:p>
        </w:tc>
        <w:tc>
          <w:tcPr>
            <w:tcW w:w="116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2"/>
          </w:tcPr>
          <w:p>
            <w:pPr>
              <w:jc w:val="center"/>
              <w:ind w:left="2003"/>
              <w:spacing w:after="0"/>
              <w:rPr>
                <w:sz w:val="20"/>
                <w:szCs w:val="20"/>
                <w:color w:val="auto"/>
              </w:rPr>
            </w:pPr>
            <w:r>
              <w:rPr>
                <w:rFonts w:ascii="Arial" w:cs="Arial" w:eastAsia="Arial" w:hAnsi="Arial"/>
                <w:sz w:val="21"/>
                <w:szCs w:val="21"/>
                <w:color w:val="auto"/>
                <w:w w:val="89"/>
              </w:rPr>
              <w:t>150%</w:t>
            </w:r>
          </w:p>
        </w:tc>
        <w:tc>
          <w:tcPr>
            <w:tcW w:w="7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233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pacing w:after="0" w:line="364" w:lineRule="exact"/>
        <w:rPr>
          <w:sz w:val="20"/>
          <w:szCs w:val="20"/>
          <w:color w:val="auto"/>
        </w:rPr>
      </w:pPr>
    </w:p>
    <w:p>
      <w:pPr>
        <w:ind w:left="440" w:hanging="437"/>
        <w:spacing w:after="0"/>
        <w:tabs>
          <w:tab w:leader="none" w:pos="4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Represents MRR generated from non-anchor tenants.</w:t>
      </w:r>
    </w:p>
    <w:p>
      <w:pPr>
        <w:spacing w:after="0" w:line="17" w:lineRule="exact"/>
        <w:rPr>
          <w:rFonts w:ascii="Arial" w:cs="Arial" w:eastAsia="Arial" w:hAnsi="Arial"/>
          <w:sz w:val="19"/>
          <w:szCs w:val="19"/>
          <w:color w:val="auto"/>
        </w:rPr>
      </w:pPr>
    </w:p>
    <w:p>
      <w:pPr>
        <w:ind w:left="440" w:right="400" w:hanging="437"/>
        <w:spacing w:after="0" w:line="241" w:lineRule="auto"/>
        <w:tabs>
          <w:tab w:leader="none" w:pos="4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Definition to be consistent with public reporting. Excludes M&amp;A and capital markets transactions. Calculation will be FX neutral, based on budgeted FX rates.</w:t>
      </w:r>
    </w:p>
    <w:p>
      <w:pPr>
        <w:ind w:left="440" w:hanging="437"/>
        <w:spacing w:after="0"/>
        <w:tabs>
          <w:tab w:leader="none" w:pos="4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Represents sites (macro or rooftop) with approved site development plans.</w:t>
      </w:r>
    </w:p>
    <w:p>
      <w:pPr>
        <w:sectPr>
          <w:pgSz w:w="11900" w:h="16838" w:orient="portrait"/>
          <w:cols w:equalWidth="0" w:num="1">
            <w:col w:w="11420"/>
          </w:cols>
          <w:pgMar w:left="240" w:top="322" w:right="239" w:bottom="1440" w:gutter="0" w:footer="0" w:header="0"/>
        </w:sectPr>
      </w:pPr>
    </w:p>
    <w:bookmarkStart w:id="58" w:name="page59"/>
    <w:bookmarkEnd w:id="58"/>
    <w:p>
      <w:pPr>
        <w:jc w:val="both"/>
        <w:spacing w:after="0" w:line="253" w:lineRule="auto"/>
        <w:rPr>
          <w:sz w:val="20"/>
          <w:szCs w:val="20"/>
          <w:color w:val="auto"/>
        </w:rPr>
      </w:pPr>
      <w:r>
        <w:rPr>
          <w:rFonts w:ascii="Arial" w:cs="Arial" w:eastAsia="Arial" w:hAnsi="Arial"/>
          <w:sz w:val="19"/>
          <w:szCs w:val="19"/>
          <w:color w:val="auto"/>
        </w:rPr>
        <w:t>PORTIONS OF THIS DOCUMENT HAVE BEEN REDACTED PURSUANT TO ITEM 601(B)(10)(IV) OF REGULATION S-K BECAUSE IT IS BOTH NOT MATERIAL AND WOULD LIKELY CAUSE COMPETITIVE HARM TO THE REGISTRANT IF PUBLICLY DISCLOSED. REDACTED PORTIONS ARE INDICATED WITH THE NOTATION “[**]”.</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10.2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2019 SHORT-TERM INCENTIVE PLAN</w:t>
      </w:r>
    </w:p>
    <w:p>
      <w:pPr>
        <w:spacing w:after="0" w:line="205" w:lineRule="exact"/>
        <w:rPr>
          <w:sz w:val="20"/>
          <w:szCs w:val="20"/>
          <w:color w:val="auto"/>
        </w:rPr>
      </w:pPr>
    </w:p>
    <w:p>
      <w:pPr>
        <w:jc w:val="both"/>
        <w:ind w:firstLine="878"/>
        <w:spacing w:after="0" w:line="265" w:lineRule="auto"/>
        <w:rPr>
          <w:sz w:val="20"/>
          <w:szCs w:val="20"/>
          <w:color w:val="auto"/>
        </w:rPr>
      </w:pPr>
      <w:r>
        <w:rPr>
          <w:rFonts w:ascii="Arial" w:cs="Arial" w:eastAsia="Arial" w:hAnsi="Arial"/>
          <w:sz w:val="19"/>
          <w:szCs w:val="19"/>
          <w:color w:val="auto"/>
        </w:rPr>
        <w:t>This 2019 Short-Term Incentive Plan (this “</w:t>
      </w:r>
      <w:r>
        <w:rPr>
          <w:rFonts w:ascii="Arial" w:cs="Arial" w:eastAsia="Arial" w:hAnsi="Arial"/>
          <w:sz w:val="19"/>
          <w:szCs w:val="19"/>
          <w:u w:val="single" w:color="auto"/>
          <w:color w:val="auto"/>
        </w:rPr>
        <w:t>Plan</w:t>
      </w:r>
      <w:r>
        <w:rPr>
          <w:rFonts w:ascii="Arial" w:cs="Arial" w:eastAsia="Arial" w:hAnsi="Arial"/>
          <w:sz w:val="19"/>
          <w:szCs w:val="19"/>
          <w:color w:val="auto"/>
        </w:rPr>
        <w:t>”) of Uniti Group Inc., a Maryland corporation (the “</w:t>
      </w:r>
      <w:r>
        <w:rPr>
          <w:rFonts w:ascii="Arial" w:cs="Arial" w:eastAsia="Arial" w:hAnsi="Arial"/>
          <w:sz w:val="19"/>
          <w:szCs w:val="19"/>
          <w:u w:val="single" w:color="auto"/>
          <w:color w:val="auto"/>
        </w:rPr>
        <w:t>Corporation</w:t>
      </w:r>
      <w:r>
        <w:rPr>
          <w:rFonts w:ascii="Arial" w:cs="Arial" w:eastAsia="Arial" w:hAnsi="Arial"/>
          <w:sz w:val="19"/>
          <w:szCs w:val="19"/>
          <w:color w:val="auto"/>
        </w:rPr>
        <w:t>”), became effective on May 7, 2019 (the “</w:t>
      </w:r>
      <w:r>
        <w:rPr>
          <w:rFonts w:ascii="Arial" w:cs="Arial" w:eastAsia="Arial" w:hAnsi="Arial"/>
          <w:sz w:val="19"/>
          <w:szCs w:val="19"/>
          <w:u w:val="single" w:color="auto"/>
          <w:color w:val="auto"/>
        </w:rPr>
        <w:t>Effective Date</w:t>
      </w:r>
      <w:r>
        <w:rPr>
          <w:rFonts w:ascii="Arial" w:cs="Arial" w:eastAsia="Arial" w:hAnsi="Arial"/>
          <w:sz w:val="19"/>
          <w:szCs w:val="19"/>
          <w:color w:val="auto"/>
        </w:rPr>
        <w:t>”).</w:t>
      </w:r>
    </w:p>
    <w:p>
      <w:pPr>
        <w:spacing w:after="0" w:line="166" w:lineRule="exact"/>
        <w:rPr>
          <w:sz w:val="20"/>
          <w:szCs w:val="20"/>
          <w:color w:val="auto"/>
        </w:rPr>
      </w:pPr>
    </w:p>
    <w:p>
      <w:pPr>
        <w:ind w:right="500" w:firstLine="878"/>
        <w:spacing w:after="0"/>
        <w:rPr>
          <w:sz w:val="20"/>
          <w:szCs w:val="20"/>
          <w:color w:val="auto"/>
        </w:rPr>
      </w:pPr>
      <w:r>
        <w:rPr>
          <w:rFonts w:ascii="Arial" w:cs="Arial" w:eastAsia="Arial" w:hAnsi="Arial"/>
          <w:sz w:val="21"/>
          <w:szCs w:val="21"/>
          <w:b w:val="1"/>
          <w:bCs w:val="1"/>
          <w:color w:val="auto"/>
        </w:rPr>
        <w:t xml:space="preserve">Section 1. </w:t>
      </w:r>
      <w:r>
        <w:rPr>
          <w:rFonts w:ascii="Arial" w:cs="Arial" w:eastAsia="Arial" w:hAnsi="Arial"/>
          <w:sz w:val="18"/>
          <w:szCs w:val="18"/>
          <w:b w:val="1"/>
          <w:bCs w:val="1"/>
          <w:color w:val="auto"/>
        </w:rPr>
        <w:t>Definitions</w:t>
      </w:r>
      <w:r>
        <w:rPr>
          <w:rFonts w:ascii="Arial" w:cs="Arial" w:eastAsia="Arial" w:hAnsi="Arial"/>
          <w:sz w:val="18"/>
          <w:szCs w:val="18"/>
          <w:color w:val="auto"/>
        </w:rPr>
        <w:t>. The following words and phrases shall have the following meanings unless a different meaning is plainly</w:t>
      </w:r>
      <w:r>
        <w:rPr>
          <w:rFonts w:ascii="Arial" w:cs="Arial" w:eastAsia="Arial" w:hAnsi="Arial"/>
          <w:sz w:val="21"/>
          <w:szCs w:val="21"/>
          <w:b w:val="1"/>
          <w:bCs w:val="1"/>
          <w:color w:val="auto"/>
        </w:rPr>
        <w:t xml:space="preserve"> </w:t>
      </w:r>
      <w:r>
        <w:rPr>
          <w:rFonts w:ascii="Arial" w:cs="Arial" w:eastAsia="Arial" w:hAnsi="Arial"/>
          <w:sz w:val="18"/>
          <w:szCs w:val="18"/>
          <w:color w:val="auto"/>
        </w:rPr>
        <w:t>required by the context:</w:t>
      </w:r>
    </w:p>
    <w:p>
      <w:pPr>
        <w:sectPr>
          <w:pgSz w:w="11900" w:h="16838" w:orient="portrait"/>
          <w:cols w:equalWidth="0" w:num="1">
            <w:col w:w="11420"/>
          </w:cols>
          <w:pgMar w:left="240" w:top="124" w:right="239" w:bottom="1440" w:gutter="0" w:footer="0" w:header="0"/>
        </w:sectPr>
      </w:pPr>
    </w:p>
    <w:p>
      <w:pPr>
        <w:spacing w:after="0" w:line="18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Award</w:t>
      </w:r>
      <w:r>
        <w:rPr>
          <w:rFonts w:ascii="Arial" w:cs="Arial" w:eastAsia="Arial" w:hAnsi="Arial"/>
          <w:sz w:val="17"/>
          <w:szCs w:val="17"/>
          <w:color w:val="auto"/>
        </w:rPr>
        <w:t>” means any Short-Term Incentive Bonus granted under this Plan.</w:t>
      </w:r>
    </w:p>
    <w:p>
      <w:pPr>
        <w:spacing w:after="0" w:line="200" w:lineRule="exact"/>
        <w:rPr>
          <w:sz w:val="20"/>
          <w:szCs w:val="20"/>
          <w:color w:val="auto"/>
        </w:rPr>
      </w:pPr>
    </w:p>
    <w:p>
      <w:pPr>
        <w:sectPr>
          <w:pgSz w:w="11900" w:h="16838" w:orient="portrait"/>
          <w:cols w:equalWidth="0" w:num="2">
            <w:col w:w="3060" w:space="720"/>
            <w:col w:w="7640"/>
          </w:cols>
          <w:pgMar w:left="240" w:top="124" w:right="239" w:bottom="1440" w:gutter="0" w:footer="0" w:header="0"/>
          <w:type w:val="continuous"/>
        </w:sectPr>
      </w:pPr>
    </w:p>
    <w:p>
      <w:pPr>
        <w:spacing w:after="0" w:line="26" w:lineRule="exact"/>
        <w:rPr>
          <w:sz w:val="20"/>
          <w:szCs w:val="20"/>
          <w:color w:val="auto"/>
        </w:rPr>
      </w:pPr>
    </w:p>
    <w:p>
      <w:pPr>
        <w:jc w:val="center"/>
        <w:ind w:left="560"/>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Board</w:t>
      </w:r>
      <w:r>
        <w:rPr>
          <w:rFonts w:ascii="Arial" w:cs="Arial" w:eastAsia="Arial" w:hAnsi="Arial"/>
          <w:sz w:val="17"/>
          <w:szCs w:val="17"/>
          <w:color w:val="auto"/>
        </w:rPr>
        <w:t>” means the Board of Directors of the Corporation.</w:t>
      </w:r>
    </w:p>
    <w:p>
      <w:pPr>
        <w:spacing w:after="0" w:line="205" w:lineRule="exact"/>
        <w:rPr>
          <w:sz w:val="20"/>
          <w:szCs w:val="20"/>
          <w:color w:val="auto"/>
        </w:rPr>
      </w:pPr>
    </w:p>
    <w:p>
      <w:pPr>
        <w:sectPr>
          <w:pgSz w:w="11900" w:h="16838" w:orient="portrait"/>
          <w:cols w:equalWidth="0" w:num="2">
            <w:col w:w="3080" w:space="720"/>
            <w:col w:w="7620"/>
          </w:cols>
          <w:pgMar w:left="240" w:top="124" w:right="239" w:bottom="1440" w:gutter="0" w:footer="0" w:header="0"/>
          <w:type w:val="continuous"/>
        </w:sectPr>
      </w:pPr>
    </w:p>
    <w:p>
      <w:pPr>
        <w:spacing w:after="0" w:line="21"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w:t>
      </w:r>
    </w:p>
    <w:p>
      <w:pPr>
        <w:spacing w:after="0" w:line="205" w:lineRule="exact"/>
        <w:rPr>
          <w:sz w:val="20"/>
          <w:szCs w:val="20"/>
          <w:color w:val="auto"/>
        </w:rPr>
      </w:pPr>
    </w:p>
    <w:p>
      <w:pPr>
        <w:sectPr>
          <w:pgSz w:w="11900" w:h="16838" w:orient="portrait"/>
          <w:cols w:equalWidth="0" w:num="2">
            <w:col w:w="3060" w:space="720"/>
            <w:col w:w="7640"/>
          </w:cols>
          <w:pgMar w:left="240" w:top="124" w:right="239" w:bottom="1440" w:gutter="0" w:footer="0" w:header="0"/>
          <w:type w:val="continuous"/>
        </w:sectPr>
      </w:pPr>
    </w:p>
    <w:p>
      <w:pPr>
        <w:spacing w:after="0" w:line="32"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(d)</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administer this Plan.</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Committee</w:t>
      </w:r>
      <w:r>
        <w:rPr>
          <w:rFonts w:ascii="Arial" w:cs="Arial" w:eastAsia="Arial" w:hAnsi="Arial"/>
          <w:sz w:val="17"/>
          <w:szCs w:val="17"/>
          <w:color w:val="auto"/>
        </w:rPr>
        <w:t>” means the Compensation Committee of the Board which has been appointed to</w:t>
      </w:r>
    </w:p>
    <w:p>
      <w:pPr>
        <w:spacing w:after="0" w:line="435" w:lineRule="exact"/>
        <w:rPr>
          <w:sz w:val="20"/>
          <w:szCs w:val="20"/>
          <w:color w:val="auto"/>
        </w:rPr>
      </w:pPr>
    </w:p>
    <w:p>
      <w:pPr>
        <w:sectPr>
          <w:pgSz w:w="11900" w:h="16838" w:orient="portrait"/>
          <w:cols w:equalWidth="0" w:num="2">
            <w:col w:w="3080" w:space="720"/>
            <w:col w:w="7620"/>
          </w:cols>
          <w:pgMar w:left="240" w:top="124" w:right="239" w:bottom="1440" w:gutter="0" w:footer="0" w:header="0"/>
          <w:type w:val="continuous"/>
        </w:sectPr>
      </w:pPr>
    </w:p>
    <w:p>
      <w:pPr>
        <w:spacing w:after="0" w:line="10"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(e)</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subsidiary thereof.</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Corporation</w:t>
      </w:r>
      <w:r>
        <w:rPr>
          <w:rFonts w:ascii="Arial" w:cs="Arial" w:eastAsia="Arial" w:hAnsi="Arial"/>
          <w:sz w:val="17"/>
          <w:szCs w:val="17"/>
          <w:color w:val="auto"/>
        </w:rPr>
        <w:t>” means Uniti Group Inc., a Maryland corporation, and any direct or indirect</w:t>
      </w:r>
    </w:p>
    <w:p>
      <w:pPr>
        <w:spacing w:after="0" w:line="435" w:lineRule="exact"/>
        <w:rPr>
          <w:sz w:val="20"/>
          <w:szCs w:val="20"/>
          <w:color w:val="auto"/>
        </w:rPr>
      </w:pPr>
    </w:p>
    <w:p>
      <w:pPr>
        <w:sectPr>
          <w:pgSz w:w="11900" w:h="16838" w:orient="portrait"/>
          <w:cols w:equalWidth="0" w:num="2">
            <w:col w:w="3060" w:space="720"/>
            <w:col w:w="7640"/>
          </w:cols>
          <w:pgMar w:left="240" w:top="124" w:right="239" w:bottom="1440" w:gutter="0" w:footer="0" w:header="0"/>
          <w:type w:val="continuous"/>
        </w:sectPr>
      </w:pPr>
    </w:p>
    <w:p>
      <w:pPr>
        <w:spacing w:after="0" w:line="10" w:lineRule="exact"/>
        <w:rPr>
          <w:sz w:val="20"/>
          <w:szCs w:val="20"/>
          <w:color w:val="auto"/>
        </w:rPr>
      </w:pPr>
    </w:p>
    <w:p>
      <w:pPr>
        <w:jc w:val="center"/>
        <w:ind w:left="560"/>
        <w:spacing w:after="0"/>
        <w:rPr>
          <w:sz w:val="20"/>
          <w:szCs w:val="20"/>
          <w:color w:val="auto"/>
        </w:rPr>
      </w:pPr>
      <w:r>
        <w:rPr>
          <w:rFonts w:ascii="Arial" w:cs="Arial" w:eastAsia="Arial" w:hAnsi="Arial"/>
          <w:sz w:val="21"/>
          <w:szCs w:val="21"/>
          <w:color w:val="auto"/>
        </w:rPr>
        <w:t>(f)</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Officer</w:t>
      </w:r>
      <w:r>
        <w:rPr>
          <w:rFonts w:ascii="Arial" w:cs="Arial" w:eastAsia="Arial" w:hAnsi="Arial"/>
          <w:sz w:val="17"/>
          <w:szCs w:val="17"/>
          <w:color w:val="auto"/>
        </w:rPr>
        <w:t>” means an officer of the Corporation holding the positions set forth in Section 3 of</w:t>
      </w:r>
    </w:p>
    <w:p>
      <w:pPr>
        <w:spacing w:after="0" w:line="46" w:lineRule="exact"/>
        <w:rPr>
          <w:sz w:val="20"/>
          <w:szCs w:val="20"/>
          <w:color w:val="auto"/>
        </w:rPr>
      </w:pPr>
    </w:p>
    <w:p>
      <w:pPr>
        <w:sectPr>
          <w:pgSz w:w="11900" w:h="16838" w:orient="portrait"/>
          <w:cols w:equalWidth="0" w:num="2">
            <w:col w:w="3040" w:space="720"/>
            <w:col w:w="7660"/>
          </w:cols>
          <w:pgMar w:left="240" w:top="124" w:right="239" w:bottom="1440" w:gutter="0" w:footer="0" w:header="0"/>
          <w:type w:val="continuous"/>
        </w:sectPr>
      </w:pPr>
    </w:p>
    <w:p>
      <w:pPr>
        <w:ind w:left="880"/>
        <w:spacing w:after="0"/>
        <w:rPr>
          <w:sz w:val="20"/>
          <w:szCs w:val="20"/>
          <w:color w:val="auto"/>
        </w:rPr>
      </w:pPr>
      <w:r>
        <w:rPr>
          <w:rFonts w:ascii="Arial" w:cs="Arial" w:eastAsia="Arial" w:hAnsi="Arial"/>
          <w:sz w:val="19"/>
          <w:szCs w:val="19"/>
          <w:color w:val="auto"/>
        </w:rPr>
        <w:t>this Plan.</w:t>
      </w:r>
    </w:p>
    <w:p>
      <w:pPr>
        <w:spacing w:after="0" w:line="181" w:lineRule="exact"/>
        <w:rPr>
          <w:sz w:val="20"/>
          <w:szCs w:val="20"/>
          <w:color w:val="auto"/>
        </w:rPr>
      </w:pPr>
    </w:p>
    <w:p>
      <w:pPr>
        <w:ind w:left="880" w:right="400" w:firstLine="811"/>
        <w:spacing w:after="0" w:line="239" w:lineRule="exact"/>
        <w:rPr>
          <w:sz w:val="20"/>
          <w:szCs w:val="20"/>
          <w:color w:val="auto"/>
        </w:rPr>
      </w:pPr>
      <w:r>
        <w:rPr>
          <w:rFonts w:ascii="Arial" w:cs="Arial" w:eastAsia="Arial" w:hAnsi="Arial"/>
          <w:sz w:val="21"/>
          <w:szCs w:val="21"/>
          <w:color w:val="auto"/>
        </w:rPr>
        <w:t xml:space="preserve">(g) </w:t>
      </w:r>
      <w:r>
        <w:rPr>
          <w:rFonts w:ascii="Arial" w:cs="Arial" w:eastAsia="Arial" w:hAnsi="Arial"/>
          <w:sz w:val="18"/>
          <w:szCs w:val="18"/>
          <w:color w:val="auto"/>
        </w:rPr>
        <w:t>“</w:t>
      </w:r>
      <w:r>
        <w:rPr>
          <w:rFonts w:ascii="Arial" w:cs="Arial" w:eastAsia="Arial" w:hAnsi="Arial"/>
          <w:sz w:val="18"/>
          <w:szCs w:val="18"/>
          <w:i w:val="1"/>
          <w:iCs w:val="1"/>
          <w:color w:val="auto"/>
        </w:rPr>
        <w:t>Employee</w:t>
      </w:r>
      <w:r>
        <w:rPr>
          <w:rFonts w:ascii="Arial" w:cs="Arial" w:eastAsia="Arial" w:hAnsi="Arial"/>
          <w:sz w:val="18"/>
          <w:szCs w:val="18"/>
          <w:color w:val="auto"/>
        </w:rPr>
        <w:t>” means an individual who is an employee of the Corporation who is reported on the</w:t>
      </w:r>
      <w:r>
        <w:rPr>
          <w:rFonts w:ascii="Arial" w:cs="Arial" w:eastAsia="Arial" w:hAnsi="Arial"/>
          <w:sz w:val="21"/>
          <w:szCs w:val="21"/>
          <w:color w:val="auto"/>
        </w:rPr>
        <w:t xml:space="preserve"> </w:t>
      </w:r>
      <w:r>
        <w:rPr>
          <w:rFonts w:ascii="Arial" w:cs="Arial" w:eastAsia="Arial" w:hAnsi="Arial"/>
          <w:sz w:val="18"/>
          <w:szCs w:val="18"/>
          <w:color w:val="auto"/>
        </w:rPr>
        <w:t>payroll records as a common</w:t>
      </w:r>
      <w:r>
        <w:rPr>
          <w:rFonts w:ascii="MS PGothic" w:cs="MS PGothic" w:eastAsia="MS PGothic" w:hAnsi="MS PGothic"/>
          <w:sz w:val="18"/>
          <w:szCs w:val="18"/>
          <w:color w:val="auto"/>
        </w:rPr>
        <w:t>‑</w:t>
      </w:r>
      <w:r>
        <w:rPr>
          <w:rFonts w:ascii="Arial" w:cs="Arial" w:eastAsia="Arial" w:hAnsi="Arial"/>
          <w:sz w:val="18"/>
          <w:szCs w:val="18"/>
          <w:color w:val="auto"/>
        </w:rPr>
        <w:t>law employee.</w:t>
      </w:r>
    </w:p>
    <w:p>
      <w:pPr>
        <w:sectPr>
          <w:pgSz w:w="11900" w:h="16838" w:orient="portrait"/>
          <w:cols w:equalWidth="0" w:num="1">
            <w:col w:w="11420"/>
          </w:cols>
          <w:pgMar w:left="240" w:top="124" w:right="239" w:bottom="1440" w:gutter="0" w:footer="0" w:header="0"/>
          <w:type w:val="continuous"/>
        </w:sectPr>
      </w:pPr>
    </w:p>
    <w:p>
      <w:pPr>
        <w:spacing w:after="0" w:line="182" w:lineRule="exact"/>
        <w:rPr>
          <w:sz w:val="20"/>
          <w:szCs w:val="20"/>
          <w:color w:val="auto"/>
        </w:rPr>
      </w:pPr>
    </w:p>
    <w:p>
      <w:pPr>
        <w:jc w:val="center"/>
        <w:ind w:left="560"/>
        <w:spacing w:after="0"/>
        <w:rPr>
          <w:sz w:val="20"/>
          <w:szCs w:val="20"/>
          <w:color w:val="auto"/>
        </w:rPr>
      </w:pPr>
      <w:r>
        <w:rPr>
          <w:rFonts w:ascii="Arial" w:cs="Arial" w:eastAsia="Arial" w:hAnsi="Arial"/>
          <w:sz w:val="19"/>
          <w:szCs w:val="19"/>
          <w:color w:val="auto"/>
        </w:rPr>
        <w:t>(h)</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Plan</w:t>
      </w:r>
      <w:r>
        <w:rPr>
          <w:rFonts w:ascii="Arial" w:cs="Arial" w:eastAsia="Arial" w:hAnsi="Arial"/>
          <w:sz w:val="17"/>
          <w:szCs w:val="17"/>
          <w:color w:val="auto"/>
        </w:rPr>
        <w:t>” means this 2019 Short-Term Incentive Plan of the Corporation.</w:t>
      </w:r>
    </w:p>
    <w:p>
      <w:pPr>
        <w:spacing w:after="0" w:line="205" w:lineRule="exact"/>
        <w:rPr>
          <w:sz w:val="20"/>
          <w:szCs w:val="20"/>
          <w:color w:val="auto"/>
        </w:rPr>
      </w:pPr>
    </w:p>
    <w:p>
      <w:pPr>
        <w:sectPr>
          <w:pgSz w:w="11900" w:h="16838" w:orient="portrait"/>
          <w:cols w:equalWidth="0" w:num="2">
            <w:col w:w="3080" w:space="720"/>
            <w:col w:w="7620"/>
          </w:cols>
          <w:pgMar w:left="240" w:top="124" w:right="239" w:bottom="1440" w:gutter="0" w:footer="0" w:header="0"/>
          <w:type w:val="continuous"/>
        </w:sectPr>
      </w:pPr>
    </w:p>
    <w:p>
      <w:pPr>
        <w:spacing w:after="0" w:line="21"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(i)</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pursuant to Section 4 of this Plan.</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Short-Term Incentive Bonus</w:t>
      </w:r>
      <w:r>
        <w:rPr>
          <w:rFonts w:ascii="Arial" w:cs="Arial" w:eastAsia="Arial" w:hAnsi="Arial"/>
          <w:sz w:val="17"/>
          <w:szCs w:val="17"/>
          <w:color w:val="auto"/>
        </w:rPr>
        <w:t>” means the incentive compensation granted to an Eligible Officer</w:t>
      </w:r>
    </w:p>
    <w:p>
      <w:pPr>
        <w:spacing w:after="0" w:line="435" w:lineRule="exact"/>
        <w:rPr>
          <w:sz w:val="20"/>
          <w:szCs w:val="20"/>
          <w:color w:val="auto"/>
        </w:rPr>
      </w:pPr>
    </w:p>
    <w:p>
      <w:pPr>
        <w:sectPr>
          <w:pgSz w:w="11900" w:h="16838" w:orient="portrait"/>
          <w:cols w:equalWidth="0" w:num="2">
            <w:col w:w="3440" w:space="300"/>
            <w:col w:w="7680"/>
          </w:cols>
          <w:pgMar w:left="240" w:top="124" w:right="239" w:bottom="1440" w:gutter="0" w:footer="0" w:header="0"/>
          <w:type w:val="continuous"/>
        </w:sectPr>
      </w:pPr>
    </w:p>
    <w:p>
      <w:pPr>
        <w:spacing w:after="0" w:line="10" w:lineRule="exact"/>
        <w:rPr>
          <w:sz w:val="20"/>
          <w:szCs w:val="20"/>
          <w:color w:val="auto"/>
        </w:rPr>
      </w:pPr>
    </w:p>
    <w:p>
      <w:pPr>
        <w:ind w:left="1700"/>
        <w:spacing w:after="0"/>
        <w:tabs>
          <w:tab w:leader="none" w:pos="3720" w:val="left"/>
        </w:tabs>
        <w:rPr>
          <w:sz w:val="20"/>
          <w:szCs w:val="20"/>
          <w:color w:val="auto"/>
        </w:rPr>
      </w:pPr>
      <w:r>
        <w:rPr>
          <w:rFonts w:ascii="Arial" w:cs="Arial" w:eastAsia="Arial" w:hAnsi="Arial"/>
          <w:sz w:val="19"/>
          <w:szCs w:val="19"/>
          <w:color w:val="auto"/>
        </w:rPr>
        <w:t>(j)</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means an entity at least 50% of the total combined voting power of all classes of stock</w:t>
      </w:r>
    </w:p>
    <w:p>
      <w:pPr>
        <w:sectPr>
          <w:pgSz w:w="11900" w:h="16838" w:orient="portrait"/>
          <w:cols w:equalWidth="0" w:num="1">
            <w:col w:w="11420"/>
          </w:cols>
          <w:pgMar w:left="240" w:top="124" w:right="239" w:bottom="1440" w:gutter="0" w:footer="0" w:header="0"/>
          <w:type w:val="continuous"/>
        </w:sectPr>
      </w:pPr>
    </w:p>
    <w:p>
      <w:pPr>
        <w:spacing w:after="0" w:line="4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which is owned by the Corporation, either directly or through one or more other Subsidiaries.</w:t>
      </w:r>
    </w:p>
    <w:p>
      <w:pPr>
        <w:spacing w:after="0" w:line="175"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1"/>
          <w:szCs w:val="21"/>
          <w:b w:val="1"/>
          <w:bCs w:val="1"/>
          <w:color w:val="auto"/>
        </w:rPr>
        <w:t>Section 2.</w:t>
      </w:r>
      <w:r>
        <w:rPr>
          <w:sz w:val="20"/>
          <w:szCs w:val="20"/>
          <w:color w:val="auto"/>
        </w:rPr>
        <w:tab/>
      </w:r>
      <w:r>
        <w:rPr>
          <w:rFonts w:ascii="Arial" w:cs="Arial" w:eastAsia="Arial" w:hAnsi="Arial"/>
          <w:sz w:val="17"/>
          <w:szCs w:val="17"/>
          <w:b w:val="1"/>
          <w:bCs w:val="1"/>
          <w:color w:val="auto"/>
        </w:rPr>
        <w:t>Administration</w:t>
      </w:r>
      <w:r>
        <w:rPr>
          <w:rFonts w:ascii="Arial" w:cs="Arial" w:eastAsia="Arial" w:hAnsi="Arial"/>
          <w:sz w:val="17"/>
          <w:szCs w:val="17"/>
          <w:color w:val="auto"/>
        </w:rPr>
        <w:t>. This Plan will be administered by the Committee. In addition to any other powers granted to the</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Committee, the Committee will have the following powers:</w:t>
      </w:r>
    </w:p>
    <w:p>
      <w:pPr>
        <w:sectPr>
          <w:pgSz w:w="11900" w:h="16838" w:orient="portrait"/>
          <w:cols w:equalWidth="0" w:num="1">
            <w:col w:w="11420"/>
          </w:cols>
          <w:pgMar w:left="240" w:top="124" w:right="239" w:bottom="1440" w:gutter="0" w:footer="0" w:header="0"/>
          <w:type w:val="continuous"/>
        </w:sectPr>
      </w:pPr>
    </w:p>
    <w:p>
      <w:pPr>
        <w:spacing w:after="0" w:line="187" w:lineRule="exact"/>
        <w:rPr>
          <w:sz w:val="20"/>
          <w:szCs w:val="20"/>
          <w:color w:val="auto"/>
        </w:rPr>
      </w:pPr>
    </w:p>
    <w:p>
      <w:pPr>
        <w:jc w:val="center"/>
        <w:ind w:left="560"/>
        <w:spacing w:after="0"/>
        <w:rPr>
          <w:sz w:val="20"/>
          <w:szCs w:val="20"/>
          <w:color w:val="auto"/>
        </w:rPr>
      </w:pPr>
      <w:r>
        <w:rPr>
          <w:rFonts w:ascii="Arial" w:cs="Arial" w:eastAsia="Arial" w:hAnsi="Arial"/>
          <w:sz w:val="21"/>
          <w:szCs w:val="21"/>
          <w:color w:val="auto"/>
        </w:rPr>
        <w:t>(a)</w:t>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Plan to Eligible Officers;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to determine whether and to what extent Short-Term Incentive Bonuses are to be granted under this</w:t>
      </w:r>
    </w:p>
    <w:p>
      <w:pPr>
        <w:spacing w:after="0" w:line="435" w:lineRule="exact"/>
        <w:rPr>
          <w:sz w:val="20"/>
          <w:szCs w:val="20"/>
          <w:color w:val="auto"/>
        </w:rPr>
      </w:pPr>
    </w:p>
    <w:p>
      <w:pPr>
        <w:sectPr>
          <w:pgSz w:w="11900" w:h="16838" w:orient="portrait"/>
          <w:cols w:equalWidth="0" w:num="2">
            <w:col w:w="3060" w:space="720"/>
            <w:col w:w="7640"/>
          </w:cols>
          <w:pgMar w:left="240" w:top="124" w:right="239" w:bottom="1440" w:gutter="0" w:footer="0" w:header="0"/>
          <w:type w:val="continuous"/>
        </w:sectPr>
      </w:pPr>
    </w:p>
    <w:p>
      <w:pPr>
        <w:spacing w:after="0" w:line="10" w:lineRule="exact"/>
        <w:rPr>
          <w:sz w:val="20"/>
          <w:szCs w:val="20"/>
          <w:color w:val="auto"/>
        </w:rPr>
      </w:pPr>
    </w:p>
    <w:p>
      <w:pPr>
        <w:ind w:left="1700"/>
        <w:spacing w:after="0" w:line="219" w:lineRule="exact"/>
        <w:tabs>
          <w:tab w:leader="none" w:pos="378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7"/>
          <w:szCs w:val="17"/>
          <w:color w:val="auto"/>
        </w:rPr>
        <w:t>to determine whether the performance metrics required to receive Short</w:t>
      </w:r>
      <w:r>
        <w:rPr>
          <w:rFonts w:ascii="MS PGothic" w:cs="MS PGothic" w:eastAsia="MS PGothic" w:hAnsi="MS PGothic"/>
          <w:sz w:val="17"/>
          <w:szCs w:val="17"/>
          <w:color w:val="auto"/>
        </w:rPr>
        <w:t>‑</w:t>
      </w:r>
      <w:r>
        <w:rPr>
          <w:rFonts w:ascii="Arial" w:cs="Arial" w:eastAsia="Arial" w:hAnsi="Arial"/>
          <w:sz w:val="17"/>
          <w:szCs w:val="17"/>
          <w:color w:val="auto"/>
        </w:rPr>
        <w:t>Term Incentive Bonuses</w:t>
      </w:r>
    </w:p>
    <w:p>
      <w:pPr>
        <w:sectPr>
          <w:pgSz w:w="11900" w:h="16838" w:orient="portrait"/>
          <w:cols w:equalWidth="0" w:num="1">
            <w:col w:w="11420"/>
          </w:cols>
          <w:pgMar w:left="240" w:top="124" w:right="239" w:bottom="1440" w:gutter="0" w:footer="0" w:header="0"/>
          <w:type w:val="continuous"/>
        </w:sectPr>
      </w:pPr>
    </w:p>
    <w:p>
      <w:pPr>
        <w:spacing w:after="0" w:line="4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have been satisfied and to what extent they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306705</wp:posOffset>
            </wp:positionV>
            <wp:extent cx="729424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type w:val="continuous"/>
        </w:sectPr>
      </w:pPr>
    </w:p>
    <w:bookmarkStart w:id="59" w:name="page60"/>
    <w:bookmarkEnd w:id="59"/>
    <w:p>
      <w:pPr>
        <w:jc w:val="center"/>
        <w:ind w:left="56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to construe and interpret this Plan;</w:t>
      </w:r>
    </w:p>
    <w:p>
      <w:pPr>
        <w:spacing w:after="0" w:line="200" w:lineRule="exact"/>
        <w:rPr>
          <w:sz w:val="20"/>
          <w:szCs w:val="20"/>
          <w:color w:val="auto"/>
        </w:rPr>
      </w:pPr>
    </w:p>
    <w:p>
      <w:pPr>
        <w:sectPr>
          <w:pgSz w:w="11900" w:h="16838" w:orient="portrait"/>
          <w:cols w:equalWidth="0" w:num="2">
            <w:col w:w="3060" w:space="720"/>
            <w:col w:w="7620"/>
          </w:cols>
          <w:pgMar w:left="240" w:top="120" w:right="259" w:bottom="1440" w:gutter="0" w:footer="0" w:header="0"/>
        </w:sectPr>
      </w:pPr>
    </w:p>
    <w:p>
      <w:pPr>
        <w:spacing w:after="0" w:line="26" w:lineRule="exact"/>
        <w:rPr>
          <w:sz w:val="20"/>
          <w:szCs w:val="20"/>
          <w:color w:val="auto"/>
        </w:rPr>
      </w:pPr>
    </w:p>
    <w:p>
      <w:pPr>
        <w:ind w:left="1700"/>
        <w:spacing w:after="0" w:line="219" w:lineRule="exact"/>
        <w:tabs>
          <w:tab w:leader="none" w:pos="378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7"/>
          <w:szCs w:val="17"/>
          <w:color w:val="auto"/>
        </w:rPr>
        <w:t>to require, at the time Short</w:t>
      </w:r>
      <w:r>
        <w:rPr>
          <w:rFonts w:ascii="MS PGothic" w:cs="MS PGothic" w:eastAsia="MS PGothic" w:hAnsi="MS PGothic"/>
          <w:sz w:val="17"/>
          <w:szCs w:val="17"/>
          <w:color w:val="auto"/>
        </w:rPr>
        <w:t>‑</w:t>
      </w:r>
      <w:r>
        <w:rPr>
          <w:rFonts w:ascii="Arial" w:cs="Arial" w:eastAsia="Arial" w:hAnsi="Arial"/>
          <w:sz w:val="17"/>
          <w:szCs w:val="17"/>
          <w:color w:val="auto"/>
        </w:rPr>
        <w:t>Term Incentive Bonuses are to be paid, the making of any</w:t>
      </w:r>
    </w:p>
    <w:p>
      <w:pPr>
        <w:sectPr>
          <w:pgSz w:w="11900" w:h="16838" w:orient="portrait"/>
          <w:cols w:equalWidth="0" w:num="1">
            <w:col w:w="11400"/>
          </w:cols>
          <w:pgMar w:left="240" w:top="120" w:right="259" w:bottom="1440" w:gutter="0" w:footer="0" w:header="0"/>
          <w:type w:val="continuous"/>
        </w:sectPr>
      </w:pPr>
    </w:p>
    <w:p>
      <w:pPr>
        <w:spacing w:after="0" w:line="46" w:lineRule="exact"/>
        <w:rPr>
          <w:sz w:val="20"/>
          <w:szCs w:val="20"/>
          <w:color w:val="auto"/>
        </w:rPr>
      </w:pPr>
    </w:p>
    <w:p>
      <w:pPr>
        <w:ind w:left="880" w:right="560"/>
        <w:spacing w:after="0" w:line="237" w:lineRule="auto"/>
        <w:rPr>
          <w:sz w:val="20"/>
          <w:szCs w:val="20"/>
          <w:color w:val="auto"/>
        </w:rPr>
      </w:pPr>
      <w:r>
        <w:rPr>
          <w:rFonts w:ascii="Arial" w:cs="Arial" w:eastAsia="Arial" w:hAnsi="Arial"/>
          <w:sz w:val="19"/>
          <w:szCs w:val="19"/>
          <w:color w:val="auto"/>
        </w:rPr>
        <w:t>representations or agreements that the Committee may deem necessary or advisable in order for the Corporation to comply with the securities laws of the United States of America or of any state or any rule or regulation thereunder;</w:t>
      </w:r>
    </w:p>
    <w:p>
      <w:pPr>
        <w:sectPr>
          <w:pgSz w:w="11900" w:h="16838" w:orient="portrait"/>
          <w:cols w:equalWidth="0" w:num="1">
            <w:col w:w="11400"/>
          </w:cols>
          <w:pgMar w:left="240" w:top="120" w:right="259" w:bottom="1440" w:gutter="0" w:footer="0" w:header="0"/>
          <w:type w:val="continuous"/>
        </w:sectPr>
      </w:pPr>
    </w:p>
    <w:p>
      <w:pPr>
        <w:spacing w:after="0" w:line="18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to provide for satisfaction of an Eligible Officer’s tax liabilities arising in connection with this Plan;</w:t>
      </w:r>
    </w:p>
    <w:p>
      <w:pPr>
        <w:spacing w:after="0" w:line="51" w:lineRule="exact"/>
        <w:rPr>
          <w:sz w:val="20"/>
          <w:szCs w:val="20"/>
          <w:color w:val="auto"/>
        </w:rPr>
      </w:pPr>
    </w:p>
    <w:p>
      <w:pPr>
        <w:sectPr>
          <w:pgSz w:w="11900" w:h="16838" w:orient="portrait"/>
          <w:cols w:equalWidth="0" w:num="2">
            <w:col w:w="3060" w:space="720"/>
            <w:col w:w="7620"/>
          </w:cols>
          <w:pgMar w:left="240" w:top="120" w:right="259" w:bottom="1440" w:gutter="0" w:footer="0" w:header="0"/>
          <w:type w:val="continuous"/>
        </w:sectPr>
      </w:pPr>
    </w:p>
    <w:p>
      <w:pPr>
        <w:ind w:left="880"/>
        <w:spacing w:after="0"/>
        <w:rPr>
          <w:sz w:val="20"/>
          <w:szCs w:val="20"/>
          <w:color w:val="auto"/>
        </w:rPr>
      </w:pPr>
      <w:r>
        <w:rPr>
          <w:rFonts w:ascii="Arial" w:cs="Arial" w:eastAsia="Arial" w:hAnsi="Arial"/>
          <w:sz w:val="16"/>
          <w:szCs w:val="16"/>
          <w:color w:val="auto"/>
        </w:rPr>
        <w:t>and</w:t>
      </w:r>
    </w:p>
    <w:p>
      <w:pPr>
        <w:sectPr>
          <w:pgSz w:w="11900" w:h="16838" w:orient="portrait"/>
          <w:cols w:equalWidth="0" w:num="1">
            <w:col w:w="11400"/>
          </w:cols>
          <w:pgMar w:left="240" w:top="120" w:right="259" w:bottom="1440" w:gutter="0" w:footer="0" w:header="0"/>
          <w:type w:val="continuous"/>
        </w:sectPr>
      </w:pPr>
    </w:p>
    <w:p>
      <w:pPr>
        <w:spacing w:after="0" w:line="211"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(f)</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administration of this Plan.</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to make all other determinations and take all other actions necessary or advisable for the</w:t>
      </w:r>
    </w:p>
    <w:p>
      <w:pPr>
        <w:spacing w:after="0" w:line="435" w:lineRule="exact"/>
        <w:rPr>
          <w:sz w:val="20"/>
          <w:szCs w:val="20"/>
          <w:color w:val="auto"/>
        </w:rPr>
      </w:pPr>
    </w:p>
    <w:p>
      <w:pPr>
        <w:sectPr>
          <w:pgSz w:w="11900" w:h="16838" w:orient="portrait"/>
          <w:cols w:equalWidth="0" w:num="2">
            <w:col w:w="3040" w:space="720"/>
            <w:col w:w="7640"/>
          </w:cols>
          <w:pgMar w:left="240" w:top="120" w:right="259" w:bottom="1440" w:gutter="0" w:footer="0" w:header="0"/>
          <w:type w:val="continuous"/>
        </w:sectPr>
      </w:pPr>
    </w:p>
    <w:p>
      <w:pPr>
        <w:spacing w:after="0" w:line="1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Any determinations or actions made or taken by the Committee pursuant to this Section 2 will be binding and final.</w:t>
      </w:r>
    </w:p>
    <w:p>
      <w:pPr>
        <w:spacing w:after="0" w:line="197" w:lineRule="exact"/>
        <w:rPr>
          <w:sz w:val="20"/>
          <w:szCs w:val="20"/>
          <w:color w:val="auto"/>
        </w:rPr>
      </w:pPr>
    </w:p>
    <w:p>
      <w:pPr>
        <w:ind w:right="100" w:firstLine="878"/>
        <w:spacing w:after="0" w:line="242" w:lineRule="exact"/>
        <w:rPr>
          <w:sz w:val="20"/>
          <w:szCs w:val="20"/>
          <w:color w:val="auto"/>
        </w:rPr>
      </w:pPr>
      <w:r>
        <w:rPr>
          <w:rFonts w:ascii="Arial" w:cs="Arial" w:eastAsia="Arial" w:hAnsi="Arial"/>
          <w:sz w:val="21"/>
          <w:szCs w:val="21"/>
          <w:b w:val="1"/>
          <w:bCs w:val="1"/>
          <w:color w:val="auto"/>
        </w:rPr>
        <w:t xml:space="preserve">Section 3. </w:t>
      </w:r>
      <w:r>
        <w:rPr>
          <w:rFonts w:ascii="Arial" w:cs="Arial" w:eastAsia="Arial" w:hAnsi="Arial"/>
          <w:sz w:val="18"/>
          <w:szCs w:val="18"/>
          <w:b w:val="1"/>
          <w:bCs w:val="1"/>
          <w:color w:val="auto"/>
        </w:rPr>
        <w:t>Eligibility</w:t>
      </w:r>
      <w:r>
        <w:rPr>
          <w:rFonts w:ascii="Arial" w:cs="Arial" w:eastAsia="Arial" w:hAnsi="Arial"/>
          <w:sz w:val="18"/>
          <w:szCs w:val="18"/>
          <w:color w:val="auto"/>
        </w:rPr>
        <w:t>. The individuals holding the following executive officer positions of the Corporation on the Effective Date shall</w:t>
      </w:r>
      <w:r>
        <w:rPr>
          <w:rFonts w:ascii="Arial" w:cs="Arial" w:eastAsia="Arial" w:hAnsi="Arial"/>
          <w:sz w:val="21"/>
          <w:szCs w:val="21"/>
          <w:b w:val="1"/>
          <w:bCs w:val="1"/>
          <w:color w:val="auto"/>
        </w:rPr>
        <w:t xml:space="preserve"> </w:t>
      </w:r>
      <w:r>
        <w:rPr>
          <w:rFonts w:ascii="Arial" w:cs="Arial" w:eastAsia="Arial" w:hAnsi="Arial"/>
          <w:sz w:val="18"/>
          <w:szCs w:val="18"/>
          <w:color w:val="auto"/>
        </w:rPr>
        <w:t>be eligible to receive Short</w:t>
      </w:r>
      <w:r>
        <w:rPr>
          <w:rFonts w:ascii="MS PGothic" w:cs="MS PGothic" w:eastAsia="MS PGothic" w:hAnsi="MS PGothic"/>
          <w:sz w:val="18"/>
          <w:szCs w:val="18"/>
          <w:color w:val="auto"/>
        </w:rPr>
        <w:t>‑</w:t>
      </w:r>
      <w:r>
        <w:rPr>
          <w:rFonts w:ascii="Arial" w:cs="Arial" w:eastAsia="Arial" w:hAnsi="Arial"/>
          <w:sz w:val="18"/>
          <w:szCs w:val="18"/>
          <w:color w:val="auto"/>
        </w:rPr>
        <w:t>Term Incentive Bonuses under this Plan:</w:t>
      </w:r>
    </w:p>
    <w:p>
      <w:pPr>
        <w:sectPr>
          <w:pgSz w:w="11900" w:h="16838" w:orient="portrait"/>
          <w:cols w:equalWidth="0" w:num="1">
            <w:col w:w="11400"/>
          </w:cols>
          <w:pgMar w:left="240" w:top="120" w:right="259" w:bottom="1440" w:gutter="0" w:footer="0" w:header="0"/>
          <w:type w:val="continuous"/>
        </w:sectPr>
      </w:pPr>
    </w:p>
    <w:p>
      <w:pPr>
        <w:spacing w:after="0" w:line="18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ectPr>
          <w:pgSz w:w="11900" w:h="16838" w:orient="portrait"/>
          <w:cols w:equalWidth="0" w:num="2">
            <w:col w:w="3060" w:space="720"/>
            <w:col w:w="7620"/>
          </w:cols>
          <w:pgMar w:left="240" w:top="120" w:right="259" w:bottom="1440" w:gutter="0" w:footer="0" w:header="0"/>
          <w:type w:val="continuous"/>
        </w:sectPr>
      </w:pPr>
    </w:p>
    <w:p>
      <w:pPr>
        <w:spacing w:after="0" w:line="26" w:lineRule="exact"/>
        <w:rPr>
          <w:sz w:val="20"/>
          <w:szCs w:val="20"/>
          <w:color w:val="auto"/>
        </w:rPr>
      </w:pPr>
    </w:p>
    <w:p>
      <w:pPr>
        <w:jc w:val="center"/>
        <w:ind w:left="560"/>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and Chief Financial Officer; and</w:t>
      </w:r>
    </w:p>
    <w:p>
      <w:pPr>
        <w:spacing w:after="0" w:line="205" w:lineRule="exact"/>
        <w:rPr>
          <w:sz w:val="20"/>
          <w:szCs w:val="20"/>
          <w:color w:val="auto"/>
        </w:rPr>
      </w:pPr>
    </w:p>
    <w:p>
      <w:pPr>
        <w:sectPr>
          <w:pgSz w:w="11900" w:h="16838" w:orient="portrait"/>
          <w:cols w:equalWidth="0" w:num="2">
            <w:col w:w="3080" w:space="720"/>
            <w:col w:w="7600"/>
          </w:cols>
          <w:pgMar w:left="240" w:top="120" w:right="259" w:bottom="1440" w:gutter="0" w:footer="0" w:header="0"/>
          <w:type w:val="continuous"/>
        </w:sectPr>
      </w:pPr>
    </w:p>
    <w:p>
      <w:pPr>
        <w:spacing w:after="0" w:line="21"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General Counsel.</w:t>
      </w:r>
    </w:p>
    <w:p>
      <w:pPr>
        <w:spacing w:after="0" w:line="205" w:lineRule="exact"/>
        <w:rPr>
          <w:sz w:val="20"/>
          <w:szCs w:val="20"/>
          <w:color w:val="auto"/>
        </w:rPr>
      </w:pPr>
    </w:p>
    <w:p>
      <w:pPr>
        <w:sectPr>
          <w:pgSz w:w="11900" w:h="16838" w:orient="portrait"/>
          <w:cols w:equalWidth="0" w:num="2">
            <w:col w:w="3060" w:space="720"/>
            <w:col w:w="7620"/>
          </w:cols>
          <w:pgMar w:left="240" w:top="120" w:right="259" w:bottom="1440" w:gutter="0" w:footer="0" w:header="0"/>
          <w:type w:val="continuous"/>
        </w:sectPr>
      </w:pPr>
    </w:p>
    <w:p>
      <w:pPr>
        <w:spacing w:after="0" w:line="26" w:lineRule="exact"/>
        <w:rPr>
          <w:sz w:val="20"/>
          <w:szCs w:val="20"/>
          <w:color w:val="auto"/>
        </w:rPr>
      </w:pPr>
    </w:p>
    <w:p>
      <w:pPr>
        <w:jc w:val="both"/>
        <w:ind w:right="60" w:firstLine="878"/>
        <w:spacing w:after="0" w:line="234" w:lineRule="exact"/>
        <w:rPr>
          <w:sz w:val="20"/>
          <w:szCs w:val="20"/>
          <w:color w:val="auto"/>
        </w:rPr>
      </w:pPr>
      <w:r>
        <w:rPr>
          <w:rFonts w:ascii="Arial" w:cs="Arial" w:eastAsia="Arial" w:hAnsi="Arial"/>
          <w:sz w:val="21"/>
          <w:szCs w:val="21"/>
          <w:b w:val="1"/>
          <w:bCs w:val="1"/>
          <w:color w:val="auto"/>
        </w:rPr>
        <w:t xml:space="preserve">Section 4. </w:t>
      </w:r>
      <w:r>
        <w:rPr>
          <w:rFonts w:ascii="Arial" w:cs="Arial" w:eastAsia="Arial" w:hAnsi="Arial"/>
          <w:sz w:val="18"/>
          <w:szCs w:val="18"/>
          <w:b w:val="1"/>
          <w:bCs w:val="1"/>
          <w:color w:val="auto"/>
        </w:rPr>
        <w:t>Short</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Incentive Bonuses</w:t>
      </w:r>
      <w:r>
        <w:rPr>
          <w:rFonts w:ascii="Arial" w:cs="Arial" w:eastAsia="Arial" w:hAnsi="Arial"/>
          <w:sz w:val="18"/>
          <w:szCs w:val="18"/>
          <w:color w:val="auto"/>
        </w:rPr>
        <w:t>. Short</w:t>
      </w:r>
      <w:r>
        <w:rPr>
          <w:rFonts w:ascii="MS PGothic" w:cs="MS PGothic" w:eastAsia="MS PGothic" w:hAnsi="MS PGothic"/>
          <w:sz w:val="18"/>
          <w:szCs w:val="18"/>
          <w:color w:val="auto"/>
        </w:rPr>
        <w:t>‑</w:t>
      </w:r>
      <w:r>
        <w:rPr>
          <w:rFonts w:ascii="Arial" w:cs="Arial" w:eastAsia="Arial" w:hAnsi="Arial"/>
          <w:sz w:val="18"/>
          <w:szCs w:val="18"/>
          <w:color w:val="auto"/>
        </w:rPr>
        <w:t>Term Incentive Bonuses shall be awarded to the Eligible Officers as set forth in this</w:t>
      </w:r>
      <w:r>
        <w:rPr>
          <w:rFonts w:ascii="Arial" w:cs="Arial" w:eastAsia="Arial" w:hAnsi="Arial"/>
          <w:sz w:val="21"/>
          <w:szCs w:val="21"/>
          <w:b w:val="1"/>
          <w:bCs w:val="1"/>
          <w:color w:val="auto"/>
        </w:rPr>
        <w:t xml:space="preserve"> </w:t>
      </w:r>
      <w:r>
        <w:rPr>
          <w:rFonts w:ascii="Arial" w:cs="Arial" w:eastAsia="Arial" w:hAnsi="Arial"/>
          <w:sz w:val="18"/>
          <w:szCs w:val="18"/>
          <w:color w:val="auto"/>
        </w:rPr>
        <w:t xml:space="preserve">Section 4 and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Plan. Short-Term Incentive Bonuses shall be payable in cash upon the attainment of the criteria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the Committee shall determine, in its sole discretion.</w:t>
      </w:r>
    </w:p>
    <w:p>
      <w:pPr>
        <w:spacing w:after="0" w:line="177" w:lineRule="exact"/>
        <w:rPr>
          <w:sz w:val="20"/>
          <w:szCs w:val="20"/>
          <w:color w:val="auto"/>
        </w:rPr>
      </w:pPr>
    </w:p>
    <w:p>
      <w:pPr>
        <w:ind w:firstLine="878"/>
        <w:spacing w:after="0" w:line="227" w:lineRule="exact"/>
        <w:rPr>
          <w:sz w:val="20"/>
          <w:szCs w:val="20"/>
          <w:color w:val="auto"/>
        </w:rPr>
      </w:pPr>
      <w:r>
        <w:rPr>
          <w:rFonts w:ascii="Arial" w:cs="Arial" w:eastAsia="Arial" w:hAnsi="Arial"/>
          <w:sz w:val="21"/>
          <w:szCs w:val="21"/>
          <w:b w:val="1"/>
          <w:bCs w:val="1"/>
          <w:color w:val="auto"/>
        </w:rPr>
        <w:t xml:space="preserve">Section 5. </w:t>
      </w:r>
      <w:r>
        <w:rPr>
          <w:rFonts w:ascii="Arial" w:cs="Arial" w:eastAsia="Arial" w:hAnsi="Arial"/>
          <w:sz w:val="18"/>
          <w:szCs w:val="18"/>
          <w:b w:val="1"/>
          <w:bCs w:val="1"/>
          <w:color w:val="auto"/>
        </w:rPr>
        <w:t>Termination or Amendment</w:t>
      </w:r>
      <w:r>
        <w:rPr>
          <w:rFonts w:ascii="Arial" w:cs="Arial" w:eastAsia="Arial" w:hAnsi="Arial"/>
          <w:sz w:val="18"/>
          <w:szCs w:val="18"/>
          <w:color w:val="auto"/>
        </w:rPr>
        <w:t>. The Committee or Board may amend or terminate this Plan in any respect at any time.</w:t>
      </w:r>
      <w:r>
        <w:rPr>
          <w:rFonts w:ascii="Arial" w:cs="Arial" w:eastAsia="Arial" w:hAnsi="Arial"/>
          <w:sz w:val="21"/>
          <w:szCs w:val="21"/>
          <w:b w:val="1"/>
          <w:bCs w:val="1"/>
          <w:color w:val="auto"/>
        </w:rPr>
        <w:t xml:space="preserve"> </w:t>
      </w:r>
      <w:r>
        <w:rPr>
          <w:rFonts w:ascii="Arial" w:cs="Arial" w:eastAsia="Arial" w:hAnsi="Arial"/>
          <w:sz w:val="18"/>
          <w:szCs w:val="18"/>
          <w:color w:val="auto"/>
        </w:rPr>
        <w:t>Committee or Board approval must be accompanied by (a) stockholder approval in those cases in which amendment requires stockholder approval under applicable law or regulations or the requirements of the principal exchange or interdealer quotation system on which the shares of common stock of the Corporation are listed or quoted, and (b) affected Eligible Officer approval if the amendment or termination would adversely affect the holder’s rights under any outstanding grants or Awards. The Short</w:t>
      </w:r>
      <w:r>
        <w:rPr>
          <w:rFonts w:ascii="MS PGothic" w:cs="MS PGothic" w:eastAsia="MS PGothic" w:hAnsi="MS PGothic"/>
          <w:sz w:val="18"/>
          <w:szCs w:val="18"/>
          <w:color w:val="auto"/>
        </w:rPr>
        <w:t>‑</w:t>
      </w:r>
      <w:r>
        <w:rPr>
          <w:rFonts w:ascii="Arial" w:cs="Arial" w:eastAsia="Arial" w:hAnsi="Arial"/>
          <w:sz w:val="18"/>
          <w:szCs w:val="18"/>
          <w:color w:val="auto"/>
        </w:rPr>
        <w:t>Term Incentive Bonus provisions may be wholly or partially amended or otherwise modified, suspended or terminated at any time or from time to time by the Committee or the Board.</w:t>
      </w:r>
    </w:p>
    <w:p>
      <w:pPr>
        <w:spacing w:after="0" w:line="177" w:lineRule="exact"/>
        <w:rPr>
          <w:sz w:val="20"/>
          <w:szCs w:val="20"/>
          <w:color w:val="auto"/>
        </w:rPr>
      </w:pPr>
    </w:p>
    <w:p>
      <w:pPr>
        <w:ind w:right="220" w:firstLine="878"/>
        <w:spacing w:after="0"/>
        <w:rPr>
          <w:sz w:val="20"/>
          <w:szCs w:val="20"/>
          <w:color w:val="auto"/>
        </w:rPr>
      </w:pPr>
      <w:r>
        <w:rPr>
          <w:rFonts w:ascii="Arial" w:cs="Arial" w:eastAsia="Arial" w:hAnsi="Arial"/>
          <w:sz w:val="21"/>
          <w:szCs w:val="21"/>
          <w:b w:val="1"/>
          <w:bCs w:val="1"/>
          <w:color w:val="auto"/>
        </w:rPr>
        <w:t xml:space="preserve">Section 6. </w:t>
      </w:r>
      <w:r>
        <w:rPr>
          <w:rFonts w:ascii="Arial" w:cs="Arial" w:eastAsia="Arial" w:hAnsi="Arial"/>
          <w:sz w:val="18"/>
          <w:szCs w:val="18"/>
          <w:b w:val="1"/>
          <w:bCs w:val="1"/>
          <w:color w:val="auto"/>
        </w:rPr>
        <w:t>Effectiveness of this Plan</w:t>
      </w:r>
      <w:r>
        <w:rPr>
          <w:rFonts w:ascii="Arial" w:cs="Arial" w:eastAsia="Arial" w:hAnsi="Arial"/>
          <w:sz w:val="18"/>
          <w:szCs w:val="18"/>
          <w:color w:val="auto"/>
        </w:rPr>
        <w:t>. This Plan is effective as of the Effective Date which is the date of adoption of this Plan by the</w:t>
      </w:r>
      <w:r>
        <w:rPr>
          <w:rFonts w:ascii="Arial" w:cs="Arial" w:eastAsia="Arial" w:hAnsi="Arial"/>
          <w:sz w:val="21"/>
          <w:szCs w:val="21"/>
          <w:b w:val="1"/>
          <w:bCs w:val="1"/>
          <w:color w:val="auto"/>
        </w:rPr>
        <w:t xml:space="preserve"> </w:t>
      </w:r>
      <w:r>
        <w:rPr>
          <w:rFonts w:ascii="Arial" w:cs="Arial" w:eastAsia="Arial" w:hAnsi="Arial"/>
          <w:sz w:val="18"/>
          <w:szCs w:val="18"/>
          <w:color w:val="auto"/>
        </w:rPr>
        <w:t>Committee.</w:t>
      </w:r>
    </w:p>
    <w:p>
      <w:pPr>
        <w:spacing w:after="0" w:line="17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1"/>
          <w:szCs w:val="21"/>
          <w:b w:val="1"/>
          <w:bCs w:val="1"/>
          <w:color w:val="auto"/>
        </w:rPr>
        <w:t>Section 7.</w:t>
      </w:r>
      <w:r>
        <w:rPr>
          <w:sz w:val="20"/>
          <w:szCs w:val="20"/>
          <w:color w:val="auto"/>
        </w:rPr>
        <w:tab/>
      </w:r>
      <w:r>
        <w:rPr>
          <w:rFonts w:ascii="Arial" w:cs="Arial" w:eastAsia="Arial" w:hAnsi="Arial"/>
          <w:sz w:val="17"/>
          <w:szCs w:val="17"/>
          <w:b w:val="1"/>
          <w:bCs w:val="1"/>
          <w:color w:val="auto"/>
        </w:rPr>
        <w:t>Term of this Plan</w:t>
      </w:r>
      <w:r>
        <w:rPr>
          <w:rFonts w:ascii="Arial" w:cs="Arial" w:eastAsia="Arial" w:hAnsi="Arial"/>
          <w:sz w:val="17"/>
          <w:szCs w:val="17"/>
          <w:color w:val="auto"/>
        </w:rPr>
        <w:t>. This Plan will terminate on the date all benefits anticipated by this Plan have been paid.</w:t>
      </w:r>
    </w:p>
    <w:p>
      <w:pPr>
        <w:spacing w:after="0" w:line="198" w:lineRule="exact"/>
        <w:rPr>
          <w:sz w:val="20"/>
          <w:szCs w:val="20"/>
          <w:color w:val="auto"/>
        </w:rPr>
      </w:pPr>
    </w:p>
    <w:p>
      <w:pPr>
        <w:ind w:right="20" w:firstLine="878"/>
        <w:spacing w:after="0" w:line="250" w:lineRule="auto"/>
        <w:rPr>
          <w:sz w:val="20"/>
          <w:szCs w:val="20"/>
          <w:color w:val="auto"/>
        </w:rPr>
      </w:pPr>
      <w:r>
        <w:rPr>
          <w:rFonts w:ascii="Arial" w:cs="Arial" w:eastAsia="Arial" w:hAnsi="Arial"/>
          <w:sz w:val="21"/>
          <w:szCs w:val="21"/>
          <w:b w:val="1"/>
          <w:bCs w:val="1"/>
          <w:color w:val="auto"/>
        </w:rPr>
        <w:t xml:space="preserve">Section 8. </w:t>
      </w:r>
      <w:r>
        <w:rPr>
          <w:rFonts w:ascii="Arial" w:cs="Arial" w:eastAsia="Arial" w:hAnsi="Arial"/>
          <w:sz w:val="18"/>
          <w:szCs w:val="18"/>
          <w:b w:val="1"/>
          <w:bCs w:val="1"/>
          <w:color w:val="auto"/>
        </w:rPr>
        <w:t>Indemnification of Committee</w:t>
      </w:r>
      <w:r>
        <w:rPr>
          <w:rFonts w:ascii="Arial" w:cs="Arial" w:eastAsia="Arial" w:hAnsi="Arial"/>
          <w:sz w:val="18"/>
          <w:szCs w:val="18"/>
          <w:color w:val="auto"/>
        </w:rPr>
        <w:t>. In addition to such other rights of indemnification as they may have as directors of the</w:t>
      </w:r>
      <w:r>
        <w:rPr>
          <w:rFonts w:ascii="Arial" w:cs="Arial" w:eastAsia="Arial" w:hAnsi="Arial"/>
          <w:sz w:val="21"/>
          <w:szCs w:val="21"/>
          <w:b w:val="1"/>
          <w:bCs w:val="1"/>
          <w:color w:val="auto"/>
        </w:rPr>
        <w:t xml:space="preserve"> </w:t>
      </w:r>
      <w:r>
        <w:rPr>
          <w:rFonts w:ascii="Arial" w:cs="Arial" w:eastAsia="Arial" w:hAnsi="Arial"/>
          <w:sz w:val="18"/>
          <w:szCs w:val="18"/>
          <w:color w:val="auto"/>
        </w:rPr>
        <w:t>Corporation or as members of the Committee, the members of the Committee will be indemnified by the Corporation against the reasonable expenses, including attorneys’ fees, actually and reasonably incurred in connection with the defense of any action, suit or proceeding, or in connection with any appeal therein, to which they or any of them may be a party by reason of any action taken or failure to act under or in connection with this Plan or any grant or Award hereunder,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283845</wp:posOffset>
            </wp:positionV>
            <wp:extent cx="729424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type w:val="continuous"/>
        </w:sectPr>
      </w:pPr>
    </w:p>
    <w:bookmarkStart w:id="60" w:name="page61"/>
    <w:bookmarkEnd w:id="60"/>
    <w:p>
      <w:pPr>
        <w:ind w:right="180"/>
        <w:spacing w:after="0" w:line="324" w:lineRule="auto"/>
        <w:rPr>
          <w:sz w:val="20"/>
          <w:szCs w:val="20"/>
          <w:color w:val="auto"/>
        </w:rPr>
      </w:pPr>
      <w:r>
        <w:rPr>
          <w:rFonts w:ascii="Arial" w:cs="Arial" w:eastAsia="Arial" w:hAnsi="Arial"/>
          <w:sz w:val="17"/>
          <w:szCs w:val="17"/>
          <w:color w:val="auto"/>
        </w:rPr>
        <w:t>against all amounts reasonably paid by them in settlement thereof or paid by them in satisfaction of a judgment in any such action, suit or proceeding, if such members acted in good faith and in a manner that they believed to be in, and not opposed to, the best interests of the Corporation.</w:t>
      </w:r>
    </w:p>
    <w:p>
      <w:pPr>
        <w:sectPr>
          <w:pgSz w:w="11900" w:h="16838" w:orient="portrait"/>
          <w:cols w:equalWidth="0" w:num="1">
            <w:col w:w="11520"/>
          </w:cols>
          <w:pgMar w:left="240" w:top="124" w:right="139" w:bottom="1440" w:gutter="0" w:footer="0" w:header="0"/>
        </w:sectPr>
      </w:pPr>
    </w:p>
    <w:p>
      <w:pPr>
        <w:spacing w:after="0" w:line="10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Section 9.</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Provisions</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1740" w:space="180"/>
            <w:col w:w="9600"/>
          </w:cols>
          <w:pgMar w:left="240" w:top="124" w:right="139" w:bottom="1440" w:gutter="0" w:footer="0" w:header="0"/>
          <w:type w:val="continuous"/>
        </w:sectPr>
      </w:pPr>
    </w:p>
    <w:p>
      <w:pPr>
        <w:spacing w:after="0" w:line="32" w:lineRule="exact"/>
        <w:rPr>
          <w:sz w:val="20"/>
          <w:szCs w:val="20"/>
          <w:color w:val="auto"/>
        </w:rPr>
      </w:pPr>
    </w:p>
    <w:p>
      <w:pPr>
        <w:ind w:left="1700"/>
        <w:spacing w:after="0"/>
        <w:tabs>
          <w:tab w:leader="none" w:pos="376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7"/>
          <w:szCs w:val="17"/>
          <w:color w:val="auto"/>
        </w:rPr>
        <w:t>The establishment of this Plan will not confer upon any Eligible Officer or Employee, any legal or</w:t>
      </w:r>
    </w:p>
    <w:p>
      <w:pPr>
        <w:sectPr>
          <w:pgSz w:w="11900" w:h="16838" w:orient="portrait"/>
          <w:cols w:equalWidth="0" w:num="1">
            <w:col w:w="11520"/>
          </w:cols>
          <w:pgMar w:left="240" w:top="124" w:right="139" w:bottom="1440" w:gutter="0" w:footer="0" w:header="0"/>
          <w:type w:val="continuous"/>
        </w:sectPr>
      </w:pPr>
    </w:p>
    <w:p>
      <w:pPr>
        <w:spacing w:after="0" w:line="46" w:lineRule="exact"/>
        <w:rPr>
          <w:sz w:val="20"/>
          <w:szCs w:val="20"/>
          <w:color w:val="auto"/>
        </w:rPr>
      </w:pPr>
    </w:p>
    <w:p>
      <w:pPr>
        <w:ind w:left="880" w:right="320"/>
        <w:spacing w:after="0" w:line="237" w:lineRule="auto"/>
        <w:rPr>
          <w:sz w:val="20"/>
          <w:szCs w:val="20"/>
          <w:color w:val="auto"/>
        </w:rPr>
      </w:pPr>
      <w:r>
        <w:rPr>
          <w:rFonts w:ascii="Arial" w:cs="Arial" w:eastAsia="Arial" w:hAnsi="Arial"/>
          <w:sz w:val="19"/>
          <w:szCs w:val="19"/>
          <w:color w:val="auto"/>
        </w:rPr>
        <w:t>equitable right against the Corporation, any Subsidiary or the Committee, except as expressly provided in this Plan or an employment or other agreement of the Eligible Officer, if any.</w:t>
      </w:r>
    </w:p>
    <w:p>
      <w:pPr>
        <w:spacing w:after="0" w:line="183" w:lineRule="exact"/>
        <w:rPr>
          <w:sz w:val="20"/>
          <w:szCs w:val="20"/>
          <w:color w:val="auto"/>
        </w:rPr>
      </w:pPr>
    </w:p>
    <w:p>
      <w:pPr>
        <w:jc w:val="both"/>
        <w:ind w:left="880" w:right="100" w:firstLine="811"/>
        <w:spacing w:after="0" w:line="262" w:lineRule="auto"/>
        <w:rPr>
          <w:sz w:val="20"/>
          <w:szCs w:val="20"/>
          <w:color w:val="auto"/>
        </w:rPr>
      </w:pPr>
      <w:r>
        <w:rPr>
          <w:rFonts w:ascii="Arial" w:cs="Arial" w:eastAsia="Arial" w:hAnsi="Arial"/>
          <w:sz w:val="21"/>
          <w:szCs w:val="21"/>
          <w:color w:val="auto"/>
        </w:rPr>
        <w:t xml:space="preserve">(b) </w:t>
      </w:r>
      <w:r>
        <w:rPr>
          <w:rFonts w:ascii="Arial" w:cs="Arial" w:eastAsia="Arial" w:hAnsi="Arial"/>
          <w:sz w:val="18"/>
          <w:szCs w:val="18"/>
          <w:color w:val="auto"/>
        </w:rPr>
        <w:t>This Plan does not constitute inducement or consideration for the employment of any Employee, nor</w:t>
      </w:r>
      <w:r>
        <w:rPr>
          <w:rFonts w:ascii="Arial" w:cs="Arial" w:eastAsia="Arial" w:hAnsi="Arial"/>
          <w:sz w:val="21"/>
          <w:szCs w:val="21"/>
          <w:color w:val="auto"/>
        </w:rPr>
        <w:t xml:space="preserve"> </w:t>
      </w:r>
      <w:r>
        <w:rPr>
          <w:rFonts w:ascii="Arial" w:cs="Arial" w:eastAsia="Arial" w:hAnsi="Arial"/>
          <w:sz w:val="18"/>
          <w:szCs w:val="18"/>
          <w:color w:val="auto"/>
        </w:rPr>
        <w:t>is it a contract of employment between the Corporation or any Subsidiary and any Employee. Participation in this Plan, or the receipt of a grant or Award hereunder, will not give an Employee any right to be retained in the service of the Corporation or any Subsidiary.</w:t>
      </w:r>
    </w:p>
    <w:p>
      <w:pPr>
        <w:spacing w:after="0" w:line="163" w:lineRule="exact"/>
        <w:rPr>
          <w:sz w:val="20"/>
          <w:szCs w:val="20"/>
          <w:color w:val="auto"/>
        </w:rPr>
      </w:pPr>
    </w:p>
    <w:p>
      <w:pPr>
        <w:ind w:left="880" w:right="120" w:firstLine="811"/>
        <w:spacing w:after="0" w:line="274" w:lineRule="auto"/>
        <w:rPr>
          <w:sz w:val="20"/>
          <w:szCs w:val="20"/>
          <w:color w:val="auto"/>
        </w:rPr>
      </w:pPr>
      <w:r>
        <w:rPr>
          <w:rFonts w:ascii="Arial" w:cs="Arial" w:eastAsia="Arial" w:hAnsi="Arial"/>
          <w:sz w:val="21"/>
          <w:szCs w:val="21"/>
          <w:color w:val="auto"/>
        </w:rPr>
        <w:t xml:space="preserve">(c) </w:t>
      </w:r>
      <w:r>
        <w:rPr>
          <w:rFonts w:ascii="Arial" w:cs="Arial" w:eastAsia="Arial" w:hAnsi="Arial"/>
          <w:sz w:val="18"/>
          <w:szCs w:val="18"/>
          <w:color w:val="auto"/>
        </w:rPr>
        <w:t>The interests of any Employee under this Plan are not subject to the claims of creditors and may not,</w:t>
      </w:r>
      <w:r>
        <w:rPr>
          <w:rFonts w:ascii="Arial" w:cs="Arial" w:eastAsia="Arial" w:hAnsi="Arial"/>
          <w:sz w:val="21"/>
          <w:szCs w:val="21"/>
          <w:color w:val="auto"/>
        </w:rPr>
        <w:t xml:space="preserve"> </w:t>
      </w:r>
      <w:r>
        <w:rPr>
          <w:rFonts w:ascii="Arial" w:cs="Arial" w:eastAsia="Arial" w:hAnsi="Arial"/>
          <w:sz w:val="18"/>
          <w:szCs w:val="18"/>
          <w:color w:val="auto"/>
        </w:rPr>
        <w:t>in any way, be assigned, alienated or encumbered except as otherwise provided herein.</w:t>
      </w:r>
    </w:p>
    <w:p>
      <w:pPr>
        <w:spacing w:after="0" w:line="141" w:lineRule="exact"/>
        <w:rPr>
          <w:sz w:val="20"/>
          <w:szCs w:val="20"/>
          <w:color w:val="auto"/>
        </w:rPr>
      </w:pPr>
    </w:p>
    <w:p>
      <w:pPr>
        <w:ind w:left="1700"/>
        <w:spacing w:after="0"/>
        <w:tabs>
          <w:tab w:leader="none" w:pos="3780" w:val="left"/>
        </w:tabs>
        <w:rPr>
          <w:sz w:val="20"/>
          <w:szCs w:val="20"/>
          <w:color w:val="auto"/>
        </w:rPr>
      </w:pPr>
      <w:r>
        <w:rPr>
          <w:rFonts w:ascii="Arial" w:cs="Arial" w:eastAsia="Arial" w:hAnsi="Arial"/>
          <w:sz w:val="21"/>
          <w:szCs w:val="21"/>
          <w:color w:val="auto"/>
        </w:rPr>
        <w:t>(d)</w:t>
      </w:r>
      <w:r>
        <w:rPr>
          <w:sz w:val="20"/>
          <w:szCs w:val="20"/>
          <w:color w:val="auto"/>
        </w:rPr>
        <w:tab/>
      </w:r>
      <w:r>
        <w:rPr>
          <w:rFonts w:ascii="Arial" w:cs="Arial" w:eastAsia="Arial" w:hAnsi="Arial"/>
          <w:sz w:val="19"/>
          <w:szCs w:val="19"/>
          <w:color w:val="auto"/>
        </w:rPr>
        <w:t>The Corporation may withhold any federal, state or local taxes required with respect to any</w:t>
      </w:r>
    </w:p>
    <w:p>
      <w:pPr>
        <w:spacing w:after="0" w:line="17" w:lineRule="exact"/>
        <w:rPr>
          <w:sz w:val="20"/>
          <w:szCs w:val="20"/>
          <w:color w:val="auto"/>
        </w:rPr>
      </w:pPr>
    </w:p>
    <w:p>
      <w:pPr>
        <w:ind w:left="880" w:right="200"/>
        <w:spacing w:after="0" w:line="244" w:lineRule="auto"/>
        <w:rPr>
          <w:sz w:val="20"/>
          <w:szCs w:val="20"/>
          <w:color w:val="auto"/>
        </w:rPr>
      </w:pPr>
      <w:r>
        <w:rPr>
          <w:rFonts w:ascii="Arial" w:cs="Arial" w:eastAsia="Arial" w:hAnsi="Arial"/>
          <w:sz w:val="19"/>
          <w:szCs w:val="19"/>
          <w:color w:val="auto"/>
        </w:rPr>
        <w:t>distribution under this Plan. The Employee shall take whatever action the Committee deems appropriate with respect to withholding of taxes, including, but not limited to, the Employee remitting to the Corporation any taxes required to be withheld by the Corporation under federal, state or local law as a result of the distribution.</w:t>
      </w:r>
    </w:p>
    <w:p>
      <w:pPr>
        <w:spacing w:after="0" w:line="179" w:lineRule="exact"/>
        <w:rPr>
          <w:sz w:val="20"/>
          <w:szCs w:val="20"/>
          <w:color w:val="auto"/>
        </w:rPr>
      </w:pPr>
    </w:p>
    <w:p>
      <w:pPr>
        <w:ind w:left="880" w:right="600" w:firstLine="811"/>
        <w:spacing w:after="0" w:line="262" w:lineRule="auto"/>
        <w:rPr>
          <w:sz w:val="20"/>
          <w:szCs w:val="20"/>
          <w:color w:val="auto"/>
        </w:rPr>
      </w:pPr>
      <w:r>
        <w:rPr>
          <w:rFonts w:ascii="Arial" w:cs="Arial" w:eastAsia="Arial" w:hAnsi="Arial"/>
          <w:sz w:val="21"/>
          <w:szCs w:val="21"/>
          <w:color w:val="auto"/>
        </w:rPr>
        <w:t xml:space="preserve">(e) </w:t>
      </w:r>
      <w:r>
        <w:rPr>
          <w:rFonts w:ascii="Arial" w:cs="Arial" w:eastAsia="Arial" w:hAnsi="Arial"/>
          <w:sz w:val="18"/>
          <w:szCs w:val="18"/>
          <w:color w:val="auto"/>
        </w:rPr>
        <w:t>Notwithstanding anything contained herein to the contrary, this Plan shall be administered and</w:t>
      </w:r>
      <w:r>
        <w:rPr>
          <w:rFonts w:ascii="Arial" w:cs="Arial" w:eastAsia="Arial" w:hAnsi="Arial"/>
          <w:sz w:val="21"/>
          <w:szCs w:val="21"/>
          <w:color w:val="auto"/>
        </w:rPr>
        <w:t xml:space="preserve"> </w:t>
      </w:r>
      <w:r>
        <w:rPr>
          <w:rFonts w:ascii="Arial" w:cs="Arial" w:eastAsia="Arial" w:hAnsi="Arial"/>
          <w:sz w:val="18"/>
          <w:szCs w:val="18"/>
          <w:color w:val="auto"/>
        </w:rPr>
        <w:t>operated in accordance with any applicable laws and regulations, including, but not limited to, Section 409A of the Code. The Corporation reserves the right to amend this Plan at any time in order for this Plan to comply with any such laws and regulations.</w:t>
      </w:r>
    </w:p>
    <w:p>
      <w:pPr>
        <w:sectPr>
          <w:pgSz w:w="11900" w:h="16838" w:orient="portrait"/>
          <w:cols w:equalWidth="0" w:num="1">
            <w:col w:w="11520"/>
          </w:cols>
          <w:pgMar w:left="240" w:top="124" w:right="139" w:bottom="1440" w:gutter="0" w:footer="0" w:header="0"/>
          <w:type w:val="continuous"/>
        </w:sectPr>
      </w:pPr>
    </w:p>
    <w:p>
      <w:pPr>
        <w:spacing w:after="0" w:line="163" w:lineRule="exact"/>
        <w:rPr>
          <w:sz w:val="20"/>
          <w:szCs w:val="20"/>
          <w:color w:val="auto"/>
        </w:rPr>
      </w:pPr>
    </w:p>
    <w:p>
      <w:pPr>
        <w:jc w:val="center"/>
        <w:ind w:left="560"/>
        <w:spacing w:after="0"/>
        <w:rPr>
          <w:sz w:val="20"/>
          <w:szCs w:val="20"/>
          <w:color w:val="auto"/>
        </w:rPr>
      </w:pPr>
      <w:r>
        <w:rPr>
          <w:rFonts w:ascii="Arial" w:cs="Arial" w:eastAsia="Arial" w:hAnsi="Arial"/>
          <w:sz w:val="21"/>
          <w:szCs w:val="21"/>
          <w:color w:val="auto"/>
        </w:rPr>
        <w:t>(f)</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This Plan will be governed, construed and administered in accordance with the laws of Maryland.</w:t>
      </w:r>
    </w:p>
    <w:p>
      <w:pPr>
        <w:spacing w:after="0" w:line="226" w:lineRule="exact"/>
        <w:rPr>
          <w:sz w:val="20"/>
          <w:szCs w:val="20"/>
          <w:color w:val="auto"/>
        </w:rPr>
      </w:pPr>
    </w:p>
    <w:p>
      <w:pPr>
        <w:sectPr>
          <w:pgSz w:w="11900" w:h="16838" w:orient="portrait"/>
          <w:cols w:equalWidth="0" w:num="2">
            <w:col w:w="3040" w:space="720"/>
            <w:col w:w="7760"/>
          </w:cols>
          <w:pgMar w:left="240" w:top="124" w:right="139" w:bottom="1440" w:gutter="0" w:footer="0" w:header="0"/>
          <w:type w:val="continuous"/>
        </w:sectPr>
      </w:pPr>
    </w:p>
    <w:p>
      <w:pPr>
        <w:ind w:left="1700"/>
        <w:spacing w:after="0"/>
        <w:tabs>
          <w:tab w:leader="none" w:pos="3780" w:val="left"/>
        </w:tabs>
        <w:rPr>
          <w:sz w:val="20"/>
          <w:szCs w:val="20"/>
          <w:color w:val="auto"/>
        </w:rPr>
      </w:pPr>
      <w:r>
        <w:rPr>
          <w:rFonts w:ascii="Arial" w:cs="Arial" w:eastAsia="Arial" w:hAnsi="Arial"/>
          <w:sz w:val="19"/>
          <w:szCs w:val="19"/>
          <w:color w:val="auto"/>
        </w:rPr>
        <w:t>(g)</w:t>
      </w:r>
      <w:r>
        <w:rPr>
          <w:sz w:val="20"/>
          <w:szCs w:val="20"/>
          <w:color w:val="auto"/>
        </w:rPr>
        <w:tab/>
      </w:r>
      <w:r>
        <w:rPr>
          <w:rFonts w:ascii="Arial" w:cs="Arial" w:eastAsia="Arial" w:hAnsi="Arial"/>
          <w:sz w:val="17"/>
          <w:szCs w:val="17"/>
          <w:color w:val="auto"/>
        </w:rPr>
        <w:t>If any provision of this Plan is held invalid or unenforceable, its invalidity or unenforceability shall</w:t>
      </w:r>
    </w:p>
    <w:p>
      <w:pPr>
        <w:sectPr>
          <w:pgSz w:w="11900" w:h="16838" w:orient="portrait"/>
          <w:cols w:equalWidth="0" w:num="1">
            <w:col w:w="11520"/>
          </w:cols>
          <w:pgMar w:left="240" w:top="124" w:right="139" w:bottom="1440" w:gutter="0" w:footer="0" w:header="0"/>
          <w:type w:val="continuous"/>
        </w:sectPr>
      </w:pP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affect any other provisions of this Plan, and this Plan shall be construed and enforced as if such provision had not been included.</w:t>
      </w:r>
    </w:p>
    <w:p>
      <w:pPr>
        <w:spacing w:after="0" w:line="192" w:lineRule="exact"/>
        <w:rPr>
          <w:sz w:val="20"/>
          <w:szCs w:val="20"/>
          <w:color w:val="auto"/>
        </w:rPr>
      </w:pPr>
    </w:p>
    <w:p>
      <w:pPr>
        <w:ind w:right="100" w:firstLine="878"/>
        <w:spacing w:after="0" w:line="265" w:lineRule="auto"/>
        <w:rPr>
          <w:sz w:val="20"/>
          <w:szCs w:val="20"/>
          <w:color w:val="auto"/>
        </w:rPr>
      </w:pPr>
      <w:r>
        <w:rPr>
          <w:rFonts w:ascii="Arial" w:cs="Arial" w:eastAsia="Arial" w:hAnsi="Arial"/>
          <w:sz w:val="19"/>
          <w:szCs w:val="19"/>
          <w:color w:val="auto"/>
        </w:rPr>
        <w:t>IN WITNESS WHEREOF, the Corporation, by its duly authorized officer, has executed this Plan on the Effective Date as first set forth above and as duly authorized by the Committee.</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UNITI GROUP INC.</w:t>
      </w:r>
    </w:p>
    <w:p>
      <w:pPr>
        <w:spacing w:after="0" w:line="200" w:lineRule="exact"/>
        <w:rPr>
          <w:sz w:val="20"/>
          <w:szCs w:val="20"/>
          <w:color w:val="auto"/>
        </w:rPr>
      </w:pPr>
    </w:p>
    <w:p>
      <w:pPr>
        <w:spacing w:after="0" w:line="220" w:lineRule="exact"/>
        <w:rPr>
          <w:sz w:val="20"/>
          <w:szCs w:val="20"/>
          <w:color w:val="auto"/>
        </w:rPr>
      </w:pPr>
    </w:p>
    <w:tbl>
      <w:tblPr>
        <w:tblLayout w:type="fixed"/>
        <w:tblInd w:w="5720" w:type="dxa"/>
        <w:tblCellMar>
          <w:top w:w="0" w:type="dxa"/>
          <w:left w:w="0" w:type="dxa"/>
          <w:bottom w:w="0" w:type="dxa"/>
          <w:right w:w="0" w:type="dxa"/>
        </w:tblCellMar>
      </w:tblPr>
      <w:tr>
        <w:trPr>
          <w:trHeight w:val="218"/>
        </w:trPr>
        <w:tc>
          <w:tcPr>
            <w:tcW w:w="860" w:type="dxa"/>
            <w:vAlign w:val="bottom"/>
          </w:tcPr>
          <w:p>
            <w:pPr>
              <w:spacing w:after="0"/>
              <w:rPr>
                <w:sz w:val="20"/>
                <w:szCs w:val="20"/>
                <w:color w:val="auto"/>
              </w:rPr>
            </w:pPr>
            <w:r>
              <w:rPr>
                <w:rFonts w:ascii="Arial" w:cs="Arial" w:eastAsia="Arial" w:hAnsi="Arial"/>
                <w:sz w:val="19"/>
                <w:szCs w:val="19"/>
                <w:color w:val="auto"/>
              </w:rPr>
              <w:t>By:</w:t>
            </w:r>
          </w:p>
        </w:tc>
        <w:tc>
          <w:tcPr>
            <w:tcW w:w="9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Arial" w:cs="Arial" w:eastAsia="Arial" w:hAnsi="Arial"/>
                <w:sz w:val="19"/>
                <w:szCs w:val="19"/>
                <w:color w:val="auto"/>
              </w:rPr>
              <w:t>/s/</w:t>
            </w:r>
          </w:p>
        </w:tc>
      </w:tr>
      <w:tr>
        <w:trPr>
          <w:trHeight w:val="200"/>
        </w:trPr>
        <w:tc>
          <w:tcPr>
            <w:tcW w:w="5520" w:type="dxa"/>
            <w:vAlign w:val="bottom"/>
            <w:gridSpan w:val="3"/>
          </w:tcPr>
          <w:p>
            <w:pPr>
              <w:spacing w:after="0" w:line="200" w:lineRule="exact"/>
              <w:rPr>
                <w:sz w:val="20"/>
                <w:szCs w:val="20"/>
                <w:color w:val="auto"/>
              </w:rPr>
            </w:pPr>
            <w:r>
              <w:rPr>
                <w:rFonts w:ascii="Arial" w:cs="Arial" w:eastAsia="Arial" w:hAnsi="Arial"/>
                <w:sz w:val="19"/>
                <w:szCs w:val="19"/>
                <w:color w:val="auto"/>
              </w:rPr>
              <w:t>Kenneth A. Gunderman</w:t>
            </w:r>
          </w:p>
        </w:tc>
        <w:tc>
          <w:tcPr>
            <w:tcW w:w="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r>
      <w:tr>
        <w:trPr>
          <w:trHeight w:val="222"/>
        </w:trPr>
        <w:tc>
          <w:tcPr>
            <w:tcW w:w="860" w:type="dxa"/>
            <w:vAlign w:val="bottom"/>
          </w:tcPr>
          <w:p>
            <w:pPr>
              <w:spacing w:after="0"/>
              <w:rPr>
                <w:sz w:val="20"/>
                <w:szCs w:val="20"/>
                <w:color w:val="auto"/>
              </w:rPr>
            </w:pPr>
            <w:r>
              <w:rPr>
                <w:rFonts w:ascii="Arial" w:cs="Arial" w:eastAsia="Arial" w:hAnsi="Arial"/>
                <w:sz w:val="19"/>
                <w:szCs w:val="19"/>
                <w:color w:val="auto"/>
              </w:rPr>
              <w:t>Name:</w:t>
            </w:r>
          </w:p>
        </w:tc>
        <w:tc>
          <w:tcPr>
            <w:tcW w:w="4940" w:type="dxa"/>
            <w:vAlign w:val="bottom"/>
            <w:gridSpan w:val="4"/>
          </w:tcPr>
          <w:p>
            <w:pPr>
              <w:ind w:left="360"/>
              <w:spacing w:after="0"/>
              <w:rPr>
                <w:sz w:val="20"/>
                <w:szCs w:val="20"/>
                <w:color w:val="auto"/>
              </w:rPr>
            </w:pPr>
            <w:r>
              <w:rPr>
                <w:rFonts w:ascii="Arial" w:cs="Arial" w:eastAsia="Arial" w:hAnsi="Arial"/>
                <w:sz w:val="19"/>
                <w:szCs w:val="19"/>
                <w:color w:val="auto"/>
              </w:rPr>
              <w:t>Kenneth A. Gunderman</w:t>
            </w:r>
          </w:p>
        </w:tc>
      </w:tr>
      <w:tr>
        <w:trPr>
          <w:trHeight w:val="236"/>
        </w:trPr>
        <w:tc>
          <w:tcPr>
            <w:tcW w:w="860" w:type="dxa"/>
            <w:vAlign w:val="bottom"/>
          </w:tcPr>
          <w:p>
            <w:pPr>
              <w:spacing w:after="0"/>
              <w:rPr>
                <w:sz w:val="20"/>
                <w:szCs w:val="20"/>
                <w:color w:val="auto"/>
              </w:rPr>
            </w:pPr>
            <w:r>
              <w:rPr>
                <w:rFonts w:ascii="Arial" w:cs="Arial" w:eastAsia="Arial" w:hAnsi="Arial"/>
                <w:sz w:val="19"/>
                <w:szCs w:val="19"/>
                <w:color w:val="auto"/>
              </w:rPr>
              <w:t>Title:</w:t>
            </w:r>
          </w:p>
        </w:tc>
        <w:tc>
          <w:tcPr>
            <w:tcW w:w="940" w:type="dxa"/>
            <w:vAlign w:val="bottom"/>
          </w:tcPr>
          <w:p>
            <w:pPr>
              <w:spacing w:after="0"/>
              <w:rPr>
                <w:sz w:val="20"/>
                <w:szCs w:val="20"/>
                <w:color w:val="auto"/>
              </w:rPr>
            </w:pPr>
          </w:p>
        </w:tc>
        <w:tc>
          <w:tcPr>
            <w:tcW w:w="4000" w:type="dxa"/>
            <w:vAlign w:val="bottom"/>
            <w:gridSpan w:val="3"/>
          </w:tcPr>
          <w:p>
            <w:pPr>
              <w:ind w:left="3560"/>
              <w:spacing w:after="0"/>
              <w:rPr>
                <w:sz w:val="20"/>
                <w:szCs w:val="20"/>
                <w:color w:val="auto"/>
              </w:rPr>
            </w:pPr>
            <w:r>
              <w:rPr>
                <w:rFonts w:ascii="Arial" w:cs="Arial" w:eastAsia="Arial" w:hAnsi="Arial"/>
                <w:sz w:val="19"/>
                <w:szCs w:val="19"/>
                <w:color w:val="auto"/>
                <w:w w:val="77"/>
              </w:rPr>
              <w:t>Presid</w:t>
            </w:r>
          </w:p>
        </w:tc>
      </w:tr>
    </w:tbl>
    <w:p>
      <w:pPr>
        <w:ind w:left="5720"/>
        <w:spacing w:after="0"/>
        <w:rPr>
          <w:sz w:val="20"/>
          <w:szCs w:val="20"/>
          <w:color w:val="auto"/>
        </w:rPr>
      </w:pPr>
      <w:r>
        <w:rPr>
          <w:rFonts w:ascii="Arial" w:cs="Arial" w:eastAsia="Arial" w:hAnsi="Arial"/>
          <w:sz w:val="19"/>
          <w:szCs w:val="19"/>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292100</wp:posOffset>
            </wp:positionV>
            <wp:extent cx="729424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520"/>
          </w:cols>
          <w:pgMar w:left="240" w:top="124" w:right="13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9"/>
          <w:szCs w:val="19"/>
          <w:b w:val="1"/>
          <w:bCs w:val="1"/>
          <w:u w:val="single" w:color="auto"/>
          <w:color w:val="auto"/>
        </w:rPr>
        <w:t>Exhibit A to</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9"/>
          <w:szCs w:val="19"/>
          <w:b w:val="1"/>
          <w:bCs w:val="1"/>
          <w:u w:val="single" w:color="auto"/>
          <w:color w:val="auto"/>
        </w:rPr>
        <w:t>2019 Short-Term Incentive Plan</w:t>
      </w:r>
    </w:p>
    <w:p>
      <w:pPr>
        <w:spacing w:after="0" w:line="205" w:lineRule="exact"/>
        <w:rPr>
          <w:sz w:val="20"/>
          <w:szCs w:val="20"/>
          <w:color w:val="auto"/>
        </w:rPr>
      </w:pPr>
    </w:p>
    <w:p>
      <w:pPr>
        <w:ind w:left="1060" w:right="4400" w:hanging="617"/>
        <w:spacing w:after="0" w:line="381" w:lineRule="auto"/>
        <w:tabs>
          <w:tab w:leader="none" w:pos="879"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Annual STIP Bonus</w:t>
      </w:r>
      <w:r>
        <w:rPr>
          <w:rFonts w:ascii="Arial" w:cs="Arial" w:eastAsia="Arial" w:hAnsi="Arial"/>
          <w:sz w:val="19"/>
          <w:szCs w:val="19"/>
          <w:color w:val="auto"/>
        </w:rPr>
        <w:t>. Metrics applicable to Uniti Group Inc. CEO, CFO and GC: A. Consolidated AFFO</w:t>
      </w:r>
      <w:r>
        <w:rPr>
          <w:rFonts w:ascii="Arial" w:cs="Arial" w:eastAsia="Arial" w:hAnsi="Arial"/>
          <w:sz w:val="16"/>
          <w:szCs w:val="16"/>
          <w:color w:val="auto"/>
        </w:rPr>
        <w:t>(1)</w:t>
      </w:r>
      <w:r>
        <w:rPr>
          <w:rFonts w:ascii="Arial" w:cs="Arial" w:eastAsia="Arial" w:hAnsi="Arial"/>
          <w:sz w:val="19"/>
          <w:szCs w:val="19"/>
          <w:color w:val="auto"/>
        </w:rPr>
        <w:t xml:space="preserve"> (20% weight):</w:t>
      </w:r>
    </w:p>
    <w:tbl>
      <w:tblPr>
        <w:tblLayout w:type="fixed"/>
        <w:tblInd w:w="10" w:type="dxa"/>
        <w:tblCellMar>
          <w:top w:w="0" w:type="dxa"/>
          <w:left w:w="0" w:type="dxa"/>
          <w:bottom w:w="0" w:type="dxa"/>
          <w:right w:w="0" w:type="dxa"/>
        </w:tblCellMar>
      </w:tblPr>
      <w:tr>
        <w:trPr>
          <w:trHeight w:val="208"/>
        </w:trPr>
        <w:tc>
          <w:tcPr>
            <w:tcW w:w="440" w:type="dxa"/>
            <w:vAlign w:val="bottom"/>
            <w:tcBorders>
              <w:top w:val="single" w:sz="8" w:color="auto"/>
              <w:left w:val="single" w:sz="8" w:color="auto"/>
              <w:bottom w:val="single" w:sz="8" w:color="auto"/>
            </w:tcBorders>
            <w:shd w:val="clear" w:color="auto" w:fill="1F3864"/>
          </w:tcPr>
          <w:p>
            <w:pPr>
              <w:spacing w:after="0"/>
              <w:rPr>
                <w:sz w:val="18"/>
                <w:szCs w:val="18"/>
                <w:color w:val="auto"/>
              </w:rPr>
            </w:pPr>
          </w:p>
        </w:tc>
        <w:tc>
          <w:tcPr>
            <w:tcW w:w="280" w:type="dxa"/>
            <w:vAlign w:val="bottom"/>
            <w:tcBorders>
              <w:top w:val="single" w:sz="8" w:color="auto"/>
              <w:bottom w:val="single" w:sz="8" w:color="auto"/>
            </w:tcBorders>
            <w:shd w:val="clear" w:color="auto" w:fill="1F3864"/>
          </w:tcPr>
          <w:p>
            <w:pPr>
              <w:spacing w:after="0"/>
              <w:rPr>
                <w:sz w:val="18"/>
                <w:szCs w:val="18"/>
                <w:color w:val="auto"/>
              </w:rPr>
            </w:pPr>
          </w:p>
        </w:tc>
        <w:tc>
          <w:tcPr>
            <w:tcW w:w="160" w:type="dxa"/>
            <w:vAlign w:val="bottom"/>
            <w:tcBorders>
              <w:top w:val="single" w:sz="8" w:color="auto"/>
              <w:bottom w:val="single" w:sz="8" w:color="auto"/>
            </w:tcBorders>
            <w:shd w:val="clear" w:color="auto" w:fill="1F3864"/>
          </w:tcPr>
          <w:p>
            <w:pPr>
              <w:spacing w:after="0"/>
              <w:rPr>
                <w:sz w:val="18"/>
                <w:szCs w:val="18"/>
                <w:color w:val="auto"/>
              </w:rPr>
            </w:pPr>
          </w:p>
        </w:tc>
        <w:tc>
          <w:tcPr>
            <w:tcW w:w="260" w:type="dxa"/>
            <w:vAlign w:val="bottom"/>
            <w:tcBorders>
              <w:top w:val="single" w:sz="8" w:color="auto"/>
              <w:bottom w:val="single" w:sz="8" w:color="auto"/>
              <w:right w:val="single" w:sz="8" w:color="1F3864"/>
            </w:tcBorders>
            <w:shd w:val="clear" w:color="auto" w:fill="1F3864"/>
          </w:tcPr>
          <w:p>
            <w:pPr>
              <w:spacing w:after="0"/>
              <w:rPr>
                <w:sz w:val="18"/>
                <w:szCs w:val="18"/>
                <w:color w:val="auto"/>
              </w:rPr>
            </w:pPr>
          </w:p>
        </w:tc>
        <w:tc>
          <w:tcPr>
            <w:tcW w:w="300" w:type="dxa"/>
            <w:vAlign w:val="bottom"/>
            <w:tcBorders>
              <w:top w:val="single" w:sz="8" w:color="auto"/>
              <w:bottom w:val="single" w:sz="8" w:color="auto"/>
            </w:tcBorders>
            <w:shd w:val="clear" w:color="auto" w:fill="1F3864"/>
          </w:tcPr>
          <w:p>
            <w:pPr>
              <w:spacing w:after="0"/>
              <w:rPr>
                <w:sz w:val="18"/>
                <w:szCs w:val="18"/>
                <w:color w:val="auto"/>
              </w:rPr>
            </w:pPr>
          </w:p>
        </w:tc>
        <w:tc>
          <w:tcPr>
            <w:tcW w:w="2680" w:type="dxa"/>
            <w:vAlign w:val="bottom"/>
            <w:tcBorders>
              <w:top w:val="single" w:sz="8" w:color="auto"/>
              <w:bottom w:val="single" w:sz="8" w:color="auto"/>
            </w:tcBorders>
            <w:gridSpan w:val="4"/>
            <w:shd w:val="clear" w:color="auto" w:fill="1F3864"/>
          </w:tcPr>
          <w:p>
            <w:pPr>
              <w:ind w:left="40"/>
              <w:spacing w:after="0" w:line="208" w:lineRule="exact"/>
              <w:rPr>
                <w:sz w:val="20"/>
                <w:szCs w:val="20"/>
                <w:color w:val="auto"/>
              </w:rPr>
            </w:pPr>
            <w:r>
              <w:rPr>
                <w:rFonts w:ascii="Arial" w:cs="Arial" w:eastAsia="Arial" w:hAnsi="Arial"/>
                <w:sz w:val="21"/>
                <w:szCs w:val="21"/>
                <w:color w:val="auto"/>
              </w:rPr>
              <w:t>Threshold</w:t>
            </w:r>
          </w:p>
        </w:tc>
        <w:tc>
          <w:tcPr>
            <w:tcW w:w="1260" w:type="dxa"/>
            <w:vAlign w:val="bottom"/>
            <w:tcBorders>
              <w:top w:val="single" w:sz="8" w:color="auto"/>
              <w:bottom w:val="single" w:sz="8" w:color="auto"/>
            </w:tcBorders>
            <w:shd w:val="clear" w:color="auto" w:fill="1F3864"/>
          </w:tcPr>
          <w:p>
            <w:pPr>
              <w:spacing w:after="0"/>
              <w:rPr>
                <w:sz w:val="18"/>
                <w:szCs w:val="18"/>
                <w:color w:val="auto"/>
              </w:rPr>
            </w:pPr>
          </w:p>
        </w:tc>
        <w:tc>
          <w:tcPr>
            <w:tcW w:w="3580" w:type="dxa"/>
            <w:vAlign w:val="bottom"/>
            <w:tcBorders>
              <w:top w:val="single" w:sz="8" w:color="auto"/>
              <w:bottom w:val="single" w:sz="8" w:color="auto"/>
            </w:tcBorders>
            <w:gridSpan w:val="3"/>
            <w:shd w:val="clear" w:color="auto" w:fill="1F3864"/>
          </w:tcPr>
          <w:p>
            <w:pPr>
              <w:jc w:val="center"/>
              <w:ind w:right="2940"/>
              <w:spacing w:after="0" w:line="208" w:lineRule="exact"/>
              <w:rPr>
                <w:sz w:val="20"/>
                <w:szCs w:val="20"/>
                <w:color w:val="auto"/>
              </w:rPr>
            </w:pPr>
            <w:r>
              <w:rPr>
                <w:rFonts w:ascii="Arial" w:cs="Arial" w:eastAsia="Arial" w:hAnsi="Arial"/>
                <w:sz w:val="21"/>
                <w:szCs w:val="21"/>
                <w:color w:val="auto"/>
                <w:w w:val="85"/>
              </w:rPr>
              <w:t>Target</w:t>
            </w:r>
          </w:p>
        </w:tc>
        <w:tc>
          <w:tcPr>
            <w:tcW w:w="2480" w:type="dxa"/>
            <w:vAlign w:val="bottom"/>
            <w:tcBorders>
              <w:top w:val="single" w:sz="8" w:color="auto"/>
              <w:bottom w:val="single" w:sz="8" w:color="auto"/>
              <w:right w:val="single" w:sz="8" w:color="auto"/>
            </w:tcBorders>
            <w:gridSpan w:val="2"/>
            <w:shd w:val="clear" w:color="auto" w:fill="1F3864"/>
          </w:tcPr>
          <w:p>
            <w:pPr>
              <w:jc w:val="center"/>
              <w:ind w:right="1380"/>
              <w:spacing w:after="0" w:line="208" w:lineRule="exact"/>
              <w:rPr>
                <w:sz w:val="20"/>
                <w:szCs w:val="20"/>
                <w:color w:val="auto"/>
              </w:rPr>
            </w:pPr>
            <w:r>
              <w:rPr>
                <w:rFonts w:ascii="Arial" w:cs="Arial" w:eastAsia="Arial" w:hAnsi="Arial"/>
                <w:sz w:val="21"/>
                <w:szCs w:val="21"/>
                <w:color w:val="auto"/>
                <w:w w:val="88"/>
              </w:rPr>
              <w:t>Superior</w:t>
            </w:r>
          </w:p>
        </w:tc>
        <w:tc>
          <w:tcPr>
            <w:tcW w:w="0" w:type="dxa"/>
            <w:vAlign w:val="bottom"/>
          </w:tcPr>
          <w:p>
            <w:pPr>
              <w:spacing w:after="0"/>
              <w:rPr>
                <w:sz w:val="1"/>
                <w:szCs w:val="1"/>
                <w:color w:val="auto"/>
              </w:rPr>
            </w:pPr>
          </w:p>
        </w:tc>
      </w:tr>
      <w:tr>
        <w:trPr>
          <w:trHeight w:val="213"/>
        </w:trPr>
        <w:tc>
          <w:tcPr>
            <w:tcW w:w="44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ind w:left="300"/>
              <w:spacing w:after="0" w:line="213" w:lineRule="exact"/>
              <w:rPr>
                <w:sz w:val="20"/>
                <w:szCs w:val="20"/>
                <w:color w:val="auto"/>
              </w:rPr>
            </w:pPr>
            <w:r>
              <w:rPr>
                <w:rFonts w:ascii="Arial" w:cs="Arial" w:eastAsia="Arial" w:hAnsi="Arial"/>
                <w:sz w:val="19"/>
                <w:szCs w:val="19"/>
                <w:color w:val="auto"/>
              </w:rPr>
              <w:t>[**]</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40" w:type="dxa"/>
            <w:vAlign w:val="bottom"/>
            <w:tcBorders>
              <w:bottom w:val="single" w:sz="8" w:color="auto"/>
              <w:right w:val="single" w:sz="8" w:color="auto"/>
            </w:tcBorders>
            <w:gridSpan w:val="2"/>
          </w:tcPr>
          <w:p>
            <w:pPr>
              <w:jc w:val="center"/>
              <w:ind w:right="1497"/>
              <w:spacing w:after="0" w:line="213" w:lineRule="exact"/>
              <w:rPr>
                <w:sz w:val="20"/>
                <w:szCs w:val="20"/>
                <w:color w:val="auto"/>
              </w:rPr>
            </w:pPr>
            <w:r>
              <w:rPr>
                <w:rFonts w:ascii="Arial" w:cs="Arial" w:eastAsia="Arial" w:hAnsi="Arial"/>
                <w:sz w:val="19"/>
                <w:szCs w:val="19"/>
                <w:color w:val="auto"/>
              </w:rPr>
              <w:t>[**]</w:t>
            </w:r>
          </w:p>
        </w:tc>
        <w:tc>
          <w:tcPr>
            <w:tcW w:w="1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60"/>
              <w:spacing w:after="0" w:line="213" w:lineRule="exact"/>
              <w:rPr>
                <w:sz w:val="20"/>
                <w:szCs w:val="20"/>
                <w:color w:val="auto"/>
              </w:rPr>
            </w:pPr>
            <w:r>
              <w:rPr>
                <w:rFonts w:ascii="Arial" w:cs="Arial" w:eastAsia="Arial" w:hAnsi="Arial"/>
                <w:sz w:val="19"/>
                <w:szCs w:val="19"/>
                <w:color w:val="auto"/>
              </w:rPr>
              <w:t>[**]</w:t>
            </w: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ind w:left="180"/>
              <w:spacing w:after="0"/>
              <w:rPr>
                <w:sz w:val="20"/>
                <w:szCs w:val="20"/>
                <w:color w:val="auto"/>
              </w:rPr>
            </w:pPr>
            <w:r>
              <w:rPr>
                <w:rFonts w:ascii="Arial" w:cs="Arial" w:eastAsia="Arial" w:hAnsi="Arial"/>
                <w:sz w:val="19"/>
                <w:szCs w:val="19"/>
                <w:color w:val="auto"/>
              </w:rPr>
              <w:t>B.</w:t>
            </w:r>
          </w:p>
        </w:tc>
        <w:tc>
          <w:tcPr>
            <w:tcW w:w="3940" w:type="dxa"/>
            <w:vAlign w:val="bottom"/>
            <w:tcBorders>
              <w:bottom w:val="single" w:sz="8" w:color="auto"/>
            </w:tcBorders>
            <w:gridSpan w:val="5"/>
          </w:tcPr>
          <w:p>
            <w:pPr>
              <w:ind w:left="100"/>
              <w:spacing w:after="0"/>
              <w:rPr>
                <w:sz w:val="20"/>
                <w:szCs w:val="20"/>
                <w:color w:val="auto"/>
              </w:rPr>
            </w:pPr>
            <w:r>
              <w:rPr>
                <w:rFonts w:ascii="Arial" w:cs="Arial" w:eastAsia="Arial" w:hAnsi="Arial"/>
                <w:sz w:val="19"/>
                <w:szCs w:val="19"/>
                <w:color w:val="auto"/>
                <w:w w:val="94"/>
              </w:rPr>
              <w:t>Consolidated Adjusted EBITDA</w:t>
            </w:r>
            <w:r>
              <w:rPr>
                <w:rFonts w:ascii="Arial" w:cs="Arial" w:eastAsia="Arial" w:hAnsi="Arial"/>
                <w:sz w:val="16"/>
                <w:szCs w:val="16"/>
                <w:color w:val="auto"/>
                <w:w w:val="94"/>
              </w:rPr>
              <w:t>(1)</w:t>
            </w:r>
            <w:r>
              <w:rPr>
                <w:rFonts w:ascii="Arial" w:cs="Arial" w:eastAsia="Arial" w:hAnsi="Arial"/>
                <w:sz w:val="19"/>
                <w:szCs w:val="19"/>
                <w:color w:val="auto"/>
                <w:w w:val="94"/>
              </w:rPr>
              <w:t xml:space="preserve"> (20% weight):</w:t>
            </w:r>
          </w:p>
        </w:tc>
        <w:tc>
          <w:tcPr>
            <w:tcW w:w="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40" w:type="dxa"/>
            <w:vAlign w:val="bottom"/>
            <w:tcBorders>
              <w:left w:val="single" w:sz="8" w:color="auto"/>
              <w:bottom w:val="single" w:sz="8" w:color="auto"/>
            </w:tcBorders>
            <w:shd w:val="clear" w:color="auto" w:fill="1F3864"/>
          </w:tcPr>
          <w:p>
            <w:pPr>
              <w:spacing w:after="0"/>
              <w:rPr>
                <w:sz w:val="19"/>
                <w:szCs w:val="19"/>
                <w:color w:val="auto"/>
              </w:rPr>
            </w:pPr>
          </w:p>
        </w:tc>
        <w:tc>
          <w:tcPr>
            <w:tcW w:w="280" w:type="dxa"/>
            <w:vAlign w:val="bottom"/>
            <w:tcBorders>
              <w:bottom w:val="single" w:sz="8" w:color="auto"/>
            </w:tcBorders>
            <w:shd w:val="clear" w:color="auto" w:fill="1F3864"/>
          </w:tcPr>
          <w:p>
            <w:pPr>
              <w:spacing w:after="0"/>
              <w:rPr>
                <w:sz w:val="19"/>
                <w:szCs w:val="19"/>
                <w:color w:val="auto"/>
              </w:rPr>
            </w:pPr>
          </w:p>
        </w:tc>
        <w:tc>
          <w:tcPr>
            <w:tcW w:w="160" w:type="dxa"/>
            <w:vAlign w:val="bottom"/>
            <w:tcBorders>
              <w:bottom w:val="single" w:sz="8" w:color="auto"/>
            </w:tcBorders>
            <w:shd w:val="clear" w:color="auto" w:fill="1F3864"/>
          </w:tcPr>
          <w:p>
            <w:pPr>
              <w:spacing w:after="0"/>
              <w:rPr>
                <w:sz w:val="19"/>
                <w:szCs w:val="19"/>
                <w:color w:val="auto"/>
              </w:rPr>
            </w:pPr>
          </w:p>
        </w:tc>
        <w:tc>
          <w:tcPr>
            <w:tcW w:w="260" w:type="dxa"/>
            <w:vAlign w:val="bottom"/>
            <w:tcBorders>
              <w:bottom w:val="single" w:sz="8" w:color="auto"/>
              <w:right w:val="single" w:sz="8" w:color="1F3864"/>
            </w:tcBorders>
            <w:shd w:val="clear" w:color="auto" w:fill="1F3864"/>
          </w:tcPr>
          <w:p>
            <w:pPr>
              <w:spacing w:after="0"/>
              <w:rPr>
                <w:sz w:val="19"/>
                <w:szCs w:val="19"/>
                <w:color w:val="auto"/>
              </w:rPr>
            </w:pPr>
          </w:p>
        </w:tc>
        <w:tc>
          <w:tcPr>
            <w:tcW w:w="300" w:type="dxa"/>
            <w:vAlign w:val="bottom"/>
            <w:tcBorders>
              <w:bottom w:val="single" w:sz="8" w:color="auto"/>
            </w:tcBorders>
            <w:shd w:val="clear" w:color="auto" w:fill="1F3864"/>
          </w:tcPr>
          <w:p>
            <w:pPr>
              <w:spacing w:after="0"/>
              <w:rPr>
                <w:sz w:val="19"/>
                <w:szCs w:val="19"/>
                <w:color w:val="auto"/>
              </w:rPr>
            </w:pPr>
          </w:p>
        </w:tc>
        <w:tc>
          <w:tcPr>
            <w:tcW w:w="2680" w:type="dxa"/>
            <w:vAlign w:val="bottom"/>
            <w:tcBorders>
              <w:bottom w:val="single" w:sz="8" w:color="auto"/>
            </w:tcBorders>
            <w:gridSpan w:val="4"/>
            <w:shd w:val="clear" w:color="auto" w:fill="1F3864"/>
          </w:tcPr>
          <w:p>
            <w:pPr>
              <w:ind w:left="40"/>
              <w:spacing w:after="0" w:line="226" w:lineRule="exact"/>
              <w:rPr>
                <w:sz w:val="20"/>
                <w:szCs w:val="20"/>
                <w:color w:val="auto"/>
              </w:rPr>
            </w:pPr>
            <w:r>
              <w:rPr>
                <w:rFonts w:ascii="Arial" w:cs="Arial" w:eastAsia="Arial" w:hAnsi="Arial"/>
                <w:sz w:val="21"/>
                <w:szCs w:val="21"/>
                <w:color w:val="auto"/>
              </w:rPr>
              <w:t>Threshold</w:t>
            </w:r>
          </w:p>
        </w:tc>
        <w:tc>
          <w:tcPr>
            <w:tcW w:w="1260" w:type="dxa"/>
            <w:vAlign w:val="bottom"/>
            <w:tcBorders>
              <w:bottom w:val="single" w:sz="8" w:color="auto"/>
            </w:tcBorders>
            <w:shd w:val="clear" w:color="auto" w:fill="1F3864"/>
          </w:tcPr>
          <w:p>
            <w:pPr>
              <w:spacing w:after="0"/>
              <w:rPr>
                <w:sz w:val="19"/>
                <w:szCs w:val="19"/>
                <w:color w:val="auto"/>
              </w:rPr>
            </w:pPr>
          </w:p>
        </w:tc>
        <w:tc>
          <w:tcPr>
            <w:tcW w:w="3580" w:type="dxa"/>
            <w:vAlign w:val="bottom"/>
            <w:tcBorders>
              <w:bottom w:val="single" w:sz="8" w:color="auto"/>
            </w:tcBorders>
            <w:gridSpan w:val="3"/>
            <w:shd w:val="clear" w:color="auto" w:fill="1F3864"/>
          </w:tcPr>
          <w:p>
            <w:pPr>
              <w:jc w:val="center"/>
              <w:ind w:right="2940"/>
              <w:spacing w:after="0" w:line="226" w:lineRule="exact"/>
              <w:rPr>
                <w:sz w:val="20"/>
                <w:szCs w:val="20"/>
                <w:color w:val="auto"/>
              </w:rPr>
            </w:pPr>
            <w:r>
              <w:rPr>
                <w:rFonts w:ascii="Arial" w:cs="Arial" w:eastAsia="Arial" w:hAnsi="Arial"/>
                <w:sz w:val="21"/>
                <w:szCs w:val="21"/>
                <w:color w:val="auto"/>
                <w:w w:val="85"/>
              </w:rPr>
              <w:t>Target</w:t>
            </w:r>
          </w:p>
        </w:tc>
        <w:tc>
          <w:tcPr>
            <w:tcW w:w="2480" w:type="dxa"/>
            <w:vAlign w:val="bottom"/>
            <w:tcBorders>
              <w:bottom w:val="single" w:sz="8" w:color="auto"/>
              <w:right w:val="single" w:sz="8" w:color="auto"/>
            </w:tcBorders>
            <w:gridSpan w:val="2"/>
            <w:shd w:val="clear" w:color="auto" w:fill="1F3864"/>
          </w:tcPr>
          <w:p>
            <w:pPr>
              <w:jc w:val="center"/>
              <w:ind w:right="1380"/>
              <w:spacing w:after="0" w:line="226" w:lineRule="exact"/>
              <w:rPr>
                <w:sz w:val="20"/>
                <w:szCs w:val="20"/>
                <w:color w:val="auto"/>
              </w:rPr>
            </w:pPr>
            <w:r>
              <w:rPr>
                <w:rFonts w:ascii="Arial" w:cs="Arial" w:eastAsia="Arial" w:hAnsi="Arial"/>
                <w:sz w:val="21"/>
                <w:szCs w:val="21"/>
                <w:color w:val="auto"/>
                <w:w w:val="88"/>
              </w:rPr>
              <w:t>Superior</w:t>
            </w:r>
          </w:p>
        </w:tc>
        <w:tc>
          <w:tcPr>
            <w:tcW w:w="0" w:type="dxa"/>
            <w:vAlign w:val="bottom"/>
          </w:tcPr>
          <w:p>
            <w:pPr>
              <w:spacing w:after="0"/>
              <w:rPr>
                <w:sz w:val="1"/>
                <w:szCs w:val="1"/>
                <w:color w:val="auto"/>
              </w:rPr>
            </w:pPr>
          </w:p>
        </w:tc>
      </w:tr>
      <w:tr>
        <w:trPr>
          <w:trHeight w:val="213"/>
        </w:trPr>
        <w:tc>
          <w:tcPr>
            <w:tcW w:w="44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ind w:left="300"/>
              <w:spacing w:after="0" w:line="213" w:lineRule="exact"/>
              <w:rPr>
                <w:sz w:val="20"/>
                <w:szCs w:val="20"/>
                <w:color w:val="auto"/>
              </w:rPr>
            </w:pPr>
            <w:r>
              <w:rPr>
                <w:rFonts w:ascii="Arial" w:cs="Arial" w:eastAsia="Arial" w:hAnsi="Arial"/>
                <w:sz w:val="19"/>
                <w:szCs w:val="19"/>
                <w:color w:val="auto"/>
              </w:rPr>
              <w:t>[**]</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40" w:type="dxa"/>
            <w:vAlign w:val="bottom"/>
            <w:tcBorders>
              <w:bottom w:val="single" w:sz="8" w:color="auto"/>
              <w:right w:val="single" w:sz="8" w:color="auto"/>
            </w:tcBorders>
            <w:gridSpan w:val="2"/>
          </w:tcPr>
          <w:p>
            <w:pPr>
              <w:jc w:val="center"/>
              <w:ind w:right="1497"/>
              <w:spacing w:after="0" w:line="213" w:lineRule="exact"/>
              <w:rPr>
                <w:sz w:val="20"/>
                <w:szCs w:val="20"/>
                <w:color w:val="auto"/>
              </w:rPr>
            </w:pPr>
            <w:r>
              <w:rPr>
                <w:rFonts w:ascii="Arial" w:cs="Arial" w:eastAsia="Arial" w:hAnsi="Arial"/>
                <w:sz w:val="19"/>
                <w:szCs w:val="19"/>
                <w:color w:val="auto"/>
              </w:rPr>
              <w:t>[**]</w:t>
            </w:r>
          </w:p>
        </w:tc>
        <w:tc>
          <w:tcPr>
            <w:tcW w:w="1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60"/>
              <w:spacing w:after="0" w:line="213" w:lineRule="exact"/>
              <w:rPr>
                <w:sz w:val="20"/>
                <w:szCs w:val="20"/>
                <w:color w:val="auto"/>
              </w:rPr>
            </w:pPr>
            <w:r>
              <w:rPr>
                <w:rFonts w:ascii="Arial" w:cs="Arial" w:eastAsia="Arial" w:hAnsi="Arial"/>
                <w:sz w:val="19"/>
                <w:szCs w:val="19"/>
                <w:color w:val="auto"/>
              </w:rPr>
              <w:t>[**]</w:t>
            </w: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ind w:left="180"/>
              <w:spacing w:after="0"/>
              <w:rPr>
                <w:sz w:val="20"/>
                <w:szCs w:val="20"/>
                <w:color w:val="auto"/>
              </w:rPr>
            </w:pPr>
            <w:r>
              <w:rPr>
                <w:rFonts w:ascii="Arial" w:cs="Arial" w:eastAsia="Arial" w:hAnsi="Arial"/>
                <w:sz w:val="19"/>
                <w:szCs w:val="19"/>
                <w:color w:val="auto"/>
              </w:rPr>
              <w:t>C.</w:t>
            </w:r>
          </w:p>
        </w:tc>
        <w:tc>
          <w:tcPr>
            <w:tcW w:w="2680" w:type="dxa"/>
            <w:vAlign w:val="bottom"/>
            <w:tcBorders>
              <w:bottom w:val="single" w:sz="8" w:color="auto"/>
            </w:tcBorders>
            <w:gridSpan w:val="4"/>
          </w:tcPr>
          <w:p>
            <w:pPr>
              <w:ind w:left="100"/>
              <w:spacing w:after="0"/>
              <w:rPr>
                <w:sz w:val="20"/>
                <w:szCs w:val="20"/>
                <w:color w:val="auto"/>
              </w:rPr>
            </w:pPr>
            <w:r>
              <w:rPr>
                <w:rFonts w:ascii="Arial" w:cs="Arial" w:eastAsia="Arial" w:hAnsi="Arial"/>
                <w:sz w:val="19"/>
                <w:szCs w:val="19"/>
                <w:color w:val="auto"/>
              </w:rPr>
              <w:t>Net Leverage</w:t>
            </w:r>
            <w:r>
              <w:rPr>
                <w:rFonts w:ascii="Arial" w:cs="Arial" w:eastAsia="Arial" w:hAnsi="Arial"/>
                <w:sz w:val="16"/>
                <w:szCs w:val="16"/>
                <w:color w:val="auto"/>
              </w:rPr>
              <w:t>(1)</w:t>
            </w:r>
            <w:r>
              <w:rPr>
                <w:rFonts w:ascii="Arial" w:cs="Arial" w:eastAsia="Arial" w:hAnsi="Arial"/>
                <w:sz w:val="19"/>
                <w:szCs w:val="19"/>
                <w:color w:val="auto"/>
              </w:rPr>
              <w:t xml:space="preserve"> (40% weight):</w:t>
            </w: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40" w:type="dxa"/>
            <w:vAlign w:val="bottom"/>
            <w:tcBorders>
              <w:left w:val="single" w:sz="8" w:color="auto"/>
              <w:bottom w:val="single" w:sz="8" w:color="auto"/>
            </w:tcBorders>
            <w:shd w:val="clear" w:color="auto" w:fill="1F3864"/>
          </w:tcPr>
          <w:p>
            <w:pPr>
              <w:spacing w:after="0"/>
              <w:rPr>
                <w:sz w:val="19"/>
                <w:szCs w:val="19"/>
                <w:color w:val="auto"/>
              </w:rPr>
            </w:pPr>
          </w:p>
        </w:tc>
        <w:tc>
          <w:tcPr>
            <w:tcW w:w="280" w:type="dxa"/>
            <w:vAlign w:val="bottom"/>
            <w:tcBorders>
              <w:bottom w:val="single" w:sz="8" w:color="auto"/>
            </w:tcBorders>
            <w:shd w:val="clear" w:color="auto" w:fill="1F3864"/>
          </w:tcPr>
          <w:p>
            <w:pPr>
              <w:spacing w:after="0"/>
              <w:rPr>
                <w:sz w:val="19"/>
                <w:szCs w:val="19"/>
                <w:color w:val="auto"/>
              </w:rPr>
            </w:pPr>
          </w:p>
        </w:tc>
        <w:tc>
          <w:tcPr>
            <w:tcW w:w="160" w:type="dxa"/>
            <w:vAlign w:val="bottom"/>
            <w:tcBorders>
              <w:bottom w:val="single" w:sz="8" w:color="auto"/>
            </w:tcBorders>
            <w:shd w:val="clear" w:color="auto" w:fill="1F3864"/>
          </w:tcPr>
          <w:p>
            <w:pPr>
              <w:spacing w:after="0"/>
              <w:rPr>
                <w:sz w:val="19"/>
                <w:szCs w:val="19"/>
                <w:color w:val="auto"/>
              </w:rPr>
            </w:pPr>
          </w:p>
        </w:tc>
        <w:tc>
          <w:tcPr>
            <w:tcW w:w="260" w:type="dxa"/>
            <w:vAlign w:val="bottom"/>
            <w:tcBorders>
              <w:bottom w:val="single" w:sz="8" w:color="auto"/>
              <w:right w:val="single" w:sz="8" w:color="1F3864"/>
            </w:tcBorders>
            <w:shd w:val="clear" w:color="auto" w:fill="1F3864"/>
          </w:tcPr>
          <w:p>
            <w:pPr>
              <w:spacing w:after="0"/>
              <w:rPr>
                <w:sz w:val="19"/>
                <w:szCs w:val="19"/>
                <w:color w:val="auto"/>
              </w:rPr>
            </w:pPr>
          </w:p>
        </w:tc>
        <w:tc>
          <w:tcPr>
            <w:tcW w:w="300" w:type="dxa"/>
            <w:vAlign w:val="bottom"/>
            <w:tcBorders>
              <w:bottom w:val="single" w:sz="8" w:color="auto"/>
            </w:tcBorders>
            <w:shd w:val="clear" w:color="auto" w:fill="1F3864"/>
          </w:tcPr>
          <w:p>
            <w:pPr>
              <w:spacing w:after="0"/>
              <w:rPr>
                <w:sz w:val="19"/>
                <w:szCs w:val="19"/>
                <w:color w:val="auto"/>
              </w:rPr>
            </w:pPr>
          </w:p>
        </w:tc>
        <w:tc>
          <w:tcPr>
            <w:tcW w:w="2680" w:type="dxa"/>
            <w:vAlign w:val="bottom"/>
            <w:tcBorders>
              <w:bottom w:val="single" w:sz="8" w:color="auto"/>
            </w:tcBorders>
            <w:gridSpan w:val="4"/>
            <w:shd w:val="clear" w:color="auto" w:fill="1F3864"/>
          </w:tcPr>
          <w:p>
            <w:pPr>
              <w:ind w:left="40"/>
              <w:spacing w:after="0" w:line="226" w:lineRule="exact"/>
              <w:rPr>
                <w:sz w:val="20"/>
                <w:szCs w:val="20"/>
                <w:color w:val="auto"/>
              </w:rPr>
            </w:pPr>
            <w:r>
              <w:rPr>
                <w:rFonts w:ascii="Arial" w:cs="Arial" w:eastAsia="Arial" w:hAnsi="Arial"/>
                <w:sz w:val="21"/>
                <w:szCs w:val="21"/>
                <w:color w:val="auto"/>
              </w:rPr>
              <w:t>Threshold</w:t>
            </w:r>
          </w:p>
        </w:tc>
        <w:tc>
          <w:tcPr>
            <w:tcW w:w="1260" w:type="dxa"/>
            <w:vAlign w:val="bottom"/>
            <w:tcBorders>
              <w:bottom w:val="single" w:sz="8" w:color="auto"/>
            </w:tcBorders>
            <w:shd w:val="clear" w:color="auto" w:fill="1F3864"/>
          </w:tcPr>
          <w:p>
            <w:pPr>
              <w:spacing w:after="0"/>
              <w:rPr>
                <w:sz w:val="19"/>
                <w:szCs w:val="19"/>
                <w:color w:val="auto"/>
              </w:rPr>
            </w:pPr>
          </w:p>
        </w:tc>
        <w:tc>
          <w:tcPr>
            <w:tcW w:w="3580" w:type="dxa"/>
            <w:vAlign w:val="bottom"/>
            <w:tcBorders>
              <w:bottom w:val="single" w:sz="8" w:color="auto"/>
            </w:tcBorders>
            <w:gridSpan w:val="3"/>
            <w:shd w:val="clear" w:color="auto" w:fill="1F3864"/>
          </w:tcPr>
          <w:p>
            <w:pPr>
              <w:jc w:val="center"/>
              <w:ind w:right="2940"/>
              <w:spacing w:after="0" w:line="226" w:lineRule="exact"/>
              <w:rPr>
                <w:sz w:val="20"/>
                <w:szCs w:val="20"/>
                <w:color w:val="auto"/>
              </w:rPr>
            </w:pPr>
            <w:r>
              <w:rPr>
                <w:rFonts w:ascii="Arial" w:cs="Arial" w:eastAsia="Arial" w:hAnsi="Arial"/>
                <w:sz w:val="21"/>
                <w:szCs w:val="21"/>
                <w:color w:val="auto"/>
                <w:w w:val="85"/>
              </w:rPr>
              <w:t>Target</w:t>
            </w:r>
          </w:p>
        </w:tc>
        <w:tc>
          <w:tcPr>
            <w:tcW w:w="2480" w:type="dxa"/>
            <w:vAlign w:val="bottom"/>
            <w:tcBorders>
              <w:bottom w:val="single" w:sz="8" w:color="auto"/>
              <w:right w:val="single" w:sz="8" w:color="auto"/>
            </w:tcBorders>
            <w:gridSpan w:val="2"/>
            <w:shd w:val="clear" w:color="auto" w:fill="1F3864"/>
          </w:tcPr>
          <w:p>
            <w:pPr>
              <w:jc w:val="center"/>
              <w:ind w:right="1380"/>
              <w:spacing w:after="0" w:line="226" w:lineRule="exact"/>
              <w:rPr>
                <w:sz w:val="20"/>
                <w:szCs w:val="20"/>
                <w:color w:val="auto"/>
              </w:rPr>
            </w:pPr>
            <w:r>
              <w:rPr>
                <w:rFonts w:ascii="Arial" w:cs="Arial" w:eastAsia="Arial" w:hAnsi="Arial"/>
                <w:sz w:val="21"/>
                <w:szCs w:val="21"/>
                <w:color w:val="auto"/>
                <w:w w:val="88"/>
              </w:rPr>
              <w:t>Superior</w:t>
            </w:r>
          </w:p>
        </w:tc>
        <w:tc>
          <w:tcPr>
            <w:tcW w:w="0" w:type="dxa"/>
            <w:vAlign w:val="bottom"/>
          </w:tcPr>
          <w:p>
            <w:pPr>
              <w:spacing w:after="0"/>
              <w:rPr>
                <w:sz w:val="1"/>
                <w:szCs w:val="1"/>
                <w:color w:val="auto"/>
              </w:rPr>
            </w:pPr>
          </w:p>
        </w:tc>
      </w:tr>
      <w:tr>
        <w:trPr>
          <w:trHeight w:val="213"/>
        </w:trPr>
        <w:tc>
          <w:tcPr>
            <w:tcW w:w="44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ind w:left="300"/>
              <w:spacing w:after="0" w:line="213" w:lineRule="exact"/>
              <w:rPr>
                <w:sz w:val="20"/>
                <w:szCs w:val="20"/>
                <w:color w:val="auto"/>
              </w:rPr>
            </w:pPr>
            <w:r>
              <w:rPr>
                <w:rFonts w:ascii="Arial" w:cs="Arial" w:eastAsia="Arial" w:hAnsi="Arial"/>
                <w:sz w:val="19"/>
                <w:szCs w:val="19"/>
                <w:color w:val="auto"/>
              </w:rPr>
              <w:t>[**]</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40" w:type="dxa"/>
            <w:vAlign w:val="bottom"/>
            <w:tcBorders>
              <w:bottom w:val="single" w:sz="8" w:color="auto"/>
              <w:right w:val="single" w:sz="8" w:color="auto"/>
            </w:tcBorders>
            <w:gridSpan w:val="2"/>
          </w:tcPr>
          <w:p>
            <w:pPr>
              <w:jc w:val="center"/>
              <w:ind w:right="1497"/>
              <w:spacing w:after="0" w:line="213" w:lineRule="exact"/>
              <w:rPr>
                <w:sz w:val="20"/>
                <w:szCs w:val="20"/>
                <w:color w:val="auto"/>
              </w:rPr>
            </w:pPr>
            <w:r>
              <w:rPr>
                <w:rFonts w:ascii="Arial" w:cs="Arial" w:eastAsia="Arial" w:hAnsi="Arial"/>
                <w:sz w:val="19"/>
                <w:szCs w:val="19"/>
                <w:color w:val="auto"/>
              </w:rPr>
              <w:t>[**]</w:t>
            </w:r>
          </w:p>
        </w:tc>
        <w:tc>
          <w:tcPr>
            <w:tcW w:w="1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60"/>
              <w:spacing w:after="0" w:line="213" w:lineRule="exact"/>
              <w:rPr>
                <w:sz w:val="20"/>
                <w:szCs w:val="20"/>
                <w:color w:val="auto"/>
              </w:rPr>
            </w:pPr>
            <w:r>
              <w:rPr>
                <w:rFonts w:ascii="Arial" w:cs="Arial" w:eastAsia="Arial" w:hAnsi="Arial"/>
                <w:sz w:val="19"/>
                <w:szCs w:val="19"/>
                <w:color w:val="auto"/>
              </w:rPr>
              <w:t>[**]</w:t>
            </w: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ind w:left="180"/>
              <w:spacing w:after="0"/>
              <w:rPr>
                <w:sz w:val="20"/>
                <w:szCs w:val="20"/>
                <w:color w:val="auto"/>
              </w:rPr>
            </w:pPr>
            <w:r>
              <w:rPr>
                <w:rFonts w:ascii="Arial" w:cs="Arial" w:eastAsia="Arial" w:hAnsi="Arial"/>
                <w:sz w:val="19"/>
                <w:szCs w:val="19"/>
                <w:color w:val="auto"/>
              </w:rPr>
              <w:t>D.</w:t>
            </w:r>
          </w:p>
        </w:tc>
        <w:tc>
          <w:tcPr>
            <w:tcW w:w="7520" w:type="dxa"/>
            <w:vAlign w:val="bottom"/>
            <w:gridSpan w:val="8"/>
          </w:tcPr>
          <w:p>
            <w:pPr>
              <w:ind w:left="120"/>
              <w:spacing w:after="0"/>
              <w:rPr>
                <w:sz w:val="20"/>
                <w:szCs w:val="20"/>
                <w:color w:val="auto"/>
              </w:rPr>
            </w:pPr>
            <w:r>
              <w:rPr>
                <w:rFonts w:ascii="Arial" w:cs="Arial" w:eastAsia="Arial" w:hAnsi="Arial"/>
                <w:sz w:val="19"/>
                <w:szCs w:val="19"/>
                <w:color w:val="auto"/>
              </w:rPr>
              <w:t>Personal Goals (20%) as determined by the Compensation Committee</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3"/>
          </w:tcPr>
          <w:p>
            <w:pPr>
              <w:ind w:left="140"/>
              <w:spacing w:after="0"/>
              <w:rPr>
                <w:sz w:val="20"/>
                <w:szCs w:val="20"/>
                <w:color w:val="auto"/>
              </w:rPr>
            </w:pPr>
            <w:r>
              <w:rPr>
                <w:rFonts w:ascii="Arial" w:cs="Arial" w:eastAsia="Arial" w:hAnsi="Arial"/>
                <w:sz w:val="19"/>
                <w:szCs w:val="19"/>
                <w:color w:val="auto"/>
              </w:rPr>
              <w:t>E.</w:t>
            </w:r>
          </w:p>
        </w:tc>
        <w:tc>
          <w:tcPr>
            <w:tcW w:w="10000" w:type="dxa"/>
            <w:vAlign w:val="bottom"/>
            <w:gridSpan w:val="10"/>
          </w:tcPr>
          <w:p>
            <w:pPr>
              <w:ind w:left="300"/>
              <w:spacing w:after="0"/>
              <w:rPr>
                <w:sz w:val="20"/>
                <w:szCs w:val="20"/>
                <w:color w:val="auto"/>
              </w:rPr>
            </w:pPr>
            <w:r>
              <w:rPr>
                <w:rFonts w:ascii="Arial" w:cs="Arial" w:eastAsia="Arial" w:hAnsi="Arial"/>
                <w:sz w:val="19"/>
                <w:szCs w:val="19"/>
                <w:color w:val="auto"/>
              </w:rPr>
              <w:t>Payouts for each component will be interpolated between levels. Potential Payouts at each level are as follows:</w:t>
            </w: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980" w:type="dxa"/>
            <w:vAlign w:val="bottom"/>
            <w:tcBorders>
              <w:top w:val="single" w:sz="8" w:color="auto"/>
            </w:tcBorders>
            <w:gridSpan w:val="5"/>
            <w:shd w:val="clear" w:color="auto" w:fill="1F3864"/>
          </w:tcPr>
          <w:p>
            <w:pPr>
              <w:jc w:val="right"/>
              <w:ind w:right="700"/>
              <w:spacing w:after="0" w:line="204" w:lineRule="exact"/>
              <w:rPr>
                <w:sz w:val="20"/>
                <w:szCs w:val="20"/>
                <w:color w:val="auto"/>
              </w:rPr>
            </w:pPr>
            <w:r>
              <w:rPr>
                <w:rFonts w:ascii="Arial" w:cs="Arial" w:eastAsia="Arial" w:hAnsi="Arial"/>
                <w:sz w:val="21"/>
                <w:szCs w:val="21"/>
                <w:color w:val="auto"/>
                <w:w w:val="91"/>
              </w:rPr>
              <w:t>Performance Achievement</w:t>
            </w:r>
          </w:p>
        </w:tc>
        <w:tc>
          <w:tcPr>
            <w:tcW w:w="1260" w:type="dxa"/>
            <w:vAlign w:val="bottom"/>
            <w:tcBorders>
              <w:top w:val="single" w:sz="8" w:color="auto"/>
            </w:tcBorders>
            <w:shd w:val="clear" w:color="auto" w:fill="1F3864"/>
          </w:tcPr>
          <w:p>
            <w:pPr>
              <w:spacing w:after="0"/>
              <w:rPr>
                <w:sz w:val="17"/>
                <w:szCs w:val="17"/>
                <w:color w:val="auto"/>
              </w:rPr>
            </w:pPr>
          </w:p>
        </w:tc>
        <w:tc>
          <w:tcPr>
            <w:tcW w:w="3580" w:type="dxa"/>
            <w:vAlign w:val="bottom"/>
            <w:tcBorders>
              <w:top w:val="single" w:sz="8" w:color="auto"/>
            </w:tcBorders>
            <w:gridSpan w:val="3"/>
            <w:shd w:val="clear" w:color="auto" w:fill="1F3864"/>
          </w:tcPr>
          <w:p>
            <w:pPr>
              <w:ind w:left="100"/>
              <w:spacing w:after="0" w:line="204" w:lineRule="exact"/>
              <w:rPr>
                <w:sz w:val="20"/>
                <w:szCs w:val="20"/>
                <w:color w:val="auto"/>
              </w:rPr>
            </w:pPr>
            <w:r>
              <w:rPr>
                <w:rFonts w:ascii="Arial" w:cs="Arial" w:eastAsia="Arial" w:hAnsi="Arial"/>
                <w:sz w:val="21"/>
                <w:szCs w:val="21"/>
                <w:color w:val="FFFFFF"/>
              </w:rPr>
              <w:t>Potential as Percent of Base Salary</w:t>
            </w:r>
          </w:p>
        </w:tc>
        <w:tc>
          <w:tcPr>
            <w:tcW w:w="1380" w:type="dxa"/>
            <w:vAlign w:val="bottom"/>
            <w:tcBorders>
              <w:top w:val="single" w:sz="8" w:color="auto"/>
              <w:right w:val="single" w:sz="8" w:color="auto"/>
            </w:tcBorders>
            <w:shd w:val="clear" w:color="auto" w:fill="1F3864"/>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300" w:type="dxa"/>
            <w:vAlign w:val="bottom"/>
            <w:shd w:val="clear" w:color="auto" w:fill="1F3864"/>
          </w:tcPr>
          <w:p>
            <w:pPr>
              <w:spacing w:after="0"/>
              <w:rPr>
                <w:sz w:val="22"/>
                <w:szCs w:val="22"/>
                <w:color w:val="auto"/>
              </w:rPr>
            </w:pPr>
          </w:p>
        </w:tc>
        <w:tc>
          <w:tcPr>
            <w:tcW w:w="2680" w:type="dxa"/>
            <w:vAlign w:val="bottom"/>
            <w:gridSpan w:val="4"/>
            <w:shd w:val="clear" w:color="auto" w:fill="1F3864"/>
          </w:tcPr>
          <w:p>
            <w:pPr>
              <w:ind w:left="640"/>
              <w:spacing w:after="0"/>
              <w:rPr>
                <w:sz w:val="20"/>
                <w:szCs w:val="20"/>
                <w:color w:val="auto"/>
              </w:rPr>
            </w:pPr>
            <w:r>
              <w:rPr>
                <w:rFonts w:ascii="Arial" w:cs="Arial" w:eastAsia="Arial" w:hAnsi="Arial"/>
                <w:sz w:val="21"/>
                <w:szCs w:val="21"/>
                <w:color w:val="auto"/>
              </w:rPr>
              <w:t>Level</w:t>
            </w:r>
          </w:p>
        </w:tc>
        <w:tc>
          <w:tcPr>
            <w:tcW w:w="1260" w:type="dxa"/>
            <w:vAlign w:val="bottom"/>
            <w:vMerge w:val="restart"/>
            <w:shd w:val="clear" w:color="auto" w:fill="1F3864"/>
          </w:tcPr>
          <w:p>
            <w:pPr>
              <w:ind w:left="260"/>
              <w:spacing w:after="0"/>
              <w:rPr>
                <w:sz w:val="20"/>
                <w:szCs w:val="20"/>
                <w:color w:val="auto"/>
              </w:rPr>
            </w:pPr>
            <w:r>
              <w:rPr>
                <w:rFonts w:ascii="Arial" w:cs="Arial" w:eastAsia="Arial" w:hAnsi="Arial"/>
                <w:sz w:val="21"/>
                <w:szCs w:val="21"/>
                <w:color w:val="FFFFFF"/>
              </w:rPr>
              <w:t>CEO</w:t>
            </w:r>
          </w:p>
        </w:tc>
        <w:tc>
          <w:tcPr>
            <w:tcW w:w="280" w:type="dxa"/>
            <w:vAlign w:val="bottom"/>
            <w:tcBorders>
              <w:right w:val="single" w:sz="8" w:color="1F3864"/>
            </w:tcBorders>
            <w:shd w:val="clear" w:color="auto" w:fill="1F3864"/>
          </w:tcPr>
          <w:p>
            <w:pPr>
              <w:spacing w:after="0"/>
              <w:rPr>
                <w:sz w:val="22"/>
                <w:szCs w:val="22"/>
                <w:color w:val="auto"/>
              </w:rPr>
            </w:pPr>
          </w:p>
        </w:tc>
        <w:tc>
          <w:tcPr>
            <w:tcW w:w="3300" w:type="dxa"/>
            <w:vAlign w:val="bottom"/>
            <w:gridSpan w:val="2"/>
            <w:vMerge w:val="restart"/>
            <w:shd w:val="clear" w:color="auto" w:fill="1F3864"/>
          </w:tcPr>
          <w:p>
            <w:pPr>
              <w:ind w:left="960"/>
              <w:spacing w:after="0"/>
              <w:rPr>
                <w:sz w:val="20"/>
                <w:szCs w:val="20"/>
                <w:color w:val="auto"/>
              </w:rPr>
            </w:pPr>
            <w:r>
              <w:rPr>
                <w:rFonts w:ascii="Arial" w:cs="Arial" w:eastAsia="Arial" w:hAnsi="Arial"/>
                <w:sz w:val="21"/>
                <w:szCs w:val="21"/>
                <w:color w:val="FFFFFF"/>
              </w:rPr>
              <w:t>CFO</w:t>
            </w:r>
          </w:p>
        </w:tc>
        <w:tc>
          <w:tcPr>
            <w:tcW w:w="1380" w:type="dxa"/>
            <w:vAlign w:val="bottom"/>
            <w:tcBorders>
              <w:right w:val="single" w:sz="8" w:color="auto"/>
            </w:tcBorders>
            <w:vMerge w:val="restart"/>
            <w:shd w:val="clear" w:color="auto" w:fill="1F3864"/>
          </w:tcPr>
          <w:p>
            <w:pPr>
              <w:ind w:left="40"/>
              <w:spacing w:after="0"/>
              <w:rPr>
                <w:sz w:val="20"/>
                <w:szCs w:val="20"/>
                <w:color w:val="auto"/>
              </w:rPr>
            </w:pPr>
            <w:r>
              <w:rPr>
                <w:rFonts w:ascii="Arial" w:cs="Arial" w:eastAsia="Arial" w:hAnsi="Arial"/>
                <w:sz w:val="21"/>
                <w:szCs w:val="21"/>
                <w:color w:val="FFFFFF"/>
              </w:rPr>
              <w:t>GC</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shd w:val="clear" w:color="auto" w:fill="1F3864"/>
          </w:tcPr>
          <w:p>
            <w:pPr>
              <w:spacing w:after="0"/>
              <w:rPr>
                <w:sz w:val="7"/>
                <w:szCs w:val="7"/>
                <w:color w:val="auto"/>
              </w:rPr>
            </w:pPr>
          </w:p>
        </w:tc>
        <w:tc>
          <w:tcPr>
            <w:tcW w:w="1920" w:type="dxa"/>
            <w:vAlign w:val="bottom"/>
            <w:shd w:val="clear" w:color="auto" w:fill="1F3864"/>
          </w:tcPr>
          <w:p>
            <w:pPr>
              <w:spacing w:after="0"/>
              <w:rPr>
                <w:sz w:val="7"/>
                <w:szCs w:val="7"/>
                <w:color w:val="auto"/>
              </w:rPr>
            </w:pPr>
          </w:p>
        </w:tc>
        <w:tc>
          <w:tcPr>
            <w:tcW w:w="160" w:type="dxa"/>
            <w:vAlign w:val="bottom"/>
            <w:tcBorders>
              <w:right w:val="single" w:sz="8" w:color="1F3864"/>
            </w:tcBorders>
            <w:shd w:val="clear" w:color="auto" w:fill="1F3864"/>
          </w:tcPr>
          <w:p>
            <w:pPr>
              <w:spacing w:after="0"/>
              <w:rPr>
                <w:sz w:val="7"/>
                <w:szCs w:val="7"/>
                <w:color w:val="auto"/>
              </w:rPr>
            </w:pPr>
          </w:p>
        </w:tc>
        <w:tc>
          <w:tcPr>
            <w:tcW w:w="280" w:type="dxa"/>
            <w:vAlign w:val="bottom"/>
            <w:tcBorders>
              <w:right w:val="single" w:sz="8" w:color="1F3864"/>
            </w:tcBorders>
            <w:shd w:val="clear" w:color="auto" w:fill="1F3864"/>
          </w:tcPr>
          <w:p>
            <w:pPr>
              <w:spacing w:after="0"/>
              <w:rPr>
                <w:sz w:val="7"/>
                <w:szCs w:val="7"/>
                <w:color w:val="auto"/>
              </w:rPr>
            </w:pPr>
          </w:p>
        </w:tc>
        <w:tc>
          <w:tcPr>
            <w:tcW w:w="320" w:type="dxa"/>
            <w:vAlign w:val="bottom"/>
            <w:shd w:val="clear" w:color="auto" w:fill="1F3864"/>
          </w:tcPr>
          <w:p>
            <w:pPr>
              <w:spacing w:after="0"/>
              <w:rPr>
                <w:sz w:val="7"/>
                <w:szCs w:val="7"/>
                <w:color w:val="auto"/>
              </w:rPr>
            </w:pPr>
          </w:p>
        </w:tc>
        <w:tc>
          <w:tcPr>
            <w:tcW w:w="1260" w:type="dxa"/>
            <w:vAlign w:val="bottom"/>
            <w:vMerge w:val="continue"/>
            <w:shd w:val="clear" w:color="auto" w:fill="1F3864"/>
          </w:tcPr>
          <w:p>
            <w:pPr>
              <w:spacing w:after="0"/>
              <w:rPr>
                <w:sz w:val="7"/>
                <w:szCs w:val="7"/>
                <w:color w:val="auto"/>
              </w:rPr>
            </w:pPr>
          </w:p>
        </w:tc>
        <w:tc>
          <w:tcPr>
            <w:tcW w:w="280" w:type="dxa"/>
            <w:vAlign w:val="bottom"/>
            <w:tcBorders>
              <w:right w:val="single" w:sz="8" w:color="1F3864"/>
            </w:tcBorders>
            <w:shd w:val="clear" w:color="auto" w:fill="1F3864"/>
          </w:tcPr>
          <w:p>
            <w:pPr>
              <w:spacing w:after="0"/>
              <w:rPr>
                <w:sz w:val="7"/>
                <w:szCs w:val="7"/>
                <w:color w:val="auto"/>
              </w:rPr>
            </w:pPr>
          </w:p>
        </w:tc>
        <w:tc>
          <w:tcPr>
            <w:tcW w:w="3300" w:type="dxa"/>
            <w:vAlign w:val="bottom"/>
            <w:gridSpan w:val="2"/>
            <w:vMerge w:val="continue"/>
            <w:shd w:val="clear" w:color="auto" w:fill="1F3864"/>
          </w:tcPr>
          <w:p>
            <w:pPr>
              <w:spacing w:after="0"/>
              <w:rPr>
                <w:sz w:val="7"/>
                <w:szCs w:val="7"/>
                <w:color w:val="auto"/>
              </w:rPr>
            </w:pPr>
          </w:p>
        </w:tc>
        <w:tc>
          <w:tcPr>
            <w:tcW w:w="1380" w:type="dxa"/>
            <w:vAlign w:val="bottom"/>
            <w:tcBorders>
              <w:right w:val="single" w:sz="8" w:color="auto"/>
            </w:tcBorders>
            <w:vMerge w:val="continue"/>
            <w:shd w:val="clear" w:color="auto" w:fill="1F3864"/>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2220" w:type="dxa"/>
            <w:vAlign w:val="bottom"/>
            <w:tcBorders>
              <w:bottom w:val="single" w:sz="8" w:color="auto"/>
            </w:tcBorders>
            <w:gridSpan w:val="2"/>
            <w:shd w:val="clear" w:color="auto" w:fill="1F3864"/>
          </w:tcPr>
          <w:p>
            <w:pPr>
              <w:spacing w:after="0"/>
              <w:rPr>
                <w:sz w:val="5"/>
                <w:szCs w:val="5"/>
                <w:color w:val="auto"/>
              </w:rPr>
            </w:pPr>
          </w:p>
        </w:tc>
        <w:tc>
          <w:tcPr>
            <w:tcW w:w="160" w:type="dxa"/>
            <w:vAlign w:val="bottom"/>
            <w:tcBorders>
              <w:bottom w:val="single" w:sz="8" w:color="auto"/>
              <w:right w:val="single" w:sz="8" w:color="1F3864"/>
            </w:tcBorders>
            <w:shd w:val="clear" w:color="auto" w:fill="1F3864"/>
          </w:tcPr>
          <w:p>
            <w:pPr>
              <w:spacing w:after="0"/>
              <w:rPr>
                <w:sz w:val="5"/>
                <w:szCs w:val="5"/>
                <w:color w:val="auto"/>
              </w:rPr>
            </w:pPr>
          </w:p>
        </w:tc>
        <w:tc>
          <w:tcPr>
            <w:tcW w:w="600" w:type="dxa"/>
            <w:vAlign w:val="bottom"/>
            <w:tcBorders>
              <w:bottom w:val="single" w:sz="8" w:color="auto"/>
            </w:tcBorders>
            <w:gridSpan w:val="2"/>
            <w:shd w:val="clear" w:color="auto" w:fill="1F3864"/>
          </w:tcPr>
          <w:p>
            <w:pPr>
              <w:spacing w:after="0"/>
              <w:rPr>
                <w:sz w:val="5"/>
                <w:szCs w:val="5"/>
                <w:color w:val="auto"/>
              </w:rPr>
            </w:pPr>
          </w:p>
        </w:tc>
        <w:tc>
          <w:tcPr>
            <w:tcW w:w="1260" w:type="dxa"/>
            <w:vAlign w:val="bottom"/>
            <w:tcBorders>
              <w:bottom w:val="single" w:sz="8" w:color="auto"/>
            </w:tcBorders>
            <w:shd w:val="clear" w:color="auto" w:fill="1F3864"/>
          </w:tcPr>
          <w:p>
            <w:pPr>
              <w:spacing w:after="0"/>
              <w:rPr>
                <w:sz w:val="5"/>
                <w:szCs w:val="5"/>
                <w:color w:val="auto"/>
              </w:rPr>
            </w:pPr>
          </w:p>
        </w:tc>
        <w:tc>
          <w:tcPr>
            <w:tcW w:w="280" w:type="dxa"/>
            <w:vAlign w:val="bottom"/>
            <w:tcBorders>
              <w:bottom w:val="single" w:sz="8" w:color="auto"/>
              <w:right w:val="single" w:sz="8" w:color="1F3864"/>
            </w:tcBorders>
            <w:shd w:val="clear" w:color="auto" w:fill="1F3864"/>
          </w:tcPr>
          <w:p>
            <w:pPr>
              <w:spacing w:after="0"/>
              <w:rPr>
                <w:sz w:val="5"/>
                <w:szCs w:val="5"/>
                <w:color w:val="auto"/>
              </w:rPr>
            </w:pPr>
          </w:p>
        </w:tc>
        <w:tc>
          <w:tcPr>
            <w:tcW w:w="3300" w:type="dxa"/>
            <w:vAlign w:val="bottom"/>
            <w:tcBorders>
              <w:bottom w:val="single" w:sz="8" w:color="auto"/>
            </w:tcBorders>
            <w:gridSpan w:val="2"/>
            <w:shd w:val="clear" w:color="auto" w:fill="1F3864"/>
          </w:tcPr>
          <w:p>
            <w:pPr>
              <w:spacing w:after="0"/>
              <w:rPr>
                <w:sz w:val="5"/>
                <w:szCs w:val="5"/>
                <w:color w:val="auto"/>
              </w:rPr>
            </w:pPr>
          </w:p>
        </w:tc>
        <w:tc>
          <w:tcPr>
            <w:tcW w:w="1380" w:type="dxa"/>
            <w:vAlign w:val="bottom"/>
            <w:tcBorders>
              <w:bottom w:val="single" w:sz="8" w:color="auto"/>
              <w:right w:val="single" w:sz="8" w:color="auto"/>
            </w:tcBorders>
            <w:shd w:val="clear" w:color="auto" w:fill="1F3864"/>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gridSpan w:val="3"/>
          </w:tcPr>
          <w:p>
            <w:pPr>
              <w:spacing w:after="0" w:line="204" w:lineRule="exact"/>
              <w:rPr>
                <w:sz w:val="20"/>
                <w:szCs w:val="20"/>
                <w:color w:val="auto"/>
              </w:rPr>
            </w:pPr>
            <w:r>
              <w:rPr>
                <w:rFonts w:ascii="Arial" w:cs="Arial" w:eastAsia="Arial" w:hAnsi="Arial"/>
                <w:sz w:val="21"/>
                <w:szCs w:val="21"/>
                <w:color w:val="auto"/>
              </w:rPr>
              <w:t>Threshold</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center"/>
              <w:ind w:right="217"/>
              <w:spacing w:after="0" w:line="204" w:lineRule="exact"/>
              <w:rPr>
                <w:sz w:val="20"/>
                <w:szCs w:val="20"/>
                <w:color w:val="auto"/>
              </w:rPr>
            </w:pPr>
            <w:r>
              <w:rPr>
                <w:rFonts w:ascii="Arial" w:cs="Arial" w:eastAsia="Arial" w:hAnsi="Arial"/>
                <w:sz w:val="21"/>
                <w:szCs w:val="21"/>
                <w:color w:val="auto"/>
                <w:w w:val="90"/>
              </w:rPr>
              <w:t>75%</w:t>
            </w:r>
          </w:p>
        </w:tc>
        <w:tc>
          <w:tcPr>
            <w:tcW w:w="280" w:type="dxa"/>
            <w:vAlign w:val="bottom"/>
            <w:tcBorders>
              <w:right w:val="single" w:sz="8" w:color="auto"/>
            </w:tcBorders>
          </w:tcPr>
          <w:p>
            <w:pPr>
              <w:spacing w:after="0"/>
              <w:rPr>
                <w:sz w:val="17"/>
                <w:szCs w:val="17"/>
                <w:color w:val="auto"/>
              </w:rPr>
            </w:pPr>
          </w:p>
        </w:tc>
        <w:tc>
          <w:tcPr>
            <w:tcW w:w="3300" w:type="dxa"/>
            <w:vAlign w:val="bottom"/>
            <w:gridSpan w:val="2"/>
          </w:tcPr>
          <w:p>
            <w:pPr>
              <w:jc w:val="center"/>
              <w:ind w:left="1257"/>
              <w:spacing w:after="0" w:line="204" w:lineRule="exact"/>
              <w:rPr>
                <w:sz w:val="20"/>
                <w:szCs w:val="20"/>
                <w:color w:val="auto"/>
              </w:rPr>
            </w:pPr>
            <w:r>
              <w:rPr>
                <w:rFonts w:ascii="Arial" w:cs="Arial" w:eastAsia="Arial" w:hAnsi="Arial"/>
                <w:sz w:val="21"/>
                <w:szCs w:val="21"/>
                <w:color w:val="auto"/>
                <w:w w:val="90"/>
              </w:rPr>
              <w:t>50%</w:t>
            </w:r>
          </w:p>
        </w:tc>
        <w:tc>
          <w:tcPr>
            <w:tcW w:w="138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gridSpan w:val="3"/>
          </w:tcPr>
          <w:p>
            <w:pPr>
              <w:jc w:val="center"/>
              <w:ind w:right="1880"/>
              <w:spacing w:after="0" w:line="233" w:lineRule="exact"/>
              <w:rPr>
                <w:sz w:val="20"/>
                <w:szCs w:val="20"/>
                <w:color w:val="auto"/>
              </w:rPr>
            </w:pPr>
            <w:r>
              <w:rPr>
                <w:rFonts w:ascii="Arial" w:cs="Arial" w:eastAsia="Arial" w:hAnsi="Arial"/>
                <w:sz w:val="21"/>
                <w:szCs w:val="21"/>
                <w:color w:val="auto"/>
                <w:w w:val="82"/>
              </w:rPr>
              <w:t>Target</w:t>
            </w:r>
          </w:p>
        </w:tc>
        <w:tc>
          <w:tcPr>
            <w:tcW w:w="600" w:type="dxa"/>
            <w:vAlign w:val="bottom"/>
            <w:gridSpan w:val="2"/>
          </w:tcPr>
          <w:p>
            <w:pPr>
              <w:spacing w:after="0"/>
              <w:rPr>
                <w:sz w:val="20"/>
                <w:szCs w:val="20"/>
                <w:color w:val="auto"/>
              </w:rPr>
            </w:pPr>
          </w:p>
        </w:tc>
        <w:tc>
          <w:tcPr>
            <w:tcW w:w="1260" w:type="dxa"/>
            <w:vAlign w:val="bottom"/>
          </w:tcPr>
          <w:p>
            <w:pPr>
              <w:jc w:val="center"/>
              <w:ind w:right="237"/>
              <w:spacing w:after="0" w:line="233" w:lineRule="exact"/>
              <w:rPr>
                <w:sz w:val="20"/>
                <w:szCs w:val="20"/>
                <w:color w:val="auto"/>
              </w:rPr>
            </w:pPr>
            <w:r>
              <w:rPr>
                <w:rFonts w:ascii="Arial" w:cs="Arial" w:eastAsia="Arial" w:hAnsi="Arial"/>
                <w:sz w:val="21"/>
                <w:szCs w:val="21"/>
                <w:color w:val="auto"/>
                <w:w w:val="89"/>
              </w:rPr>
              <w:t>150%</w:t>
            </w:r>
          </w:p>
        </w:tc>
        <w:tc>
          <w:tcPr>
            <w:tcW w:w="280" w:type="dxa"/>
            <w:vAlign w:val="bottom"/>
            <w:tcBorders>
              <w:right w:val="single" w:sz="8" w:color="auto"/>
            </w:tcBorders>
          </w:tcPr>
          <w:p>
            <w:pPr>
              <w:spacing w:after="0"/>
              <w:rPr>
                <w:sz w:val="20"/>
                <w:szCs w:val="20"/>
                <w:color w:val="auto"/>
              </w:rPr>
            </w:pPr>
          </w:p>
        </w:tc>
        <w:tc>
          <w:tcPr>
            <w:tcW w:w="3300" w:type="dxa"/>
            <w:vAlign w:val="bottom"/>
            <w:gridSpan w:val="2"/>
          </w:tcPr>
          <w:p>
            <w:pPr>
              <w:jc w:val="center"/>
              <w:ind w:left="1277"/>
              <w:spacing w:after="0" w:line="233" w:lineRule="exact"/>
              <w:rPr>
                <w:sz w:val="20"/>
                <w:szCs w:val="20"/>
                <w:color w:val="auto"/>
              </w:rPr>
            </w:pPr>
            <w:r>
              <w:rPr>
                <w:rFonts w:ascii="Arial" w:cs="Arial" w:eastAsia="Arial" w:hAnsi="Arial"/>
                <w:sz w:val="21"/>
                <w:szCs w:val="21"/>
                <w:color w:val="auto"/>
                <w:w w:val="89"/>
              </w:rPr>
              <w:t>100%</w:t>
            </w:r>
          </w:p>
        </w:tc>
        <w:tc>
          <w:tcPr>
            <w:tcW w:w="138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23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1"/>
                <w:szCs w:val="21"/>
                <w:color w:val="auto"/>
              </w:rPr>
              <w:t>Superior</w:t>
            </w:r>
          </w:p>
        </w:tc>
        <w:tc>
          <w:tcPr>
            <w:tcW w:w="600" w:type="dxa"/>
            <w:vAlign w:val="bottom"/>
            <w:tcBorders>
              <w:bottom w:val="single" w:sz="8" w:color="auto"/>
            </w:tcBorders>
            <w:gridSpan w:val="2"/>
          </w:tcPr>
          <w:p>
            <w:pPr>
              <w:spacing w:after="0"/>
              <w:rPr>
                <w:sz w:val="22"/>
                <w:szCs w:val="22"/>
                <w:color w:val="auto"/>
              </w:rPr>
            </w:pPr>
          </w:p>
        </w:tc>
        <w:tc>
          <w:tcPr>
            <w:tcW w:w="1260" w:type="dxa"/>
            <w:vAlign w:val="bottom"/>
            <w:tcBorders>
              <w:bottom w:val="single" w:sz="8" w:color="auto"/>
            </w:tcBorders>
          </w:tcPr>
          <w:p>
            <w:pPr>
              <w:jc w:val="center"/>
              <w:ind w:right="237"/>
              <w:spacing w:after="0"/>
              <w:rPr>
                <w:sz w:val="20"/>
                <w:szCs w:val="20"/>
                <w:color w:val="auto"/>
              </w:rPr>
            </w:pPr>
            <w:r>
              <w:rPr>
                <w:rFonts w:ascii="Arial" w:cs="Arial" w:eastAsia="Arial" w:hAnsi="Arial"/>
                <w:sz w:val="21"/>
                <w:szCs w:val="21"/>
                <w:color w:val="auto"/>
                <w:w w:val="89"/>
              </w:rPr>
              <w:t>225%</w:t>
            </w:r>
          </w:p>
        </w:tc>
        <w:tc>
          <w:tcPr>
            <w:tcW w:w="280" w:type="dxa"/>
            <w:vAlign w:val="bottom"/>
            <w:tcBorders>
              <w:bottom w:val="single" w:sz="8" w:color="auto"/>
              <w:right w:val="single" w:sz="8" w:color="auto"/>
            </w:tcBorders>
          </w:tcPr>
          <w:p>
            <w:pPr>
              <w:spacing w:after="0"/>
              <w:rPr>
                <w:sz w:val="22"/>
                <w:szCs w:val="22"/>
                <w:color w:val="auto"/>
              </w:rPr>
            </w:pPr>
          </w:p>
        </w:tc>
        <w:tc>
          <w:tcPr>
            <w:tcW w:w="3300" w:type="dxa"/>
            <w:vAlign w:val="bottom"/>
            <w:tcBorders>
              <w:bottom w:val="single" w:sz="8" w:color="auto"/>
            </w:tcBorders>
            <w:gridSpan w:val="2"/>
          </w:tcPr>
          <w:p>
            <w:pPr>
              <w:jc w:val="center"/>
              <w:ind w:left="1277"/>
              <w:spacing w:after="0"/>
              <w:rPr>
                <w:sz w:val="20"/>
                <w:szCs w:val="20"/>
                <w:color w:val="auto"/>
              </w:rPr>
            </w:pPr>
            <w:r>
              <w:rPr>
                <w:rFonts w:ascii="Arial" w:cs="Arial" w:eastAsia="Arial" w:hAnsi="Arial"/>
                <w:sz w:val="21"/>
                <w:szCs w:val="21"/>
                <w:color w:val="auto"/>
                <w:w w:val="89"/>
              </w:rPr>
              <w:t>150%</w:t>
            </w:r>
          </w:p>
        </w:tc>
        <w:tc>
          <w:tcPr>
            <w:tcW w:w="1380" w:type="dxa"/>
            <w:vAlign w:val="bottom"/>
            <w:tcBorders>
              <w:bottom w:val="single" w:sz="8" w:color="auto"/>
              <w:right w:val="single" w:sz="8" w:color="auto"/>
            </w:tcBorders>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3"/>
        </w:trPr>
        <w:tc>
          <w:tcPr>
            <w:tcW w:w="720" w:type="dxa"/>
            <w:vAlign w:val="bottom"/>
            <w:gridSpan w:val="2"/>
          </w:tcPr>
          <w:p>
            <w:pPr>
              <w:jc w:val="right"/>
              <w:ind w:right="140"/>
              <w:spacing w:after="0"/>
              <w:rPr>
                <w:sz w:val="20"/>
                <w:szCs w:val="20"/>
                <w:color w:val="auto"/>
              </w:rPr>
            </w:pPr>
            <w:r>
              <w:rPr>
                <w:rFonts w:ascii="Arial" w:cs="Arial" w:eastAsia="Arial" w:hAnsi="Arial"/>
                <w:sz w:val="19"/>
                <w:szCs w:val="19"/>
                <w:color w:val="auto"/>
              </w:rPr>
              <w:t>2.</w:t>
            </w:r>
          </w:p>
        </w:tc>
        <w:tc>
          <w:tcPr>
            <w:tcW w:w="160" w:type="dxa"/>
            <w:vAlign w:val="bottom"/>
          </w:tcPr>
          <w:p>
            <w:pPr>
              <w:spacing w:after="0"/>
              <w:rPr>
                <w:sz w:val="24"/>
                <w:szCs w:val="24"/>
                <w:color w:val="auto"/>
              </w:rPr>
            </w:pPr>
          </w:p>
        </w:tc>
        <w:tc>
          <w:tcPr>
            <w:tcW w:w="3240" w:type="dxa"/>
            <w:vAlign w:val="bottom"/>
            <w:gridSpan w:val="6"/>
          </w:tcPr>
          <w:p>
            <w:pPr>
              <w:jc w:val="right"/>
              <w:ind w:right="700"/>
              <w:spacing w:after="0"/>
              <w:rPr>
                <w:sz w:val="20"/>
                <w:szCs w:val="20"/>
                <w:color w:val="auto"/>
              </w:rPr>
            </w:pPr>
            <w:r>
              <w:rPr>
                <w:rFonts w:ascii="Arial" w:cs="Arial" w:eastAsia="Arial" w:hAnsi="Arial"/>
                <w:sz w:val="19"/>
                <w:szCs w:val="19"/>
                <w:color w:val="auto"/>
                <w:w w:val="90"/>
              </w:rPr>
              <w:t>Special 2019 Bonus Opportunity.</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jc w:val="center"/>
              <w:ind w:left="21"/>
              <w:spacing w:after="0"/>
              <w:rPr>
                <w:sz w:val="20"/>
                <w:szCs w:val="20"/>
                <w:color w:val="auto"/>
              </w:rPr>
            </w:pPr>
            <w:r>
              <w:rPr>
                <w:rFonts w:ascii="Arial" w:cs="Arial" w:eastAsia="Arial" w:hAnsi="Arial"/>
                <w:sz w:val="19"/>
                <w:szCs w:val="19"/>
                <w:color w:val="auto"/>
                <w:w w:val="89"/>
              </w:rPr>
              <w:t>•</w:t>
            </w:r>
          </w:p>
        </w:tc>
        <w:tc>
          <w:tcPr>
            <w:tcW w:w="7520" w:type="dxa"/>
            <w:vAlign w:val="bottom"/>
            <w:gridSpan w:val="8"/>
          </w:tcPr>
          <w:p>
            <w:pPr>
              <w:ind w:left="320"/>
              <w:spacing w:after="0"/>
              <w:rPr>
                <w:sz w:val="20"/>
                <w:szCs w:val="20"/>
                <w:color w:val="auto"/>
              </w:rPr>
            </w:pPr>
            <w:r>
              <w:rPr>
                <w:rFonts w:ascii="Arial" w:cs="Arial" w:eastAsia="Arial" w:hAnsi="Arial"/>
                <w:sz w:val="19"/>
                <w:szCs w:val="19"/>
                <w:color w:val="auto"/>
                <w:w w:val="92"/>
              </w:rPr>
              <w:t>Upon completion of [**], the Compensation Committee will consider special bonus payments.</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jc w:val="center"/>
              <w:ind w:left="21"/>
              <w:spacing w:after="0"/>
              <w:rPr>
                <w:sz w:val="20"/>
                <w:szCs w:val="20"/>
                <w:color w:val="auto"/>
              </w:rPr>
            </w:pPr>
            <w:r>
              <w:rPr>
                <w:rFonts w:ascii="Arial" w:cs="Arial" w:eastAsia="Arial" w:hAnsi="Arial"/>
                <w:sz w:val="19"/>
                <w:szCs w:val="19"/>
                <w:color w:val="auto"/>
                <w:w w:val="89"/>
              </w:rPr>
              <w:t>•</w:t>
            </w:r>
          </w:p>
        </w:tc>
        <w:tc>
          <w:tcPr>
            <w:tcW w:w="10000" w:type="dxa"/>
            <w:vAlign w:val="bottom"/>
            <w:gridSpan w:val="10"/>
          </w:tcPr>
          <w:p>
            <w:pPr>
              <w:ind w:left="320"/>
              <w:spacing w:after="0"/>
              <w:rPr>
                <w:sz w:val="20"/>
                <w:szCs w:val="20"/>
                <w:color w:val="auto"/>
              </w:rPr>
            </w:pPr>
            <w:r>
              <w:rPr>
                <w:rFonts w:ascii="Arial" w:cs="Arial" w:eastAsia="Arial" w:hAnsi="Arial"/>
                <w:sz w:val="19"/>
                <w:szCs w:val="19"/>
                <w:color w:val="auto"/>
                <w:w w:val="91"/>
              </w:rPr>
              <w:t>Eligible management will be the NEOs and direct reports to the CEO, as well as other individuals identified by the CEO or the</w:t>
            </w:r>
          </w:p>
        </w:tc>
        <w:tc>
          <w:tcPr>
            <w:tcW w:w="0" w:type="dxa"/>
            <w:vAlign w:val="bottom"/>
          </w:tcPr>
          <w:p>
            <w:pPr>
              <w:spacing w:after="0"/>
              <w:rPr>
                <w:sz w:val="1"/>
                <w:szCs w:val="1"/>
                <w:color w:val="auto"/>
              </w:rPr>
            </w:pPr>
          </w:p>
        </w:tc>
      </w:tr>
      <w:tr>
        <w:trPr>
          <w:trHeight w:val="241"/>
        </w:trPr>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4"/>
          </w:tcPr>
          <w:p>
            <w:pPr>
              <w:ind w:left="320"/>
              <w:spacing w:after="0"/>
              <w:rPr>
                <w:sz w:val="20"/>
                <w:szCs w:val="20"/>
                <w:color w:val="auto"/>
              </w:rPr>
            </w:pPr>
            <w:r>
              <w:rPr>
                <w:rFonts w:ascii="Arial" w:cs="Arial" w:eastAsia="Arial" w:hAnsi="Arial"/>
                <w:sz w:val="19"/>
                <w:szCs w:val="19"/>
                <w:color w:val="auto"/>
              </w:rPr>
              <w:t>Compensation Committee.</w:t>
            </w: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jc w:val="center"/>
              <w:ind w:left="21"/>
              <w:spacing w:after="0"/>
              <w:rPr>
                <w:sz w:val="20"/>
                <w:szCs w:val="20"/>
                <w:color w:val="auto"/>
              </w:rPr>
            </w:pPr>
            <w:r>
              <w:rPr>
                <w:rFonts w:ascii="Arial" w:cs="Arial" w:eastAsia="Arial" w:hAnsi="Arial"/>
                <w:sz w:val="19"/>
                <w:szCs w:val="19"/>
                <w:color w:val="auto"/>
                <w:w w:val="89"/>
              </w:rPr>
              <w:t>•</w:t>
            </w:r>
          </w:p>
        </w:tc>
        <w:tc>
          <w:tcPr>
            <w:tcW w:w="7520" w:type="dxa"/>
            <w:vAlign w:val="bottom"/>
            <w:gridSpan w:val="8"/>
          </w:tcPr>
          <w:p>
            <w:pPr>
              <w:ind w:left="320"/>
              <w:spacing w:after="0"/>
              <w:rPr>
                <w:sz w:val="20"/>
                <w:szCs w:val="20"/>
                <w:color w:val="auto"/>
              </w:rPr>
            </w:pPr>
            <w:r>
              <w:rPr>
                <w:rFonts w:ascii="Arial" w:cs="Arial" w:eastAsia="Arial" w:hAnsi="Arial"/>
                <w:sz w:val="19"/>
                <w:szCs w:val="19"/>
                <w:color w:val="auto"/>
              </w:rPr>
              <w:t>Bonus opportunities will be up to 75% of each employee’s target bonus.</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jc w:val="center"/>
              <w:ind w:left="21"/>
              <w:spacing w:after="0"/>
              <w:rPr>
                <w:sz w:val="20"/>
                <w:szCs w:val="20"/>
                <w:color w:val="auto"/>
              </w:rPr>
            </w:pPr>
            <w:r>
              <w:rPr>
                <w:rFonts w:ascii="Arial" w:cs="Arial" w:eastAsia="Arial" w:hAnsi="Arial"/>
                <w:sz w:val="19"/>
                <w:szCs w:val="19"/>
                <w:color w:val="auto"/>
                <w:w w:val="89"/>
              </w:rPr>
              <w:t>•</w:t>
            </w:r>
          </w:p>
        </w:tc>
        <w:tc>
          <w:tcPr>
            <w:tcW w:w="10000" w:type="dxa"/>
            <w:vAlign w:val="bottom"/>
            <w:gridSpan w:val="10"/>
          </w:tcPr>
          <w:p>
            <w:pPr>
              <w:ind w:left="320"/>
              <w:spacing w:after="0"/>
              <w:rPr>
                <w:sz w:val="20"/>
                <w:szCs w:val="20"/>
                <w:color w:val="auto"/>
              </w:rPr>
            </w:pPr>
            <w:r>
              <w:rPr>
                <w:rFonts w:ascii="Arial" w:cs="Arial" w:eastAsia="Arial" w:hAnsi="Arial"/>
                <w:sz w:val="19"/>
                <w:szCs w:val="19"/>
                <w:color w:val="auto"/>
              </w:rPr>
              <w:t>Individual payouts will be recommended by the CEO and at the discretion of the Compensation Committee</w:t>
            </w:r>
          </w:p>
        </w:tc>
        <w:tc>
          <w:tcPr>
            <w:tcW w:w="0" w:type="dxa"/>
            <w:vAlign w:val="bottom"/>
          </w:tcPr>
          <w:p>
            <w:pPr>
              <w:spacing w:after="0"/>
              <w:rPr>
                <w:sz w:val="1"/>
                <w:szCs w:val="1"/>
                <w:color w:val="auto"/>
              </w:rPr>
            </w:pPr>
          </w:p>
        </w:tc>
      </w:tr>
      <w:tr>
        <w:trPr>
          <w:trHeight w:val="439"/>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jc w:val="center"/>
              <w:ind w:left="21"/>
              <w:spacing w:after="0"/>
              <w:rPr>
                <w:sz w:val="20"/>
                <w:szCs w:val="20"/>
                <w:color w:val="auto"/>
              </w:rPr>
            </w:pPr>
            <w:r>
              <w:rPr>
                <w:rFonts w:ascii="Arial" w:cs="Arial" w:eastAsia="Arial" w:hAnsi="Arial"/>
                <w:sz w:val="19"/>
                <w:szCs w:val="19"/>
                <w:color w:val="auto"/>
                <w:w w:val="89"/>
              </w:rPr>
              <w:t>•</w:t>
            </w:r>
          </w:p>
        </w:tc>
        <w:tc>
          <w:tcPr>
            <w:tcW w:w="7520" w:type="dxa"/>
            <w:vAlign w:val="bottom"/>
            <w:gridSpan w:val="8"/>
          </w:tcPr>
          <w:p>
            <w:pPr>
              <w:ind w:left="320"/>
              <w:spacing w:after="0"/>
              <w:rPr>
                <w:sz w:val="20"/>
                <w:szCs w:val="20"/>
                <w:color w:val="auto"/>
              </w:rPr>
            </w:pPr>
            <w:r>
              <w:rPr>
                <w:rFonts w:ascii="Arial" w:cs="Arial" w:eastAsia="Arial" w:hAnsi="Arial"/>
                <w:sz w:val="19"/>
                <w:szCs w:val="19"/>
                <w:color w:val="auto"/>
              </w:rPr>
              <w:t>Specific, measurable performance metrics [**] may be added at a later date.</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-2985770</wp:posOffset>
            </wp:positionV>
            <wp:extent cx="4340225" cy="418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40225" cy="418465"/>
                    </a:xfrm>
                    <a:prstGeom prst="rect">
                      <a:avLst/>
                    </a:prstGeom>
                    <a:noFill/>
                  </pic:spPr>
                </pic:pic>
              </a:graphicData>
            </a:graphic>
          </wp:anchor>
        </w:drawing>
      </w:r>
    </w:p>
    <w:p>
      <w:pPr>
        <w:jc w:val="both"/>
        <w:ind w:left="440" w:hanging="439"/>
        <w:spacing w:after="0" w:line="270" w:lineRule="auto"/>
        <w:tabs>
          <w:tab w:leader="none" w:pos="420" w:val="left"/>
        </w:tabs>
        <w:rPr>
          <w:sz w:val="20"/>
          <w:szCs w:val="20"/>
          <w:color w:val="auto"/>
        </w:rPr>
      </w:pPr>
      <w:r>
        <w:rPr>
          <w:rFonts w:ascii="Arial" w:cs="Arial" w:eastAsia="Arial" w:hAnsi="Arial"/>
          <w:sz w:val="17"/>
          <w:szCs w:val="17"/>
          <w:color w:val="auto"/>
        </w:rPr>
        <w:t>(1)</w:t>
        <w:tab/>
        <w:t xml:space="preserve">Definition to be consistent with public reporting. Excludes M&amp;A, capital markets activity and any effect of dispositions, contributions to joint ventures, </w:t>
      </w:r>
      <w:r>
        <w:rPr>
          <w:rFonts w:ascii="Arial" w:cs="Arial" w:eastAsia="Arial" w:hAnsi="Arial"/>
          <w:sz w:val="18"/>
          <w:szCs w:val="18"/>
          <w:color w:val="auto"/>
        </w:rPr>
        <w:t>[**]</w:t>
      </w:r>
      <w:r>
        <w:rPr>
          <w:rFonts w:ascii="Arial" w:cs="Arial" w:eastAsia="Arial" w:hAnsi="Arial"/>
          <w:sz w:val="17"/>
          <w:szCs w:val="17"/>
          <w:color w:val="auto"/>
        </w:rPr>
        <w:t xml:space="preserve"> (i.e. </w:t>
      </w:r>
      <w:r>
        <w:rPr>
          <w:rFonts w:ascii="Arial" w:cs="Arial" w:eastAsia="Arial" w:hAnsi="Arial"/>
          <w:sz w:val="18"/>
          <w:szCs w:val="18"/>
          <w:color w:val="auto"/>
        </w:rPr>
        <w:t>[**]</w:t>
      </w:r>
      <w:r>
        <w:rPr>
          <w:rFonts w:ascii="Arial" w:cs="Arial" w:eastAsia="Arial" w:hAnsi="Arial"/>
          <w:sz w:val="17"/>
          <w:szCs w:val="17"/>
          <w:color w:val="auto"/>
        </w:rPr>
        <w:t xml:space="preserve">), any effect of </w:t>
      </w:r>
      <w:r>
        <w:rPr>
          <w:rFonts w:ascii="Arial" w:cs="Arial" w:eastAsia="Arial" w:hAnsi="Arial"/>
          <w:sz w:val="18"/>
          <w:szCs w:val="18"/>
          <w:color w:val="auto"/>
        </w:rPr>
        <w:t>[**]</w:t>
      </w:r>
      <w:r>
        <w:rPr>
          <w:rFonts w:ascii="Arial" w:cs="Arial" w:eastAsia="Arial" w:hAnsi="Arial"/>
          <w:sz w:val="17"/>
          <w:szCs w:val="17"/>
          <w:color w:val="auto"/>
        </w:rPr>
        <w:t xml:space="preserve"> or additional business expansion not contemplated in the Annual Operating Plan (“AOP”), such as entering new markets or rolling out / developing new products. Metric is based on AOP and will be adjusted to account for timing differences resulting from actual closing dates of acquisitions and dispositions compared to estimated closing dates contemplated in the AOP.</w:t>
      </w:r>
    </w:p>
    <w:p>
      <w:pPr>
        <w:sectPr>
          <w:pgSz w:w="11900" w:h="16838" w:orient="portrait"/>
          <w:cols w:equalWidth="0" w:num="1">
            <w:col w:w="11420"/>
          </w:cols>
          <w:pgMar w:left="240" w:top="118"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 Kenneth A. Gunderman, certify that:</w:t>
      </w:r>
    </w:p>
    <w:p>
      <w:pPr>
        <w:spacing w:after="0" w:line="115" w:lineRule="exact"/>
        <w:rPr>
          <w:sz w:val="20"/>
          <w:szCs w:val="20"/>
          <w:color w:val="auto"/>
        </w:rPr>
      </w:pPr>
    </w:p>
    <w:p>
      <w:pPr>
        <w:ind w:left="760" w:hanging="757"/>
        <w:spacing w:after="0"/>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Uniti Group Inc.;</w:t>
      </w:r>
    </w:p>
    <w:p>
      <w:pPr>
        <w:spacing w:after="0" w:line="217" w:lineRule="exact"/>
        <w:rPr>
          <w:rFonts w:ascii="Arial" w:cs="Arial" w:eastAsia="Arial" w:hAnsi="Arial"/>
          <w:sz w:val="17"/>
          <w:szCs w:val="17"/>
          <w:color w:val="auto"/>
        </w:rPr>
      </w:pPr>
    </w:p>
    <w:p>
      <w:pPr>
        <w:ind w:left="760" w:right="180" w:hanging="757"/>
        <w:spacing w:after="0" w:line="352" w:lineRule="auto"/>
        <w:tabs>
          <w:tab w:leader="none" w:pos="7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5"/>
          <w:szCs w:val="15"/>
          <w:color w:val="auto"/>
        </w:rPr>
      </w:pPr>
    </w:p>
    <w:p>
      <w:pPr>
        <w:ind w:left="760" w:right="620" w:hanging="757"/>
        <w:spacing w:after="0" w:line="315"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760" w:hanging="757"/>
        <w:spacing w:after="0" w:line="268"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ind w:left="1500" w:right="140" w:hanging="747"/>
        <w:spacing w:after="0" w:line="268" w:lineRule="auto"/>
        <w:tabs>
          <w:tab w:leader="none" w:pos="15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1500" w:right="460" w:hanging="747"/>
        <w:spacing w:after="0" w:line="268" w:lineRule="auto"/>
        <w:tabs>
          <w:tab w:leader="none" w:pos="15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jc w:val="both"/>
        <w:ind w:left="1500" w:right="620" w:hanging="747"/>
        <w:spacing w:after="0" w:line="352" w:lineRule="auto"/>
        <w:tabs>
          <w:tab w:leader="none" w:pos="1500" w:val="left"/>
        </w:tabs>
        <w:numPr>
          <w:ilvl w:val="1"/>
          <w:numId w:val="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5"/>
          <w:szCs w:val="15"/>
          <w:color w:val="auto"/>
        </w:rPr>
      </w:pPr>
    </w:p>
    <w:p>
      <w:pPr>
        <w:ind w:left="1500" w:right="140" w:hanging="747"/>
        <w:spacing w:after="0" w:line="268" w:lineRule="auto"/>
        <w:tabs>
          <w:tab w:leader="none" w:pos="15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760" w:right="360" w:hanging="757"/>
        <w:spacing w:after="0" w:line="315"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500" w:right="60" w:hanging="747"/>
        <w:spacing w:after="0" w:line="283" w:lineRule="auto"/>
        <w:tabs>
          <w:tab w:leader="none" w:pos="15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1500" w:right="20" w:hanging="747"/>
        <w:spacing w:after="0" w:line="283" w:lineRule="auto"/>
        <w:tabs>
          <w:tab w:leader="none" w:pos="15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tabs>
          <w:tab w:leader="none" w:pos="4860" w:val="left"/>
          <w:tab w:leader="none" w:pos="7340" w:val="left"/>
        </w:tabs>
        <w:rPr>
          <w:sz w:val="20"/>
          <w:szCs w:val="20"/>
          <w:color w:val="auto"/>
        </w:rPr>
      </w:pPr>
      <w:r>
        <w:rPr>
          <w:rFonts w:ascii="Arial" w:cs="Arial" w:eastAsia="Arial" w:hAnsi="Arial"/>
          <w:sz w:val="17"/>
          <w:szCs w:val="17"/>
          <w:color w:val="auto"/>
        </w:rPr>
        <w:t>Date: May 9, 2019</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15240</wp:posOffset>
            </wp:positionV>
            <wp:extent cx="39871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987165" cy="8255"/>
                    </a:xfrm>
                    <a:prstGeom prst="rect">
                      <a:avLst/>
                    </a:prstGeom>
                    <a:noFill/>
                  </pic:spPr>
                </pic:pic>
              </a:graphicData>
            </a:graphic>
          </wp:anchor>
        </w:drawing>
      </w:r>
    </w:p>
    <w:p>
      <w:pPr>
        <w:spacing w:after="0" w:line="4"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Kenneth A. Gunderman</w:t>
      </w:r>
    </w:p>
    <w:p>
      <w:pPr>
        <w:spacing w:after="0" w:line="24"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President and Chief Executive Officer</w:t>
      </w:r>
    </w:p>
    <w:p>
      <w:pPr>
        <w:sectPr>
          <w:pgSz w:w="11900" w:h="16838" w:orient="portrait"/>
          <w:cols w:equalWidth="0" w:num="1">
            <w:col w:w="11420"/>
          </w:cols>
          <w:pgMar w:left="240" w:top="34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 Mark A. Wallace, certify that:</w:t>
      </w:r>
    </w:p>
    <w:p>
      <w:pPr>
        <w:spacing w:after="0" w:line="218" w:lineRule="exact"/>
        <w:rPr>
          <w:sz w:val="20"/>
          <w:szCs w:val="20"/>
          <w:color w:val="auto"/>
        </w:rPr>
      </w:pPr>
    </w:p>
    <w:p>
      <w:pPr>
        <w:ind w:left="760" w:hanging="757"/>
        <w:spacing w:after="0"/>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Uniti Group Inc.;</w:t>
      </w:r>
    </w:p>
    <w:p>
      <w:pPr>
        <w:spacing w:after="0" w:line="217" w:lineRule="exact"/>
        <w:rPr>
          <w:rFonts w:ascii="Arial" w:cs="Arial" w:eastAsia="Arial" w:hAnsi="Arial"/>
          <w:sz w:val="17"/>
          <w:szCs w:val="17"/>
          <w:color w:val="auto"/>
        </w:rPr>
      </w:pPr>
    </w:p>
    <w:p>
      <w:pPr>
        <w:ind w:left="760" w:right="180" w:hanging="757"/>
        <w:spacing w:after="0" w:line="352" w:lineRule="auto"/>
        <w:tabs>
          <w:tab w:leader="none" w:pos="7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5"/>
          <w:szCs w:val="15"/>
          <w:color w:val="auto"/>
        </w:rPr>
      </w:pPr>
    </w:p>
    <w:p>
      <w:pPr>
        <w:ind w:left="760" w:right="620" w:hanging="757"/>
        <w:spacing w:after="0" w:line="315"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760" w:hanging="757"/>
        <w:spacing w:after="0" w:line="268"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ind w:left="1500" w:right="140" w:hanging="747"/>
        <w:spacing w:after="0" w:line="268" w:lineRule="auto"/>
        <w:tabs>
          <w:tab w:leader="none" w:pos="15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1500" w:right="460" w:hanging="747"/>
        <w:spacing w:after="0" w:line="268" w:lineRule="auto"/>
        <w:tabs>
          <w:tab w:leader="none" w:pos="15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jc w:val="both"/>
        <w:ind w:left="1500" w:right="620" w:hanging="747"/>
        <w:spacing w:after="0" w:line="352" w:lineRule="auto"/>
        <w:tabs>
          <w:tab w:leader="none" w:pos="1500" w:val="left"/>
        </w:tabs>
        <w:numPr>
          <w:ilvl w:val="1"/>
          <w:numId w:val="2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5"/>
          <w:szCs w:val="15"/>
          <w:color w:val="auto"/>
        </w:rPr>
      </w:pPr>
    </w:p>
    <w:p>
      <w:pPr>
        <w:ind w:left="1500" w:right="140" w:hanging="747"/>
        <w:spacing w:after="0" w:line="268" w:lineRule="auto"/>
        <w:tabs>
          <w:tab w:leader="none" w:pos="15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760" w:right="360" w:hanging="757"/>
        <w:spacing w:after="0" w:line="315"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500" w:right="60" w:hanging="747"/>
        <w:spacing w:after="0" w:line="283" w:lineRule="auto"/>
        <w:tabs>
          <w:tab w:leader="none" w:pos="15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3" w:lineRule="exact"/>
        <w:rPr>
          <w:sz w:val="20"/>
          <w:szCs w:val="20"/>
          <w:color w:val="auto"/>
        </w:rPr>
      </w:pPr>
    </w:p>
    <w:p>
      <w:pPr>
        <w:ind w:left="1040" w:right="140" w:hanging="520"/>
        <w:spacing w:after="0" w:line="283"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tabs>
          <w:tab w:leader="none" w:pos="4860" w:val="left"/>
          <w:tab w:leader="none" w:pos="7580" w:val="left"/>
        </w:tabs>
        <w:rPr>
          <w:sz w:val="20"/>
          <w:szCs w:val="20"/>
          <w:color w:val="auto"/>
        </w:rPr>
      </w:pPr>
      <w:r>
        <w:rPr>
          <w:rFonts w:ascii="Arial" w:cs="Arial" w:eastAsia="Arial" w:hAnsi="Arial"/>
          <w:sz w:val="17"/>
          <w:szCs w:val="17"/>
          <w:color w:val="auto"/>
        </w:rPr>
        <w:t>Date: May 9, 2019</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15240</wp:posOffset>
            </wp:positionV>
            <wp:extent cx="39871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87165" cy="8255"/>
                    </a:xfrm>
                    <a:prstGeom prst="rect">
                      <a:avLst/>
                    </a:prstGeom>
                    <a:noFill/>
                  </pic:spPr>
                </pic:pic>
              </a:graphicData>
            </a:graphic>
          </wp:anchor>
        </w:drawing>
      </w:r>
    </w:p>
    <w:p>
      <w:pPr>
        <w:spacing w:after="0" w:line="4"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Mark A. Wallace</w:t>
      </w:r>
    </w:p>
    <w:p>
      <w:pPr>
        <w:spacing w:after="0" w:line="24"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Executive Vice President – Chief Financial Officer</w:t>
      </w:r>
    </w:p>
    <w:p>
      <w:pPr>
        <w:spacing w:after="0" w:line="11"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and Treasurer</w:t>
      </w:r>
    </w:p>
    <w:p>
      <w:pPr>
        <w:sectPr>
          <w:pgSz w:w="11900" w:h="16838" w:orient="portrait"/>
          <w:cols w:equalWidth="0" w:num="1">
            <w:col w:w="11420"/>
          </w:cols>
          <w:pgMar w:left="240" w:top="34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7"/>
          <w:szCs w:val="17"/>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1"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connection with the Quarterly Report on Form 10-Q of Uniti Group Inc. (the “Company”) for the period ending March 31, 2019 as filed with the Securities and Exchange Commission on the date hereof (the “Report”), I certify, pursuant to 18 U.S.C. § 1350, as adopted pursuant to § 906 of the Sarbanes-Oxley Act of 2002, to my knowledge, that:</w:t>
      </w:r>
    </w:p>
    <w:p>
      <w:pPr>
        <w:spacing w:after="0" w:line="69" w:lineRule="exact"/>
        <w:rPr>
          <w:sz w:val="20"/>
          <w:szCs w:val="20"/>
          <w:color w:val="auto"/>
        </w:rPr>
      </w:pPr>
    </w:p>
    <w:p>
      <w:pPr>
        <w:ind w:left="1040" w:hanging="520"/>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4860" w:val="left"/>
          <w:tab w:leader="none" w:pos="7340" w:val="left"/>
        </w:tabs>
        <w:rPr>
          <w:sz w:val="20"/>
          <w:szCs w:val="20"/>
          <w:color w:val="auto"/>
        </w:rPr>
      </w:pPr>
      <w:r>
        <w:rPr>
          <w:rFonts w:ascii="Arial" w:cs="Arial" w:eastAsia="Arial" w:hAnsi="Arial"/>
          <w:sz w:val="17"/>
          <w:szCs w:val="17"/>
          <w:color w:val="auto"/>
        </w:rPr>
        <w:t>Date: May 9, 2019</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15240</wp:posOffset>
            </wp:positionV>
            <wp:extent cx="39871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987165" cy="8255"/>
                    </a:xfrm>
                    <a:prstGeom prst="rect">
                      <a:avLst/>
                    </a:prstGeom>
                    <a:noFill/>
                  </pic:spPr>
                </pic:pic>
              </a:graphicData>
            </a:graphic>
          </wp:anchor>
        </w:drawing>
      </w:r>
    </w:p>
    <w:p>
      <w:pPr>
        <w:spacing w:after="0" w:line="4"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Kenneth A. Gunderman</w:t>
      </w:r>
    </w:p>
    <w:p>
      <w:pPr>
        <w:spacing w:after="0" w:line="24"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President and Chief Executive Officer</w:t>
      </w:r>
    </w:p>
    <w:p>
      <w:pPr>
        <w:sectPr>
          <w:pgSz w:w="11900" w:h="16838" w:orient="portrait"/>
          <w:cols w:equalWidth="0" w:num="1">
            <w:col w:w="11420"/>
          </w:cols>
          <w:pgMar w:left="240" w:top="34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1"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connection with the Quarterly Report on Form 10-Q of Uniti Group Inc. (the “Company”) for the period ending March 31, 2019 as filed with the Securities and Exchange Commission on the date hereof (the “Report”), I certify, pursuant to 18 U.S.C. § 1350, as adopted pursuant to § 906 of the Sarbanes-Oxley Act of 2002, to my knowledge, that:</w:t>
      </w:r>
    </w:p>
    <w:p>
      <w:pPr>
        <w:spacing w:after="0" w:line="69" w:lineRule="exact"/>
        <w:rPr>
          <w:sz w:val="20"/>
          <w:szCs w:val="20"/>
          <w:color w:val="auto"/>
        </w:rPr>
      </w:pPr>
    </w:p>
    <w:p>
      <w:pPr>
        <w:ind w:left="1040" w:hanging="520"/>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4860" w:val="left"/>
          <w:tab w:leader="none" w:pos="7580" w:val="left"/>
        </w:tabs>
        <w:rPr>
          <w:sz w:val="20"/>
          <w:szCs w:val="20"/>
          <w:color w:val="auto"/>
        </w:rPr>
      </w:pPr>
      <w:r>
        <w:rPr>
          <w:rFonts w:ascii="Arial" w:cs="Arial" w:eastAsia="Arial" w:hAnsi="Arial"/>
          <w:sz w:val="17"/>
          <w:szCs w:val="17"/>
          <w:color w:val="auto"/>
        </w:rPr>
        <w:t>Date: May 9, 2019</w:t>
      </w:r>
      <w:r>
        <w:rPr>
          <w:sz w:val="20"/>
          <w:szCs w:val="20"/>
          <w:color w:val="auto"/>
        </w:rPr>
        <w:tab/>
      </w:r>
      <w:r>
        <w:rPr>
          <w:rFonts w:ascii="Arial" w:cs="Arial" w:eastAsia="Arial" w:hAnsi="Arial"/>
          <w:sz w:val="17"/>
          <w:szCs w:val="17"/>
          <w:color w:val="auto"/>
        </w:rPr>
        <w:t>By</w:t>
      </w:r>
      <w:r>
        <w:rPr>
          <w:rFonts w:ascii="Arial" w:cs="Arial" w:eastAsia="Arial" w:hAnsi="Arial"/>
          <w:sz w:val="17"/>
          <w:szCs w:val="17"/>
          <w:color w:val="222222"/>
        </w:rPr>
        <w:t>:</w:t>
      </w:r>
      <w:r>
        <w:rPr>
          <w:sz w:val="20"/>
          <w:szCs w:val="20"/>
          <w:color w:val="auto"/>
        </w:rPr>
        <w:tab/>
      </w:r>
      <w:r>
        <w:rPr>
          <w:rFonts w:ascii="Arial" w:cs="Arial" w:eastAsia="Arial" w:hAnsi="Arial"/>
          <w:sz w:val="16"/>
          <w:szCs w:val="16"/>
          <w:color w:val="auto"/>
        </w:rPr>
        <w:t>/s/ Mark A. Wallace</w:t>
      </w:r>
    </w:p>
    <w:p>
      <w:pPr>
        <w:spacing w:after="0" w:line="31" w:lineRule="exact"/>
        <w:rPr>
          <w:sz w:val="20"/>
          <w:szCs w:val="20"/>
          <w:color w:val="auto"/>
        </w:rPr>
      </w:pPr>
    </w:p>
    <w:p>
      <w:pPr>
        <w:ind w:left="7660"/>
        <w:spacing w:after="0"/>
        <w:rPr>
          <w:sz w:val="20"/>
          <w:szCs w:val="20"/>
          <w:color w:val="auto"/>
        </w:rPr>
      </w:pPr>
      <w:r>
        <w:rPr>
          <w:rFonts w:ascii="Arial" w:cs="Arial" w:eastAsia="Arial" w:hAnsi="Arial"/>
          <w:sz w:val="17"/>
          <w:szCs w:val="17"/>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-120015</wp:posOffset>
            </wp:positionV>
            <wp:extent cx="39871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987165"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7"/>
          <w:szCs w:val="17"/>
          <w:b w:val="1"/>
          <w:bCs w:val="1"/>
          <w:color w:val="auto"/>
        </w:rPr>
        <w:t>Executive Vice President – Chief Financial Officer</w:t>
      </w:r>
    </w:p>
    <w:p>
      <w:pPr>
        <w:spacing w:after="0" w:line="24" w:lineRule="exact"/>
        <w:rPr>
          <w:sz w:val="20"/>
          <w:szCs w:val="20"/>
          <w:color w:val="auto"/>
        </w:rPr>
      </w:pPr>
    </w:p>
    <w:p>
      <w:pPr>
        <w:ind w:left="7760"/>
        <w:spacing w:after="0"/>
        <w:rPr>
          <w:sz w:val="20"/>
          <w:szCs w:val="20"/>
          <w:color w:val="auto"/>
        </w:rPr>
      </w:pPr>
      <w:r>
        <w:rPr>
          <w:rFonts w:ascii="Arial" w:cs="Arial" w:eastAsia="Arial" w:hAnsi="Arial"/>
          <w:sz w:val="17"/>
          <w:szCs w:val="17"/>
          <w:b w:val="1"/>
          <w:bCs w:val="1"/>
          <w:color w:val="auto"/>
        </w:rPr>
        <w:t>and Treasurer</w:t>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lowerRoman"/>
      <w:start w:val="2"/>
    </w:lvl>
  </w:abstractNum>
  <w:abstractNum w:abstractNumId="5">
    <w:nsid w:val="431BD7B7"/>
    <w:multiLevelType w:val="hybridMultilevel"/>
    <w:lvl w:ilvl="0">
      <w:lvlJc w:val="left"/>
      <w:lvlText w:val="%1."/>
      <w:numFmt w:val="lowerRoman"/>
      <w:start w:val="1"/>
    </w:lvl>
  </w:abstractNum>
  <w:abstractNum w:abstractNumId="6">
    <w:nsid w:val="3F2DBA31"/>
    <w:multiLevelType w:val="hybridMultilevel"/>
    <w:lvl w:ilvl="0">
      <w:lvlJc w:val="left"/>
      <w:lvlText w:val="%1."/>
      <w:numFmt w:val="lowerRoman"/>
      <w:start w:val="1"/>
    </w:lvl>
  </w:abstractNum>
  <w:abstractNum w:abstractNumId="7">
    <w:nsid w:val="7C83E458"/>
    <w:multiLevelType w:val="hybridMultilevel"/>
    <w:lvl w:ilvl="0">
      <w:lvlJc w:val="left"/>
      <w:lvlText w:val="%1."/>
      <w:numFmt w:val="lowerRoman"/>
      <w:start w:val="4"/>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lowerRoman"/>
      <w:start w:val="2"/>
    </w:lvl>
  </w:abstractNum>
  <w:abstractNum w:abstractNumId="14">
    <w:nsid w:val="2443A858"/>
    <w:multiLevelType w:val="hybridMultilevel"/>
    <w:lvl w:ilvl="0">
      <w:lvlJc w:val="left"/>
      <w:lvlText w:val="%1."/>
      <w:numFmt w:val="lowerRoman"/>
      <w:start w:val="4"/>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upperLetter"/>
      <w:start w:val="1"/>
    </w:lvl>
  </w:abstractNum>
  <w:abstractNum w:abstractNumId="20">
    <w:nsid w:val="4353D0CD"/>
    <w:multiLevelType w:val="hybridMultilevel"/>
    <w:lvl w:ilvl="0">
      <w:lvlJc w:val="left"/>
      <w:lvlText w:val="%1."/>
      <w:numFmt w:val="upperLetter"/>
      <w:start w:val="4"/>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lvl w:ilvl="1">
      <w:lvlJc w:val="left"/>
      <w:lvlText w:val="%2"/>
      <w:numFmt w:val="upperLetter"/>
      <w:start w:val="1"/>
    </w:lvl>
  </w:abstractNum>
  <w:abstractNum w:abstractNumId="25">
    <w:nsid w:val="2CA88611"/>
    <w:multiLevelType w:val="hybridMultilevel"/>
    <w:lvl w:ilvl="0">
      <w:lvlJc w:val="left"/>
      <w:lvlText w:val="%1."/>
      <w:numFmt w:val="decimal"/>
      <w:start w:val="1"/>
    </w:lvl>
    <w:lvl w:ilvl="1">
      <w:lvlJc w:val="left"/>
      <w:lvlText w:val="(%2)"/>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lowerLetter"/>
      <w:start w:val="2"/>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2019-12-28T12:42:37Z</dcterms:created>
  <dcterms:modified xsi:type="dcterms:W3CDTF">2019-12-28T12:42:37Z</dcterms:modified>
</cp:coreProperties>
</file>