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Gunderman Kenny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2101 RIVERFRONT DRIVE, SUITE 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Uniti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 &amp; Chief Exec.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5"/>
        <w:gridCol w:w="900"/>
        <w:gridCol w:w="771"/>
        <w:gridCol w:w="598"/>
        <w:gridCol w:w="342"/>
        <w:gridCol w:w="958"/>
        <w:gridCol w:w="438"/>
        <w:gridCol w:w="656"/>
        <w:gridCol w:w="1257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9.72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1,979,545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satisfy the reporting person's tax obligations that arose when time-based restricted stock belonging to the reporting person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KENNY GUNDERMAN BY: DANIEL L. HEARD,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6039" TargetMode="External"/><Relationship Id="rId5" Type="http://schemas.openxmlformats.org/officeDocument/2006/relationships/hyperlink" Target="http://www.sec.gov/cgi-bin/browse-edgar?action=getcompany&amp;CIK=0002020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3244</Characters>
  <CharactersWithSpaces>3771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