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 to _______</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Commission File Number: 001-42779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w:t>
      </w:r>
    </w:p>
    <w:tbl>
      <w:tblPr>
        <w:tblW w:w="4409" w:type="dxa"/>
        <w:jc w:val="center"/>
        <w:tblInd w:w="0" w:type="dxa"/>
        <w:tblLayout w:type="fixed"/>
        <w:tblCellMar>
          <w:top w:w="28" w:type="dxa"/>
          <w:left w:w="28" w:type="dxa"/>
          <w:bottom w:w="28" w:type="dxa"/>
          <w:right w:w="28" w:type="dxa"/>
        </w:tblCellMar>
      </w:tblPr>
      <w:tblGrid>
        <w:gridCol w:w="1058"/>
        <w:gridCol w:w="926"/>
        <w:gridCol w:w="941"/>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85-2262564</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2101 Riverfront Drive, Suite A</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Little Rock, Arkansas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72202</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(501) 850-0820</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8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w:t>
      </w:r>
    </w:p>
    <w:p>
      <w:pPr>
        <w:pStyle w:val="TextBody"/>
        <w:bidi w:val="0"/>
        <w:spacing w:lineRule="auto" w:line="288" w:before="60" w:after="283"/>
        <w:ind w:left="0" w:right="0" w:firstLine="556"/>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UNIT</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80" w:after="283"/>
        <w:ind w:left="0" w:right="0" w:firstLine="5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80" w:after="283"/>
        <w:ind w:left="0" w:right="0" w:firstLine="54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80" w:after="283"/>
        <w:ind w:left="0" w:right="0" w:firstLine="5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8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 No </w:t>
      </w:r>
      <w:r>
        <w:rPr>
          <w:rFonts w:ascii="Wingdings;sans-serif" w:hAnsi="Wingdings;sans-serif"/>
          <w:b w:val="false"/>
          <w:color w:val="000000"/>
          <w:sz w:val="20"/>
        </w:rPr>
        <w:t>x</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As of July 23, 2026, the registrant had 242,725,135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w:t>
      </w:r>
      <w:r>
        <w:rPr>
          <w:rFonts w:ascii="Times New Roman;serif" w:hAnsi="Times New Roman;serif"/>
          <w:b w:val="false"/>
          <w:color w:val="000000"/>
          <w:sz w:val="20"/>
        </w:rPr>
        <w:t xml:space="preserve">effect of tax-related legislation on our tax position; our expectations regarding the future growth and demand of the telecommunication industry, future financing plans, business strategies, growth prospects, operating and financial performance, and future liquidity needs and access to capital; our expectations regarding levels of support from government programs; our expectations regarding future deployment of fiber strand miles and small cell networks and recognition of revenue related thereto; our expectations regarding levels of capital expenditures; our expectations regarding the deductibility of goodwill for tax purposes; and our expectations regarding the amortization of intangible assets. Dividends on the Preferred Stock (as defined herein) will be paid in accordance with the specified terms applicable to those shares. See </w:t>
      </w:r>
      <w:hyperlink w:anchor="ie70f00857744476b82c49a37d8161764_37">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for additional information regarding the annual dividend requirements applicable to the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unanticipated difficulties or expenditures relating to the Merger (as defined herein);</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the risk that we fail to fully realize the potential benefits, expected synergies, efficiencies and cost savings from the Merger within the expected time period (if at all);</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ability to generate sufficient cash flows to service our outstanding indebtedness and the covenants in our debt agreements, which could reduce funds available for business purposes and limit our operational flexibility;</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ability to access debt and equity capital markets;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competition and overbuilding in consumer service areas and general competition in business markets;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continued loss of consumer households served and consumer high-speed internet customers;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adverse impacts of inflation, higher interest rates, tariffs, trade restrictions, geopolitical conflicts, trade wars, federal government shutdown and the potential for economic slowdown on our employees, our business, the business of our customers and other business partners and the global financial markets;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risks related to various forms of regulation from the Federal Communications Commission, state regulatory commissions and other government entities and effects of unfavorable legal proceedings, government investigations, and complex and changing laws;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changes in the U.S. tax law and other federal, state or local laws;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ability to retain our key management personnel;</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rapid changes in technology, which could affect our ability to compete;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information technology system failures, network disruptions, and failure to protect, loss of, or unauthorized access to, or release of data;</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the possibility that we may experience equipment failures, network damages, natural disasters, cyber-attacks or terrorist attacks for which our insurance may not provide adequate coverage;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the risk that we fail to fully realize the potential benefits of or have difficulty in integrating the companies we acquire;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other risks inherent in the communications industry and in the ownership of network systems, including potential liability relating to environmental matters;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additional factors discussed in Part I, Item 2. “Management’s Discussion and Analysis of Financial Condition and Results of Operations” and Part II, Item 1A. “Risk Factors” of this Quarterly Report on Form 10-Q and in Part I, Item 1A. “Risk Factors” of our Annual Report on Form 10-K filed with the U.S. Securities and Exchange Commission (“SEC”) on March 2, 2026, as well as those described from time to time in our future reports filed with the SEC.</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Quarterly Report on Form 10-Q.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60" w:type="dxa"/>
        <w:jc w:val="center"/>
        <w:tblInd w:w="0" w:type="dxa"/>
        <w:tblLayout w:type="fixed"/>
        <w:tblCellMar>
          <w:top w:w="28" w:type="dxa"/>
          <w:left w:w="28" w:type="dxa"/>
          <w:bottom w:w="28" w:type="dxa"/>
          <w:right w:w="28" w:type="dxa"/>
        </w:tblCellMar>
      </w:tblPr>
      <w:tblGrid>
        <w:gridCol w:w="320"/>
        <w:gridCol w:w="281"/>
        <w:gridCol w:w="283"/>
        <w:gridCol w:w="2453"/>
        <w:gridCol w:w="2453"/>
        <w:gridCol w:w="2459"/>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3">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3">
              <w:r>
                <w:rPr>
                  <w:rStyle w:val="InternetLink"/>
                  <w:rFonts w:ascii="Times New Roman;serif" w:hAnsi="Times New Roman;serif"/>
                  <w:b/>
                  <w:color w:val="0000FF"/>
                  <w:sz w:val="20"/>
                  <w:u w:val="single"/>
                </w:rPr>
                <w:t>FINANCIAL INFORMATION</w:t>
              </w:r>
            </w:hyperlink>
          </w:p>
        </w:tc>
        <w:tc>
          <w:tcPr>
            <w:tcW w:w="5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6">
              <w:r>
                <w:rPr>
                  <w:rStyle w:val="InternetLink"/>
                  <w:rFonts w:ascii="Times New Roman;serif" w:hAnsi="Times New Roman;serif"/>
                  <w:b w:val="false"/>
                  <w:color w:val="0000FF"/>
                  <w:sz w:val="20"/>
                  <w:u w:val="single"/>
                </w:rPr>
                <w:t>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16">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9">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19">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22">
              <w:r>
                <w:rPr>
                  <w:rStyle w:val="InternetLink"/>
                  <w:rFonts w:ascii="Times New Roman;serif" w:hAnsi="Times New Roman;serif"/>
                  <w:b w:val="false"/>
                  <w:color w:val="0000FF"/>
                  <w:sz w:val="20"/>
                  <w:u w:val="single"/>
                </w:rPr>
                <w:t>Condensed Consolidated Statements of Comprehensive (Loss) Income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22">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25">
              <w:r>
                <w:rPr>
                  <w:rStyle w:val="InternetLink"/>
                  <w:rFonts w:ascii="Times New Roman;serif" w:hAnsi="Times New Roman;serif"/>
                  <w:b w:val="false"/>
                  <w:color w:val="0000FF"/>
                  <w:sz w:val="20"/>
                  <w:u w:val="single"/>
                </w:rPr>
                <w:t>Condensed 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25">
              <w:r>
                <w:rPr>
                  <w:rStyle w:val="InternetLink"/>
                  <w:rFonts w:ascii="Times New Roman;serif" w:hAnsi="Times New Roman;serif"/>
                  <w:b w:val="false"/>
                  <w:strike w:val="false"/>
                  <w:dstrike w:val="false"/>
                  <w:color w:val="000000"/>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28">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28">
              <w:r>
                <w:rPr>
                  <w:rStyle w:val="InternetLink"/>
                  <w:rFonts w:ascii="Times New Roman;serif" w:hAnsi="Times New Roman;serif"/>
                  <w:b w:val="false"/>
                  <w:strike w:val="false"/>
                  <w:dstrike w:val="false"/>
                  <w:color w:val="000000"/>
                  <w:sz w:val="20"/>
                  <w:u w:val="none"/>
                  <w:effect w:val="none"/>
                </w:rPr>
                <w:t>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31">
              <w:r>
                <w:rPr>
                  <w:rStyle w:val="InternetLink"/>
                  <w:rFonts w:ascii="Times New Roman;serif" w:hAnsi="Times New Roman;serif"/>
                  <w:b w:val="false"/>
                  <w:color w:val="0000FF"/>
                  <w:sz w:val="20"/>
                  <w:u w:val="single"/>
                </w:rPr>
                <w:t>Condensed Consolidated Statements of Shareholders' Equity (Deficit)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31">
              <w:r>
                <w:rPr>
                  <w:rStyle w:val="InternetLink"/>
                  <w:rFonts w:ascii="Times New Roman;serif" w:hAnsi="Times New Roman;serif"/>
                  <w:b w:val="false"/>
                  <w:strike w:val="false"/>
                  <w:dstrike w:val="false"/>
                  <w:color w:val="000000"/>
                  <w:sz w:val="20"/>
                  <w:u w:val="none"/>
                  <w:effect w:val="none"/>
                </w:rPr>
                <w:t>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pPr>
            <w:hyperlink w:anchor="ie70f00857744476b82c49a37d8161764_34">
              <w:r>
                <w:rPr>
                  <w:rStyle w:val="InternetLink"/>
                  <w:rFonts w:ascii="Times New Roman;serif" w:hAnsi="Times New Roman;serif"/>
                  <w:b w:val="false"/>
                  <w:color w:val="0000FF"/>
                  <w:sz w:val="20"/>
                  <w:u w:val="single"/>
                </w:rPr>
                <w:t>Notes to Condensed Consolidated Financial Statements</w:t>
              </w:r>
            </w:hyperlink>
            <w:hyperlink w:anchor="ie70f00857744476b82c49a37d8161764_34">
              <w:r>
                <w:rPr>
                  <w:rStyle w:val="InternetLink"/>
                  <w:strike w:val="false"/>
                  <w:dstrike w:val="false"/>
                  <w:color w:val="0000FF"/>
                  <w:u w:val="none"/>
                  <w:effect w:val="none"/>
                </w:rPr>
                <w:t xml:space="preserve">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34">
              <w:r>
                <w:rPr>
                  <w:rStyle w:val="InternetLink"/>
                  <w:rFonts w:ascii="Times New Roman;serif" w:hAnsi="Times New Roman;serif"/>
                  <w:b w:val="false"/>
                  <w:strike w:val="false"/>
                  <w:dstrike w:val="false"/>
                  <w:color w:val="000000"/>
                  <w:sz w:val="20"/>
                  <w:u w:val="none"/>
                  <w:effect w:val="none"/>
                </w:rPr>
                <w:t>12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FF"/>
                <w:sz w:val="20"/>
              </w:rPr>
              <w:t>1</w:t>
            </w:r>
            <w:hyperlink w:anchor="ie70f00857744476b82c49a37d8161764_37">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37">
              <w:r>
                <w:rPr>
                  <w:rStyle w:val="InternetLink"/>
                  <w:rFonts w:ascii="Times New Roman;serif" w:hAnsi="Times New Roman;serif"/>
                  <w:b w:val="false"/>
                  <w:color w:val="0000FF"/>
                  <w:sz w:val="20"/>
                  <w:u w:val="single"/>
                </w:rPr>
                <w:t>Organization and Description of Business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37">
              <w:r>
                <w:rPr>
                  <w:rStyle w:val="InternetLink"/>
                  <w:rFonts w:ascii="Times New Roman;serif" w:hAnsi="Times New Roman;serif"/>
                  <w:b w:val="false"/>
                  <w:strike w:val="false"/>
                  <w:dstrike w:val="false"/>
                  <w:color w:val="000000"/>
                  <w:sz w:val="20"/>
                  <w:u w:val="none"/>
                  <w:effect w:val="none"/>
                </w:rPr>
                <w:t>12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FF"/>
                <w:sz w:val="20"/>
              </w:rPr>
              <w:t>2</w:t>
            </w:r>
            <w:hyperlink w:anchor="ie70f00857744476b82c49a37d8161764_40">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40">
              <w:r>
                <w:rPr>
                  <w:rStyle w:val="InternetLink"/>
                  <w:rFonts w:ascii="Times New Roman;serif" w:hAnsi="Times New Roman;serif"/>
                  <w:b w:val="false"/>
                  <w:color w:val="0000FF"/>
                  <w:sz w:val="20"/>
                  <w:u w:val="single"/>
                </w:rPr>
                <w:t>Preparation of Condensed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40">
              <w:r>
                <w:rPr>
                  <w:rStyle w:val="InternetLink"/>
                  <w:rFonts w:ascii="Times New Roman;serif" w:hAnsi="Times New Roman;serif"/>
                  <w:b w:val="false"/>
                  <w:strike w:val="false"/>
                  <w:dstrike w:val="false"/>
                  <w:color w:val="000000"/>
                  <w:sz w:val="20"/>
                  <w:u w:val="none"/>
                  <w:effect w:val="none"/>
                </w:rPr>
                <w:t>13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3</w:t>
            </w:r>
            <w:hyperlink w:anchor="ie70f00857744476b82c49a37d8161764_43">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43">
              <w:r>
                <w:rPr>
                  <w:rStyle w:val="InternetLink"/>
                  <w:rFonts w:ascii="Times New Roman;serif" w:hAnsi="Times New Roman;serif"/>
                  <w:b w:val="false"/>
                  <w:color w:val="0000FF"/>
                  <w:sz w:val="20"/>
                  <w:u w:val="single"/>
                </w:rPr>
                <w:t>Merger and Purchase Price Allocation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43">
              <w:r>
                <w:rPr>
                  <w:rStyle w:val="InternetLink"/>
                  <w:rFonts w:ascii="Times New Roman;serif" w:hAnsi="Times New Roman;serif"/>
                  <w:b w:val="false"/>
                  <w:strike w:val="false"/>
                  <w:dstrike w:val="false"/>
                  <w:color w:val="000000"/>
                  <w:sz w:val="20"/>
                  <w:u w:val="none"/>
                  <w:effect w:val="none"/>
                </w:rPr>
                <w:t>16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4</w:t>
            </w:r>
            <w:hyperlink w:anchor="ie70f00857744476b82c49a37d8161764_46">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46">
              <w:r>
                <w:rPr>
                  <w:rStyle w:val="InternetLink"/>
                  <w:rFonts w:ascii="Times New Roman;serif" w:hAnsi="Times New Roman;serif"/>
                  <w:b w:val="false"/>
                  <w:color w:val="0000FF"/>
                  <w:sz w:val="20"/>
                  <w:u w:val="single"/>
                </w:rPr>
                <w:t>Goodwill</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46">
              <w:r>
                <w:rPr>
                  <w:rStyle w:val="InternetLink"/>
                  <w:rFonts w:ascii="Times New Roman;serif" w:hAnsi="Times New Roman;serif"/>
                  <w:b w:val="false"/>
                  <w:strike w:val="false"/>
                  <w:dstrike w:val="false"/>
                  <w:color w:val="000000"/>
                  <w:sz w:val="20"/>
                  <w:u w:val="none"/>
                  <w:effect w:val="none"/>
                </w:rPr>
                <w:t>19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FF"/>
                <w:sz w:val="20"/>
              </w:rPr>
              <w:t>5</w:t>
            </w:r>
            <w:hyperlink w:anchor="ie70f00857744476b82c49a37d8161764_49">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49">
              <w:r>
                <w:rPr>
                  <w:rStyle w:val="InternetLink"/>
                  <w:rFonts w:ascii="Times New Roman;serif" w:hAnsi="Times New Roman;serif"/>
                  <w:b w:val="false"/>
                  <w:color w:val="0000FF"/>
                  <w:sz w:val="20"/>
                  <w:u w:val="single"/>
                </w:rPr>
                <w:t>Notes and Other Debt,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49">
              <w:r>
                <w:rPr>
                  <w:rStyle w:val="InternetLink"/>
                  <w:rFonts w:ascii="Times New Roman;serif" w:hAnsi="Times New Roman;serif"/>
                  <w:b w:val="false"/>
                  <w:strike w:val="false"/>
                  <w:dstrike w:val="false"/>
                  <w:color w:val="000000"/>
                  <w:sz w:val="20"/>
                  <w:u w:val="none"/>
                  <w:effect w:val="none"/>
                </w:rPr>
                <w:t>20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6</w:t>
            </w:r>
            <w:hyperlink w:anchor="ie70f00857744476b82c49a37d8161764_55">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55">
              <w:r>
                <w:rPr>
                  <w:rStyle w:val="InternetLink"/>
                  <w:rFonts w:ascii="Times New Roman;serif" w:hAnsi="Times New Roman;serif"/>
                  <w:b w:val="false"/>
                  <w:color w:val="0000FF"/>
                  <w:sz w:val="20"/>
                  <w:u w:val="single"/>
                </w:rPr>
                <w:t>Derivatives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55">
              <w:r>
                <w:rPr>
                  <w:rStyle w:val="InternetLink"/>
                  <w:rFonts w:ascii="Times New Roman;serif" w:hAnsi="Times New Roman;serif"/>
                  <w:b w:val="false"/>
                  <w:strike w:val="false"/>
                  <w:dstrike w:val="false"/>
                  <w:color w:val="000000"/>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7</w:t>
            </w:r>
            <w:hyperlink w:anchor="ie70f00857744476b82c49a37d8161764_58">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58">
              <w:r>
                <w:rPr>
                  <w:rStyle w:val="InternetLink"/>
                  <w:rFonts w:ascii="Times New Roman;serif" w:hAnsi="Times New Roman;serif"/>
                  <w:b w:val="false"/>
                  <w:color w:val="0000FF"/>
                  <w:sz w:val="20"/>
                  <w:u w:val="single"/>
                </w:rPr>
                <w:t>Fair Value of Financial Instruments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58">
              <w:r>
                <w:rPr>
                  <w:rStyle w:val="InternetLink"/>
                  <w:rFonts w:ascii="Times New Roman;serif" w:hAnsi="Times New Roman;serif"/>
                  <w:b w:val="false"/>
                  <w:strike w:val="false"/>
                  <w:dstrike w:val="false"/>
                  <w:color w:val="000000"/>
                  <w:sz w:val="20"/>
                  <w:u w:val="none"/>
                  <w:effect w:val="none"/>
                </w:rPr>
                <w:t>29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8</w:t>
            </w:r>
            <w:hyperlink w:anchor="ie70f00857744476b82c49a37d8161764_61">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61">
              <w:r>
                <w:rPr>
                  <w:rStyle w:val="InternetLink"/>
                  <w:rFonts w:ascii="Times New Roman;serif" w:hAnsi="Times New Roman;serif"/>
                  <w:b w:val="false"/>
                  <w:color w:val="0000FF"/>
                  <w:sz w:val="20"/>
                  <w:u w:val="single"/>
                </w:rPr>
                <w:t>Revenues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61">
              <w:r>
                <w:rPr>
                  <w:rStyle w:val="InternetLink"/>
                  <w:rFonts w:ascii="Times New Roman;serif" w:hAnsi="Times New Roman;serif"/>
                  <w:b w:val="false"/>
                  <w:strike w:val="false"/>
                  <w:dstrike w:val="false"/>
                  <w:color w:val="000000"/>
                  <w:sz w:val="20"/>
                  <w:u w:val="none"/>
                  <w:effect w:val="none"/>
                </w:rPr>
                <w:t>30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9</w:t>
            </w:r>
            <w:hyperlink w:anchor="ie70f00857744476b82c49a37d8161764_67">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67">
              <w:r>
                <w:rPr>
                  <w:rStyle w:val="InternetLink"/>
                  <w:rFonts w:ascii="Times New Roman;serif" w:hAnsi="Times New Roman;serif"/>
                  <w:b w:val="false"/>
                  <w:color w:val="0000FF"/>
                  <w:sz w:val="20"/>
                  <w:u w:val="single"/>
                </w:rPr>
                <w:t>Employee Benefit Plans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67">
              <w:r>
                <w:rPr>
                  <w:rStyle w:val="InternetLink"/>
                  <w:rFonts w:ascii="Times New Roman;serif" w:hAnsi="Times New Roman;serif"/>
                  <w:b w:val="false"/>
                  <w:strike w:val="false"/>
                  <w:dstrike w:val="false"/>
                  <w:color w:val="000000"/>
                  <w:sz w:val="20"/>
                  <w:u w:val="none"/>
                  <w:effect w:val="none"/>
                </w:rPr>
                <w:t>35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10</w:t>
            </w:r>
            <w:hyperlink w:anchor="ie70f00857744476b82c49a37d8161764_70">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70">
              <w:r>
                <w:rPr>
                  <w:rStyle w:val="InternetLink"/>
                  <w:rFonts w:ascii="Times New Roman;serif" w:hAnsi="Times New Roman;serif"/>
                  <w:b w:val="false"/>
                  <w:color w:val="000080"/>
                  <w:sz w:val="20"/>
                  <w:u w:val="single"/>
                </w:rPr>
                <w:t>Accumulated Other Comprehensive Income (Loss</w:t>
              </w:r>
            </w:hyperlink>
            <w:r>
              <w:rPr>
                <w:rFonts w:ascii="Times New Roman;serif" w:hAnsi="Times New Roman;serif"/>
                <w:b w:val="false"/>
                <w:color w:val="0000FF"/>
                <w:sz w:val="20"/>
                <w:u w:val="single"/>
              </w:rPr>
              <w:t>)</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70">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11</w:t>
            </w:r>
            <w:hyperlink w:anchor="ie70f00857744476b82c49a37d8161764_73">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73">
              <w:r>
                <w:rPr>
                  <w:rStyle w:val="InternetLink"/>
                  <w:rFonts w:ascii="Times New Roman;serif" w:hAnsi="Times New Roman;serif"/>
                  <w:b w:val="false"/>
                  <w:color w:val="0000FF"/>
                  <w:sz w:val="20"/>
                  <w:u w:val="single"/>
                </w:rPr>
                <w:t>(Loss) Earnings Per Share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73">
              <w:r>
                <w:rPr>
                  <w:rStyle w:val="InternetLink"/>
                  <w:rFonts w:ascii="Times New Roman;serif" w:hAnsi="Times New Roman;serif"/>
                  <w:b w:val="false"/>
                  <w:strike w:val="false"/>
                  <w:dstrike w:val="false"/>
                  <w:color w:val="000000"/>
                  <w:sz w:val="20"/>
                  <w:u w:val="none"/>
                  <w:effect w:val="none"/>
                </w:rPr>
                <w:t>37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12</w:t>
            </w:r>
            <w:hyperlink w:anchor="ie70f00857744476b82c49a37d8161764_76">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76">
              <w:r>
                <w:rPr>
                  <w:rStyle w:val="InternetLink"/>
                  <w:rFonts w:ascii="Times New Roman;serif" w:hAnsi="Times New Roman;serif"/>
                  <w:b w:val="false"/>
                  <w:color w:val="0000FF"/>
                  <w:sz w:val="20"/>
                  <w:u w:val="single"/>
                </w:rPr>
                <w:t>Segments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76">
              <w:r>
                <w:rPr>
                  <w:rStyle w:val="InternetLink"/>
                  <w:rFonts w:ascii="Times New Roman;serif" w:hAnsi="Times New Roman;serif"/>
                  <w:b w:val="false"/>
                  <w:strike w:val="false"/>
                  <w:dstrike w:val="false"/>
                  <w:color w:val="000000"/>
                  <w:sz w:val="20"/>
                  <w:u w:val="none"/>
                  <w:effect w:val="none"/>
                </w:rPr>
                <w:t>38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E32E1"/>
                <w:sz w:val="20"/>
              </w:rPr>
              <w:t xml:space="preserve">13. </w:t>
            </w:r>
            <w:hyperlink w:anchor="ie70f00857744476b82c49a37d8161764_79">
              <w:r>
                <w:rPr>
                  <w:rStyle w:val="InternetLink"/>
                  <w:rFonts w:ascii="Times New Roman;serif" w:hAnsi="Times New Roman;serif"/>
                  <w:b w:val="false"/>
                  <w:color w:val="0000FF"/>
                  <w:sz w:val="20"/>
                  <w:u w:val="single"/>
                </w:rPr>
                <w:t>Commitments and Contingencies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79">
              <w:r>
                <w:rPr>
                  <w:rStyle w:val="InternetLink"/>
                  <w:rFonts w:ascii="Times New Roman;serif" w:hAnsi="Times New Roman;serif"/>
                  <w:b w:val="false"/>
                  <w:strike w:val="false"/>
                  <w:dstrike w:val="false"/>
                  <w:color w:val="000000"/>
                  <w:sz w:val="20"/>
                  <w:u w:val="none"/>
                  <w:effect w:val="none"/>
                </w:rPr>
                <w:t>42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FF"/>
                <w:sz w:val="20"/>
              </w:rPr>
              <w:t>14</w:t>
            </w:r>
            <w:hyperlink w:anchor="ie70f00857744476b82c49a37d8161764_82">
              <w:r>
                <w:rPr>
                  <w:rStyle w:val="InternetLink"/>
                  <w:rFonts w:ascii="Times New Roman;serif" w:hAnsi="Times New Roman;serif"/>
                  <w:b w:val="false"/>
                  <w:strike w:val="false"/>
                  <w:dstrike w:val="false"/>
                  <w:color w:val="0000FF"/>
                  <w:sz w:val="20"/>
                  <w:u w:val="none"/>
                  <w:effect w:val="none"/>
                </w:rPr>
                <w:t xml:space="preserve">. </w:t>
              </w:r>
            </w:hyperlink>
            <w:hyperlink w:anchor="ie70f00857744476b82c49a37d8161764_82">
              <w:r>
                <w:rPr>
                  <w:rStyle w:val="InternetLink"/>
                  <w:rFonts w:ascii="Times New Roman;serif" w:hAnsi="Times New Roman;serif"/>
                  <w:b w:val="false"/>
                  <w:color w:val="0000FF"/>
                  <w:sz w:val="20"/>
                  <w:u w:val="single"/>
                </w:rPr>
                <w:t>Supplementary Unrestricted Subsidiary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82">
              <w:r>
                <w:rPr>
                  <w:rStyle w:val="InternetLink"/>
                  <w:rFonts w:ascii="Times New Roman;serif" w:hAnsi="Times New Roman;serif"/>
                  <w:b w:val="false"/>
                  <w:strike w:val="false"/>
                  <w:dstrike w:val="false"/>
                  <w:color w:val="000000"/>
                  <w:sz w:val="20"/>
                  <w:u w:val="none"/>
                  <w:effect w:val="none"/>
                </w:rPr>
                <w:t>42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e70f00857744476b82c49a37d8161764_85">
              <w:r>
                <w:rPr>
                  <w:rStyle w:val="InternetLink"/>
                  <w:rFonts w:ascii="Times New Roman;serif" w:hAnsi="Times New Roman;serif"/>
                  <w:b w:val="false"/>
                  <w:strike w:val="false"/>
                  <w:dstrike w:val="false"/>
                  <w:color w:val="0000FF"/>
                  <w:sz w:val="20"/>
                  <w:u w:val="none"/>
                  <w:effect w:val="none"/>
                </w:rPr>
                <w:t xml:space="preserve">15. </w:t>
              </w:r>
            </w:hyperlink>
            <w:hyperlink w:anchor="ie70f00857744476b82c49a37d8161764_85">
              <w:r>
                <w:rPr>
                  <w:rStyle w:val="InternetLink"/>
                  <w:rFonts w:ascii="Times New Roman;serif" w:hAnsi="Times New Roman;serif"/>
                  <w:b w:val="false"/>
                  <w:color w:val="0000FF"/>
                  <w:sz w:val="20"/>
                  <w:u w:val="single"/>
                </w:rPr>
                <w:t>Subsequent Events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85">
              <w:r>
                <w:rPr>
                  <w:rStyle w:val="InternetLink"/>
                  <w:rFonts w:ascii="Times New Roman;serif" w:hAnsi="Times New Roman;serif"/>
                  <w:b w:val="false"/>
                  <w:strike w:val="false"/>
                  <w:dstrike w:val="false"/>
                  <w:color w:val="000000"/>
                  <w:sz w:val="20"/>
                  <w:u w:val="none"/>
                  <w:effect w:val="none"/>
                </w:rPr>
                <w:t>46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88">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88">
              <w:r>
                <w:rPr>
                  <w:rStyle w:val="InternetLink"/>
                  <w:rFonts w:ascii="Times New Roman;serif" w:hAnsi="Times New Roman;serif"/>
                  <w:b w:val="false"/>
                  <w:strike w:val="false"/>
                  <w:dstrike w:val="false"/>
                  <w:color w:val="000000"/>
                  <w:sz w:val="20"/>
                  <w:u w:val="none"/>
                  <w:effect w:val="none"/>
                </w:rPr>
                <w:t>48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21">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21">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121">
              <w:r>
                <w:rPr>
                  <w:rStyle w:val="InternetLink"/>
                  <w:rFonts w:ascii="Times New Roman;serif" w:hAnsi="Times New Roman;serif"/>
                  <w:b w:val="false"/>
                  <w:strike w:val="false"/>
                  <w:dstrike w:val="false"/>
                  <w:color w:val="000000"/>
                  <w:sz w:val="20"/>
                  <w:u w:val="none"/>
                  <w:effect w:val="none"/>
                </w:rPr>
                <w:t>76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24">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24">
              <w:r>
                <w:rPr>
                  <w:rStyle w:val="InternetLink"/>
                  <w:rFonts w:ascii="Times New Roman;serif" w:hAnsi="Times New Roman;serif"/>
                  <w:b w:val="false"/>
                  <w:color w:val="0000FF"/>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124">
              <w:r>
                <w:rPr>
                  <w:rStyle w:val="InternetLink"/>
                  <w:rFonts w:ascii="Times New Roman;serif" w:hAnsi="Times New Roman;serif"/>
                  <w:b w:val="false"/>
                  <w:strike w:val="false"/>
                  <w:dstrike w:val="false"/>
                  <w:color w:val="000000"/>
                  <w:sz w:val="20"/>
                  <w:u w:val="none"/>
                  <w:effect w:val="none"/>
                </w:rPr>
                <w:t>76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27">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27">
              <w:r>
                <w:rPr>
                  <w:rStyle w:val="InternetLink"/>
                  <w:rFonts w:ascii="Times New Roman;serif" w:hAnsi="Times New Roman;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30">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30">
              <w:r>
                <w:rPr>
                  <w:rStyle w:val="InternetLink"/>
                  <w:rFonts w:ascii="Times New Roman;serif" w:hAnsi="Times New Roman;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130">
              <w:r>
                <w:rPr>
                  <w:rStyle w:val="InternetLink"/>
                  <w:rFonts w:ascii="Times New Roman;serif" w:hAnsi="Times New Roman;serif"/>
                  <w:b w:val="false"/>
                  <w:strike w:val="false"/>
                  <w:dstrike w:val="false"/>
                  <w:color w:val="000000"/>
                  <w:sz w:val="20"/>
                  <w:u w:val="none"/>
                  <w:effect w:val="none"/>
                </w:rPr>
                <w:t>77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33">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33">
              <w:r>
                <w:rPr>
                  <w:rStyle w:val="InternetLink"/>
                  <w:rFonts w:ascii="Times New Roman;serif" w:hAnsi="Times New Roman;serif"/>
                  <w:b w:val="false"/>
                  <w:color w:val="0000FF"/>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133">
              <w:r>
                <w:rPr>
                  <w:rStyle w:val="InternetLink"/>
                  <w:rFonts w:ascii="Times New Roman;serif" w:hAnsi="Times New Roman;serif"/>
                  <w:b w:val="false"/>
                  <w:strike w:val="false"/>
                  <w:dstrike w:val="false"/>
                  <w:color w:val="000000"/>
                  <w:sz w:val="20"/>
                  <w:u w:val="none"/>
                  <w:effect w:val="none"/>
                </w:rPr>
                <w:t>77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36">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36">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136">
              <w:r>
                <w:rPr>
                  <w:rStyle w:val="InternetLink"/>
                  <w:rFonts w:ascii="Times New Roman;serif" w:hAnsi="Times New Roman;serif"/>
                  <w:b w:val="false"/>
                  <w:strike w:val="false"/>
                  <w:dstrike w:val="false"/>
                  <w:color w:val="000000"/>
                  <w:sz w:val="20"/>
                  <w:u w:val="none"/>
                  <w:effect w:val="none"/>
                </w:rPr>
                <w:t>77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39">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39">
              <w:r>
                <w:rPr>
                  <w:rStyle w:val="InternetLink"/>
                  <w:rFonts w:ascii="Times New Roman;serif" w:hAnsi="Times New Roman;serif"/>
                  <w:b w:val="false"/>
                  <w:color w:val="0000FF"/>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139">
              <w:r>
                <w:rPr>
                  <w:rStyle w:val="InternetLink"/>
                  <w:rFonts w:ascii="Times New Roman;serif" w:hAnsi="Times New Roman;serif"/>
                  <w:b w:val="false"/>
                  <w:strike w:val="false"/>
                  <w:dstrike w:val="false"/>
                  <w:color w:val="000000"/>
                  <w:sz w:val="20"/>
                  <w:u w:val="none"/>
                  <w:effect w:val="none"/>
                </w:rPr>
                <w:t>77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42">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42">
              <w:r>
                <w:rPr>
                  <w:rStyle w:val="InternetLink"/>
                  <w:rFonts w:ascii="Times New Roman;serif" w:hAnsi="Times New Roman;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142">
              <w:r>
                <w:rPr>
                  <w:rStyle w:val="InternetLink"/>
                  <w:rFonts w:ascii="Times New Roman;serif" w:hAnsi="Times New Roman;serif"/>
                  <w:b w:val="false"/>
                  <w:strike w:val="false"/>
                  <w:dstrike w:val="false"/>
                  <w:color w:val="000000"/>
                  <w:sz w:val="20"/>
                  <w:u w:val="none"/>
                  <w:effect w:val="none"/>
                </w:rPr>
                <w:t>77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45">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45">
              <w:r>
                <w:rPr>
                  <w:rStyle w:val="InternetLink"/>
                  <w:rFonts w:ascii="Times New Roman;serif" w:hAnsi="Times New Roman;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145">
              <w:r>
                <w:rPr>
                  <w:rStyle w:val="InternetLink"/>
                  <w:rFonts w:ascii="Times New Roman;serif" w:hAnsi="Times New Roman;serif"/>
                  <w:b w:val="false"/>
                  <w:strike w:val="false"/>
                  <w:dstrike w:val="false"/>
                  <w:color w:val="000000"/>
                  <w:sz w:val="20"/>
                  <w:u w:val="none"/>
                  <w:effect w:val="none"/>
                </w:rPr>
                <w:t>77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48">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48">
              <w:r>
                <w:rPr>
                  <w:rStyle w:val="InternetLink"/>
                  <w:rFonts w:ascii="Times New Roman;serif" w:hAnsi="Times New Roman;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148">
              <w:r>
                <w:rPr>
                  <w:rStyle w:val="InternetLink"/>
                  <w:rFonts w:ascii="Times New Roman;serif" w:hAnsi="Times New Roman;serif"/>
                  <w:b w:val="false"/>
                  <w:strike w:val="false"/>
                  <w:dstrike w:val="false"/>
                  <w:color w:val="000000"/>
                  <w:sz w:val="20"/>
                  <w:u w:val="none"/>
                  <w:effect w:val="none"/>
                </w:rPr>
                <w:t>78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f00857744476b82c49a37d8161764_151">
              <w:r>
                <w:rPr>
                  <w:rStyle w:val="InternetLink"/>
                  <w:rFonts w:ascii="Times New Roman;serif" w:hAnsi="Times New Roman;serif"/>
                  <w:b w:val="false"/>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f00857744476b82c49a37d8161764_151">
              <w:r>
                <w:rPr>
                  <w:rStyle w:val="InternetLink"/>
                  <w:rFonts w:ascii="Times New Roman;serif" w:hAnsi="Times New Roman;serif"/>
                  <w:b w:val="false"/>
                  <w:strike w:val="false"/>
                  <w:dstrike w:val="false"/>
                  <w:color w:val="000000"/>
                  <w:sz w:val="20"/>
                  <w:u w:val="none"/>
                  <w:effect w:val="none"/>
                </w:rPr>
                <w:t>80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Uniti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9282" w:type="dxa"/>
        <w:jc w:val="center"/>
        <w:tblInd w:w="0" w:type="dxa"/>
        <w:tblLayout w:type="fixed"/>
        <w:tblCellMar>
          <w:top w:w="28" w:type="dxa"/>
          <w:left w:w="28" w:type="dxa"/>
          <w:bottom w:w="28" w:type="dxa"/>
          <w:right w:w="28" w:type="dxa"/>
        </w:tblCellMar>
      </w:tblPr>
      <w:tblGrid>
        <w:gridCol w:w="1433"/>
        <w:gridCol w:w="1259"/>
        <w:gridCol w:w="1268"/>
        <w:gridCol w:w="109"/>
        <w:gridCol w:w="109"/>
        <w:gridCol w:w="109"/>
        <w:gridCol w:w="211"/>
        <w:gridCol w:w="691"/>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2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9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per share data)</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services (exclusive of depreciation and </w:t>
              <w:br/>
              <w:t>   amortization included below)</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(exclusive of depreciation and </w:t>
              <w:br/>
              <w:t>   amortization included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Participating securities’ share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Net (loss) income attributable to common </w:t>
              <w:br/>
              <w:t>   shareholders</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earnings per common share:</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Weighted-average number of common shares</w:t>
              <w:br/>
              <w:t>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17" w:type="dxa"/>
        <w:jc w:val="center"/>
        <w:tblInd w:w="0" w:type="dxa"/>
        <w:tblLayout w:type="fixed"/>
        <w:tblCellMar>
          <w:top w:w="28" w:type="dxa"/>
          <w:left w:w="28" w:type="dxa"/>
          <w:bottom w:w="28" w:type="dxa"/>
          <w:right w:w="28" w:type="dxa"/>
        </w:tblCellMar>
      </w:tblPr>
      <w:tblGrid>
        <w:gridCol w:w="1271"/>
        <w:gridCol w:w="1117"/>
        <w:gridCol w:w="1122"/>
        <w:gridCol w:w="109"/>
        <w:gridCol w:w="109"/>
        <w:gridCol w:w="109"/>
        <w:gridCol w:w="211"/>
        <w:gridCol w:w="691"/>
        <w:gridCol w:w="109"/>
        <w:gridCol w:w="109"/>
        <w:gridCol w:w="109"/>
        <w:gridCol w:w="109"/>
        <w:gridCol w:w="211"/>
        <w:gridCol w:w="586"/>
        <w:gridCol w:w="109"/>
        <w:gridCol w:w="109"/>
        <w:gridCol w:w="109"/>
        <w:gridCol w:w="109"/>
        <w:gridCol w:w="211"/>
        <w:gridCol w:w="691"/>
        <w:gridCol w:w="109"/>
        <w:gridCol w:w="109"/>
        <w:gridCol w:w="109"/>
        <w:gridCol w:w="109"/>
        <w:gridCol w:w="211"/>
        <w:gridCol w:w="40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24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5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in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realized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in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realized gains reclassified into </w:t>
              <w:br/>
              <w:t>   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realized gains reclassified into </w:t>
              <w:br/>
              <w:t>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net unrealized gains into </w:t>
              <w:br/>
              <w:t>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Comprehensive (loss) income</w:t>
            </w:r>
          </w:p>
        </w:tc>
        <w:tc>
          <w:tcPr>
            <w:tcW w:w="327"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(213.5)</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495" w:type="dxa"/>
        <w:jc w:val="left"/>
        <w:tblInd w:w="0" w:type="dxa"/>
        <w:tblLayout w:type="fixed"/>
        <w:tblCellMar>
          <w:top w:w="28" w:type="dxa"/>
          <w:left w:w="28" w:type="dxa"/>
          <w:bottom w:w="28" w:type="dxa"/>
          <w:right w:w="28" w:type="dxa"/>
        </w:tblCellMar>
      </w:tblPr>
      <w:tblGrid>
        <w:gridCol w:w="2313"/>
        <w:gridCol w:w="2032"/>
        <w:gridCol w:w="2045"/>
        <w:gridCol w:w="109"/>
        <w:gridCol w:w="109"/>
        <w:gridCol w:w="109"/>
        <w:gridCol w:w="211"/>
        <w:gridCol w:w="871"/>
        <w:gridCol w:w="109"/>
        <w:gridCol w:w="109"/>
        <w:gridCol w:w="109"/>
        <w:gridCol w:w="109"/>
        <w:gridCol w:w="215"/>
        <w:gridCol w:w="888"/>
        <w:gridCol w:w="157"/>
      </w:tblGrid>
      <w:tr>
        <w:trPr/>
        <w:tc>
          <w:tcPr>
            <w:tcW w:w="2313"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par value)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6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notes and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9,529.4 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11,656.3 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0.6 million shares issued and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outstanding at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color w:val="000000"/>
              </w:rPr>
            </w:pPr>
            <w:r>
              <w:rPr>
                <w:color w:val="000000"/>
              </w:rPr>
              <w:t>   </w:t>
            </w:r>
            <w:r>
              <w:rPr>
                <w:rFonts w:ascii="Times New Roman;serif" w:hAnsi="Times New Roman;serif"/>
                <w:b w:val="false"/>
                <w:color w:val="000000"/>
                <w:sz w:val="20"/>
              </w:rPr>
              <w:t xml:space="preserve">Common stock, $0.0001 par value, 5,550.0 million shares authorized, </w:t>
            </w:r>
          </w:p>
          <w:p>
            <w:pPr>
              <w:pStyle w:val="TableContents"/>
              <w:bidi w:val="0"/>
              <w:spacing w:lineRule="auto" w:line="273" w:before="0" w:after="0"/>
              <w:jc w:val="both"/>
              <w:rPr>
                <w:color w:val="000000"/>
              </w:rPr>
            </w:pPr>
            <w:r>
              <w:rPr>
                <w:color w:val="000000"/>
              </w:rPr>
              <w:t>      </w:t>
            </w:r>
            <w:r>
              <w:rPr>
                <w:rFonts w:ascii="Times New Roman;serif" w:hAnsi="Times New Roman;serif"/>
                <w:b w:val="false"/>
                <w:color w:val="000000"/>
                <w:sz w:val="20"/>
              </w:rPr>
              <w:t>235.3 million and 234.0 million issued and outstanding at June 30, 2026</w:t>
            </w:r>
          </w:p>
          <w:p>
            <w:pPr>
              <w:pStyle w:val="TableContents"/>
              <w:bidi w:val="0"/>
              <w:spacing w:lineRule="auto" w:line="273" w:before="0" w:after="0"/>
              <w:jc w:val="both"/>
              <w:rPr>
                <w:color w:val="000000"/>
              </w:rPr>
            </w:pPr>
            <w:r>
              <w:rPr>
                <w:color w:val="000000"/>
              </w:rPr>
              <w:t>      </w:t>
            </w:r>
            <w:r>
              <w:rPr>
                <w:rFonts w:ascii="Times New Roman;serif" w:hAnsi="Times New Roman;serif"/>
                <w:b w:val="false"/>
                <w:color w:val="000000"/>
                <w:sz w:val="20"/>
              </w:rPr>
              <w:t>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Uniti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12,980.9 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5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45" w:type="dxa"/>
        <w:jc w:val="center"/>
        <w:tblInd w:w="0" w:type="dxa"/>
        <w:tblLayout w:type="fixed"/>
        <w:tblCellMar>
          <w:top w:w="28" w:type="dxa"/>
          <w:left w:w="28" w:type="dxa"/>
          <w:bottom w:w="28" w:type="dxa"/>
          <w:right w:w="28" w:type="dxa"/>
        </w:tblCellMar>
      </w:tblPr>
      <w:tblGrid>
        <w:gridCol w:w="2603"/>
        <w:gridCol w:w="2290"/>
        <w:gridCol w:w="2306"/>
        <w:gridCol w:w="109"/>
        <w:gridCol w:w="109"/>
        <w:gridCol w:w="109"/>
        <w:gridCol w:w="211"/>
        <w:gridCol w:w="691"/>
        <w:gridCol w:w="109"/>
        <w:gridCol w:w="109"/>
        <w:gridCol w:w="109"/>
        <w:gridCol w:w="109"/>
        <w:gridCol w:w="211"/>
        <w:gridCol w:w="616"/>
        <w:gridCol w:w="154"/>
      </w:tblGrid>
      <w:tr>
        <w:trPr/>
        <w:tc>
          <w:tcPr>
            <w:tcW w:w="260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71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debt discount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revenues and amortization of below-market 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estimated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funded by government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 funds received for broadband expansion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settlement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restricted cash and cash equivalents</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restricted 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restricted cash and cash equivalents at end of period</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534" w:type="dxa"/>
        <w:jc w:val="center"/>
        <w:tblInd w:w="0" w:type="dxa"/>
        <w:tblLayout w:type="fixed"/>
        <w:tblCellMar>
          <w:top w:w="28" w:type="dxa"/>
          <w:left w:w="28" w:type="dxa"/>
          <w:bottom w:w="28" w:type="dxa"/>
          <w:right w:w="28" w:type="dxa"/>
        </w:tblCellMar>
      </w:tblPr>
      <w:tblGrid>
        <w:gridCol w:w="786"/>
        <w:gridCol w:w="282"/>
        <w:gridCol w:w="283"/>
        <w:gridCol w:w="109"/>
        <w:gridCol w:w="109"/>
        <w:gridCol w:w="109"/>
        <w:gridCol w:w="210"/>
        <w:gridCol w:w="210"/>
        <w:gridCol w:w="211"/>
        <w:gridCol w:w="109"/>
        <w:gridCol w:w="109"/>
        <w:gridCol w:w="109"/>
        <w:gridCol w:w="222"/>
        <w:gridCol w:w="428"/>
        <w:gridCol w:w="116"/>
        <w:gridCol w:w="109"/>
        <w:gridCol w:w="109"/>
        <w:gridCol w:w="109"/>
        <w:gridCol w:w="308"/>
        <w:gridCol w:w="308"/>
        <w:gridCol w:w="211"/>
        <w:gridCol w:w="109"/>
        <w:gridCol w:w="109"/>
        <w:gridCol w:w="109"/>
        <w:gridCol w:w="222"/>
        <w:gridCol w:w="428"/>
        <w:gridCol w:w="116"/>
        <w:gridCol w:w="109"/>
        <w:gridCol w:w="109"/>
        <w:gridCol w:w="109"/>
        <w:gridCol w:w="211"/>
        <w:gridCol w:w="766"/>
        <w:gridCol w:w="109"/>
        <w:gridCol w:w="109"/>
        <w:gridCol w:w="109"/>
        <w:gridCol w:w="109"/>
        <w:gridCol w:w="350"/>
        <w:gridCol w:w="849"/>
        <w:gridCol w:w="182"/>
        <w:gridCol w:w="109"/>
        <w:gridCol w:w="109"/>
        <w:gridCol w:w="109"/>
        <w:gridCol w:w="227"/>
        <w:gridCol w:w="841"/>
        <w:gridCol w:w="118"/>
        <w:gridCol w:w="109"/>
        <w:gridCol w:w="109"/>
        <w:gridCol w:w="109"/>
        <w:gridCol w:w="397"/>
        <w:gridCol w:w="763"/>
        <w:gridCol w:w="206"/>
        <w:gridCol w:w="109"/>
        <w:gridCol w:w="109"/>
        <w:gridCol w:w="109"/>
        <w:gridCol w:w="264"/>
        <w:gridCol w:w="772"/>
        <w:gridCol w:w="195"/>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6" w:type="dxa"/>
            <w:gridSpan w:val="5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 ended June 30, 2026</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Paid-in</w:t>
              <w:br/>
              <w:t>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w:t>
              <w:br/>
              <w:t>Comprehensive</w:t>
              <w:br/>
              <w:t>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Noncontrolling</w:t>
              <w:br/>
              <w:t>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Equity</w:t>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paid-in-kind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 employee </w:t>
              <w:br/>
              <w:t>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2,816.0 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8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(2,665.3)</w:t>
            </w:r>
          </w:p>
        </w:tc>
        <w:tc>
          <w:tcPr>
            <w:tcW w:w="1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tbl>
      <w:tblPr>
        <w:tblW w:w="13534" w:type="dxa"/>
        <w:jc w:val="center"/>
        <w:tblInd w:w="0" w:type="dxa"/>
        <w:tblLayout w:type="fixed"/>
        <w:tblCellMar>
          <w:top w:w="28" w:type="dxa"/>
          <w:left w:w="28" w:type="dxa"/>
          <w:bottom w:w="28" w:type="dxa"/>
          <w:right w:w="28" w:type="dxa"/>
        </w:tblCellMar>
      </w:tblPr>
      <w:tblGrid>
        <w:gridCol w:w="762"/>
        <w:gridCol w:w="301"/>
        <w:gridCol w:w="288"/>
        <w:gridCol w:w="109"/>
        <w:gridCol w:w="109"/>
        <w:gridCol w:w="109"/>
        <w:gridCol w:w="210"/>
        <w:gridCol w:w="210"/>
        <w:gridCol w:w="211"/>
        <w:gridCol w:w="109"/>
        <w:gridCol w:w="109"/>
        <w:gridCol w:w="109"/>
        <w:gridCol w:w="222"/>
        <w:gridCol w:w="428"/>
        <w:gridCol w:w="116"/>
        <w:gridCol w:w="109"/>
        <w:gridCol w:w="109"/>
        <w:gridCol w:w="109"/>
        <w:gridCol w:w="308"/>
        <w:gridCol w:w="308"/>
        <w:gridCol w:w="211"/>
        <w:gridCol w:w="109"/>
        <w:gridCol w:w="109"/>
        <w:gridCol w:w="109"/>
        <w:gridCol w:w="222"/>
        <w:gridCol w:w="428"/>
        <w:gridCol w:w="116"/>
        <w:gridCol w:w="109"/>
        <w:gridCol w:w="109"/>
        <w:gridCol w:w="109"/>
        <w:gridCol w:w="211"/>
        <w:gridCol w:w="766"/>
        <w:gridCol w:w="109"/>
        <w:gridCol w:w="109"/>
        <w:gridCol w:w="109"/>
        <w:gridCol w:w="109"/>
        <w:gridCol w:w="350"/>
        <w:gridCol w:w="849"/>
        <w:gridCol w:w="182"/>
        <w:gridCol w:w="109"/>
        <w:gridCol w:w="109"/>
        <w:gridCol w:w="109"/>
        <w:gridCol w:w="227"/>
        <w:gridCol w:w="841"/>
        <w:gridCol w:w="118"/>
        <w:gridCol w:w="109"/>
        <w:gridCol w:w="109"/>
        <w:gridCol w:w="109"/>
        <w:gridCol w:w="397"/>
        <w:gridCol w:w="763"/>
        <w:gridCol w:w="206"/>
        <w:gridCol w:w="109"/>
        <w:gridCol w:w="109"/>
        <w:gridCol w:w="109"/>
        <w:gridCol w:w="264"/>
        <w:gridCol w:w="772"/>
        <w:gridCol w:w="195"/>
      </w:tblGrid>
      <w:tr>
        <w:trPr/>
        <w:tc>
          <w:tcPr>
            <w:tcW w:w="7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6" w:type="dxa"/>
            <w:gridSpan w:val="5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six months ended June 30, 2026</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Paid-in</w:t>
              <w:br/>
              <w:t>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w:t>
              <w:br/>
              <w:t>Comprehensive</w:t>
              <w:br/>
              <w:t>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Noncontrolling</w:t>
              <w:br/>
              <w:t>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Equity</w:t>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paid-in-kind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 for</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 employee </w:t>
              <w:br/>
              <w:t>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2,816.0 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8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(2,665.3)</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9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534" w:type="dxa"/>
        <w:jc w:val="center"/>
        <w:tblInd w:w="0" w:type="dxa"/>
        <w:tblLayout w:type="fixed"/>
        <w:tblCellMar>
          <w:top w:w="28" w:type="dxa"/>
          <w:left w:w="28" w:type="dxa"/>
          <w:bottom w:w="28" w:type="dxa"/>
          <w:right w:w="28" w:type="dxa"/>
        </w:tblCellMar>
      </w:tblPr>
      <w:tblGrid>
        <w:gridCol w:w="786"/>
        <w:gridCol w:w="282"/>
        <w:gridCol w:w="283"/>
        <w:gridCol w:w="109"/>
        <w:gridCol w:w="109"/>
        <w:gridCol w:w="109"/>
        <w:gridCol w:w="210"/>
        <w:gridCol w:w="210"/>
        <w:gridCol w:w="211"/>
        <w:gridCol w:w="109"/>
        <w:gridCol w:w="109"/>
        <w:gridCol w:w="109"/>
        <w:gridCol w:w="222"/>
        <w:gridCol w:w="428"/>
        <w:gridCol w:w="116"/>
        <w:gridCol w:w="109"/>
        <w:gridCol w:w="109"/>
        <w:gridCol w:w="109"/>
        <w:gridCol w:w="308"/>
        <w:gridCol w:w="308"/>
        <w:gridCol w:w="211"/>
        <w:gridCol w:w="109"/>
        <w:gridCol w:w="109"/>
        <w:gridCol w:w="109"/>
        <w:gridCol w:w="222"/>
        <w:gridCol w:w="428"/>
        <w:gridCol w:w="116"/>
        <w:gridCol w:w="109"/>
        <w:gridCol w:w="109"/>
        <w:gridCol w:w="109"/>
        <w:gridCol w:w="211"/>
        <w:gridCol w:w="766"/>
        <w:gridCol w:w="109"/>
        <w:gridCol w:w="109"/>
        <w:gridCol w:w="109"/>
        <w:gridCol w:w="109"/>
        <w:gridCol w:w="393"/>
        <w:gridCol w:w="784"/>
        <w:gridCol w:w="204"/>
        <w:gridCol w:w="109"/>
        <w:gridCol w:w="109"/>
        <w:gridCol w:w="109"/>
        <w:gridCol w:w="227"/>
        <w:gridCol w:w="841"/>
        <w:gridCol w:w="118"/>
        <w:gridCol w:w="109"/>
        <w:gridCol w:w="109"/>
        <w:gridCol w:w="109"/>
        <w:gridCol w:w="397"/>
        <w:gridCol w:w="763"/>
        <w:gridCol w:w="206"/>
        <w:gridCol w:w="109"/>
        <w:gridCol w:w="109"/>
        <w:gridCol w:w="109"/>
        <w:gridCol w:w="226"/>
        <w:gridCol w:w="838"/>
        <w:gridCol w:w="167"/>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6" w:type="dxa"/>
            <w:gridSpan w:val="5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 ended June 30, 2025</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Old Uniti</w:t>
              <w:br/>
              <w:t>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Paid-in</w:t>
              <w:br/>
              <w:t>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w:t>
              <w:br/>
              <w:t>Comprehensive</w:t>
              <w:br/>
              <w:t>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Noncontrolling</w:t>
              <w:br/>
              <w:t>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Equity</w:t>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(2,437.5)</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(3,685.6)</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(2,444.1)</w:t>
            </w:r>
          </w:p>
        </w:tc>
        <w:tc>
          <w:tcPr>
            <w:tcW w:w="16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3534" w:type="dxa"/>
        <w:jc w:val="center"/>
        <w:tblInd w:w="0" w:type="dxa"/>
        <w:tblLayout w:type="fixed"/>
        <w:tblCellMar>
          <w:top w:w="28" w:type="dxa"/>
          <w:left w:w="28" w:type="dxa"/>
          <w:bottom w:w="28" w:type="dxa"/>
          <w:right w:w="28" w:type="dxa"/>
        </w:tblCellMar>
      </w:tblPr>
      <w:tblGrid>
        <w:gridCol w:w="762"/>
        <w:gridCol w:w="301"/>
        <w:gridCol w:w="288"/>
        <w:gridCol w:w="109"/>
        <w:gridCol w:w="109"/>
        <w:gridCol w:w="109"/>
        <w:gridCol w:w="210"/>
        <w:gridCol w:w="210"/>
        <w:gridCol w:w="211"/>
        <w:gridCol w:w="109"/>
        <w:gridCol w:w="109"/>
        <w:gridCol w:w="109"/>
        <w:gridCol w:w="222"/>
        <w:gridCol w:w="428"/>
        <w:gridCol w:w="116"/>
        <w:gridCol w:w="109"/>
        <w:gridCol w:w="109"/>
        <w:gridCol w:w="109"/>
        <w:gridCol w:w="308"/>
        <w:gridCol w:w="308"/>
        <w:gridCol w:w="211"/>
        <w:gridCol w:w="109"/>
        <w:gridCol w:w="109"/>
        <w:gridCol w:w="109"/>
        <w:gridCol w:w="222"/>
        <w:gridCol w:w="428"/>
        <w:gridCol w:w="116"/>
        <w:gridCol w:w="109"/>
        <w:gridCol w:w="109"/>
        <w:gridCol w:w="109"/>
        <w:gridCol w:w="211"/>
        <w:gridCol w:w="766"/>
        <w:gridCol w:w="109"/>
        <w:gridCol w:w="109"/>
        <w:gridCol w:w="109"/>
        <w:gridCol w:w="109"/>
        <w:gridCol w:w="393"/>
        <w:gridCol w:w="784"/>
        <w:gridCol w:w="204"/>
        <w:gridCol w:w="109"/>
        <w:gridCol w:w="109"/>
        <w:gridCol w:w="109"/>
        <w:gridCol w:w="227"/>
        <w:gridCol w:w="841"/>
        <w:gridCol w:w="118"/>
        <w:gridCol w:w="109"/>
        <w:gridCol w:w="109"/>
        <w:gridCol w:w="109"/>
        <w:gridCol w:w="397"/>
        <w:gridCol w:w="763"/>
        <w:gridCol w:w="206"/>
        <w:gridCol w:w="109"/>
        <w:gridCol w:w="109"/>
        <w:gridCol w:w="109"/>
        <w:gridCol w:w="226"/>
        <w:gridCol w:w="838"/>
        <w:gridCol w:w="167"/>
      </w:tblGrid>
      <w:tr>
        <w:trPr/>
        <w:tc>
          <w:tcPr>
            <w:tcW w:w="7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6" w:type="dxa"/>
            <w:gridSpan w:val="5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six months ended June 30, 2025</w:t>
            </w:r>
          </w:p>
        </w:tc>
      </w:tr>
      <w:tr>
        <w:trPr/>
        <w:tc>
          <w:tcPr>
            <w:tcW w:w="13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Old Uniti</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Equity</w:t>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(2,451.9)</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 employee </w:t>
              <w:br/>
              <w:t>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(3,685.6)</w:t>
            </w:r>
          </w:p>
        </w:tc>
        <w:tc>
          <w:tcPr>
            <w:tcW w:w="1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(2,444.1)</w:t>
            </w:r>
          </w:p>
        </w:tc>
        <w:tc>
          <w:tcPr>
            <w:tcW w:w="16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Description of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Organizational Structure</w:t>
      </w:r>
      <w:r>
        <w:rPr>
          <w:color w:val="000000"/>
        </w:rPr>
        <w:t xml:space="preserve"> – </w:t>
      </w:r>
      <w:r>
        <w:rPr>
          <w:rFonts w:ascii="Times New Roman;serif" w:hAnsi="Times New Roman;serif"/>
          <w:b w:val="false"/>
          <w:color w:val="000000"/>
          <w:sz w:val="20"/>
        </w:rPr>
        <w:t>Uniti Group Inc. (herein referred to as the “Company,” “Uniti,” “we,” “us,” or “our”) was incorporated in the State of Delaware on April 19, 2024, under the name “Windstream Parent, Inc.” and as a subsidiary of New Windstream, LLC (“Windstream”) (as successor to Windstream Holdings II, LLC) in connection with the Merger (as defined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Uniti is a premier digital infrastructure company with approximately 240,000 fiber route miles across 47 states. The Company serves more than 1.0 million customers, including approximately 603,000 residential fiber customers, with a network that includes approximately 2.1 million fiber-equipped households predominately situated in the Midwest and Southeast United States of America (“U.S.”). The Company offers a full suite of advanced communications services, including fiber-based broadband to residential and business customers, managed cloud communications and security services for large enterprises and government entities across the U.S., and tailored wave and transport solutions for carriers, content providers and large cloud computing and storage service providers in the U.S. and Canada. Our operations are organized into three business segments: Kinetic, Fiber Infrastructure and Uniti Solutions. See </w:t>
      </w:r>
      <w:hyperlink w:anchor="ie70f00857744476b82c49a37d8161764_61">
        <w:r>
          <w:rPr>
            <w:rStyle w:val="InternetLink"/>
            <w:rFonts w:ascii="Times New Roman;serif" w:hAnsi="Times New Roman;serif"/>
            <w:b w:val="false"/>
            <w:color w:val="0000FF"/>
            <w:sz w:val="20"/>
            <w:u w:val="single"/>
          </w:rPr>
          <w:t>Notes 8</w:t>
        </w:r>
      </w:hyperlink>
      <w:r>
        <w:rPr>
          <w:color w:val="000000"/>
        </w:rPr>
        <w:t xml:space="preserve"> </w:t>
      </w:r>
      <w:r>
        <w:rPr>
          <w:rFonts w:ascii="Times New Roman;serif" w:hAnsi="Times New Roman;serif"/>
          <w:b w:val="false"/>
          <w:color w:val="000000"/>
          <w:sz w:val="20"/>
        </w:rPr>
        <w:t xml:space="preserve">and </w:t>
      </w:r>
      <w:hyperlink w:anchor="ie70f00857744476b82c49a37d8161764_76">
        <w:r>
          <w:rPr>
            <w:rStyle w:val="InternetLink"/>
            <w:rFonts w:ascii="Times New Roman;serif" w:hAnsi="Times New Roman;serif"/>
            <w:b w:val="false"/>
            <w:color w:val="0000FF"/>
            <w:sz w:val="20"/>
            <w:u w:val="single"/>
          </w:rPr>
          <w:t>12</w:t>
        </w:r>
      </w:hyperlink>
      <w:r>
        <w:rPr>
          <w:color w:val="000000"/>
        </w:rPr>
        <w:t xml:space="preserve"> </w:t>
      </w:r>
      <w:r>
        <w:rPr>
          <w:rFonts w:ascii="Times New Roman;serif" w:hAnsi="Times New Roman;serif"/>
          <w:b w:val="false"/>
          <w:color w:val="000000"/>
          <w:sz w:val="20"/>
        </w:rPr>
        <w:t>for additional information regarding the Company’s business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Merger, Uniti Group LLC (f/k/a Uniti Group Inc., “Old Uniti”) was an independent internally managed real estate investment trust (“REIT”) engaged in the acquisition, construction and leasing of mission critical infrastructure in the communications industry. Old Uniti managed its operations within two primary lines of business: Uniti Fiber and Uniti Leasing. Old Uniti operated through a customary “up-REIT” structure, pursuant to which it held substantially all of its assets through a partnership, Uniti Group LP, a Delaware limited partnership (the “Operating Partnership”) that Old Uniti controlled as general partner. The up-REIT structure was intended to facilitate future acquisition opportunities by providing Old Uniti with the ability to use common units of the Operating Partnership as a tax-efficient acquisition currency. As of August 1, 2025, Old Uniti was the sole general partner of the Operating Partnership and owned 100.0% of the partnership interests in the Operating Partnership.</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Completion of Merger with Windstream</w:t>
      </w:r>
      <w:r>
        <w:rPr>
          <w:color w:val="000000"/>
        </w:rPr>
        <w:t xml:space="preserve"> – </w:t>
      </w:r>
      <w:r>
        <w:rPr>
          <w:rFonts w:ascii="Times New Roman;serif" w:hAnsi="Times New Roman;serif"/>
          <w:b w:val="false"/>
          <w:color w:val="000000"/>
          <w:sz w:val="20"/>
        </w:rPr>
        <w:t>On August 1, 2025, pursuant to the previously announced Agreement and Plan of Merger, dated as of May 3, 2024 (as amended) (the “Merger Agreement”), by and between Old Uniti, Windstream, the Company, New Uniti HoldCo LP,</w:t>
      </w:r>
      <w:r>
        <w:rPr>
          <w:color w:val="000000"/>
        </w:rPr>
        <w:t xml:space="preserve"> </w:t>
      </w:r>
      <w:r>
        <w:rPr>
          <w:rFonts w:ascii="Times New Roman;serif" w:hAnsi="Times New Roman;serif"/>
          <w:b w:val="false"/>
          <w:color w:val="000000"/>
          <w:sz w:val="20"/>
        </w:rPr>
        <w:t>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and Old Uniti ceased to be a REIT, and the Company does not qualify to be a REIT. The common stock of the Company (“Common Stock”) is listed on the Nasdaq Global Select Market under the symbol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set forth in the Merger Agreement, at the effective time of the Merger, each share of Old Uniti’s common stock, par value $0.0001 per share that was issued and outstanding immediately prior to the effective time of the Merger was automatically cancelled and retired and converted into the right to receive 0.6029 shares of Common Stock par value $0.0001 per share pursuant to the exchange ratio set forth in the Merger Agreement with cash issued in lieu of fractional shares. Immediately following the consummation of the Merger (the “Closing”), Old Uniti’s and Windstream’s pre-Closing stockholders held approximately 62% and 38%, respectively, of the Company before giving effect to the conversion of any outstanding convertible securities or the issuance of warrants to purchase Common Stock referenced below. Historical share and per share data of Old Uniti has been retrospectively adjusted to reflect the exchange ratio for all periods presented.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Internal Reorg Merger, prior to the effective time of the Merger, Windstream’s equityholders received (i) approximately 90.1 million shares of Common Stock representing approximately 35.42% of the outstanding shares of Common Stock, (ii) approximately 0.6 million shares of non-voting preferred stock of the Company (“Preferred Stock”) with a dividend rate of 11% per year for the first six years, subject to an additional 0.5% during each of the seventh and eighth years after the initial issuance and further increased by an additional 1% per year during each subsequent year, subject to a cap of 16% per year and with an aggregate liquidation preference of $575.0 million and (iii) approximately 17.6 million warrants to purchase Common Stock, with an exercise price of $0.01 per share (“Warrants”), representing approximately 6.9% of the outstanding Common Stock immediately following the Closing on a fully diluted basis after giving effect to such Warrants. Windstream’s equityholders also received approximately $370.7 million in cash (net of certain transaction-related expenses) on a pro-rata basis (the “Merger Cash Consideration”). The Merger Cash Consideration was funded by Old Uniti using available cash on hand and borrowings under its Uniti Revolver (as defined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merger using the acquisition method of accounting, with Windstream treated as the legal acquirer and Old Uniti treated as the accounting acquirer. The Merger was a taxable transaction for U.S. federal income tax purposes.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Preparation of Condensed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Basis of Presentation</w:t>
      </w:r>
      <w:r>
        <w:rPr>
          <w:color w:val="000000"/>
        </w:rPr>
        <w:t xml:space="preserve"> – </w:t>
      </w:r>
      <w:r>
        <w:rPr>
          <w:rFonts w:ascii="Times New Roman;serif" w:hAnsi="Times New Roman;serif"/>
          <w:b w:val="false"/>
          <w:color w:val="000000"/>
          <w:sz w:val="20"/>
        </w:rPr>
        <w:t>The accompanying condensed consolidated financial statements include all accounts of the Company and its wholly owned and/or controlled subsidiaries. All material intercompany balances and transactions have been eliminated. The Company also consolidates variable interest entities (“VIEs”) in instances in which it is deemed to be the primary beneficiary. For periods prior to the Merger, the Operating Partnership was considered a VIE, because Old Uniti was deemed to be the primary beneficiary as it had both the power to direct the activities that, when taken together, most significantly impacted the Operating Partnership’s performance; and had the obligation to absorb losses and right to receive the returns from the Operating Partnership that would be significant to the Operating Partnership. After the Merger, the Company does not hold interests in any VIEs.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U.S. Securities and Exchange Commission (“SEC”). Accordingly, certain information and footnote disclosures normally included in financial statements prepared in accordance with GAAP have been condensed or omitted. The accompanying unaudited consolidated balance sheet as of December 31, 2025 was derived from audited financial statements but does not include all disclosures required by GAAP.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consolidated financial statements and related notes should be read in conjunction with the audited consolidated financial statements and notes thereto included in the Company’s 2025 Annual Report on Form 10-K filed with the SEC on March 2,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Old Uniti was treated as the accounting acquirer, financial information for periods prior to the Merger reflect the historical activity of Old Uniti. For periods after the Merger, the consolidated financial statements reflect the combined results of Old Uniti and Windstream.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shd w:fill="FFFFFF" w:val="clear"/>
        </w:rPr>
        <w:t>Reclassifications</w:t>
      </w:r>
      <w:r>
        <w:rPr>
          <w:color w:val="000000"/>
          <w:shd w:fill="FFFFFF" w:val="clear"/>
        </w:rPr>
        <w:t xml:space="preserve"> </w:t>
      </w:r>
      <w:r>
        <w:rPr>
          <w:color w:val="000000"/>
        </w:rPr>
        <w:t>–</w:t>
      </w:r>
      <w:r>
        <w:rPr>
          <w:color w:val="000000"/>
          <w:shd w:fill="FFFFFF" w:val="clear"/>
        </w:rPr>
        <w:t xml:space="preserve"> </w:t>
      </w:r>
      <w:r>
        <w:rPr>
          <w:rFonts w:ascii="Times New Roman;serif" w:hAnsi="Times New Roman;serif"/>
          <w:b w:val="false"/>
          <w:color w:val="000000"/>
          <w:sz w:val="20"/>
        </w:rPr>
        <w:t>To conform to the current year presentation, the prior period condensed consolidated statements of operations of Old Uniti were reclassified to (1) present sales revenues separate and apart from service revenues, (2) disaggregate operating expenses into cost of services and cost of sales, (3) present an operating income subtotal and (4) present loss on extinguishment of debt separate and apart from interest expense, net. These reclassifications did not impact previously reported net (loss) income or comprehensive (loss) income for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prior period condensed consolidated statement of cash flows of Old Uniti was reclassified to combine or further disaggregate certain financial statement line items. These reclassifications did not impact previously reported net cash provided from operating activities, net cash used in investing activities, net cash provided from financing activities or net increase in cash, restricted cash and cash equivalents for the six months ended June 30, 2025. Finally, the prior period condensed consolidated statements of shareholders’ deficit of Old Uniti were reclassified to combine amounts attributable to noncontrolling interests and to rename “Distributions in Excess of Accumulated Earnings” to “Accumulated Deficit”. These changes did not impact previously reported total shareholders’ deficit for the three and six months ended June 30, 2025.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u w:val="single"/>
        </w:rPr>
        <w:t>Restricted Cash</w:t>
      </w:r>
      <w:r>
        <w:rPr>
          <w:color w:val="000000"/>
        </w:rPr>
        <w:t xml:space="preserve"> – </w:t>
      </w:r>
      <w:r>
        <w:rPr>
          <w:rFonts w:ascii="Times New Roman;serif" w:hAnsi="Times New Roman;serif"/>
          <w:b w:val="false"/>
          <w:color w:val="000000"/>
          <w:sz w:val="20"/>
        </w:rPr>
        <w:t xml:space="preserve">Restricted cash represents funds that are restricted for obligations under the Fiber Infrastructure ABS and Kinetic ABS facilities (see </w:t>
      </w:r>
      <w:hyperlink w:anchor="ie70f00857744476b82c49a37d8161764_49">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to maintain six months of interest on the Class A and Class B </w:t>
      </w:r>
      <w:r>
        <w:rPr>
          <w:rFonts w:ascii="Times New Roman;serif" w:hAnsi="Times New Roman;serif"/>
          <w:b w:val="false"/>
          <w:color w:val="000000"/>
          <w:sz w:val="20"/>
          <w:shd w:fill="FFFFFF" w:val="clear"/>
        </w:rPr>
        <w:t>notes</w:t>
      </w:r>
      <w:r>
        <w:rPr>
          <w:color w:val="000000"/>
        </w:rPr>
        <w:t xml:space="preserve"> </w:t>
      </w:r>
      <w:r>
        <w:rPr>
          <w:rFonts w:ascii="Times New Roman;serif" w:hAnsi="Times New Roman;serif"/>
          <w:b w:val="false"/>
          <w:color w:val="000000"/>
          <w:sz w:val="20"/>
        </w:rPr>
        <w:t>and three months of interest on the Class C notes and for other expenses. In addition, deposits held as security for indebtedness under Windstream’s corporate purchase card program are not available for use and have been presented as restricted cash as of June 30, 2026 and December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Settlement Obligation</w:t>
      </w:r>
      <w:r>
        <w:rPr>
          <w:color w:val="000000"/>
        </w:rPr>
        <w:t xml:space="preserve"> – </w:t>
      </w:r>
      <w:r>
        <w:rPr>
          <w:rFonts w:ascii="Times New Roman;serif" w:hAnsi="Times New Roman;serif"/>
          <w:b w:val="false"/>
          <w:color w:val="000000"/>
          <w:sz w:val="20"/>
        </w:rPr>
        <w:t>Prior to the Merger, in accordance with the terms of the settlement agreement with Windstream, Old Uniti was obligated to make up to $490.1 million</w:t>
      </w:r>
      <w:r>
        <w:rPr>
          <w:color w:val="000000"/>
          <w:shd w:fill="FFFFFF" w:val="clear"/>
        </w:rPr>
        <w:t xml:space="preserve"> </w:t>
      </w:r>
      <w:r>
        <w:rPr>
          <w:rFonts w:ascii="Times New Roman;serif" w:hAnsi="Times New Roman;serif"/>
          <w:b w:val="false"/>
          <w:color w:val="000000"/>
          <w:sz w:val="20"/>
          <w:shd w:fill="FFFFFF" w:val="clear"/>
        </w:rPr>
        <w:t xml:space="preserve">of cash payments to Windstream in equal installments over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 xml:space="preserve">consecutive quarters beginning in October 2020. Old Uniti had the option to prepay any installments due on or after the first anniversary of the settlement agreement (discounted at a </w:t>
      </w:r>
      <w:r>
        <w:rPr>
          <w:rFonts w:ascii="Times New Roman;serif" w:hAnsi="Times New Roman;serif"/>
          <w:b w:val="false"/>
          <w:color w:val="000000"/>
          <w:sz w:val="20"/>
        </w:rPr>
        <w:t>9%</w:t>
      </w:r>
      <w:r>
        <w:rPr>
          <w:color w:val="000000"/>
          <w:shd w:fill="FFFFFF" w:val="clear"/>
        </w:rPr>
        <w:t xml:space="preserve"> </w:t>
      </w:r>
      <w:r>
        <w:rPr>
          <w:rFonts w:ascii="Times New Roman;serif" w:hAnsi="Times New Roman;serif"/>
          <w:b w:val="false"/>
          <w:color w:val="000000"/>
          <w:sz w:val="20"/>
          <w:shd w:fill="FFFFFF" w:val="clear"/>
        </w:rPr>
        <w:t xml:space="preserve">rate). During January, April and July of 2025, Old Uniti made the final three quarterly cash installment payments due to Windstream under the settlement agreement of </w:t>
      </w:r>
      <w:r>
        <w:rPr>
          <w:rFonts w:ascii="Times New Roman;serif" w:hAnsi="Times New Roman;serif"/>
          <w:b w:val="false"/>
          <w:color w:val="000000"/>
          <w:sz w:val="20"/>
        </w:rPr>
        <w:t>$24.5 million</w:t>
      </w:r>
      <w:r>
        <w:rPr>
          <w:color w:val="000000"/>
          <w:shd w:fill="FFFFFF" w:val="clear"/>
        </w:rPr>
        <w:t xml:space="preserve"> </w:t>
      </w:r>
      <w:r>
        <w:rPr>
          <w:rFonts w:ascii="Times New Roman;serif" w:hAnsi="Times New Roman;serif"/>
          <w:b w:val="false"/>
          <w:color w:val="000000"/>
          <w:sz w:val="20"/>
          <w:shd w:fill="FFFFFF" w:val="clear"/>
        </w:rPr>
        <w:t xml:space="preserve">per quarter, or a total of </w:t>
      </w:r>
      <w:r>
        <w:rPr>
          <w:rFonts w:ascii="Times New Roman;serif" w:hAnsi="Times New Roman;serif"/>
          <w:b w:val="false"/>
          <w:color w:val="000000"/>
          <w:sz w:val="20"/>
        </w:rPr>
        <w:t>$73.5 million</w:t>
      </w:r>
      <w:r>
        <w:rPr>
          <w:rFonts w:ascii="Times New Roman;serif" w:hAnsi="Times New Roman;serif"/>
          <w:b w:val="false"/>
          <w:color w:val="000000"/>
          <w:sz w:val="20"/>
          <w:shd w:fill="FFFFFF" w:val="clear"/>
        </w:rPr>
        <w:t xml:space="preserve">. As of July 31, 2025, Old Uniti had made cumulative payments to Windstream totaling </w:t>
      </w:r>
      <w:r>
        <w:rPr>
          <w:rFonts w:ascii="Times New Roman;serif" w:hAnsi="Times New Roman;serif"/>
          <w:b w:val="false"/>
          <w:color w:val="000000"/>
          <w:sz w:val="20"/>
        </w:rPr>
        <w:t>$484.9 million</w:t>
      </w:r>
      <w:r>
        <w:rPr>
          <w:color w:val="000000"/>
          <w:shd w:fill="FFFFFF" w:val="clear"/>
        </w:rPr>
        <w:t xml:space="preserve"> </w:t>
      </w:r>
      <w:r>
        <w:rPr>
          <w:rFonts w:ascii="Times New Roman;serif" w:hAnsi="Times New Roman;serif"/>
          <w:b w:val="false"/>
          <w:color w:val="000000"/>
          <w:sz w:val="20"/>
          <w:shd w:fill="FFFFFF" w:val="clear"/>
        </w:rPr>
        <w:t>over the duration of the settlement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shd w:fill="FFFFFF" w:val="clear"/>
        </w:rPr>
        <w:t>Lessor Arrangements</w:t>
      </w:r>
      <w:r>
        <w:rPr>
          <w:color w:val="000000"/>
          <w:shd w:fill="FFFFFF" w:val="clear"/>
        </w:rPr>
        <w:t xml:space="preserve"> </w:t>
      </w:r>
      <w:r>
        <w:rPr>
          <w:color w:val="000000"/>
        </w:rPr>
        <w:t xml:space="preserve">– </w:t>
      </w:r>
      <w:r>
        <w:rPr>
          <w:rFonts w:ascii="Times New Roman;serif" w:hAnsi="Times New Roman;serif"/>
          <w:b w:val="false"/>
          <w:color w:val="000000"/>
          <w:sz w:val="20"/>
          <w:shd w:fill="FFFFFF" w:val="clear"/>
        </w:rPr>
        <w:t xml:space="preserve">Certain service offerings to customers include equipment leases. The Company also leases its network facilities, including communications towers, ground space, and colocation space to other service providers and enters into arrangements with third parties to lease unused or underutilized portions of its network. These leases meet the criteria for operating lease classification. Operating lease income was </w:t>
      </w:r>
      <w:r>
        <w:rPr>
          <w:rFonts w:ascii="Times New Roman;serif" w:hAnsi="Times New Roman;serif"/>
          <w:b w:val="false"/>
          <w:color w:val="000000"/>
          <w:sz w:val="20"/>
        </w:rPr>
        <w:t>$72.6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$151.5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 June 30, 2026</w:t>
      </w:r>
      <w:r>
        <w:rPr>
          <w:rFonts w:ascii="Times New Roman;serif" w:hAnsi="Times New Roman;serif"/>
          <w:b w:val="false"/>
          <w:color w:val="000000"/>
          <w:sz w:val="20"/>
          <w:shd w:fill="FFFFFF" w:val="clear"/>
        </w:rPr>
        <w:t xml:space="preserve">, respectively, as compared to </w:t>
      </w:r>
      <w:r>
        <w:rPr>
          <w:rFonts w:ascii="Times New Roman;serif" w:hAnsi="Times New Roman;serif"/>
          <w:b w:val="false"/>
          <w:color w:val="000000"/>
          <w:sz w:val="20"/>
        </w:rPr>
        <w:t xml:space="preserve">$238.0 million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$472.4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 June 30, 2025</w:t>
      </w:r>
      <w:r>
        <w:rPr>
          <w:rFonts w:ascii="Times New Roman;serif" w:hAnsi="Times New Roman;serif"/>
          <w:b w:val="false"/>
          <w:color w:val="000000"/>
          <w:sz w:val="20"/>
          <w:shd w:fill="FFFFFF" w:val="clear"/>
        </w:rPr>
        <w:t>. Operating lease income is included in service revenues in the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Periodically, the Company enters into indefeasible right of use (“IRU”) arrangements that grant exclusive access to and unrestricted use of specific dark fiber assets and for which the terms of the arrangements are for a major part of the assets’ remaining economic life and/or the present value of the future minimum lease payments equals substantially all of the fair value of the underlying leased assets. These IRU arrangements meet the criteria for sales-type lease classification. During the three and six months ended June 30, 2026, the Company recognized sales revenue of $16.8 million and $88.2 million, cost of sales of $1.2 million and $3.1 million and gross profit of $15.6 million and $85.1 million, respectively, related to IRU arrangements. Comparatively, for the six months ended June 30, 2025, the Company recognized sales revenue of $2.7 million, cost of sales of $0.6 million and gross profit of $2.1 million, respectively, related to IRU arrangements.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Income Taxes</w:t>
      </w:r>
      <w:r>
        <w:rPr>
          <w:color w:val="000000"/>
        </w:rPr>
        <w:t xml:space="preserve"> – </w:t>
      </w:r>
      <w:r>
        <w:rPr>
          <w:rFonts w:ascii="Times New Roman;serif" w:hAnsi="Times New Roman;serif"/>
          <w:b w:val="false"/>
          <w:color w:val="000000"/>
          <w:sz w:val="20"/>
        </w:rPr>
        <w:t>In determining our quarterly provision for income taxes, the Company uses an estimated annual effective tax rate, which is based on our expected annual income, statutory rates, permanent book/tax differences, valuation allowance analysis and tax planning opportunities. Significant or unusual items are separately recognized in the quarter in which they occur.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recorded income tax expense of $0.3 million and $0.9 million, respectively, resulting in an effective tax rate of (0.2)% and (0.4)%, respectively. The effective tax rates differed from the statutory rates for the three and six months ended June 30, 2026 primarily due to the change in valuation allowance recorded against current year income and current state income tax.</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we recorded income tax benefit of $6.2 million and $10.7 million, respectively, resulting in an effective tax rate of 36.7% and 116.3%, respectively. The provision for income taxes differed from the statutory rate for the three and six months ended June 30, 2025 primarily due to the benefit of Old Uniti’s REIT status and the reversal of unrecognized tax benefit related to the expiration of a statute of limitations in a foreign jurisdiction.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Supplemental Cash Flow Information</w:t>
      </w:r>
      <w:r>
        <w:rPr>
          <w:color w:val="000000"/>
          <w:shd w:fill="FFFFFF" w:val="clear"/>
        </w:rPr>
        <w:t xml:space="preserve"> </w:t>
      </w:r>
      <w:r>
        <w:rPr>
          <w:color w:val="000000"/>
        </w:rPr>
        <w:t xml:space="preserve">– </w:t>
      </w:r>
      <w:r>
        <w:rPr>
          <w:rFonts w:ascii="Times New Roman;serif" w:hAnsi="Times New Roman;serif"/>
          <w:b w:val="false"/>
          <w:color w:val="000000"/>
          <w:sz w:val="20"/>
        </w:rPr>
        <w:t>Supplemental cash flow information for the periods presented was as follows:</w:t>
      </w:r>
    </w:p>
    <w:p>
      <w:pPr>
        <w:pStyle w:val="TextBody"/>
        <w:bidi w:val="0"/>
        <w:spacing w:before="0" w:after="0"/>
        <w:jc w:val="both"/>
        <w:rPr/>
      </w:pPr>
      <w:r>
        <w:rPr/>
      </w:r>
    </w:p>
    <w:tbl>
      <w:tblPr>
        <w:tblW w:w="8616" w:type="dxa"/>
        <w:jc w:val="left"/>
        <w:tblInd w:w="0" w:type="dxa"/>
        <w:tblLayout w:type="fixed"/>
        <w:tblCellMar>
          <w:top w:w="28" w:type="dxa"/>
          <w:left w:w="28" w:type="dxa"/>
          <w:bottom w:w="28" w:type="dxa"/>
          <w:right w:w="28" w:type="dxa"/>
        </w:tblCellMar>
      </w:tblPr>
      <w:tblGrid>
        <w:gridCol w:w="2158"/>
        <w:gridCol w:w="1895"/>
        <w:gridCol w:w="1917"/>
        <w:gridCol w:w="109"/>
        <w:gridCol w:w="109"/>
        <w:gridCol w:w="109"/>
        <w:gridCol w:w="211"/>
        <w:gridCol w:w="691"/>
        <w:gridCol w:w="109"/>
        <w:gridCol w:w="109"/>
        <w:gridCol w:w="109"/>
        <w:gridCol w:w="109"/>
        <w:gridCol w:w="211"/>
        <w:gridCol w:w="616"/>
        <w:gridCol w:w="154"/>
      </w:tblGrid>
      <w:tr>
        <w:trPr/>
        <w:tc>
          <w:tcPr>
            <w:tcW w:w="2158"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9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interest capitalized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payable and other current liabilities for purchases</w:t>
              <w:br/>
              <w:t>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Tenant capital improvements</w:t>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Recently Issued Accounting Pronouncements Effective in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Credit Losses</w:t>
      </w:r>
      <w:r>
        <w:rPr>
          <w:color w:val="000000"/>
        </w:rPr>
        <w:t xml:space="preserve"> – </w:t>
      </w:r>
      <w:r>
        <w:rPr>
          <w:rFonts w:ascii="Times New Roman;serif" w:hAnsi="Times New Roman;serif"/>
          <w:b w:val="false"/>
          <w:color w:val="000000"/>
          <w:sz w:val="20"/>
        </w:rPr>
        <w:t>In July 2025, the FASB issued ASU 2025-05, Financial Instruments - Credit Losses (Topic ASC 326): Measurement of Credit Losses for Accounts Receivable and Contract Assets (“ASU 2025-05”). The amendments in this ASU provide entities with a practical expedient they may elect to use when developing an estimate of expected credit losses on current accounts receivable and current contract asset balances arising from transactions accounted for under Topic ASC 606 - Revenue from Contracts with Customers. Under this practical expedient, entities may elect to assume that current conditions as of the balance sheet date do not change for the remaining life of the asset. ASU 2025-05 was effective for fiscal years and for interim periods beginning after December 15, 2025. The Company elected not to adopt the practical expedient and, accordingly, this standard had no impact to the Company’s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Disaggregation of Expenses</w:t>
      </w:r>
      <w:r>
        <w:rPr>
          <w:color w:val="000000"/>
        </w:rPr>
        <w:t xml:space="preserve"> – </w:t>
      </w:r>
      <w:r>
        <w:rPr>
          <w:rFonts w:ascii="Times New Roman;serif" w:hAnsi="Times New Roman;serif"/>
          <w:b w:val="false"/>
          <w:color w:val="000000"/>
          <w:sz w:val="20"/>
        </w:rPr>
        <w:t>In November 2024, the FASB issued ASU 2024-03, Income Statement - Reporting Comprehensive Income (Topic 220): - Expense Disaggregation Disclosures (“ASU 2024-03”). This update requires public business entities to provide more detailed disclosure in the notes to the financial statements of certain categories of expenses, such as purchases of inventory, employee compensation, depreciation, and intangible asset amortization, that are components of existing captions presented on the face of the statement of operations. ASU 2024-03 is effective for annual reporting periods beginning after December 15, 2026, and interim reporting periods beginning after December 15, 2027, with early adoption permitted. The amendments in ASU 2024-03 may be applied either prospectively or retrospectively. The Company is currently evaluating the impact that ASU 2024-03 will have on its financial statement presentation and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Internal Use Software</w:t>
      </w:r>
      <w:r>
        <w:rPr>
          <w:color w:val="000000"/>
        </w:rPr>
        <w:t xml:space="preserve"> – </w:t>
      </w:r>
      <w:r>
        <w:rPr>
          <w:rFonts w:ascii="Times New Roman;serif" w:hAnsi="Times New Roman;serif"/>
          <w:b w:val="false"/>
          <w:color w:val="000000"/>
          <w:sz w:val="20"/>
        </w:rPr>
        <w:t>In September 2025, the FASB issued ASU No. 2025-06, Intangibles - Goodwill and Other - Internal-Use Software (Subtopic 350-40): Targeted Improvements to the Accounting for Internal-Use Software (“ASU 2025-06”) that updates the accounting guidance for internal-use software costs by removing references to prescriptive and sequential development stages of a project and replacing them with new criteria used in determining when to start capitalizing software costs. Under the new guidance, capitalization begins when management authorizes and commits to funding the software project and it is probable the project will be completed, and the software will be used to perform the intended function. The new guidance also clarifies that capitalized internal-use software costs are subject to the property, plant, and equipment disclosure requirements. The amendments in ASU 2025-06 are effective for fiscal years beginning after December 15, 2027, and for interim reporting periods within those annual fiscal years, with early adoption permitted. The guidance may be applied on a prospective basis, a modified basis for in-process projects, or a retrospective basis. The Company is currently assessing the effect of this update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Government Assistance</w:t>
      </w:r>
      <w:r>
        <w:rPr>
          <w:color w:val="000000"/>
        </w:rPr>
        <w:t xml:space="preserve"> – </w:t>
      </w:r>
      <w:r>
        <w:rPr>
          <w:rFonts w:ascii="Times New Roman;serif" w:hAnsi="Times New Roman;serif"/>
          <w:b w:val="false"/>
          <w:color w:val="000000"/>
          <w:sz w:val="20"/>
        </w:rPr>
        <w:t>In December 2025, the FASB issued ASU 2025-10, Government Grants (Topic ASC 832): Accounting for Government Grants Received by Business Entities (“ASU 2025-10”). ASU 2025-10 provides guidance on how business entities should recognize, measure, and present government grants received by prescribing an accounting model based on the main principles in IAS 20, defining a government grant as a transfer of a monetary or tangible nonmonetary asset, other than an exchange transaction, from a government to a business entity, providing a recognition threshold under which a grant is recognized when both (1) it is probable that the entity will comply with the grant’s conditions and that the grant will be received, and (2) the entity meets the specific recognition guidance for a grant related to an asset or a grant related to income. Additionally, ASU 2025-10 leverages existing disclosure requirements in ASC 832 for annual periods. The amendments in ASU 2025-10 are effective for fiscal years and for interim periods beginning after December 15, 2028, and early adoption is permitted. We are currently assessing the effect of this update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Interim Reporting</w:t>
      </w:r>
      <w:r>
        <w:rPr>
          <w:color w:val="000000"/>
        </w:rPr>
        <w:t xml:space="preserve"> – </w:t>
      </w:r>
      <w:r>
        <w:rPr>
          <w:rFonts w:ascii="Times New Roman;serif" w:hAnsi="Times New Roman;serif"/>
          <w:b w:val="false"/>
          <w:color w:val="000000"/>
          <w:sz w:val="20"/>
        </w:rPr>
        <w:t>In December 2025, the FASB issued ASU 2025-11, Interim Reporting (Topic 270): Narrow-Scope Improvements (“ASU 2025-11”). This ASU clarifies that the interim reporting requirements in Topic 270 apply to all entities that issue interim financial statements prepared in accordance with U.S. GAAP and consolidates such requirements within Topic 270. The amendments provide a comprehensive list within Topic 270 of required interim disclosures, establish a principle requiring disclosure of events or changes occurring after the end of the most recent annual reporting period that have a material impact on interim results and clarifies the form and content requirements applicable to interim financial statements. The amendments in ASU 2025-11 are effective for the interim reporting periods within annual reporting periods beginning after December 15, 2027, with early adoption permitted. This ASU can be applied either prospectively or retrospectively to any or all prior periods presented in the financial statements. The Company is currently evaluating ASU 2025-11 to determine the impact it may have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u w:val="single"/>
        </w:rPr>
        <w:t>Preferred Stock Dividends</w:t>
      </w:r>
      <w:r>
        <w:rPr>
          <w:color w:val="000000"/>
        </w:rPr>
        <w:t xml:space="preserve"> – </w:t>
      </w:r>
      <w:r>
        <w:rPr>
          <w:rFonts w:ascii="Times New Roman;serif" w:hAnsi="Times New Roman;serif"/>
          <w:b w:val="false"/>
          <w:color w:val="000000"/>
          <w:sz w:val="20"/>
        </w:rPr>
        <w:t>In April 2026, the FASB issued ASU 2026-01, Equity (Topic 505): Initial Measurement of Paid-in-Kind (“PIK”) Dividends on Equity-Classified Preferred Stock (“ASU 2026-01”). This update requires that PIK dividends be initially measured based on the PIK dividend rate stated in the preferred stock agreement, such as multiplying a stated rate by the liquidation value of the preferred stock, rather than at fair value. ASU 2026-01 is effective for annual reporting periods beginning after December 15, 2026, and interim periods within those annual reporting periods, with early adoption permitted. The amendments in ASU 2026-01 may be applied either on a prospective basis or on a modified retrospective basis for equity-classified preferred stock instruments that are outstanding as of the initial application date. The Company is currently evaluating this update to determine the impact it may have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Merger and Purchase Price Allocation: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Merger Consideration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previously discussed in </w:t>
      </w:r>
      <w:hyperlink w:anchor="ie70f00857744476b82c49a37d8161764_37">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Old Uniti merged with Windstream on August 1, 2025. The total merger consideration of $2,376.6 million was calculated based on the fair value of the consideration transferred, which included the fair value of Common Stock, Preferred Stock and Warrants issued, the Merger Cash Consideration, and the effective settlement of preexisting relationships. The calculation of merger consideration was as follows:</w:t>
      </w:r>
    </w:p>
    <w:p>
      <w:pPr>
        <w:pStyle w:val="TextBody"/>
        <w:bidi w:val="0"/>
        <w:spacing w:before="0" w:after="0"/>
        <w:jc w:val="both"/>
        <w:rPr/>
      </w:pPr>
      <w:r>
        <w:rPr/>
      </w:r>
    </w:p>
    <w:tbl>
      <w:tblPr>
        <w:tblW w:w="5852" w:type="dxa"/>
        <w:jc w:val="left"/>
        <w:tblInd w:w="0" w:type="dxa"/>
        <w:tblLayout w:type="fixed"/>
        <w:tblCellMar>
          <w:top w:w="28" w:type="dxa"/>
          <w:left w:w="28" w:type="dxa"/>
          <w:bottom w:w="28" w:type="dxa"/>
          <w:right w:w="28" w:type="dxa"/>
        </w:tblCellMar>
      </w:tblPr>
      <w:tblGrid>
        <w:gridCol w:w="1590"/>
        <w:gridCol w:w="1400"/>
        <w:gridCol w:w="1404"/>
        <w:gridCol w:w="109"/>
        <w:gridCol w:w="109"/>
        <w:gridCol w:w="109"/>
        <w:gridCol w:w="211"/>
        <w:gridCol w:w="766"/>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 issued in the Merger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Preferred Stock issued in the Merger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Warrants issued in the Merger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Merger Cash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preexisting relationships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merger consideration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fair value of 90,133,152 shares of Common Stock issued to Windstream equityholders was based on Old Uniti’s closing stock price on August 1, 2025 of $8.14.</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(b)The fair value of 575,000 shares of Preferred Stock issued to Windstream equityholders was determined using a Black-Derman-Toy lattice model incorporating the contractual terms of the Preferred Stock, as well as the risk associated with the Preferred Stock, which was accounted for through the risk free rate term structure and a credit risk adjusted spread of 4.5%.</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(c)The fair value of 17,558,406 Warrants issued to Windstream equityholders was based on the intrinsic value of each warrant of $8.13 computed as the difference between the accounting acquirer’s closing stock price on August 1, 2025 and the exercise price of the warrant, which was deemed to be a reasonable proxy of the fair value of the Warrants.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(d)Represents the amount of total merger consideration attributable to the effective settlement of preexisting relationships as of August 1, 2025 between Old Uniti and Windstream, as further discussed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Settlement of Preexisting Relationships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completion of the Merger, Old Uniti and Windstream had several preexisting relationships primarily comprised of (i) two structurally similar long-term exclusive triple-net lease agreements (collectively, the “Windstream Leases”), which consisted of a master lease (the “ILEC MLA”) that governed assets owned by Old Uniti which were leased and used by Windstream's incumbent local exchange carrier (“ILEC”) operations and a master lease (the “CLEC MLA”) that governed assets owned by Old Uniti which were leased and used by Windstream's consumer competitive local exchange carrier (“CLEC”) operations, (ii) the asset purchase agreement, pursuant to which Old Uniti paid Windstream in exchange for exclusive rights to use certain fiber strand miles leased by Windstream, certain fiber assets (and underlying rights) owned by Windstream, dark fiber IRU arrangements relating to the fiber strand miles and fiber assets, and a 20-year IRU for certain strands included in the transferred fiber assets that Uniti granted to Windstream (the “Asset Purchase Agreement”), and (iii) various other leasing and supplier arrangements between Old Uniti and Windstream.</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consummation of the Merger, all historical preexisting relationships between Old Uniti and Windstream were considered effectively settled for accounting purposes and the related transactions and balances became intercompany transactions eliminated in the preparation of the Company’s post-Merger consolidated financial statements. To the extent the settled preexisting contractual arrangement was deemed favorable or unfavorable from the perspective of Old Uniti, the fair value of the off-market component was included in total merger consideration. As of the Merger date, the Windstream Leases were deemed to be above market from the perspective of Old Uniti and the fair value of the off-market component was estimated to be $559.0 million based on the remaining contractual lease payments and current market rates. Conversely, the Asset Purchase Agreement was deemed to be unfavorable from the perspective of Old Uniti and the fair value of the off-market component was estimated to be $(60.0) million based on the estimated remaining value of the upfront payment of the IRU contract. The other leasing and supplier agreements were determined to be at market, and therefore, were effectively settled at the historical carrying value, which had a $0.1 million impact on total merger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Purchase Price Allocation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was accounted for using the acquisition method of accounting, and accordingly, the total purchase price was allocated to the identifiable tangible and intangible assets acquired and liabilities assumed of Windstream based on their estimated fair values as of the Merger date, with the excess amount recorded as goodwill. During the second quarter of 2026, the Company finalized the purchase price allocation for the Merger. The effects of the immaterial measurement period adjustments recorded in 2026 to the initial purchase price allocation resulted in a net increase in goodwill of $0.2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final allocation of the Merger consideration to the identifiable tangible and intangible assets acquired and liabilities assumed of Windstream:</w:t>
      </w:r>
    </w:p>
    <w:p>
      <w:pPr>
        <w:pStyle w:val="TextBody"/>
        <w:bidi w:val="0"/>
        <w:spacing w:before="0" w:after="0"/>
        <w:jc w:val="both"/>
        <w:rPr/>
      </w:pPr>
      <w:r>
        <w:rPr/>
      </w:r>
    </w:p>
    <w:tbl>
      <w:tblPr>
        <w:tblW w:w="5417" w:type="dxa"/>
        <w:jc w:val="left"/>
        <w:tblInd w:w="0" w:type="dxa"/>
        <w:tblLayout w:type="fixed"/>
        <w:tblCellMar>
          <w:top w:w="28" w:type="dxa"/>
          <w:left w:w="28" w:type="dxa"/>
          <w:bottom w:w="28" w:type="dxa"/>
          <w:right w:w="28" w:type="dxa"/>
        </w:tblCellMar>
      </w:tblPr>
      <w:tblGrid>
        <w:gridCol w:w="1433"/>
        <w:gridCol w:w="1261"/>
        <w:gridCol w:w="1265"/>
        <w:gridCol w:w="109"/>
        <w:gridCol w:w="109"/>
        <w:gridCol w:w="109"/>
        <w:gridCol w:w="211"/>
        <w:gridCol w:w="766"/>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Final</w:t>
              <w:br/>
              <w:t>Allocation</w:t>
            </w:r>
          </w:p>
        </w:tc>
      </w:tr>
      <w:tr>
        <w:trPr/>
        <w:tc>
          <w:tcPr>
            <w:tcW w:w="39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Customer relationships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IPv4 addresses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Spectrum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Right of way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Noncurrent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Noncurrent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Pension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merger consideration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Goodwill associated with this acquisition was largely due to synergies expected from combining operations as previously discussed in </w:t>
      </w:r>
      <w:hyperlink w:anchor="ie70f00857744476b82c49a37d8161764_37">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Goodwill recognized in the Merger will not be deductible for tax purposes. The Company allocated the goodwill recognized in the Merger to its reportable operating segments based on the relative fair value of the operating segments. See </w:t>
      </w:r>
      <w:hyperlink w:anchor="ie70f00857744476b82c49a37d8161764_46">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Transaction Related and Other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related and other costs include acquisition pursuit, transaction and integration costs. Transaction related and other costs were as follows:</w:t>
      </w:r>
    </w:p>
    <w:p>
      <w:pPr>
        <w:pStyle w:val="TextBody"/>
        <w:bidi w:val="0"/>
        <w:spacing w:before="0" w:after="0"/>
        <w:jc w:val="both"/>
        <w:rPr/>
      </w:pPr>
      <w:r>
        <w:rPr/>
      </w:r>
    </w:p>
    <w:tbl>
      <w:tblPr>
        <w:tblW w:w="7332" w:type="dxa"/>
        <w:jc w:val="left"/>
        <w:tblInd w:w="0" w:type="dxa"/>
        <w:tblLayout w:type="fixed"/>
        <w:tblCellMar>
          <w:top w:w="28" w:type="dxa"/>
          <w:left w:w="28" w:type="dxa"/>
          <w:bottom w:w="28" w:type="dxa"/>
          <w:right w:w="28" w:type="dxa"/>
        </w:tblCellMar>
      </w:tblPr>
      <w:tblGrid>
        <w:gridCol w:w="999"/>
        <w:gridCol w:w="877"/>
        <w:gridCol w:w="884"/>
        <w:gridCol w:w="109"/>
        <w:gridCol w:w="109"/>
        <w:gridCol w:w="109"/>
        <w:gridCol w:w="211"/>
        <w:gridCol w:w="40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7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fees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(a)Consists of investment banking, legal, regulatory, accounting and other consulting and advisory services directly associated with the Merger.</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(b)Includes direct costs incurred in integrating the acquired operations of Windstream, including consulting services, systems and data conversion, network optimization, contract termination fees, rebranding and marketing costs, transaction and retention bonuses, and severance and related employee benefit costs.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(c)Consists primarily of expenses incurred in connection with the offering of our asset-backed securities discussed in </w:t>
      </w:r>
      <w:hyperlink w:anchor="ie70f00857744476b82c49a37d8161764_49">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related and other costs recorded within other current liabilities were $4.8 million and $9.8 million in the Company’s condensed consolidated balance sheets at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Actual and Pro Forma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results of Windstream’s operations are included in our consolidated results of operations beginning on August 1, 2025. For the three and six months ended June 30, 2026, our consolidated results of operations included revenues and sales of $795.9 million and $1,605.2 million, respectively, and operating income of $69.7 million and $173.0 million, respectively, attributable to Windstream.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presents the combined results of operations of Uniti as if the Merger occurred as of January 1, 2024:</w:t>
      </w:r>
    </w:p>
    <w:p>
      <w:pPr>
        <w:pStyle w:val="TextBody"/>
        <w:bidi w:val="0"/>
        <w:spacing w:before="0" w:after="0"/>
        <w:jc w:val="both"/>
        <w:rPr/>
      </w:pPr>
      <w:r>
        <w:rPr/>
      </w:r>
    </w:p>
    <w:tbl>
      <w:tblPr>
        <w:tblW w:w="5540" w:type="dxa"/>
        <w:jc w:val="left"/>
        <w:tblInd w:w="0" w:type="dxa"/>
        <w:tblLayout w:type="fixed"/>
        <w:tblCellMar>
          <w:top w:w="28" w:type="dxa"/>
          <w:left w:w="28" w:type="dxa"/>
          <w:bottom w:w="28" w:type="dxa"/>
          <w:right w:w="28" w:type="dxa"/>
        </w:tblCellMar>
      </w:tblPr>
      <w:tblGrid>
        <w:gridCol w:w="733"/>
        <w:gridCol w:w="645"/>
        <w:gridCol w:w="647"/>
        <w:gridCol w:w="109"/>
        <w:gridCol w:w="109"/>
        <w:gridCol w:w="109"/>
        <w:gridCol w:w="109"/>
        <w:gridCol w:w="109"/>
        <w:gridCol w:w="109"/>
        <w:gridCol w:w="280"/>
        <w:gridCol w:w="820"/>
        <w:gridCol w:w="145"/>
        <w:gridCol w:w="109"/>
        <w:gridCol w:w="109"/>
        <w:gridCol w:w="109"/>
        <w:gridCol w:w="240"/>
        <w:gridCol w:w="874"/>
        <w:gridCol w:w="175"/>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w:t>
              <w:br/>
              <w:t>Ended</w:t>
              <w:b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w:t>
              <w:br/>
              <w:t>Ended</w:t>
              <w:br/>
              <w:t>June 30, 2025</w:t>
            </w:r>
          </w:p>
        </w:tc>
      </w:tr>
      <w:tr>
        <w:trPr/>
        <w:tc>
          <w:tcPr>
            <w:tcW w:w="20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and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1,935.7 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17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information includes adjustments for the settlement of preexisting relationships, amortization for intangible assets acquired, stock-based compensation expense, interest expense for acquisition financing, income tax expense for transaction structuring, and depreciation for property and equipment acquired. The unaudited pro forma information presented is for informational purposes only and is not necessarily indicative of our consolidated results of operations of the combined business had the acquisition actually occurred at the beginning of fiscal year 2024 or of the results of our future operations of the combined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occurring during the six months ended June 30, 2026 were as follows:</w:t>
      </w:r>
    </w:p>
    <w:p>
      <w:pPr>
        <w:pStyle w:val="TextBody"/>
        <w:bidi w:val="0"/>
        <w:spacing w:before="0" w:after="0"/>
        <w:jc w:val="both"/>
        <w:rPr/>
      </w:pPr>
      <w:r>
        <w:rPr/>
      </w:r>
    </w:p>
    <w:tbl>
      <w:tblPr>
        <w:tblW w:w="9066" w:type="dxa"/>
        <w:jc w:val="center"/>
        <w:tblInd w:w="0" w:type="dxa"/>
        <w:tblLayout w:type="fixed"/>
        <w:tblCellMar>
          <w:top w:w="28" w:type="dxa"/>
          <w:left w:w="28" w:type="dxa"/>
          <w:bottom w:w="28" w:type="dxa"/>
          <w:right w:w="28" w:type="dxa"/>
        </w:tblCellMar>
      </w:tblPr>
      <w:tblGrid>
        <w:gridCol w:w="1276"/>
        <w:gridCol w:w="1123"/>
        <w:gridCol w:w="1126"/>
        <w:gridCol w:w="109"/>
        <w:gridCol w:w="109"/>
        <w:gridCol w:w="109"/>
        <w:gridCol w:w="211"/>
        <w:gridCol w:w="616"/>
        <w:gridCol w:w="109"/>
        <w:gridCol w:w="109"/>
        <w:gridCol w:w="109"/>
        <w:gridCol w:w="109"/>
        <w:gridCol w:w="277"/>
        <w:gridCol w:w="809"/>
        <w:gridCol w:w="144"/>
        <w:gridCol w:w="109"/>
        <w:gridCol w:w="109"/>
        <w:gridCol w:w="109"/>
        <w:gridCol w:w="211"/>
        <w:gridCol w:w="616"/>
        <w:gridCol w:w="109"/>
        <w:gridCol w:w="109"/>
        <w:gridCol w:w="109"/>
        <w:gridCol w:w="109"/>
        <w:gridCol w:w="211"/>
        <w:gridCol w:w="76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Fiber</w:t>
              <w:br/>
              <w:t xml:space="preserve">Infrastructure </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Uniti</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5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December 31, 2025</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717.9 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charges as of</w:t>
              <w:br/>
              <w: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Windstream - measurement</w:t>
              <w:br/>
              <w:t>   period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717.9 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717.9 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charges as of</w:t>
              <w:br/>
              <w: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1,158.5 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(a)Prior to the Merger, all goodwill related to the former Uniti Fiber segment. In connection with the Merger, the former Uniti Fiber and Uniti Leasing segments were combined with the CLEC portion of Windstream’s acquired wholesale business and renamed Fiber Infrastructure.</w:t>
      </w:r>
    </w:p>
    <w:p>
      <w:pPr>
        <w:pStyle w:val="TextBody"/>
        <w:bidi w:val="0"/>
        <w:spacing w:before="0" w:after="0"/>
        <w:ind w:left="0" w:right="0" w:hanging="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Notes and Other Debt,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notes and other debt, net was as follows:</w:t>
      </w:r>
    </w:p>
    <w:p>
      <w:pPr>
        <w:pStyle w:val="TextBody"/>
        <w:bidi w:val="0"/>
        <w:spacing w:before="0" w:after="0"/>
        <w:jc w:val="both"/>
        <w:rPr/>
      </w:pPr>
      <w:r>
        <w:rPr/>
      </w:r>
    </w:p>
    <w:tbl>
      <w:tblPr>
        <w:tblW w:w="8234" w:type="dxa"/>
        <w:jc w:val="left"/>
        <w:tblInd w:w="0" w:type="dxa"/>
        <w:tblLayout w:type="fixed"/>
        <w:tblCellMar>
          <w:top w:w="28" w:type="dxa"/>
          <w:left w:w="28" w:type="dxa"/>
          <w:bottom w:w="28" w:type="dxa"/>
          <w:right w:w="28" w:type="dxa"/>
        </w:tblCellMar>
      </w:tblPr>
      <w:tblGrid>
        <w:gridCol w:w="1857"/>
        <w:gridCol w:w="1633"/>
        <w:gridCol w:w="1639"/>
        <w:gridCol w:w="109"/>
        <w:gridCol w:w="109"/>
        <w:gridCol w:w="109"/>
        <w:gridCol w:w="211"/>
        <w:gridCol w:w="871"/>
        <w:gridCol w:w="109"/>
        <w:gridCol w:w="109"/>
        <w:gridCol w:w="109"/>
        <w:gridCol w:w="109"/>
        <w:gridCol w:w="235"/>
        <w:gridCol w:w="854"/>
        <w:gridCol w:w="171"/>
      </w:tblGrid>
      <w:tr>
        <w:trPr/>
        <w:tc>
          <w:tcPr>
            <w:tcW w:w="185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amount</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9,540.5 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premium (discount) and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notes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9,529.4 </w:t>
            </w:r>
          </w:p>
        </w:tc>
        <w:tc>
          <w:tcPr>
            <w:tcW w:w="1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and other debt, net consist of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99"/>
        <w:gridCol w:w="1493"/>
        <w:gridCol w:w="1502"/>
        <w:gridCol w:w="109"/>
        <w:gridCol w:w="109"/>
        <w:gridCol w:w="109"/>
        <w:gridCol w:w="261"/>
        <w:gridCol w:w="505"/>
        <w:gridCol w:w="127"/>
        <w:gridCol w:w="109"/>
        <w:gridCol w:w="109"/>
        <w:gridCol w:w="109"/>
        <w:gridCol w:w="336"/>
        <w:gridCol w:w="672"/>
        <w:gridCol w:w="174"/>
        <w:gridCol w:w="109"/>
        <w:gridCol w:w="109"/>
        <w:gridCol w:w="109"/>
        <w:gridCol w:w="261"/>
        <w:gridCol w:w="505"/>
        <w:gridCol w:w="127"/>
        <w:gridCol w:w="109"/>
        <w:gridCol w:w="109"/>
        <w:gridCol w:w="109"/>
        <w:gridCol w:w="329"/>
        <w:gridCol w:w="658"/>
        <w:gridCol w:w="248"/>
      </w:tblGrid>
      <w:tr>
        <w:trPr/>
        <w:tc>
          <w:tcPr>
            <w:tcW w:w="169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8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11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Unamortized</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Premium </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(Discount)</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and Deferred </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Financing</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Costs</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8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12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Unamortized</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Premium </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(Discount)</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and Deferred </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Financing</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Costs</w:t>
            </w:r>
          </w:p>
        </w:tc>
      </w:tr>
      <w:tr>
        <w:trPr/>
        <w:tc>
          <w:tcPr>
            <w:tcW w:w="4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Uniti senior secured revolving credit facility, variable</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rate, due December 30,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Windstream senior secured revolving credit facility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variable rate, due December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secured Windstream term loan - variable rate, due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October 1, 2031 (premium based on imputed</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interest rate of 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secured 2025 term loan - variable rate,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due October 6, 2032 (discount based on imputed</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interest rate of 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1,815.0 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- 4.75%, due April 15, 2028</w:t>
            </w:r>
          </w:p>
          <w:p>
            <w:pPr>
              <w:pStyle w:val="TableContents"/>
              <w:bidi w:val="0"/>
              <w:spacing w:lineRule="auto" w:line="276" w:before="15" w:after="283"/>
              <w:jc w:val="left"/>
              <w:rPr>
                <w:color w:val="000000"/>
              </w:rPr>
            </w:pPr>
            <w:r>
              <w:rPr>
                <w:color w:val="000000"/>
              </w:rPr>
              <w:t>   </w:t>
            </w:r>
            <w:r>
              <w:rPr>
                <w:rFonts w:ascii="Times New Roman;serif" w:hAnsi="Times New Roman;serif"/>
                <w:b w:val="false"/>
                <w:color w:val="000000"/>
                <w:sz w:val="20"/>
              </w:rPr>
              <w:t>(discount based on imputed interest rate of 5.04%)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secured notes - 8.25%, due October 1, 2031</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(premium based on imputed interest rate of 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secured notes - 7.50%, due October 15, 2033 </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20"/>
              </w:rPr>
              <w:t>(discount based on imputed interest rate of 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- 6.50%, due February 15, 2029</w:t>
            </w:r>
          </w:p>
          <w:p>
            <w:pPr>
              <w:pStyle w:val="TableContents"/>
              <w:bidi w:val="0"/>
              <w:spacing w:lineRule="auto" w:line="276" w:before="15" w:after="283"/>
              <w:jc w:val="left"/>
              <w:rPr>
                <w:color w:val="000000"/>
              </w:rPr>
            </w:pPr>
            <w:r>
              <w:rPr>
                <w:color w:val="000000"/>
              </w:rPr>
              <w:t>   </w:t>
            </w:r>
            <w:r>
              <w:rPr>
                <w:rFonts w:ascii="Times New Roman;serif" w:hAnsi="Times New Roman;serif"/>
                <w:b w:val="false"/>
                <w:color w:val="000000"/>
                <w:sz w:val="20"/>
              </w:rPr>
              <w:t>(discount based on imputed interest rate of 6.83%)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- 6.00% due January 15, 2030</w:t>
            </w:r>
          </w:p>
          <w:p>
            <w:pPr>
              <w:pStyle w:val="TableContents"/>
              <w:bidi w:val="0"/>
              <w:spacing w:lineRule="auto" w:line="276" w:before="15" w:after="283"/>
              <w:jc w:val="left"/>
              <w:rPr>
                <w:color w:val="000000"/>
              </w:rPr>
            </w:pPr>
            <w:r>
              <w:rPr>
                <w:color w:val="000000"/>
              </w:rPr>
              <w:t>   </w:t>
            </w:r>
            <w:r>
              <w:rPr>
                <w:rFonts w:ascii="Times New Roman;serif" w:hAnsi="Times New Roman;serif"/>
                <w:b w:val="false"/>
                <w:color w:val="000000"/>
                <w:sz w:val="20"/>
              </w:rPr>
              <w:t>(discount based on imputed interest rate of 6.27%)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unsecured notes - 8.625% due June 15, 2032</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(discount based on imputed interest rate of 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- 7.50%, due December 1, 2027</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(discount based on imputed interest rate of 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7,886.5 </w:t>
            </w:r>
          </w:p>
        </w:tc>
        <w:tc>
          <w:tcPr>
            <w:tcW w:w="12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7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6,886.5 </w:t>
            </w:r>
          </w:p>
        </w:tc>
        <w:tc>
          <w:tcPr>
            <w:tcW w:w="12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24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24"/>
        <w:gridCol w:w="1338"/>
        <w:gridCol w:w="1345"/>
        <w:gridCol w:w="109"/>
        <w:gridCol w:w="109"/>
        <w:gridCol w:w="109"/>
        <w:gridCol w:w="211"/>
        <w:gridCol w:w="871"/>
        <w:gridCol w:w="109"/>
        <w:gridCol w:w="109"/>
        <w:gridCol w:w="109"/>
        <w:gridCol w:w="109"/>
        <w:gridCol w:w="294"/>
        <w:gridCol w:w="735"/>
        <w:gridCol w:w="152"/>
        <w:gridCol w:w="109"/>
        <w:gridCol w:w="109"/>
        <w:gridCol w:w="109"/>
        <w:gridCol w:w="211"/>
        <w:gridCol w:w="766"/>
        <w:gridCol w:w="109"/>
        <w:gridCol w:w="109"/>
        <w:gridCol w:w="109"/>
        <w:gridCol w:w="109"/>
        <w:gridCol w:w="329"/>
        <w:gridCol w:w="658"/>
        <w:gridCol w:w="245"/>
      </w:tblGrid>
      <w:tr>
        <w:trPr/>
        <w:tc>
          <w:tcPr>
            <w:tcW w:w="152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2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Unamortized</w:t>
              <w:br/>
              <w:t xml:space="preserve">Premium </w:t>
              <w:br/>
              <w:t>(Discount)</w:t>
              <w:br/>
              <w:t xml:space="preserve">and Deferred </w:t>
              <w:br/>
              <w:t>Financing</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Unamortized</w:t>
              <w:br/>
              <w:t xml:space="preserve">Premium </w:t>
              <w:br/>
              <w:t>(Discount)</w:t>
              <w:br/>
              <w:t xml:space="preserve">and Deferred </w:t>
              <w:br/>
              <w:t>Financing</w:t>
              <w:br/>
              <w:t>Costs</w:t>
            </w:r>
          </w:p>
        </w:tc>
      </w:tr>
      <w:tr>
        <w:trPr/>
        <w:tc>
          <w:tcPr>
            <w:tcW w:w="42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Infrastructure ABS Notes: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2025-1 Notes (Class A-2) - 5.877%,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 xml:space="preserve">due April 1, 2030 (discount based on imputed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2025-1 Notes (Class B) - 6.369%,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 xml:space="preserve">due April 1, 2030 (discount based on imputed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2025-1 Notes (Class C) - 9.018%,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 xml:space="preserve">due April 1, 2030 (discount based on imputed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2025-2 Notes (Class A-2) - 5.177%,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due January 20, 2031 (discount based on imputed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2025-2 Notes (Class B) - 5.621%,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due January 20, 2031 (discount based on imputed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2025-2 Notes (Class C) - 7.834%,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due January 20, 2031 (discount based on imputed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Kinetic ABS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2026-1 Notes (Class A-2) - 5.219%,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due February 1, 2031 (discount based on imputed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5.720%)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2026-1 Notes (Class B) - 5.561%,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due February 1, 2031 (discount based on imputed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6.066%)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2026-1 Notes (Class C) - 7.653%,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due February 1, 2031 (discount based on imputed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8.184%)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10,680.6 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9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5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9,540.5 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32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4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notes and other debt, net included the following: (i) the Uniti Revolver pursuant to the Uniti Credit Agreement (as defined below), of which no borrowings were outstanding; (ii) the Windstream Revolver (as defined below) pursuant to the Windstream Credit Agreement (as defined below), of which no borrowings were outstanding; (iii) the 2025 Term Loan (as defined below) pursuant to the Windstream Credit Agreement, of which $995.0 million was outstanding; (iv) $570.0 million aggregate principal amount of 4.75% senior secured notes due 2028 (the “4.75% secured notes”); (v) $1.1 billion aggregate principal amount of 6.50% senior unsecured notes due 2029 (the “6.50% unsecured notes”); (vi) $700.0 million aggregate principal amount of 6.00% senior unsecured notes due 2030 (the “6.00% unsecured notes”); (vii) $2.2 billion aggregate principal amount of 8.25% senior secured notes due 2031 (the “8.25% secured notes”); (viii) $1.6 billion aggregate principal amount of 8.625% senior unsecured notes due 2032 (the “8.625% unsecured notes”); (ix) $1.4 billion aggregate principal amount of 7.50% senior secured notes due 2033 (the “7.50% secured notes”); (x) $306.5 million aggregate principal amount of 7.50% convertible senior notes due 2027 (the “2027 convertible notes”); (xi) $839.0 million aggregate principal amount of secured fiber network revenue term notes (collectively, the “Fiber Infrastructure ABS Notes”), consisting of $426.0 million 5.877% Series 2025-1, Class A-2 term notes, $180.0 million 5.177% Series 2025-2, Class A-2 term notes, $65.0 million 6.369% Series 2025-1, Class B term notes, $28.2 million 5.621% Series 2025-2, Class B term notes, $98.0 million 9.018% Series 2025-1, Class C term notes and $41.8 million 7.834% Series 2025-2, Class C term notes, each issued by Uniti Fiber ABS Issuer LLC and Uniti Fiber TRS Issuer LLC (collectively, the “Fiber Infrastructure ABS Notes Issuers”), each an indirect, bankruptcy-remote subsidiaries of the Company, and (xii) $960.1 million aggregate principal amount of Kinetic ABS 2026-1 Notes (as defined below), consisting of $677.7 million 5.219% Series 2026-1, Class A-2 term notes, $113.0 million 5.561% Series 2026-1, Class B term notes and $169.4 million 7.653% Series 2026-1, Class C term notes each issued by Kinetic ABS Issuer LLC (as defined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terms of the credit agreements and indentures governing the Company’s debt obligations include customary covenants that, among other things, require the Company to </w:t>
      </w:r>
      <w:r>
        <w:rPr>
          <w:rFonts w:ascii="Times New Roman;serif" w:hAnsi="Times New Roman;serif"/>
          <w:b w:val="false"/>
          <w:color w:val="000000"/>
          <w:sz w:val="20"/>
        </w:rPr>
        <w:t>maintain</w:t>
      </w:r>
      <w:r>
        <w:rPr>
          <w:color w:val="000000"/>
          <w:shd w:fill="FFFFFF" w:val="clear"/>
        </w:rPr>
        <w:t xml:space="preserve"> </w:t>
      </w:r>
      <w:r>
        <w:rPr>
          <w:rFonts w:ascii="Times New Roman;serif" w:hAnsi="Times New Roman;serif"/>
          <w:b w:val="false"/>
          <w:color w:val="000000"/>
          <w:sz w:val="20"/>
          <w:shd w:fill="FFFFFF" w:val="clear"/>
        </w:rPr>
        <w:t xml:space="preserve">certain financial ratios and restrict its ability to incur additional indebtedness. As of June 30, 2026, the Company was in compliance with all of its debt covenants.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Senior Secured Credit Facilities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Uniti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Services LLC (as successor to Uniti Group LP, “Uniti Services”), CSL Capital, LLC (“CSL Capital”) and Uniti Group Finance 2019 Inc. (“Uniti Group Finance”) (collectively, the “borrowers”) entered into a senior secured credit facility on April 24, 2015 (the credit agreement governing such senior secured credit facility, as amended, the “Uniti Credit Agreement”) consisting of a $500.0 million revolving credit facility with a maturity date of September 24, 2027 (the “Uniti Revolver”), which provides us with the ability to obtain revolving loans as well as swingline loans and letters of credit from time to time. On October 6, 2025, Uniti Services entered into an amendment to the Uniti Credit Agreement to, among other things, extend the maturity date of the Uniti Revolver to December 30,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Uniti Revolver bear interest at a rate equal to either a base rate plus an applicable margin ranging from 2.75% to 3.50% or a SOFR term rate plus an applicable margin ranging from 3.75% to 4.50%, in each case, calculated in a customary manner and determined based on our consolidated secured net leverage ratio. We are required to pay a quarterly commitment fee under the Uniti Revolver equal to 0.50% of the average amount of unused commitments during the applicable quarter (subject to a step-down to 0.40% per annum of the average amount of unused commitments during the applicable quarter upon achievement of a consolidated secured net leverage ratio not to exceed a certain level), as well as quarterly letter of credit fees equal to the product of (A) the applicable margin with respect to SOFR borrowings and (B) the average amount available to be drawn under outstanding letters of credit during such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there were no borrowings or repayments under the Uniti Revolver. During the six months ended June 30, 2026, the Company borrowed and repaid $85.0 million under the Uniti Revolver. Comparatively, during the six months ended June 30, 2025, the Company borrowed and repaid $40.0 million under the Uniti Revolver. The variable and weighted average interest rate on borrowings outstanding under the Uniti Revolver was 7.78% for the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Considering letters of credit of $0.3 million, the amount available for borrowing under the Uniti Revolver was $499.7 million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Windstream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Services (formerly Windstream Services, LLC) entered into a senior secured credit facility with JPMorgan Chase Bank, N.A., as administrative agent and collateral agent, and the lenders from time to time party thereto, on September 21, 2020 (as amended, the “Windstream Credit Agreement”), which currently provides for (a) a senior secured revolving credit facility (the “Windstream Revolver”), (b) a senior secured first lien term loan facility that consists of $500.0 million of term loan borrowings (the “Windstream Term Loan”) that matures on October 1, 2031, and (c) a seven-year term loan facility with a principal amount of $1.0 billion (the “2025 Term Loan”) that matures on October 6, 2032. On October 6, 2025, Uniti Services entered into an amendment to the Windstream Credit Agreement to, among other things, (i) extend the maturity date of the Windstream Revolver to December 30, 2027 and (ii) provide for the 2025 Term Loan. The Windstream Revolver will have $475.0 million of capacity through January 23, 2027 and $425.0 million of capacity through December 30, 2027. On February 4, 2026, Uniti Services repaid the Windstream Term Loan in full using a portion of the net proceeds raised in the offering of the 8.625% notes (as defined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Windstream Revolver bear interest at a rate equal to either a base rate plus an applicable margin ranging from 2.75% to 3.50% or a SOFR term rate plus an applicable margin ranging from 3.75% to 4.50%, in each case, calculated in a customary manner and determined based on our consolidated total senior secured leverage ratio. The Windstream Term Loan bears interest based on a floating rate plus a margin which, at Uniti Services’ election, may be the Base Rate plus 3.75% or the Adjusted Term SOFR Rate plus 4.75% (each as defined in the Windstream Credit Agreement), provided that the Adjusted Term SOFR Rate “floor” shall be 0%. The 2025 Term Loan bears interest based on a floating rate plus a margin which, at Uniti Services’ election, may be the Base Rate plus 3.00% or the Adjusted Term SOFR Rate plus 4.00% (each as defined in the existing Windstream Credit Agreement), provided that the Adjusted Term SOFR Rate “floor” shall be 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there were no borrowings or repayments under the Windstream Revolver. During the first six months of 2026, the Company borrowed $25.0 million under the Windstream Revolver and repaid $340.0 million of borrowings. The variable interest rate on borrowings outstanding under the Windstream Revolver ranged from 7.78% to 10.00%, and the weighted average rate on amounts outstanding was 8.05% for the six months ended June 30,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Considering letters of credit of $136.6 million, the amount available for borrowing under the Windstream Revolver was $338.4 million as of June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2025 Term Loan is subject to quarterly amortization payments in an aggregate amount equal to 0.25 percent of the initial principal amount of such term loans, with the remaining balance payable at maturity. The 2025 Term Loan is also subject to mandatory prepayment and reduction in an amount equal to (a) 100% of the net cash proceeds of non-ordinary course asset dispositions or casualty events with step-downs to (1) 50% if the consolidated first lien secured leverage ratio would be less than or equal to 1.50 to 1.00 but greater than 1.00 to 1.00, or (2) 0% if the consolidated first lien senior secured leverage ratio would be less than or equal to 1.00 to 1.00, subject to the right to reinvest such proceeds within a specified period of time and certain other exceptions and (b) 100% of the net cash proceeds received from the incurrence of any certain indebtedness not expressly permitted under the Windstream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variable interest rate on the Windstream Term Loan ranged from 8.52% to 8.57%, and the weighted average rate on amounts outstanding on the Windstream Term Loan was 8.56% for January 1, 2026 through the date of repayment of February 4, 2026. The variable interest rate on the 2025 Term Loan ranged from 7.62% to 7.72%, and the weighted average rate on amounts outstanding on the 2025 Term Loan was 7.65% and 7.67% for three and six months ended June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Guarantees and Security under the Uniti Credit Agreement and Windstream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obligations under the senior secured credit facilities under the Uniti Credit Agreement and the Windstream Credit Agreement are unconditionally guaranteed by each of Uniti Group Inc. and Uniti Group LLC on a senior unsecured basis and by certain wholly owned subsidiaries of Uniti Services (the “subsidiary guarantors”) on a senior secured basis. All obligations under the Uniti Credit Agreement and the Windstream Credit Agreement, and the guarantees of those obligations, are secured, subject to certain exceptions, on a first priority basis, by substantially all of the assets of the borrowers and the subsidiary guarantors, including a pledge of all of the capital stock of our subsidiaries directly held by the borrowers and the subsidiary guarantors under the senior secured credit facilities (which pledge, in the case of the capital stock of any foreign subsidiary, is limited to 65% of the voting capital stock and 100% of the non-voting stock of such first tier foreign subsidiary). The liens on the collateral securing the obligations under the senior secured credit facilities are subject to an intercreditor agreement between the collateral agent for the senior secured credit facility under the Uniti Credit Agreement, the collateral agent for the senior secured credit facility under the Windstream Credit Agreement, and the collateral agents for the secured notes, and acknowledged by the borrowers and the subsidiary guarantors.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24, 2025, Uniti Services, Uniti Group Finance, Uniti Fiber Holdings and CSL Capital issued $600.0 million aggregate principal amount of unsecured 8.625% Senior Notes due 2032 (the “existing 8.625% unsecured notes”) pursuant to an indenture with Deutsche Bank Trust Company Americas, as trustee (the “existing 8.625% senior notes indenture”).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February 4, 2026, Uniti Services, Uniti Group Finance, Uniti Fiber Holdings and CSL Capital issued $1.0 billion aggregate principal amount of unsecured 8.625% Senior Notes due 2032</w:t>
      </w:r>
      <w:r>
        <w:rPr>
          <w:color w:val="000000"/>
        </w:rPr>
        <w:t xml:space="preserve"> </w:t>
      </w:r>
      <w:r>
        <w:rPr>
          <w:rFonts w:ascii="Times New Roman;serif" w:hAnsi="Times New Roman;serif"/>
          <w:b w:val="false"/>
          <w:color w:val="000000"/>
          <w:sz w:val="20"/>
        </w:rPr>
        <w:t>(the “8.625% notes” and, together with the 6.00% unsecured notes, the 6.50% unsecured notes and the existing 8.625% unsecured notes, the “existing unsecured notes”) pursuant to an indenture with Deutsche Bank Trust Company Americas, as trustee (the “8.625% senior notes indenture” and, together with the 6.00% unsecured notes indenture, the 6.50% unsecured notes indenture and the existing 8.625% senior notes indenture, the “unsecured notes indentures”). Upon the guarantee of the 8.625% notes by each of the regulated subsidiaries that guarantee the existing unsecured 8.625% notes, the 8.625% notes are expected to be mandatorily exchanged for 8.625% unsecured notes issued as “additional notes” under the existing 8.625% senior notes indenture, have the same CUSIP number as, and be fungible with, the existing 8.625% unsecured notes. Net proceeds from the issuance of the 8.625% notes were used to repay the Windstream Term Loan, including related fees and expenses, and for general corporate purposes, including the repayment of borrowings outstanding under the revolving credit agreements and success-based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Kinetic ABS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30, 2026, Kinetic ABS Issuer LLC (the “Kinetic ABS Issuer”), an indirect, bankruptcy-remote subsidiary of the Company, completed a private offering of $960.1 million aggregate principal amount of secured fiber network revenue term notes, consisting of $677.7 million 5.219% Series 2026-1, Class A-2 term notes, $113.0 million 5.561% Series 2026-1, Class B term notes and $169.4 million 7.653% Series 2026-1, Class C term notes (collectively, the “Kinetic ABS 2026-1 Notes”), each with an anticipated repayment date (the “Kinetic ABS Term ARD”) in February 2031. The Company will use the net proceeds from the offering for general corporate purposes, which may include success-based capital expenditures and/or repayment of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Kinetic ABS 2026-1 Notes were issued at an issue price of 100% of their respective principal amounts pursuant to an indenture, dated as of January 30, 2026 (as amended, restated and supplemented, the “Kinetic ABS Base Indenture”), as supplemented by a Series 2026-1 Supplement thereto, dated as of January 30, 2026 (the “Series 2026-1 Supplement”), in each case by and among the Kinetic ABS Issuer, Kinetic ABS AR LLC, Kinetic ABS GA LLC, Kinetic ABS KY LLC, Kinetic ABS OH LLC, Kinetic ABS TX LLC (together the “Kinetic ABS Asset Entities” and, together with the Kinetic ABS Issuer, the “Kinetic ABS 2026-1 Obligors”), and Wilmington Trust, National Association, as indenture trustee.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Kinetic ABS 2026-1 Notes, the Kinetic ABS Base Indenture, as supplemented by the Series 2026-1 Supplement, also provides for up to $150.0 million of Series 2026-1, Class A-1-V variable funding notes (the “Kinetic ABS Class A-1 Variable Funding Notes”) to be issued by the Kinetic ABS Issuer. Drawings and the other terms related to the Kinetic ABS Class A-1 Variable Funding Notes are governed by the Kinetic ABS Base Indenture, as supplemented by the Series 2026-1 Supplement, and a Class A-1-V Note Purchase Agreement, dated as of January 30, 2026 (the “VFN Purchase Agreement”), among the Kinetic ABS 2026-1 Obligors, Uniti Kinetic Fiber LLC, as manager of the securitization program, certain committed note purchasers, conduit investors and funding agents, and Barclays Bank PLC, as the administrative agent. Subject to the future satisfaction of certain conditions described in the VFN Purchase Agreement, the committed note purchasers party thereto will provide commitments to fund the Kinetic ABS Class A-1 Variable Funding Notes from time to time (and issue certain letters of credit) on a revolving basis until the anticipated repayment date for the Kinetic ABS Class A-1 Variable Funding Notes (or, if earlier, the date on which the commitments thereunder are automatically terminated or permanently reduced to $0). The initial anticipated repayment date for the Kinetic ABS Class A-1 Variable Funding Notes is February 2029 and may be extended at the option of the Kinetic ABS Issuer for two additional one-year periods, in each case subject to the satisfaction of certain conditions described in the VFN Purchase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Kinetic ABS 2026-1 Notes and the Kinetic ABS Class A-1 Variable Funding Notes, the Kinetic ABS Base Indenture, as supplemented by the Series 2026-1 Supplement, also provides for up to $14.0 million of Series 2026-1, Class A-1-L liquidity funding notes (the “Kinetic ABS Class A-1 Liquidity Funding Notes” and, together with the Kinetic ABS 2026-1 Notes and the Kinetic ABS Class A-1 Variable Funding Notes, collectively, the “Series 2026-1 Notes”) to be issued by the Kinetic ABS Issuer, solely to support the securitization program’s liquidity reserve and to cover specified payment shortfalls.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the Series 2026-1 Notes are outstanding, scheduled payments of interest are required to be made on the 25th day of each calendar month, which commenced on March 25, 2026. Except as with respect to the Kinetic ABS Class A-1 Liquidity Funding Notes, no principal payments will be due on the Series 2026-1 Notes prior to the applicable anticipated repayment date, unless certain rapid amortization or acceleration triggers are activated (and/or, in the case of the Kinetic ABS Class A-1 Variable Funding Notes, the occurrence and continuance of an event of default). Principal of the Kinetic ABS Class A-1 Liquidity Funding Notes, to the extent outstanding, will be due on each payment date in accordance with the securitization program’s priority of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applicable interest rate for advances made under the Kinetic ABS Class A-1 Variable Funding Notes will generally be either a base rate or SOFR rate, determined at the option of the Kinetic ABS Issuer in accordance with the VFN Purchase Agreement (or an alternative rate determined in the manner provided in the VFN Purchase Agreement), plus 1.75% per annum. To the extent that a draw is funded or maintained by a conduit investor through the issuance of commercial paper, such draw shall bear interest at the CP funding rate (i.e., the cost of funds) to the conduit investor plus 1.75% per annum in the manner provided in the VFN Purchase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issuance of the Series 2026-1 Notes represents the Company’s inaugural issuance of fiber network revenue notes for the Company’s fiber-to-the-home securitization program. The securitization program involves certain fiber network assets and certain residential customer contracts in the States of Texas, Arkansas, Kentucky, Ohio and Georgia that were sold to the Kinetic ABS 2026-1 Obligors at closing. As of the closing of the transactions on January 30, 2026, the Kinetic ABS Issuer has $960.1 million aggregate principal amount of revenue term notes outstanding, with no principal amount of variable funding notes or liquidity funding notes outstanding. The Kinetic ABS Base Indenture allows the Kinetic ABS Issuer to issue additional series of notes subject to certain conditions set forth therein.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2026-1 Notes are obligations only of the Kinetic ABS 2026-1 Obligors pursuant to the Kinetic ABS Base Indenture. Pursuant to the Kinetic ABS Base Indenture and the related transaction documents, the Series 2026-1 Notes are guaranteed by each Kinetic ABS Asset Entity and the Kinetic ABS Issuer’s direct parent company (the “Kinetic Holdco Guarantor”), and such guarantees and the Series 2026-1 Notes are secured by security interests in the equity interests in the Kinetic ABS Issuer and substantially all of the assets of the Kinetic ABS Issuer and the other Kinetic ABS 2026-1 Obligors, which assets are primarily the fiber network assets and related residential customer contracts in the States of Texas, Arkansas, Kentucky, Ohio and Georgia that have been sold or contributed to the Kinetic ABS Asset Entities by the non-securitization subsidiaries of the Company and the revenue collections and other proceeds thereof. Neither the Company nor any subsidiary of the Company, other than the Kinetic ABS 2026-1 Obligors and the Kinetic Holdco Guarantor (all of which are unrestricted subsidiaries under the Company’s other debt agreements), will guarantee or in any way be liable for the obligations of the Kinetic ABS 2026-1 Obligors under the Kinetic ABS Base Indenture or the Series 2026-1 Notes, and neither the Kinetic Holdco Guarantor, the Kinetic ABS Issuer nor any of the other Kinetic ABS 2026-1 Obligors shall guarantee or in any way be liable for the obligations of the Company or its subsidiaries under the Company’s other debt agreements.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2026-1 Notes are subject to a series of customary covenants and restrictions. These covenants and restrictions include (i) that the Kinetic ABS Issuer maintains a liquidity reserve account to be used to make required payments in respect of the Series 2026-1 Notes, (ii) provisions relating to optional and mandatory prepayments, including specified make-whole payments in the case of certain optional prepayments of the Kinetic ABS 2026-1 Notes prior to the monthly payment date in February 2029, and (iii) covenants relating to recordkeeping, access to information and similar matters. As provided in the Kinetic ABS Base Indenture, the Kinetic ABS 2026-1 Notes and the Kinetic ABS Class A-1 Variable Funding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Series 2026-1 Notes are also subject to certain customary events of default, including events relating to non-payment of required interest, principal or other amounts due on or with respect to the Series 2026-1 Notes, failure to comply with covenants within certain time frames, certain bankruptcy events, breaches of specified representations and warranties, failure of security interests to be effective and certain judgments.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Maturities for long-term debt outstanding as of June 30, 2026, excluding $(34.0) million of unamortized premium (discount) and deferred financing costs, were as follows:</w:t>
      </w:r>
    </w:p>
    <w:p>
      <w:pPr>
        <w:pStyle w:val="TextBody"/>
        <w:bidi w:val="0"/>
        <w:spacing w:before="0" w:after="0"/>
        <w:jc w:val="both"/>
        <w:rPr/>
      </w:pPr>
      <w:r>
        <w:rPr/>
      </w:r>
    </w:p>
    <w:tbl>
      <w:tblPr>
        <w:tblW w:w="3243"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7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10,680.6 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Gain (Loss) on Extinguishment of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above, in February 2026, Uniti Services used a portion of the net proceeds from the issuance of the $1.0 billion aggregate principal amount of additional 8.625% notes to repay in full the Windstream Term Loan, which was accounted for as a debt extinguishment. As a result, the Company recognized a pretax gain on the extinguishment of debt of $1.2 million, consisting of the write-off of the unamortized premium related to the Windstream Term Loan at the date of repayment.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2025, Old Uniti used a portion of the net proceeds from the offering of the Fiber Infrastructure ABS Notes to repay and terminate the term loan facility under its bridge loan and security agreement, dated as of February 23, 2024 (the “ABS Loan Facility”) and to redeem $125.0 million aggregate principal amount of its 10.50% secured notes. In connection with these transactions, Old Uniti recognized a pretax loss on the extinguishment of the ABS Loan Facility of $3.2 million and a pretax loss on the partial extinguishment of the 10.50% secured notes of $5.3 million, which included $4.8 million for the write off of the unamortized discount and deferred financing costs and $3.7 million for the redemption premiums.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Old Uniti recognized a $32.0 million loss on the partial extinguishment of the 10.50% secured notes, which included $4.7 million for the write off of the unamortized premium and deferred financing costs and $27.3 million for the redemption premium.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Deferred Financing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financing costs were incurred in connection with the issuance of the notes and other debt obligations. These costs are deferred and amortized using the effective interest method over the term of the related indebtedness and are included in interest expense in our condensed consolidated statements of operations. For the three and six months ended June 30, 2026, the Company recognized $6.4 million and $11.7 million of non-cash interest expense, respectively, related to the amortization of deferred financing costs. Comparatively, for the three and six months ended June 30, 2025, Old Uniti recognized $5.7 million and $11.7 million of non-cash interest expense, respectively, related to the amortization of deferred financing costs.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was as follows:</w:t>
      </w:r>
    </w:p>
    <w:p>
      <w:pPr>
        <w:pStyle w:val="TextBody"/>
        <w:bidi w:val="0"/>
        <w:spacing w:before="0" w:after="0"/>
        <w:jc w:val="both"/>
        <w:rPr/>
      </w:pPr>
      <w:r>
        <w:rPr/>
      </w:r>
    </w:p>
    <w:tbl>
      <w:tblPr>
        <w:tblW w:w="9537" w:type="dxa"/>
        <w:jc w:val="left"/>
        <w:tblInd w:w="0" w:type="dxa"/>
        <w:tblLayout w:type="fixed"/>
        <w:tblCellMar>
          <w:top w:w="28" w:type="dxa"/>
          <w:left w:w="28" w:type="dxa"/>
          <w:bottom w:w="28" w:type="dxa"/>
          <w:right w:w="28" w:type="dxa"/>
        </w:tblCellMar>
      </w:tblPr>
      <w:tblGrid>
        <w:gridCol w:w="1608"/>
        <w:gridCol w:w="1414"/>
        <w:gridCol w:w="141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facility -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Fiber Infrastructure ABS Notes and </w:t>
              <w:br/>
              <w:t>   Bridge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Kinetic ABS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w:t>
              <w:br/>
              <w:t>   debt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net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to mitigate its exposure to the variability in cash flows related to its variable rate debt outstanding under its credit agreements. As of December 31, 2025, the Company was party to four pay fixed, receive variable interest rate swap agreements with two bank counterparties. The first swap was assumed by the Company in connection with the Merger and has a notional value of $200.0 million, fixed rate paid of 4.1730% and matures on October 31, 2029. On October 6, 2025, the Company entered into three new interest rate swap agreements consisting of a swap with a notional value of $400.0 million, fixed rate paid of 3.332%, maturing on October 31, 2028; a swap with a notional value of $400.0 million, fixed rate paid of 3.365%, maturing on October 31, 2029; and a swap with a notional value of $400.0 million, fixed rate paid of 3.417%, maturing on October 31, 2030. For all four interest rate swaps, the variable rate received is the one-month USD-SOFR (not subject to a floor) that resets at the end of each month. The Company has designated the swaps as cash flow hedges of the interest rate risk inherent in borrowings outstanding under its credit agreements due to changes in the benchmark interest rate.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conjunction with the first quarter 2026 debt refinancing transactions previously discussed in </w:t>
      </w:r>
      <w:hyperlink w:anchor="ie70f00857744476b82c49a37d8161764_49">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which included the repayment of the Windstream Term Loan, on January 28, 2026, the Company terminated a portion of each of the three $400.0 million notional value interest rates swaps. For each affected interest rate swap, $250.0 million of the original $400.0 million notional value was terminated, and accordingly, the remaining notional value for each of the three interest rate swaps was $150.0 million ($450.0 million in the aggregate). Upon termination, the Company received aggregate cash proceeds of $2.6 million from the respective bank counterparties and the Company discontinued hedge accounting for the terminated portion of the three interest rate swaps. Because the Company concluded that it was probable that a portion of the original hedged transactions (future variable interest payments) would still occur, the risk of the variability of future cash flows was not fully eliminated upon discontinuing hedge accounting. Accordingly, unrealized gains deferred in accumulated other comprehensive income related to the discontinued hedging relationships as of January 28, 2026, of approximately $2.8 million are being amortized on a straight-line basis to interest expense over the remaining contractual terms of the underlying interest rate swaps. Unrealized gains related to the portion of the forecasted variable interest rate payments that were probable not to occur of approximately $1.0 million were immediately recognized in other income,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interest rate swaps discussed above, on March 1, 2024, Old Uniti had entered into an interest rate cap related to the ABS Loan Facility, which was designated as a cash flow hedge, with a notional value of $275.0 million, and effectively capped the one-month term USD-SOFR at 4.50%. The interest rate cap expired during the third quarter of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Set forth below is information related to the Company’s cash flow hedges:</w:t>
      </w:r>
    </w:p>
    <w:p>
      <w:pPr>
        <w:pStyle w:val="TextBody"/>
        <w:bidi w:val="0"/>
        <w:spacing w:before="0" w:after="0"/>
        <w:jc w:val="both"/>
        <w:rPr/>
      </w:pPr>
      <w:r>
        <w:rPr/>
      </w:r>
    </w:p>
    <w:tbl>
      <w:tblPr>
        <w:tblW w:w="7927" w:type="dxa"/>
        <w:jc w:val="left"/>
        <w:tblInd w:w="0" w:type="dxa"/>
        <w:tblLayout w:type="fixed"/>
        <w:tblCellMar>
          <w:top w:w="28" w:type="dxa"/>
          <w:left w:w="28" w:type="dxa"/>
          <w:bottom w:w="28" w:type="dxa"/>
          <w:right w:w="28" w:type="dxa"/>
        </w:tblCellMar>
      </w:tblPr>
      <w:tblGrid>
        <w:gridCol w:w="1895"/>
        <w:gridCol w:w="1662"/>
        <w:gridCol w:w="1677"/>
        <w:gridCol w:w="109"/>
        <w:gridCol w:w="109"/>
        <w:gridCol w:w="109"/>
        <w:gridCol w:w="226"/>
        <w:gridCol w:w="436"/>
        <w:gridCol w:w="117"/>
        <w:gridCol w:w="109"/>
        <w:gridCol w:w="109"/>
        <w:gridCol w:w="109"/>
        <w:gridCol w:w="337"/>
        <w:gridCol w:w="674"/>
        <w:gridCol w:w="249"/>
      </w:tblGrid>
      <w:tr>
        <w:trPr/>
        <w:tc>
          <w:tcPr>
            <w:tcW w:w="1895"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portion of cash flow hedges, measured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De-designated portion of cash flow hedges, unamortized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derivative instruments were as follows for the six months ended June 30:</w:t>
      </w:r>
    </w:p>
    <w:p>
      <w:pPr>
        <w:pStyle w:val="TextBody"/>
        <w:bidi w:val="0"/>
        <w:spacing w:before="0" w:after="0"/>
        <w:jc w:val="both"/>
        <w:rPr/>
      </w:pPr>
      <w:r>
        <w:rPr/>
      </w:r>
    </w:p>
    <w:tbl>
      <w:tblPr>
        <w:tblW w:w="6845" w:type="dxa"/>
        <w:jc w:val="left"/>
        <w:tblInd w:w="0" w:type="dxa"/>
        <w:tblLayout w:type="fixed"/>
        <w:tblCellMar>
          <w:top w:w="28" w:type="dxa"/>
          <w:left w:w="28" w:type="dxa"/>
          <w:bottom w:w="28" w:type="dxa"/>
          <w:right w:w="28" w:type="dxa"/>
        </w:tblCellMar>
      </w:tblPr>
      <w:tblGrid>
        <w:gridCol w:w="1634"/>
        <w:gridCol w:w="1433"/>
        <w:gridCol w:w="1447"/>
        <w:gridCol w:w="109"/>
        <w:gridCol w:w="109"/>
        <w:gridCol w:w="109"/>
        <w:gridCol w:w="211"/>
        <w:gridCol w:w="511"/>
        <w:gridCol w:w="109"/>
        <w:gridCol w:w="109"/>
        <w:gridCol w:w="109"/>
        <w:gridCol w:w="109"/>
        <w:gridCol w:w="211"/>
        <w:gridCol w:w="481"/>
        <w:gridCol w:w="154"/>
      </w:tblGrid>
      <w:tr>
        <w:trPr/>
        <w:tc>
          <w:tcPr>
            <w:tcW w:w="163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unrealized (gains) losses,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De-designated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unrealized gains, net of tax</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expects to recognize net gains of $3.3 million, net of taxes, in interest expense during the next twelve months for interest settlements related to its interest rate swap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or a portion of the change in fair value of the interest rate swap agreements recorded in accumulated other comprehensive income (loss) may be recognized in earnings in certain situations. If the Company extinguishes all of its variable rate debt, or a portion of its variable rate debt such that the outstanding notional amount of the swap exceeds the outstanding notional amount of variable rate debt, all or a portion of the change in fair value of the swap may be recognized in earnings. In addition, the change in fair value of the swap may be recognized in earnings if the Company determines it is no longer probable that it will have future variable rate cash flows to hedge against. The Company has assessed the counterparties risk and determined that no substantial risk of default exists as of June 30, 2026, because each counterparty is a bank with a current credit rating at or above A, as determined by Moody’s Ratings, Standard &amp; Poor’s Global Ratings and Fitch Ratings.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swap agreements with each of the bank counterparties contain cross-default provisions whereby if the Company were to default on certain indebtedness and that indebtedness was to be accelerated, it could result in the counterparties terminating the outstanding swap agreements. Were such a termination to occur, the party that was in a liability position under the applicable swap at the time of such termination would be required to pay the value of the swap, as determined in accordance with the terms of the applicable swap agreement, to the other party. The Company’s obligations to the counterparties are secured and the Company does not post any separate collateral to the bank counterparties related to its interest rate swap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Balance Sheet Offsetting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master netting arrangements, which are designed to reduce credit risk by permitting net settlement of transactions, with counterparties. For financial statement presentation purposes, the Company does not offset assets and liabilities under these arrangements.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derivative assets subject to an enforceable master netting arrangement as of June 30, 2026 and December 31, 2025.</w:t>
      </w:r>
    </w:p>
    <w:p>
      <w:pPr>
        <w:pStyle w:val="TextBody"/>
        <w:bidi w:val="0"/>
        <w:spacing w:before="0" w:after="0"/>
        <w:jc w:val="both"/>
        <w:rPr/>
      </w:pPr>
      <w:r>
        <w:rPr/>
      </w:r>
    </w:p>
    <w:tbl>
      <w:tblPr>
        <w:tblW w:w="7222" w:type="dxa"/>
        <w:jc w:val="left"/>
        <w:tblInd w:w="0" w:type="dxa"/>
        <w:tblLayout w:type="fixed"/>
        <w:tblCellMar>
          <w:top w:w="28" w:type="dxa"/>
          <w:left w:w="28" w:type="dxa"/>
          <w:bottom w:w="28" w:type="dxa"/>
          <w:right w:w="28" w:type="dxa"/>
        </w:tblCellMar>
      </w:tblPr>
      <w:tblGrid>
        <w:gridCol w:w="636"/>
        <w:gridCol w:w="558"/>
        <w:gridCol w:w="561"/>
        <w:gridCol w:w="388"/>
        <w:gridCol w:w="746"/>
        <w:gridCol w:w="201"/>
        <w:gridCol w:w="109"/>
        <w:gridCol w:w="109"/>
        <w:gridCol w:w="109"/>
        <w:gridCol w:w="303"/>
        <w:gridCol w:w="692"/>
        <w:gridCol w:w="157"/>
        <w:gridCol w:w="157"/>
        <w:gridCol w:w="157"/>
        <w:gridCol w:w="157"/>
        <w:gridCol w:w="303"/>
        <w:gridCol w:w="584"/>
        <w:gridCol w:w="157"/>
        <w:gridCol w:w="109"/>
        <w:gridCol w:w="109"/>
        <w:gridCol w:w="109"/>
        <w:gridCol w:w="221"/>
        <w:gridCol w:w="427"/>
        <w:gridCol w:w="163"/>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Amount </w:t>
              <w:br/>
              <w:t>of Assets</w:t>
              <w:br/>
              <w:t>Presented in</w:t>
              <w:br/>
              <w:t>the Condensed</w:t>
              <w:br/>
              <w:t>Consolidated</w:t>
              <w:br/>
              <w:t>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 Not Offset</w:t>
              <w:br/>
              <w:t>in the Condensed Consolidated</w:t>
              <w:br/>
              <w:t>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133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w:t>
              <w:br/>
              <w:t>Instruments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Cash</w:t>
              <w:br/>
              <w:t>Collateral</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Amount</w:t>
            </w:r>
          </w:p>
        </w:tc>
      </w:tr>
      <w:tr>
        <w:trPr/>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pertaining to derivative liabilities was as follows:</w:t>
      </w:r>
    </w:p>
    <w:p>
      <w:pPr>
        <w:pStyle w:val="TextBody"/>
        <w:bidi w:val="0"/>
        <w:spacing w:before="0" w:after="0"/>
        <w:jc w:val="both"/>
        <w:rPr/>
      </w:pPr>
      <w:r>
        <w:rPr/>
      </w:r>
    </w:p>
    <w:tbl>
      <w:tblPr>
        <w:tblW w:w="7222" w:type="dxa"/>
        <w:jc w:val="left"/>
        <w:tblInd w:w="0" w:type="dxa"/>
        <w:tblLayout w:type="fixed"/>
        <w:tblCellMar>
          <w:top w:w="28" w:type="dxa"/>
          <w:left w:w="28" w:type="dxa"/>
          <w:bottom w:w="28" w:type="dxa"/>
          <w:right w:w="28" w:type="dxa"/>
        </w:tblCellMar>
      </w:tblPr>
      <w:tblGrid>
        <w:gridCol w:w="636"/>
        <w:gridCol w:w="558"/>
        <w:gridCol w:w="561"/>
        <w:gridCol w:w="388"/>
        <w:gridCol w:w="746"/>
        <w:gridCol w:w="201"/>
        <w:gridCol w:w="109"/>
        <w:gridCol w:w="109"/>
        <w:gridCol w:w="109"/>
        <w:gridCol w:w="303"/>
        <w:gridCol w:w="692"/>
        <w:gridCol w:w="157"/>
        <w:gridCol w:w="157"/>
        <w:gridCol w:w="157"/>
        <w:gridCol w:w="157"/>
        <w:gridCol w:w="303"/>
        <w:gridCol w:w="584"/>
        <w:gridCol w:w="157"/>
        <w:gridCol w:w="109"/>
        <w:gridCol w:w="109"/>
        <w:gridCol w:w="109"/>
        <w:gridCol w:w="221"/>
        <w:gridCol w:w="427"/>
        <w:gridCol w:w="163"/>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Amount </w:t>
              <w:br/>
              <w:t>of Liabilities</w:t>
              <w:br/>
              <w:t xml:space="preserve">Presented in </w:t>
              <w:br/>
              <w:t>the Condensed</w:t>
              <w:br/>
              <w:t>Consolidated</w:t>
              <w:br/>
              <w:t>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 Not Offset</w:t>
              <w:br/>
              <w:t>in the Condensed Consolidated</w:t>
              <w:br/>
              <w:t>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133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w:t>
              <w:br/>
              <w:t>Instruments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Cash</w:t>
              <w:br/>
              <w:t>Collateral</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Amount</w:t>
            </w:r>
          </w:p>
        </w:tc>
      </w:tr>
      <w:tr>
        <w:trPr/>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Fair Value of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of financial and non-financial assets and liabilities is defined as an exit price, representing the amount that would be received to sell an asset or transfer a liability in an orderly transaction between market participants. Authoritative guidance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Level 1</w:t>
      </w:r>
      <w:r>
        <w:rPr>
          <w:color w:val="000000"/>
        </w:rPr>
        <w:t xml:space="preserve"> – </w:t>
      </w:r>
      <w:r>
        <w:rPr>
          <w:rFonts w:ascii="Times New Roman;serif" w:hAnsi="Times New Roman;serif"/>
          <w:b w:val="false"/>
          <w:color w:val="000000"/>
          <w:sz w:val="20"/>
        </w:rPr>
        <w:t>Quoted prices (unadjusted) in active markets for identical assets or liabilities that the reporting entity can access at the assessment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Level 2</w:t>
      </w:r>
      <w:r>
        <w:rPr>
          <w:color w:val="000000"/>
        </w:rPr>
        <w:t xml:space="preserve"> – </w:t>
      </w:r>
      <w:r>
        <w:rPr>
          <w:rFonts w:ascii="Times New Roman;serif" w:hAnsi="Times New Roman;serif"/>
          <w:b w:val="false"/>
          <w:color w:val="000000"/>
          <w:sz w:val="20"/>
        </w:rPr>
        <w:t>Inputs other than quoted prices included within Level 1 that are observable for the asset or liability, either directly or indirectly; 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Level 3</w:t>
      </w:r>
      <w:r>
        <w:rPr>
          <w:color w:val="000000"/>
        </w:rPr>
        <w:t xml:space="preserve"> – </w:t>
      </w:r>
      <w:r>
        <w:rPr>
          <w:rFonts w:ascii="Times New Roman;serif" w:hAnsi="Times New Roman;serif"/>
          <w:b w:val="false"/>
          <w:color w:val="000000"/>
          <w:sz w:val="20"/>
        </w:rPr>
        <w:t>Unobservable inputs for the asset or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consist primarily of cash, cash equivalents, restricted cash, accounts receivable, accounts payable, interest rate swaps, notes and other debt, and interest and dividends payable. With respect to the Company’s financial instruments, the carrying amount of cash, restricted cash, accounts receivable, accounts payable, interest and dividends payable were estimated by management to approximate fair value due to the relatively short period of time to maturity for those instruments. The fair value of cash equivalents, interest rate swaps, and notes and other debt is measured on a recurring basis.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Non-financial assets and liabilities, including property, plant and equipment, intangible assets and asset retirement obligations, are measured at fair value on a non-recurring basis. No event occurred during the six months ended June 30, 2026 requiring any non-financial asset and liability to be subsequently recognized at fair value.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instruments was as follows:</w:t>
      </w:r>
    </w:p>
    <w:p>
      <w:pPr>
        <w:pStyle w:val="TextBody"/>
        <w:bidi w:val="0"/>
        <w:spacing w:before="0" w:after="0"/>
        <w:jc w:val="both"/>
        <w:rPr/>
      </w:pPr>
      <w:r>
        <w:rPr/>
      </w:r>
    </w:p>
    <w:tbl>
      <w:tblPr>
        <w:tblW w:w="8144" w:type="dxa"/>
        <w:jc w:val="left"/>
        <w:tblInd w:w="0" w:type="dxa"/>
        <w:tblLayout w:type="fixed"/>
        <w:tblCellMar>
          <w:top w:w="28" w:type="dxa"/>
          <w:left w:w="28" w:type="dxa"/>
          <w:bottom w:w="28" w:type="dxa"/>
          <w:right w:w="28" w:type="dxa"/>
        </w:tblCellMar>
      </w:tblPr>
      <w:tblGrid>
        <w:gridCol w:w="1823"/>
        <w:gridCol w:w="1603"/>
        <w:gridCol w:w="1613"/>
        <w:gridCol w:w="109"/>
        <w:gridCol w:w="109"/>
        <w:gridCol w:w="109"/>
        <w:gridCol w:w="211"/>
        <w:gridCol w:w="871"/>
        <w:gridCol w:w="109"/>
        <w:gridCol w:w="109"/>
        <w:gridCol w:w="109"/>
        <w:gridCol w:w="109"/>
        <w:gridCol w:w="235"/>
        <w:gridCol w:w="854"/>
        <w:gridCol w:w="171"/>
      </w:tblGrid>
      <w:tr>
        <w:trPr/>
        <w:tc>
          <w:tcPr>
            <w:tcW w:w="182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Recorded at Fair Value in the Financial Statements: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equivalents - Level 1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assets -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liabilities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 Recorded at Fair Value in the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including current portion - Level 2: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current portion of notes and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notes and other debt, net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10,987.5 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9,648.3 </w:t>
            </w:r>
          </w:p>
        </w:tc>
        <w:tc>
          <w:tcPr>
            <w:tcW w:w="1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(a)As of June 30, 2026, cash equivalents included highly liquid, actively traded money market funds with next day access.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(b)Recognized at carrying value of </w:t>
      </w:r>
      <w:r>
        <w:rPr>
          <w:rFonts w:ascii="Times New Roman;serif" w:hAnsi="Times New Roman;serif"/>
          <w:b w:val="false"/>
          <w:color w:val="000000"/>
          <w:sz w:val="20"/>
          <w:shd w:fill="FFFFFF" w:val="clear"/>
        </w:rPr>
        <w:t>$10,767.1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$9,630.8 million</w:t>
      </w:r>
      <w:r>
        <w:rPr>
          <w:rFonts w:ascii="Times New Roman;serif" w:hAnsi="Times New Roman;serif"/>
          <w:b w:val="false"/>
          <w:color w:val="000000"/>
          <w:sz w:val="20"/>
        </w:rPr>
        <w:t>, including the current portion and excluding unamortized deferred financing costs, at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interest rate swaps was determined based on the present value of expected future cash flows using the applicable observable, quoted swap rates (USD-SOFR) for the full term of the swaps and incorporating credit valuation adjustments to appropriately reflect both the Company’s own non-performance risk and non-performance risk of the respective counterparties. As of June 30, 2026, the adjustment to the fair value of the interest rate swaps to reflect non-performance risk was immaterial.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from contracts with customers are accounted for under ASC Topic 606 - Revenues from Contracts with Customers (“ASC 606”) and are earned primarily through the provisioning of telecommunications and other services and through the sale of equipment to customers and contractors. Revenues are also earned from leasing arrangements, federal and state Universal Service Fund (“USF”) programs and other regulatory-related sources and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Consumer service revenues are generated from the provisioning of broadband and voice services to consumers. Fiber subscriber consumer revenues consist of recurring products and services for fiber consumer broadband customers, which includes some cable customers with 1-Gigabyte per second (“Gbps”) service. All non-recurring revenues are included in digital subscriber line (“DSL”) subscriber and other revenues. Business service revenues are earned from providing managed communications services, integrated voice and data services, advanced data and traditional voice and long-distance services to large, mid-market and small business customers. Managed services revenues consist of recurring software solutions and network connectivity products. Software solutions include Secure Access Service Edge (“SASE”), Unified Communications as a Service (“UCaaS”), OfficeSuite UC®, and associated network access products and services. SASE includes Software Defined Wide Area Network (“SD-WAN”) and Security Service Edge (“SSE”). Network connectivity products consist of dynamic internet protocol, dedicated internet access, multi-protocol label switching services, integrated voice and data, long distance and other managed services. Managed services also include time-division multiplexing (“TDM”) voice and data services. Wholesale revenues include revenues from other communications services providers for special access circuits and fiber connections, voice and data transport services, and wireless backhaul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Service revenues also include switched access revenues, amounts received from the Rural Digital Opportunity Fund (“RDOF”), federal and state USF revenues, end user surcharges and revenues from providing other miscellaneous services.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revenues include sales of various types of communications equipment and products to customers including selling network equipment to contractors on a wholesale basis. Uniti Solutions product sales include high-end data and communications equipment which facilitate the delivery of advanced data and voice services to business customers. Sales revenues also include amounts recognized from sales-type leases for fiber where control of the fiber has transferred to the customer.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Accounts Receivable</w:t>
      </w:r>
      <w:r>
        <w:rPr>
          <w:color w:val="000000"/>
        </w:rPr>
        <w:t xml:space="preserve"> – </w:t>
      </w:r>
      <w:r>
        <w:rPr>
          <w:rFonts w:ascii="Times New Roman;serif" w:hAnsi="Times New Roman;serif"/>
          <w:b w:val="false"/>
          <w:color w:val="000000"/>
          <w:sz w:val="20"/>
        </w:rPr>
        <w:t>Accounts receivable consist principally of amounts billed and currently due from customers and are generally unsecured and due within 30 days. The amounts due are stated at their net estimated realizable value. An allowance for credit losses is maintained to provide for the estimated amount of receivables that will not be collected. Concentration of credit risk with respect to accounts receivable is limited because a large number of geographically diverse customers make up our customer base. Due to varying customer billing cycle cut-offs, management must estimate service revenues earned but not yet billed at the end of each reporting period. Included in accounts receivable are unbilled revenues related to services and product sales of $34.6 million and $16.7 million at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consists of the following as of:</w:t>
      </w:r>
    </w:p>
    <w:p>
      <w:pPr>
        <w:pStyle w:val="TextBody"/>
        <w:bidi w:val="0"/>
        <w:spacing w:before="0" w:after="0"/>
        <w:jc w:val="both"/>
        <w:rPr/>
      </w:pPr>
      <w:r>
        <w:rPr/>
      </w:r>
    </w:p>
    <w:tbl>
      <w:tblPr>
        <w:tblW w:w="5608" w:type="dxa"/>
        <w:jc w:val="left"/>
        <w:tblInd w:w="0" w:type="dxa"/>
        <w:tblLayout w:type="fixed"/>
        <w:tblCellMar>
          <w:top w:w="28" w:type="dxa"/>
          <w:left w:w="28" w:type="dxa"/>
          <w:bottom w:w="28" w:type="dxa"/>
          <w:right w:w="28" w:type="dxa"/>
        </w:tblCellMar>
      </w:tblPr>
      <w:tblGrid>
        <w:gridCol w:w="999"/>
        <w:gridCol w:w="876"/>
        <w:gridCol w:w="884"/>
        <w:gridCol w:w="109"/>
        <w:gridCol w:w="109"/>
        <w:gridCol w:w="109"/>
        <w:gridCol w:w="211"/>
        <w:gridCol w:w="616"/>
        <w:gridCol w:w="109"/>
        <w:gridCol w:w="109"/>
        <w:gridCol w:w="109"/>
        <w:gridCol w:w="109"/>
        <w:gridCol w:w="271"/>
        <w:gridCol w:w="791"/>
        <w:gridCol w:w="197"/>
      </w:tblGrid>
      <w:tr>
        <w:trPr/>
        <w:tc>
          <w:tcPr>
            <w:tcW w:w="9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7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9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in the allowance for credit losses consisted of the following:</w:t>
      </w:r>
    </w:p>
    <w:p>
      <w:pPr>
        <w:pStyle w:val="TextBody"/>
        <w:bidi w:val="0"/>
        <w:spacing w:before="0" w:after="0"/>
        <w:jc w:val="both"/>
        <w:rPr/>
      </w:pPr>
      <w:r>
        <w:rPr/>
      </w:r>
    </w:p>
    <w:tbl>
      <w:tblPr>
        <w:tblW w:w="4292" w:type="dxa"/>
        <w:jc w:val="left"/>
        <w:tblInd w:w="0" w:type="dxa"/>
        <w:tblLayout w:type="fixed"/>
        <w:tblCellMar>
          <w:top w:w="28" w:type="dxa"/>
          <w:left w:w="28" w:type="dxa"/>
          <w:bottom w:w="28" w:type="dxa"/>
          <w:right w:w="28" w:type="dxa"/>
        </w:tblCellMar>
      </w:tblPr>
      <w:tblGrid>
        <w:gridCol w:w="1118"/>
        <w:gridCol w:w="984"/>
        <w:gridCol w:w="987"/>
        <w:gridCol w:w="109"/>
        <w:gridCol w:w="109"/>
        <w:gridCol w:w="109"/>
        <w:gridCol w:w="211"/>
        <w:gridCol w:w="51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estimated credit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recovered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Contract Balances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include unbilled amounts, which result when revenue recognized exceeds the amount billed to the customer and the right to payment is not just subject to the passage of time. Contract assets principally consist of discounts and promotional credits given to customers. The current and noncurrent portions of contract assets are included in other current assets and other assets, respectively, in the accompanying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consist of services billed in excess of revenue recognized. The changes in contract liabilities are primarily related to customer activity associated with services billed in advance, the receipt of cash payments and the satisfaction of performance obligations. Deferred revenue amounts are classified as current or noncurrent based on the timing of when the Company expects to recognize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also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and liabilities from contracts with customers were as follows at:</w:t>
      </w:r>
    </w:p>
    <w:p>
      <w:pPr>
        <w:pStyle w:val="TextBody"/>
        <w:bidi w:val="0"/>
        <w:spacing w:before="0" w:after="0"/>
        <w:jc w:val="both"/>
        <w:rPr/>
      </w:pPr>
      <w:r>
        <w:rPr/>
      </w:r>
    </w:p>
    <w:tbl>
      <w:tblPr>
        <w:tblW w:w="4769" w:type="dxa"/>
        <w:jc w:val="left"/>
        <w:tblInd w:w="0" w:type="dxa"/>
        <w:tblLayout w:type="fixed"/>
        <w:tblCellMar>
          <w:top w:w="28" w:type="dxa"/>
          <w:left w:w="28" w:type="dxa"/>
          <w:bottom w:w="28" w:type="dxa"/>
          <w:right w:w="28" w:type="dxa"/>
        </w:tblCellMar>
      </w:tblPr>
      <w:tblGrid>
        <w:gridCol w:w="695"/>
        <w:gridCol w:w="611"/>
        <w:gridCol w:w="614"/>
        <w:gridCol w:w="109"/>
        <w:gridCol w:w="109"/>
        <w:gridCol w:w="109"/>
        <w:gridCol w:w="211"/>
        <w:gridCol w:w="616"/>
        <w:gridCol w:w="109"/>
        <w:gridCol w:w="109"/>
        <w:gridCol w:w="109"/>
        <w:gridCol w:w="109"/>
        <w:gridCol w:w="271"/>
        <w:gridCol w:w="791"/>
        <w:gridCol w:w="197"/>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19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(b)</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9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(a)$30.8 million and $34.8 million included in other current assets and $26.7 million and $26.9 million included in other assets as of June 30, 2026 and December 31, 2025, respectively.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(b)$108.3 million and $112.9 million included in current deferred revenue and $68.4 million and $61.0 million included in noncurrent deferred revenue as of June 30, 2026 and December 31, 2025, respectively.</w:t>
      </w:r>
    </w:p>
    <w:p>
      <w:pPr>
        <w:pStyle w:val="TextBody"/>
        <w:bidi w:val="0"/>
        <w:spacing w:before="0" w:after="0"/>
        <w:ind w:left="0" w:right="0" w:hanging="360"/>
        <w:jc w:val="both"/>
        <w:rPr/>
      </w:pPr>
      <w:r>
        <w:rPr/>
      </w:r>
    </w:p>
    <w:tbl>
      <w:tblPr>
        <w:tblW w:w="8321" w:type="dxa"/>
        <w:jc w:val="left"/>
        <w:tblInd w:w="0" w:type="dxa"/>
        <w:tblLayout w:type="fixed"/>
        <w:tblCellMar>
          <w:top w:w="28" w:type="dxa"/>
          <w:left w:w="28" w:type="dxa"/>
          <w:bottom w:w="28" w:type="dxa"/>
          <w:right w:w="28" w:type="dxa"/>
        </w:tblCellMar>
      </w:tblPr>
      <w:tblGrid>
        <w:gridCol w:w="1393"/>
        <w:gridCol w:w="1223"/>
        <w:gridCol w:w="1238"/>
        <w:gridCol w:w="109"/>
        <w:gridCol w:w="109"/>
        <w:gridCol w:w="109"/>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406"/>
        <w:gridCol w:w="154"/>
      </w:tblGrid>
      <w:tr>
        <w:trPr/>
        <w:tc>
          <w:tcPr>
            <w:tcW w:w="139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5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recognized included in the opening</w:t>
              <w:br/>
              <w:t>    contract liability balance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Remaining Performance Obligations</w:t>
      </w:r>
      <w:r>
        <w:rPr>
          <w:color w:val="000000"/>
        </w:rPr>
        <w:t xml:space="preserve"> – </w:t>
      </w:r>
      <w:r>
        <w:rPr>
          <w:rFonts w:ascii="Times New Roman;serif" w:hAnsi="Times New Roman;serif"/>
          <w:b w:val="false"/>
          <w:color w:val="000000"/>
          <w:sz w:val="20"/>
        </w:rPr>
        <w:t xml:space="preserve">Remaining performance obligations represent services the Company is required to provide to customers under bundled or discounted arrangements, which are satisfied as services are provided over the contract term. Certain contracts provide customers the option to purchase additional services or usage-based services. The fees relate to the additional services or usage-based services and are recognized when the customer exercises the option, typically on a month-to-month basis. In determining the transaction price allocated, the Company does not include these non-recurring fees and estimates for usage, nor does it consider arrangements with an original expected duration of less than one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reflect recurring charges billed, adjusted for discounts and promotional credits and revenue adjustments. At June 30, 2026, the aggregate amount of the transaction price allocated to remaining performance obligations was approximately $2.1 billion for contracts with original expected durations of more than one year remaining. The Company expects to recognize approximately 20%, 34%, and 24% of our remaining performance obligations as revenue during the remainder of 2026, 2027 and 2028, respectively, with the remaining balance thereafter.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Revenue by Category</w:t>
      </w:r>
      <w:r>
        <w:rPr>
          <w:color w:val="000000"/>
        </w:rPr>
        <w:t xml:space="preserve"> – </w:t>
      </w:r>
      <w:r>
        <w:rPr>
          <w:rFonts w:ascii="Times New Roman;serif" w:hAnsi="Times New Roman;serif"/>
          <w:b w:val="false"/>
          <w:color w:val="000000"/>
          <w:sz w:val="20"/>
        </w:rPr>
        <w:t xml:space="preserve">Uniti disaggregates its revenues from contracts with customers based on the business segment and class of customer to which products and services are provided because management believes that doing so best depicts the nature, amount and timing of the Company’s revenue recognition. As further discussed in </w:t>
      </w:r>
      <w:hyperlink w:anchor="ie70f00857744476b82c49a37d8161764_76">
        <w:r>
          <w:rPr>
            <w:rStyle w:val="InternetLink"/>
            <w:rFonts w:ascii="Times New Roman;serif" w:hAnsi="Times New Roman;serif"/>
            <w:b w:val="false"/>
            <w:color w:val="0000FF"/>
            <w:sz w:val="20"/>
            <w:u w:val="single"/>
          </w:rPr>
          <w:t>Note 12</w:t>
        </w:r>
      </w:hyperlink>
      <w:r>
        <w:rPr>
          <w:rFonts w:ascii="Times New Roman;serif" w:hAnsi="Times New Roman;serif"/>
          <w:b w:val="false"/>
          <w:color w:val="000000"/>
          <w:sz w:val="20"/>
        </w:rPr>
        <w:t>, effective August 1, 2025, we aligned the reporting structure to include the acquired Windstream businesses which resulted in combining the legacy fiber and leasing businesses into a new segment and adding additional segments for the acquired businesses. All prior periods amounts have been recast to conform to the current year presentation.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disaggregated by category were as follows:</w:t>
      </w:r>
    </w:p>
    <w:p>
      <w:pPr>
        <w:pStyle w:val="TextBody"/>
        <w:bidi w:val="0"/>
        <w:spacing w:before="0" w:after="0"/>
        <w:jc w:val="both"/>
        <w:rPr/>
      </w:pPr>
      <w:r>
        <w:rPr/>
      </w:r>
    </w:p>
    <w:tbl>
      <w:tblPr>
        <w:tblW w:w="9869" w:type="dxa"/>
        <w:jc w:val="left"/>
        <w:tblInd w:w="0" w:type="dxa"/>
        <w:tblLayout w:type="fixed"/>
        <w:tblCellMar>
          <w:top w:w="28" w:type="dxa"/>
          <w:left w:w="28" w:type="dxa"/>
          <w:bottom w:w="28" w:type="dxa"/>
          <w:right w:w="28" w:type="dxa"/>
        </w:tblCellMar>
      </w:tblPr>
      <w:tblGrid>
        <w:gridCol w:w="1316"/>
        <w:gridCol w:w="1161"/>
        <w:gridCol w:w="1168"/>
        <w:gridCol w:w="109"/>
        <w:gridCol w:w="109"/>
        <w:gridCol w:w="109"/>
        <w:gridCol w:w="211"/>
        <w:gridCol w:w="616"/>
        <w:gridCol w:w="109"/>
        <w:gridCol w:w="109"/>
        <w:gridCol w:w="109"/>
        <w:gridCol w:w="109"/>
        <w:gridCol w:w="371"/>
        <w:gridCol w:w="1085"/>
        <w:gridCol w:w="193"/>
        <w:gridCol w:w="109"/>
        <w:gridCol w:w="109"/>
        <w:gridCol w:w="109"/>
        <w:gridCol w:w="304"/>
        <w:gridCol w:w="889"/>
        <w:gridCol w:w="157"/>
        <w:gridCol w:w="109"/>
        <w:gridCol w:w="109"/>
        <w:gridCol w:w="109"/>
        <w:gridCol w:w="211"/>
        <w:gridCol w:w="61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7"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service revenues accounted for under </w:t>
              <w:br/>
              <w:t>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accounted for</w:t>
              <w:br/>
              <w:t>   under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and sales revenues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5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909.7 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169" w:type="dxa"/>
        <w:jc w:val="left"/>
        <w:tblInd w:w="0" w:type="dxa"/>
        <w:tblLayout w:type="fixed"/>
        <w:tblCellMar>
          <w:top w:w="28" w:type="dxa"/>
          <w:left w:w="28" w:type="dxa"/>
          <w:bottom w:w="28" w:type="dxa"/>
          <w:right w:w="28" w:type="dxa"/>
        </w:tblCellMar>
      </w:tblPr>
      <w:tblGrid>
        <w:gridCol w:w="1316"/>
        <w:gridCol w:w="1161"/>
        <w:gridCol w:w="1168"/>
        <w:gridCol w:w="109"/>
        <w:gridCol w:w="109"/>
        <w:gridCol w:w="109"/>
        <w:gridCol w:w="211"/>
        <w:gridCol w:w="766"/>
        <w:gridCol w:w="109"/>
        <w:gridCol w:w="109"/>
        <w:gridCol w:w="109"/>
        <w:gridCol w:w="109"/>
        <w:gridCol w:w="371"/>
        <w:gridCol w:w="1085"/>
        <w:gridCol w:w="193"/>
        <w:gridCol w:w="109"/>
        <w:gridCol w:w="109"/>
        <w:gridCol w:w="109"/>
        <w:gridCol w:w="304"/>
        <w:gridCol w:w="889"/>
        <w:gridCol w:w="157"/>
        <w:gridCol w:w="109"/>
        <w:gridCol w:w="109"/>
        <w:gridCol w:w="109"/>
        <w:gridCol w:w="211"/>
        <w:gridCol w:w="76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7"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Category: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service revenues accounted for under </w:t>
              <w:br/>
              <w:t>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accounted for</w:t>
              <w:br/>
              <w:t>   under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and sales revenues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5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1,897.2 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tbl>
      <w:tblPr>
        <w:tblW w:w="9658" w:type="dxa"/>
        <w:jc w:val="left"/>
        <w:tblInd w:w="0" w:type="dxa"/>
        <w:tblLayout w:type="fixed"/>
        <w:tblCellMar>
          <w:top w:w="28" w:type="dxa"/>
          <w:left w:w="28" w:type="dxa"/>
          <w:bottom w:w="28" w:type="dxa"/>
          <w:right w:w="28" w:type="dxa"/>
        </w:tblCellMar>
      </w:tblPr>
      <w:tblGrid>
        <w:gridCol w:w="1316"/>
        <w:gridCol w:w="1161"/>
        <w:gridCol w:w="1168"/>
        <w:gridCol w:w="109"/>
        <w:gridCol w:w="109"/>
        <w:gridCol w:w="109"/>
        <w:gridCol w:w="211"/>
        <w:gridCol w:w="406"/>
        <w:gridCol w:w="109"/>
        <w:gridCol w:w="109"/>
        <w:gridCol w:w="109"/>
        <w:gridCol w:w="109"/>
        <w:gridCol w:w="371"/>
        <w:gridCol w:w="1085"/>
        <w:gridCol w:w="193"/>
        <w:gridCol w:w="109"/>
        <w:gridCol w:w="109"/>
        <w:gridCol w:w="109"/>
        <w:gridCol w:w="391"/>
        <w:gridCol w:w="754"/>
        <w:gridCol w:w="204"/>
        <w:gridCol w:w="109"/>
        <w:gridCol w:w="109"/>
        <w:gridCol w:w="109"/>
        <w:gridCol w:w="211"/>
        <w:gridCol w:w="61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service revenues accounted for under </w:t>
              <w:br/>
              <w:t>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accounted for</w:t>
              <w:br/>
              <w:t>   under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and sales revenues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658" w:type="dxa"/>
        <w:jc w:val="left"/>
        <w:tblInd w:w="0" w:type="dxa"/>
        <w:tblLayout w:type="fixed"/>
        <w:tblCellMar>
          <w:top w:w="28" w:type="dxa"/>
          <w:left w:w="28" w:type="dxa"/>
          <w:bottom w:w="28" w:type="dxa"/>
          <w:right w:w="28" w:type="dxa"/>
        </w:tblCellMar>
      </w:tblPr>
      <w:tblGrid>
        <w:gridCol w:w="1316"/>
        <w:gridCol w:w="1161"/>
        <w:gridCol w:w="1168"/>
        <w:gridCol w:w="109"/>
        <w:gridCol w:w="109"/>
        <w:gridCol w:w="109"/>
        <w:gridCol w:w="211"/>
        <w:gridCol w:w="406"/>
        <w:gridCol w:w="109"/>
        <w:gridCol w:w="109"/>
        <w:gridCol w:w="109"/>
        <w:gridCol w:w="109"/>
        <w:gridCol w:w="371"/>
        <w:gridCol w:w="1085"/>
        <w:gridCol w:w="193"/>
        <w:gridCol w:w="109"/>
        <w:gridCol w:w="109"/>
        <w:gridCol w:w="109"/>
        <w:gridCol w:w="391"/>
        <w:gridCol w:w="754"/>
        <w:gridCol w:w="204"/>
        <w:gridCol w:w="109"/>
        <w:gridCol w:w="109"/>
        <w:gridCol w:w="109"/>
        <w:gridCol w:w="211"/>
        <w:gridCol w:w="61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Category: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service revenues accounted for under </w:t>
              <w:br/>
              <w:t>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accounted for</w:t>
              <w:br/>
              <w:t>   under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and sales revenues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(a)Other service and sales revenues primarily consist of end user surcharges, funding from the RDOF and state USF, and revenues from sales-type leases.</w:t>
      </w:r>
    </w:p>
    <w:p>
      <w:pPr>
        <w:pStyle w:val="TextBody"/>
        <w:bidi w:val="0"/>
        <w:spacing w:before="0" w:after="0"/>
        <w:ind w:left="0" w:right="0" w:hanging="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u w:val="single"/>
        </w:rPr>
        <w:t>Deferred Contract Acquisition and Fulfillment Costs</w:t>
      </w:r>
      <w:r>
        <w:rPr>
          <w:color w:val="000000"/>
        </w:rPr>
        <w:t xml:space="preserve"> – </w:t>
      </w:r>
      <w:r>
        <w:rPr>
          <w:rFonts w:ascii="Times New Roman;serif" w:hAnsi="Times New Roman;serif"/>
          <w:b w:val="false"/>
          <w:color w:val="000000"/>
          <w:sz w:val="20"/>
        </w:rPr>
        <w:t>Direct incremental costs to acquire a contract, consisting of sales commissions and direct incremental costs to fulfill a contract consisting of labor and materials consumed for activities associated with the provision, installation and activation of services, including costs to implement customized solutions, are deferred and recognized in operating expenses using a portfolio approach over the estimated life of the customer, which ranges from 36 to 48 months. Determining the amount of costs to fulfill a contract requires management judgment. In determining costs to fulfill, consideration is given to periodic time studies, management estimates and statistics from internal information systems.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contract acquisition and fulfillment costs are classified as current or noncurrent based on the timing of when the Company expects to recognize the expense. The current and noncurrent portions of deferred contract acquisition and fulfillment costs are included in prepaid expenses and other assets, respectively, in the accompanying condensed consolidated balance sheets. Amortization of deferred contract acquisition costs and amortization of deferred fulfillment costs are included in selling, general and administrative expenses and costs of services, respectively, in the accompanying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deferred contract acquisition and fulfillment costs as of:</w:t>
      </w:r>
    </w:p>
    <w:p>
      <w:pPr>
        <w:pStyle w:val="TextBody"/>
        <w:bidi w:val="0"/>
        <w:spacing w:before="0" w:after="0"/>
        <w:jc w:val="both"/>
        <w:rPr/>
      </w:pPr>
      <w:r>
        <w:rPr/>
      </w:r>
    </w:p>
    <w:tbl>
      <w:tblPr>
        <w:tblW w:w="6119" w:type="dxa"/>
        <w:jc w:val="left"/>
        <w:tblInd w:w="0" w:type="dxa"/>
        <w:tblLayout w:type="fixed"/>
        <w:tblCellMar>
          <w:top w:w="28" w:type="dxa"/>
          <w:left w:w="28" w:type="dxa"/>
          <w:bottom w:w="28" w:type="dxa"/>
          <w:right w:w="28" w:type="dxa"/>
        </w:tblCellMar>
      </w:tblPr>
      <w:tblGrid>
        <w:gridCol w:w="1221"/>
        <w:gridCol w:w="1072"/>
        <w:gridCol w:w="1081"/>
        <w:gridCol w:w="109"/>
        <w:gridCol w:w="109"/>
        <w:gridCol w:w="109"/>
        <w:gridCol w:w="211"/>
        <w:gridCol w:w="511"/>
        <w:gridCol w:w="109"/>
        <w:gridCol w:w="109"/>
        <w:gridCol w:w="109"/>
        <w:gridCol w:w="109"/>
        <w:gridCol w:w="303"/>
        <w:gridCol w:w="734"/>
        <w:gridCol w:w="223"/>
      </w:tblGrid>
      <w:tr>
        <w:trPr/>
        <w:tc>
          <w:tcPr>
            <w:tcW w:w="122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33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fulfillment costs: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fulfillment costs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2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deferred contract acquisition costs was $5.5 million and $9.3 million for the three and six months ended June 30, 2026, respectively, as compared to $1.4 million and $2.5 million for the three and six months ended June 30, 2025. Amortization of deferred contract fulfillment costs was $1.5 million and $2.5 million for the three and six months ended June 30, 2026. There was no amortization of deferred contract fulfillment costs recorded during the three and six months ended 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Employee Benefit Plans: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connection with the Merger, the Company assumed </w:t>
      </w:r>
      <w:r>
        <w:rPr>
          <w:rFonts w:ascii="Times New Roman;serif" w:hAnsi="Times New Roman;serif"/>
          <w:b w:val="false"/>
          <w:color w:val="000000"/>
          <w:sz w:val="20"/>
        </w:rPr>
        <w:t xml:space="preserve">a non-contributory qualified defined benefit pension plan. Future benefit accruals for all eligible non-bargaining unit employees covered by the pension plan have ceased.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minimum required employer contributions to the pension plan in 2026 total $20.6 million, consisting of $7.4 million for the 2025 plan year and $13.2 million for the 2026 plan year. In January 2026, the Company made a $4.5 million cash contribution to the pension plan attributable to the 2025 plan year and will contribute the remaining $2.9 million for the 2025 plan year in September 2026. Incremental to its required minimum funding contributions, the Company also made a voluntary cash contribution of $4.4 million to the pension plan on June 2, 2026, which was allocated to the 2025 plan year. On April 15, 2026, the Company made in cash its first required quarterly employer contribution for the 2026 plan year of $4.4 million, and on July 15, 2026, the Company made in cash its second required quarterly employer contribution for the 2026 plan year of $4.4 million. The total amount of the 2026 employer contributions, and amount and timing of future contributions including any voluntary contributions, to the pension plan are dependent upon a myriad of factors, including future investment performance, changes in future discount rates, and changes in the demographics of the population participating in the plan.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pension income were as follows:</w:t>
      </w:r>
    </w:p>
    <w:p>
      <w:pPr>
        <w:pStyle w:val="TextBody"/>
        <w:bidi w:val="0"/>
        <w:spacing w:before="0" w:after="0"/>
        <w:jc w:val="both"/>
        <w:rPr/>
      </w:pPr>
      <w:r>
        <w:rPr/>
      </w:r>
    </w:p>
    <w:tbl>
      <w:tblPr>
        <w:tblW w:w="7677"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109"/>
        <w:gridCol w:w="109"/>
        <w:gridCol w:w="109"/>
        <w:gridCol w:w="109"/>
        <w:gridCol w:w="109"/>
        <w:gridCol w:w="109"/>
        <w:gridCol w:w="109"/>
        <w:gridCol w:w="109"/>
        <w:gridCol w:w="109"/>
        <w:gridCol w:w="109"/>
        <w:gridCol w:w="109"/>
        <w:gridCol w:w="109"/>
        <w:gridCol w:w="340"/>
        <w:gridCol w:w="775"/>
        <w:gridCol w:w="175"/>
        <w:gridCol w:w="109"/>
        <w:gridCol w:w="109"/>
        <w:gridCol w:w="109"/>
        <w:gridCol w:w="321"/>
        <w:gridCol w:w="734"/>
        <w:gridCol w:w="235"/>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Three Months </w:t>
              <w:br/>
              <w:t>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Six Months </w:t>
              <w:br/>
              <w:t>Ended</w:t>
              <w:br/>
              <w:t>June 30, 2026</w:t>
            </w:r>
          </w:p>
        </w:tc>
      </w:tr>
      <w:tr>
        <w:trPr/>
        <w:tc>
          <w:tcPr>
            <w:tcW w:w="3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earned during the period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 on benefit obligation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income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7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(a)Included in cost of services and selling, general and administrative expense.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(b)Included in other income,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connection with the Merger, the Company also assumed </w:t>
      </w:r>
      <w:r>
        <w:rPr>
          <w:rFonts w:ascii="Times New Roman;serif" w:hAnsi="Times New Roman;serif"/>
          <w:b w:val="false"/>
          <w:color w:val="000000"/>
          <w:sz w:val="20"/>
        </w:rPr>
        <w:t>an employee savings plan under section 401(k) of the Internal Revenue Code, which covers substantially all salaried employees and certain bargaining unit employees of Windstream. Participating employees receive employer matching contributions up to a maximum of 4.0% of employee pre-tax contributions to the plan for employees contributing up to 5.0% of their eligible pre-tax compensation. The employer matching contribution is calculated and funded in cash to the plan each pay period with an annual true-up to be made as soon as administratively possible after the end of the year. Inclusive of the Company’s existing 401(k) defined contribution plan, expense attributable to the employer matching contribution under the plans, excluding amounts capitalized was $6.0 million and $13.4 million for the three and six months ended June 30, 2026, respectively, as compared to $0.6 million and $1.2 million for the three and six months ended June 30, 2025. Expense related to the employee savings plans is included in cost of services and selling, general and administrative expenses in the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Accumulated Other Comprehensive Income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income (loss) applicable to our cash flow hedges by component were as follows:</w:t>
      </w:r>
    </w:p>
    <w:p>
      <w:pPr>
        <w:pStyle w:val="TextBody"/>
        <w:bidi w:val="0"/>
        <w:spacing w:before="0" w:after="0"/>
        <w:jc w:val="both"/>
        <w:rPr/>
      </w:pPr>
      <w:r>
        <w:rPr/>
      </w:r>
    </w:p>
    <w:tbl>
      <w:tblPr>
        <w:tblW w:w="8967" w:type="dxa"/>
        <w:jc w:val="center"/>
        <w:tblInd w:w="0" w:type="dxa"/>
        <w:tblLayout w:type="fixed"/>
        <w:tblCellMar>
          <w:top w:w="28" w:type="dxa"/>
          <w:left w:w="28" w:type="dxa"/>
          <w:bottom w:w="28" w:type="dxa"/>
          <w:right w:w="28" w:type="dxa"/>
        </w:tblCellMar>
      </w:tblPr>
      <w:tblGrid>
        <w:gridCol w:w="1575"/>
        <w:gridCol w:w="1381"/>
        <w:gridCol w:w="1394"/>
        <w:gridCol w:w="109"/>
        <w:gridCol w:w="109"/>
        <w:gridCol w:w="109"/>
        <w:gridCol w:w="211"/>
        <w:gridCol w:w="511"/>
        <w:gridCol w:w="109"/>
        <w:gridCol w:w="109"/>
        <w:gridCol w:w="109"/>
        <w:gridCol w:w="109"/>
        <w:gridCol w:w="211"/>
        <w:gridCol w:w="481"/>
        <w:gridCol w:w="109"/>
        <w:gridCol w:w="109"/>
        <w:gridCol w:w="109"/>
        <w:gridCol w:w="109"/>
        <w:gridCol w:w="211"/>
        <w:gridCol w:w="511"/>
        <w:gridCol w:w="109"/>
        <w:gridCol w:w="109"/>
        <w:gridCol w:w="109"/>
        <w:gridCol w:w="109"/>
        <w:gridCol w:w="211"/>
        <w:gridCol w:w="481"/>
        <w:gridCol w:w="154"/>
      </w:tblGrid>
      <w:tr>
        <w:trPr/>
        <w:tc>
          <w:tcPr>
            <w:tcW w:w="15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59"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cap,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other </w:t>
              <w:br/>
              <w:t>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other </w:t>
              <w:br/>
              <w:t>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(Loss) Earnings Per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previously discussed in </w:t>
      </w:r>
      <w:hyperlink w:anchor="ie70f00857744476b82c49a37d8161764_40">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color w:val="000000"/>
          <w:sz w:val="20"/>
        </w:rPr>
        <w:t xml:space="preserve">in connection with the Merger, historical earnings per share data, including the weighted average number of common shares outstanding, have been retrospectively adjusted to reflect the exchange ratio for all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(loss) per share is computed by dividing net income (loss) attributable to common stockholders by the weighted-average number of common shares outstanding during the period, without consideration of potentially dilutive securities. The Warrants issued in connection with the Merger are considered participating securities and are convertible into shares of our common stock for nominal additional consideration. Accordingly, the Warrants are included in the denominator for both basic and diluted earnings (loss) per share. Dilutive earnings per share also includes the dilutive effect of the Preferred Stock issued in the Merger, the 2027 convertible notes, restricted stock and performance-based awards outstanding during the period, if their effect is not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time-based restricted stock awards are considered participating securities as they receive non-forfeitable rights to dividends at the same rate as common stock. As participating securities, we included these instruments in the computation of earnings (loss) per share under the two-class method. We also have outstanding performance-based restricted stock units (“PSUs”) that contain forfeitable rights to receive dividends. Therefore, the awards are considered non-participating restrictive shares and are not dilutive under the two-class method until performance conditions are met. For the three and six months ended June 30, 2026, 0.1 million non-participating securities were excluded from the computation of earnings (loss) per share, as their performance conditions have not been met, and 3.7 million non-participating securities were excluded from the computation of earnings (loss) per share, as their effect would have been anti-dilutive due to our reported net loss for the period. For the three and six months ended June 30, 2025, approximately 1.2 million PSUs were excluded from the computation of diluted earnings per share, as their performance conditions had not been met.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dilutive effect of the Preferred Stock was calculated by using the “if-converted” method, which assumes an add-back of dividends to net income attributable to shareholders as if the securities were converted at the beginning of the reporting period (or at time of issuance, if later) and the resulting common shares included in number of weighted average shares. The dilutive effect of the 2027 convertible notes was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the number of weighted average shares. For the three and six months ended June 30, 2026, we excluded 71.0 million and 83.8 million shares, respectively, of Preferred Stock and 25.3 million potential common shares related to the 2027 convertible notes from the computation of earnings (loss) per share, because their effect would have been antidilutive due to our reported net loss for the period. For the three and six months ended June 30, 2025, we excluded 25.3 million potential common shares related to the 2027 convertible notes from the computation of earnings per share, as their effect would have been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computation of basic and diluted (loss) earnings per share under the two-class method:</w:t>
      </w:r>
    </w:p>
    <w:p>
      <w:pPr>
        <w:pStyle w:val="TextBody"/>
        <w:bidi w:val="0"/>
        <w:spacing w:before="0" w:after="0"/>
        <w:jc w:val="both"/>
        <w:rPr/>
      </w:pPr>
      <w:r>
        <w:rPr/>
      </w:r>
    </w:p>
    <w:tbl>
      <w:tblPr>
        <w:tblW w:w="9101" w:type="dxa"/>
        <w:jc w:val="center"/>
        <w:tblInd w:w="0" w:type="dxa"/>
        <w:tblLayout w:type="fixed"/>
        <w:tblCellMar>
          <w:top w:w="28" w:type="dxa"/>
          <w:left w:w="28" w:type="dxa"/>
          <w:bottom w:w="28" w:type="dxa"/>
          <w:right w:w="28" w:type="dxa"/>
        </w:tblCellMar>
      </w:tblPr>
      <w:tblGrid>
        <w:gridCol w:w="1482"/>
        <w:gridCol w:w="1301"/>
        <w:gridCol w:w="1311"/>
        <w:gridCol w:w="109"/>
        <w:gridCol w:w="109"/>
        <w:gridCol w:w="109"/>
        <w:gridCol w:w="211"/>
        <w:gridCol w:w="691"/>
        <w:gridCol w:w="109"/>
        <w:gridCol w:w="109"/>
        <w:gridCol w:w="109"/>
        <w:gridCol w:w="109"/>
        <w:gridCol w:w="211"/>
        <w:gridCol w:w="586"/>
        <w:gridCol w:w="109"/>
        <w:gridCol w:w="109"/>
        <w:gridCol w:w="109"/>
        <w:gridCol w:w="109"/>
        <w:gridCol w:w="211"/>
        <w:gridCol w:w="691"/>
        <w:gridCol w:w="109"/>
        <w:gridCol w:w="109"/>
        <w:gridCol w:w="109"/>
        <w:gridCol w:w="109"/>
        <w:gridCol w:w="211"/>
        <w:gridCol w:w="406"/>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2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0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per share data)</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declared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Warrants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basic weighted-average common shares</w:t>
              <w:br/>
              <w:t>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common share</w:t>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79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tbl>
      <w:tblPr>
        <w:tblW w:w="9371" w:type="dxa"/>
        <w:jc w:val="center"/>
        <w:tblInd w:w="0" w:type="dxa"/>
        <w:tblLayout w:type="fixed"/>
        <w:tblCellMar>
          <w:top w:w="28" w:type="dxa"/>
          <w:left w:w="28" w:type="dxa"/>
          <w:bottom w:w="28" w:type="dxa"/>
          <w:right w:w="28" w:type="dxa"/>
        </w:tblCellMar>
      </w:tblPr>
      <w:tblGrid>
        <w:gridCol w:w="1580"/>
        <w:gridCol w:w="1387"/>
        <w:gridCol w:w="1397"/>
        <w:gridCol w:w="109"/>
        <w:gridCol w:w="109"/>
        <w:gridCol w:w="109"/>
        <w:gridCol w:w="211"/>
        <w:gridCol w:w="691"/>
        <w:gridCol w:w="109"/>
        <w:gridCol w:w="109"/>
        <w:gridCol w:w="109"/>
        <w:gridCol w:w="109"/>
        <w:gridCol w:w="211"/>
        <w:gridCol w:w="586"/>
        <w:gridCol w:w="109"/>
        <w:gridCol w:w="109"/>
        <w:gridCol w:w="109"/>
        <w:gridCol w:w="109"/>
        <w:gridCol w:w="211"/>
        <w:gridCol w:w="691"/>
        <w:gridCol w:w="109"/>
        <w:gridCol w:w="109"/>
        <w:gridCol w:w="109"/>
        <w:gridCol w:w="109"/>
        <w:gridCol w:w="211"/>
        <w:gridCol w:w="406"/>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2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per share data)</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3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Dividends declared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Impact on if-converted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non-participating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Impact on if-converted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diluted weighted-average common shares</w:t>
              <w:br/>
              <w:t>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(loss) earnings per common share</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color w:val="000000"/>
              </w:rPr>
            </w:pPr>
            <w:r>
              <w:rPr>
                <w:color w:val="000000"/>
              </w:rPr>
              <w:t> </w:t>
            </w:r>
          </w:p>
        </w:tc>
        <w:tc>
          <w:tcPr>
            <w:tcW w:w="90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79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completion of the Merger, we updated our segment structure to include new operating segments for the acquired Windstream businesses, combined the legacy fiber and leasing businesses into a new segment and no longer reported corporate separately. Prior period segment information has been recast to reflect these changes for all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segments are determined based on the current organizational and management structure in place and the internal financial information regularly reviewed and used by the chief operating decision maker (“CODM”) for making operating decisions and assessing performance. Our Chief Executive Officer, as CODM, uses segment contribution margin, which is computed as segment revenues and sales less segment expenses, to evaluate performance and allocate operating and capital resources, primarily in the annual budgeting and forecasting process and to establish performance targets for purposes of management incentive compensation. The CODM considers budget-to-actual variances when making decisions about allocating operating and capital resources to the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financial reporting purposes, our operating and reportable segments consist of: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Kinetic</w:t>
      </w:r>
      <w:r>
        <w:rPr>
          <w:color w:val="000000"/>
        </w:rPr>
        <w:t xml:space="preserve"> – </w:t>
      </w:r>
      <w:r>
        <w:rPr>
          <w:rFonts w:ascii="Times New Roman;serif" w:hAnsi="Times New Roman;serif"/>
          <w:b w:val="false"/>
          <w:color w:val="000000"/>
          <w:sz w:val="20"/>
        </w:rPr>
        <w:t>We manage as one business our residential, business and wholesale operations in our ILEC markets due to the similarities with respect to service offerings and marketing strategies. Residential customers can bundle voice, high-speed internet and video services, to provide one convenient billing solution and receive bundle discounts. We offer a wide range of advanced internet services, local and long-distance voice services, integrated voice and data services, and web conferencing products to our business customers. These services are equipped to deliver high-speed internet with competitive speeds, value added services to enhance business productivity and options to bundle services to meet our business customers’ needs. Products and services offered to business customers also include managed cloud communications and security services. Our Kinetic wholesale operations provide network bandwidth to other telecommunications carriers, network operators, governmental entities, content providers, and large cloud computing and storage service providers. These services include network transport services to end users, Ethernet and Wave transport of up to 400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Kinetic service revenues also include revenue from federal and state USF programs, amounts received from RDOF, and certain surcharges assessed to our customers, including billings for our required contributions to federal and state USF programs. Kinetic sales revenues include sales of various types of communications equipment and products to customers, including selling network equipment to contractors on a wholesale basis.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38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38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u w:val="single"/>
        </w:rPr>
        <w:t>Fiber Infrastructure</w:t>
      </w:r>
      <w:r>
        <w:rPr>
          <w:color w:val="000000"/>
        </w:rPr>
        <w:t xml:space="preserve"> – </w:t>
      </w:r>
      <w:r>
        <w:rPr>
          <w:rFonts w:ascii="Times New Roman;serif" w:hAnsi="Times New Roman;serif"/>
          <w:b w:val="false"/>
          <w:color w:val="000000"/>
          <w:sz w:val="20"/>
        </w:rPr>
        <w:t xml:space="preserve">We manage as one business our legacy fiber and leasing businesses combined with the CLEC portion of Windstream's acquired wholesale business. Our Fiber Infrastructure operations are focused on providing network bandwidth to other telecommunications carriers, network operators, content providers, and large cloud computing and storage service providers. Services provided include network transport services to end users, Ethernet and Wave transport of up to 400 Gbps, and dark fiber and colocation services. Services also include fiber-to-the-tower connections to support the wireless backhaul market. In addition, we offer voice and data carrier services to other communications providers and to larger-scale purchasers of network capacity. We are also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Fiber Infrastructure sales revenues primarily represent amounts recognized from sales-type leases for fiber where control of the fiber has transferred to the customer.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Uniti Solutions</w:t>
      </w:r>
      <w:r>
        <w:rPr>
          <w:color w:val="000000"/>
        </w:rPr>
        <w:t xml:space="preserve"> – </w:t>
      </w:r>
      <w:r>
        <w:rPr>
          <w:rFonts w:ascii="Times New Roman;serif" w:hAnsi="Times New Roman;serif"/>
          <w:b w:val="false"/>
          <w:color w:val="000000"/>
          <w:sz w:val="20"/>
        </w:rPr>
        <w:t>We manage as one business our mid-market and large business customers located within our CLEC markets and provide services over network facilities primarily leased from other carriers. Products and services consist of software solutions and network connectivity offerings. Software solutions include SASE, UCaaS, OfficeSuite UC®, SD-WAN, SSE and associated network access products and services. Network connectivity offerings consist of dynamic internet protocol, dedicated internet access, multi-protocol label switching services, integrated voice and data, long distance and other managed services, including TDM voice and data services and certain surcharges assessed to customers. Uniti Solutions’ sales revenues include sales of high-end data and communications equipment which facilitate the delivery of advanced data and voice services to business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revenues are based upon each customer’s classification to an individual segment and include all services provided to that customer. Segment expenses include direct expenses incurred in providing services and products to segment customers and selling, general and administrative expenses that are directly associated with specific segment customers or activities. These direct expenses include network access and facilities, network operations and engineering, customer specific access costs, cost of sales, field operations, service delivery, sales and marketing, product development, licensing fees, provision for estimated credit losses, and compensation and benefit costs for employees directly assigned to the segments.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Costs related to centrally-managed administrative functions, including information technology, accounting and finance, legal, human resources and other corporate management activities are not monitored by or reported to the CODM by segment. We also do not assign to the segments depreciation and amortization expense, and transaction-related and other costs, because these items are not monitored by or reported to the CODM at a segment level.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and (loss) gain on extinguishment of debt have been excluded from segment operating results because we manage our financing activities on a total company basis and have not assigned any debt or finance lease obligations to the segments. Other income (expense), net, and income tax (expense) benefit are not monitored as a part of our segment operations and, therefore, these items also have been excluded from our segment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expenditures for network enhancements and information technology-related projects benefiting the Company as a whole are not assigned to the segments and are presented as corporate/shared capital expenditures. Asset information by segment is not monitored or reported to the CODM and therefore has not been presented. Substantially all of our customers, operations and assets are located in the U.S. Following the Merger, we do not have any single customer that provides more than 10% of our total consolidated revenues and sales.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segment results:</w:t>
      </w:r>
    </w:p>
    <w:p>
      <w:pPr>
        <w:pStyle w:val="TextBody"/>
        <w:bidi w:val="0"/>
        <w:spacing w:before="0" w:after="0"/>
        <w:jc w:val="both"/>
        <w:rPr/>
      </w:pPr>
      <w:r>
        <w:rPr/>
      </w:r>
    </w:p>
    <w:tbl>
      <w:tblPr>
        <w:tblW w:w="9327" w:type="dxa"/>
        <w:jc w:val="left"/>
        <w:tblInd w:w="0" w:type="dxa"/>
        <w:tblLayout w:type="fixed"/>
        <w:tblCellMar>
          <w:top w:w="28" w:type="dxa"/>
          <w:left w:w="28" w:type="dxa"/>
          <w:bottom w:w="28" w:type="dxa"/>
          <w:right w:w="28" w:type="dxa"/>
        </w:tblCellMar>
      </w:tblPr>
      <w:tblGrid>
        <w:gridCol w:w="1477"/>
        <w:gridCol w:w="1299"/>
        <w:gridCol w:w="1304"/>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operations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 (g)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operations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 (j)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segment revenues and sales from external </w:t>
              <w:br/>
              <w:t>   customers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contribution margin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40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40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(a)Consists of intercompany charges to Uniti Solutions and Fiber Infrastructure for resale access services.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(b)Includes advertising, contract services and fees, fleet-related expenses (e.g., leasing costs, fuel, maintenance and repair costs), and employee-related travel costs.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(c)Includes federal and state USF fees, provision for credit losses, equipment-related shipping and refurbishment costs, and cost of sales.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(d)Customer access expense represents the portion of interconnect costs directly assigned to the segment.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(e)Reflects the offsetting expense effects of the intercompany billing agreements between segments.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(f)Consists of intercompany charges to Kinetic and Uniti Solutions primarily for usage of network and colocation facilities owned or operated by Fiber Infrastructure.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(g)Includes advertising, contract services and fees, and employee-related travel costs.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(h)Includes federal and state USF fees, provision for credit losses, early termination fees, and cost of fiber sales.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(i)Consists of intercompany charges to Kinetic for licensing fees related to the usage of the OfficeSuite UC® product.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(j)Includes support agreements, contract services and fees, and employee-related travel costs.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(k)Includes federal and state USF fees, provision for credit losses, third-party commissions, staff augmentation for professional services, product licensing fees, and cost of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expenditures by segment were as follows:</w:t>
      </w:r>
    </w:p>
    <w:p>
      <w:pPr>
        <w:pStyle w:val="TextBody"/>
        <w:bidi w:val="0"/>
        <w:spacing w:before="0" w:after="0"/>
        <w:jc w:val="both"/>
        <w:rPr/>
      </w:pPr>
      <w:r>
        <w:rPr/>
      </w:r>
    </w:p>
    <w:tbl>
      <w:tblPr>
        <w:tblW w:w="7961"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Corporate/Shared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(a)Represents capital expenditures not directly assigned to the segments and primarily consists of capital outlays for network enhancements and information technology-related projects benefiting Uniti as a whole.</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revenues and sales to total consolidated revenues and sales:</w:t>
      </w:r>
    </w:p>
    <w:p>
      <w:pPr>
        <w:pStyle w:val="TextBody"/>
        <w:bidi w:val="0"/>
        <w:spacing w:before="0" w:after="0"/>
        <w:jc w:val="both"/>
        <w:rPr/>
      </w:pPr>
      <w:r>
        <w:rPr/>
      </w:r>
    </w:p>
    <w:tbl>
      <w:tblPr>
        <w:tblW w:w="8442" w:type="dxa"/>
        <w:jc w:val="left"/>
        <w:tblInd w:w="0" w:type="dxa"/>
        <w:tblLayout w:type="fixed"/>
        <w:tblCellMar>
          <w:top w:w="28" w:type="dxa"/>
          <w:left w:w="28" w:type="dxa"/>
          <w:bottom w:w="28" w:type="dxa"/>
          <w:right w:w="28" w:type="dxa"/>
        </w:tblCellMar>
      </w:tblPr>
      <w:tblGrid>
        <w:gridCol w:w="1156"/>
        <w:gridCol w:w="1018"/>
        <w:gridCol w:w="1021"/>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 and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 and sales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41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41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contribution margin to consolidated net (loss) income:</w:t>
      </w:r>
    </w:p>
    <w:p>
      <w:pPr>
        <w:pStyle w:val="TextBody"/>
        <w:bidi w:val="0"/>
        <w:spacing w:before="0" w:after="0"/>
        <w:jc w:val="both"/>
        <w:rPr/>
      </w:pPr>
      <w:r>
        <w:rPr/>
      </w:r>
    </w:p>
    <w:tbl>
      <w:tblPr>
        <w:tblW w:w="9011" w:type="dxa"/>
        <w:jc w:val="left"/>
        <w:tblInd w:w="0" w:type="dxa"/>
        <w:tblLayout w:type="fixed"/>
        <w:tblCellMar>
          <w:top w:w="28" w:type="dxa"/>
          <w:left w:w="28" w:type="dxa"/>
          <w:bottom w:w="28" w:type="dxa"/>
          <w:right w:w="28" w:type="dxa"/>
        </w:tblCellMar>
      </w:tblPr>
      <w:tblGrid>
        <w:gridCol w:w="1362"/>
        <w:gridCol w:w="1198"/>
        <w:gridCol w:w="1204"/>
        <w:gridCol w:w="109"/>
        <w:gridCol w:w="109"/>
        <w:gridCol w:w="109"/>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211"/>
        <w:gridCol w:w="61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contribution margin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Corporate/shared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non-cash rights-of-use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 We have accrued an estimate of the probable costs for the resolution of those claims for which the occurrence of loss is probable and the amount can be reasonably estimated. These estimates have been developed in consultation with counsel and are based upon an analysis of potential results, assuming a combination of litigation and settlement strategies. It is possible, however, that future results of operations for any specific period could be materially affected by changes in its assumptions or the effectiveness of its strategies related to these proceedings. Legal expenses associated with loss contingencies are expensed as incurred.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Note 14. Supplementary Unrestricted Subsidiary Information:</w:t>
        <w:br/>
        <w:br/>
      </w:r>
      <w:r>
        <w:rPr>
          <w:rFonts w:ascii="Times New Roman;serif" w:hAnsi="Times New Roman;serif"/>
          <w:b w:val="false"/>
          <w:color w:val="000000"/>
          <w:sz w:val="20"/>
        </w:rPr>
        <w:t>During 2025, we formed Uniti Fiber ABS Issuer LLC, Uniti Fiber TRS Issuer LLC and Uniti Fiber TRS AssetCo LLC (with Uniti Fiber GulfCo LLC, which was formed in 2024, the “Fiber Infrastructure ABS Notes Obligors”) each a subsidiary of Uniti Fiber ABS Parent LLC (“Fiber Infrastructure ABS Parent”) and an indirect, bankruptcy-remote subsidiary of the Company. Each Fiber Infrastructure ABS Notes Obligor is an unrestricted subsidiary under the Uniti Credit Agreement and the applicable indentures governing the Company’s senior notes.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conjunction with the issuance of the Kinetic ABS 2026-1 Notes, we formed Kinetic ABS Parent LLC (“Kinetic ABS Parent”), an indirect, bankruptcy-remote subsidiary of the Company, and we designated Kinetic ABS Parent as an unrestricted subsidiary under the credit agreements and the applicable indentures governing the Company’s outstanding senior notes. We also formed the Kinetic ABS 2026-1 Obligors, each a subsidiary of Kinetic ABS Parent and an indirect, bankruptcy-remote subsidiary of the Company. Each Kinetic ABS 2026-1 Obligor is an unrestricted subsidiary under the credit agreements and the applicable indentures governing the Company’s senior notes. See </w:t>
      </w:r>
      <w:hyperlink w:anchor="ie70f00857744476b82c49a37d8161764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for additional information regarding our asset-backed securities.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42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42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are the condensed consolidated balance sheets as of June 30, 2026 and December 31, 2025, and the condensed consolidated statements of operations for the six months ended June 30, 2026 and 2025, respectively, of such unrestricted subsidiaries:</w:t>
      </w:r>
    </w:p>
    <w:p>
      <w:pPr>
        <w:pStyle w:val="TextBody"/>
        <w:bidi w:val="0"/>
        <w:spacing w:before="0" w:after="0"/>
        <w:jc w:val="both"/>
        <w:rPr/>
      </w:pPr>
      <w:r>
        <w:rPr/>
      </w:r>
    </w:p>
    <w:tbl>
      <w:tblPr>
        <w:tblW w:w="9836" w:type="dxa"/>
        <w:jc w:val="left"/>
        <w:tblInd w:w="0" w:type="dxa"/>
        <w:tblLayout w:type="fixed"/>
        <w:tblCellMar>
          <w:top w:w="28" w:type="dxa"/>
          <w:left w:w="28" w:type="dxa"/>
          <w:bottom w:w="28" w:type="dxa"/>
          <w:right w:w="28" w:type="dxa"/>
        </w:tblCellMar>
      </w:tblPr>
      <w:tblGrid>
        <w:gridCol w:w="1389"/>
        <w:gridCol w:w="1223"/>
        <w:gridCol w:w="1227"/>
        <w:gridCol w:w="109"/>
        <w:gridCol w:w="109"/>
        <w:gridCol w:w="109"/>
        <w:gridCol w:w="212"/>
        <w:gridCol w:w="773"/>
        <w:gridCol w:w="111"/>
        <w:gridCol w:w="109"/>
        <w:gridCol w:w="109"/>
        <w:gridCol w:w="109"/>
        <w:gridCol w:w="211"/>
        <w:gridCol w:w="871"/>
        <w:gridCol w:w="109"/>
        <w:gridCol w:w="109"/>
        <w:gridCol w:w="109"/>
        <w:gridCol w:w="109"/>
        <w:gridCol w:w="256"/>
        <w:gridCol w:w="767"/>
        <w:gridCol w:w="133"/>
        <w:gridCol w:w="109"/>
        <w:gridCol w:w="109"/>
        <w:gridCol w:w="109"/>
        <w:gridCol w:w="212"/>
        <w:gridCol w:w="878"/>
        <w:gridCol w:w="156"/>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As of June 30, 2026</w:t>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38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12,980.9 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10,636.6 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12,819.4 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11,157.2 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3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12,980.9 </w:t>
            </w:r>
          </w:p>
        </w:tc>
        <w:tc>
          <w:tcPr>
            <w:tcW w:w="1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43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43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25"/>
        <w:gridCol w:w="1338"/>
        <w:gridCol w:w="1343"/>
        <w:gridCol w:w="109"/>
        <w:gridCol w:w="109"/>
        <w:gridCol w:w="109"/>
        <w:gridCol w:w="247"/>
        <w:gridCol w:w="721"/>
        <w:gridCol w:w="128"/>
        <w:gridCol w:w="109"/>
        <w:gridCol w:w="109"/>
        <w:gridCol w:w="109"/>
        <w:gridCol w:w="211"/>
        <w:gridCol w:w="871"/>
        <w:gridCol w:w="109"/>
        <w:gridCol w:w="109"/>
        <w:gridCol w:w="109"/>
        <w:gridCol w:w="109"/>
        <w:gridCol w:w="288"/>
        <w:gridCol w:w="718"/>
        <w:gridCol w:w="150"/>
        <w:gridCol w:w="109"/>
        <w:gridCol w:w="109"/>
        <w:gridCol w:w="109"/>
        <w:gridCol w:w="212"/>
        <w:gridCol w:w="878"/>
        <w:gridCol w:w="158"/>
      </w:tblGrid>
      <w:tr>
        <w:trPr/>
        <w:tc>
          <w:tcPr>
            <w:tcW w:w="152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 2025</w:t>
            </w:r>
          </w:p>
        </w:tc>
      </w:tr>
      <w:tr>
        <w:trPr/>
        <w:tc>
          <w:tcPr>
            <w:tcW w:w="42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42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9,529.4 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11,656.3 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(deficit)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shareholders' (deficit)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 (deficit)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1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11,384.9 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5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44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44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tbl>
      <w:tblPr>
        <w:tblW w:w="9802" w:type="dxa"/>
        <w:jc w:val="left"/>
        <w:tblInd w:w="0" w:type="dxa"/>
        <w:tblLayout w:type="fixed"/>
        <w:tblCellMar>
          <w:top w:w="28" w:type="dxa"/>
          <w:left w:w="28" w:type="dxa"/>
          <w:bottom w:w="28" w:type="dxa"/>
          <w:right w:w="28" w:type="dxa"/>
        </w:tblCellMar>
      </w:tblPr>
      <w:tblGrid>
        <w:gridCol w:w="1411"/>
        <w:gridCol w:w="1242"/>
        <w:gridCol w:w="1247"/>
        <w:gridCol w:w="109"/>
        <w:gridCol w:w="109"/>
        <w:gridCol w:w="109"/>
        <w:gridCol w:w="247"/>
        <w:gridCol w:w="721"/>
        <w:gridCol w:w="128"/>
        <w:gridCol w:w="109"/>
        <w:gridCol w:w="109"/>
        <w:gridCol w:w="109"/>
        <w:gridCol w:w="212"/>
        <w:gridCol w:w="773"/>
        <w:gridCol w:w="111"/>
        <w:gridCol w:w="109"/>
        <w:gridCol w:w="109"/>
        <w:gridCol w:w="109"/>
        <w:gridCol w:w="288"/>
        <w:gridCol w:w="718"/>
        <w:gridCol w:w="150"/>
        <w:gridCol w:w="109"/>
        <w:gridCol w:w="109"/>
        <w:gridCol w:w="109"/>
        <w:gridCol w:w="232"/>
        <w:gridCol w:w="843"/>
        <w:gridCol w:w="171"/>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39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 and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 and</w:t>
              <w:br/>
              <w: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w:t>
              <w:br/>
              <w:t>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456" w:type="dxa"/>
        <w:jc w:val="left"/>
        <w:tblInd w:w="0" w:type="dxa"/>
        <w:tblLayout w:type="fixed"/>
        <w:tblCellMar>
          <w:top w:w="28" w:type="dxa"/>
          <w:left w:w="28" w:type="dxa"/>
          <w:bottom w:w="28" w:type="dxa"/>
          <w:right w:w="28" w:type="dxa"/>
        </w:tblCellMar>
      </w:tblPr>
      <w:tblGrid>
        <w:gridCol w:w="1288"/>
        <w:gridCol w:w="1131"/>
        <w:gridCol w:w="1135"/>
        <w:gridCol w:w="109"/>
        <w:gridCol w:w="109"/>
        <w:gridCol w:w="109"/>
        <w:gridCol w:w="278"/>
        <w:gridCol w:w="673"/>
        <w:gridCol w:w="145"/>
        <w:gridCol w:w="109"/>
        <w:gridCol w:w="109"/>
        <w:gridCol w:w="109"/>
        <w:gridCol w:w="247"/>
        <w:gridCol w:w="721"/>
        <w:gridCol w:w="128"/>
        <w:gridCol w:w="109"/>
        <w:gridCol w:w="109"/>
        <w:gridCol w:w="109"/>
        <w:gridCol w:w="288"/>
        <w:gridCol w:w="718"/>
        <w:gridCol w:w="150"/>
        <w:gridCol w:w="109"/>
        <w:gridCol w:w="109"/>
        <w:gridCol w:w="109"/>
        <w:gridCol w:w="267"/>
        <w:gridCol w:w="782"/>
        <w:gridCol w:w="197"/>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3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and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w:t>
              <w:br/>
              <w:t>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w:t>
              <w:br/>
              <w:t>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45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45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Subsequent Events: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Kinetic ABS Series 2026-2 Notes</w:t>
      </w:r>
      <w:r>
        <w:rPr>
          <w:color w:val="000000"/>
        </w:rPr>
        <w:t xml:space="preserve"> </w:t>
      </w:r>
      <w:r>
        <w:rPr>
          <w:rFonts w:ascii="Times New Roman;serif" w:hAnsi="Times New Roman;serif"/>
          <w:b w:val="false"/>
          <w:color w:val="000000"/>
          <w:sz w:val="20"/>
        </w:rPr>
        <w:t xml:space="preserve">- On July 15, 2026, Kinetic ABS Issuer completed a private offering of $1.1 billion aggregate principal amount of secured fiber network revenue term notes, consisting of $805.2 million 5.834% Series 2026-2, Class A-2 term notes, $134.2 million 6.224% Series 2026-2, Class B term notes and $201.3 million 7.536% Series 2026-2, Class C term notes (collectively, the “Kinetic ABS 2026-2 Notes”), each with an anticipated repayment date in June 2033. The proceeds of the offering of the Kinetic ABS 2026-2 Notes were used to purchase assets held by certain subsidiary guarantors of the Company’s senior indebtedness that were contributed to certain subsidiaries of Kinetic ABS Issuer (the “Kinetic ABS Asset Sale”).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intends to use a portion of the net cash provided by the Kinetic ABS Asset Sale for reinvestments in the business, including to fund growth capital expenditures, and $500.0 million of such net cash proceeds to repay the Company’s senior secured indebtedness pursuant to the Term Loan Prepayment Offer and the Asset Sale Offers (each as defined and described further below). As of the closing of the transactions on July 15, 2026, together with the $960.1 million aggregate principal amount of Kinetic ABS 2026-1 Notes issued on January 30, 2026, the Kinetic ABS Issuer has $2.1 billion aggregate principal amount of revenue term notes outstanding, with no principal amount of variable funding notes or liquidity funding notes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Kinetic ABS 2026-2 Notes were issued at an issue price of 100% of their respective principal amounts pursuant to an amended and restated as of July 15, 2026, as supplemented by a Series 2026-2 Supplement thereto, dated as of July 15, 2026 (the “Series 2026-2 Supplement”), in each case by and among the Kinetic ABS Issuer, Kinetic ABS AR LLC, Kinetic ABS GA LLC, Kinetic ABS KY LLC, Kinetic ABS OH LLC, Kinetic ABS AL LLC, Kinetic ABS FL LLC, Kinetic ABS NC LLC, Kinetic ABS IA LLC, Kinetic ABS OK LLC, and Kinetic ABS TX LLC (together the “Kinetic Asset Entities” and, together with the Kinetic ABS Issuer, the “Kinetic ABS 2026-2 Obligors”), and Wilmington Trust, National Association, as indenture trustee.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Kinetic ABS 2026-2 Notes, the Kinetic ABS Issuer (i) increased the maximum commitment under its existing liquidity funding note facility to reflect the increase in the transaction’s liquidity reserve requirements that resulted from the issuance of the Kinetic ABS 2026-2 Notes and (ii) extended the maturity of the existing liquidity note facility to align with the final maturity date of the Kinetic ABS 2026-2 Notes. No new variable funding notes were issued in connection with issuance of the Kinetic ABS 2026-2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the Kinetic ABS 2026-2 Notes are outstanding, scheduled payments of interest are required to be made on the 25th day of each calendar month, commencing on August 25, 2026. No principal payments will be due on the Kinetic ABS 2026-2 Notes prior to the applicable anticipated repayment date, unless certain rapid amortization or acceleration triggers are activated.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Kinetic ABS 2026-2 Notes are obligations only of the Kinetic ABS 2026-2 Obligors pursuant to the Kinetic ABS Base Indenture. Pursuant to the Kinetic ABS Base Indenture and the related transaction documents, the Kinetic ABS 2026-2 Notes are guaranteed by each Kinetic Asset Entity, and Kinetic ABS Issuer’s direct parent company (the “Holdco Guarantor”), and such guarantees and the Kinetic 2026-2 Notes are secured by security interests in the equity interests in the Kinetic ABS Issuer and substantially all of the assets of the Kinetic ABS Issuer and the other Kinetic ABS 2026-2 Obligors, which assets are primarily the fiber network assets and related residential customer contracts in the States of Georgia, Texas, Arkansas, Kentucky, Ohio, North Carolina, Iowa, Alabama, Florida and Oklahoma that have been sold or contributed to the Kinetic Asset Entities by the non-securitization subsidiaries of the Company and the revenue collections and other proceeds thereof. Neither the Company nor any subsidiary of the Company, other than the Kinetic ABS 2026-2 Obligors, and the Holdco Guarantor (all of which are unrestricted subsidiaries under the Company’s other debt agreements), will guarantee or in any way be liable for the obligations of the Kinetic ABS 2026-2 Obligors under the Kinetic ABS Base Indenture or the Kinetic ABS 2026-2 Notes, and neither the Holdco Guarantor, nor the Kinetic ABS Issuer, any of the Kinetic ABS 2026-2 Obligors shall guarantee or in any way be liable for the obligations of the Company or its subsidiaries under the Company’s other debt agreements.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46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46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Kinetic ABS 2026-2 Notes are subject to a series of customary covenants and restrictions. These covenants and restrictions include (i) that the Kinetic ABS Issuer maintains a liquidity reserve account to be used to make required payments in respect of the Kinetic ABS 2026-1 Notes and the Kinetic ABS 2026-2 Notes, (ii) provisions relating to optional and mandatory prepayments, including specified make-whole payments in the case of certain optional prepayments of the Kinetic ABS 2026-2 Notes prior to the monthly payment date in June 2033, and (iii) covenants relating to recordkeeping, access to information and similar matters. As provided in the Kinetic ABS Base Indenture, the Kinetic ABS 2026-2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Kinetic ABS 2026-2 Notes are also subject to certain customary events of default, including events relating to non-payment of required interest, principal or other amounts due on or with respect to the Kinetic ABS 2026-2 Notes, failure to comply with covenants within certain time frames, certain bankruptcy events, breaches of specified representations and warranties, failure of security interests to be effective and certain judgments.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Term Loan Prepayment Offer and Asset Sale Offers</w:t>
      </w:r>
      <w:r>
        <w:rPr>
          <w:color w:val="000000"/>
        </w:rPr>
        <w:t xml:space="preserve"> </w:t>
      </w:r>
      <w:r>
        <w:rPr>
          <w:rFonts w:ascii="Times New Roman;serif" w:hAnsi="Times New Roman;serif"/>
          <w:b w:val="false"/>
          <w:color w:val="000000"/>
          <w:sz w:val="20"/>
        </w:rPr>
        <w:t>- On July 23, 2026, following the completion of the Kinetic ABS Asset Sale described above, Uniti Services issued a prepayment notice to the lenders of its 2025 Term Loan to prepay up to $167.8 million principal amount of the 2025 Term Loan on July 30, 2026 (the “Term Loan Prepayment Offer”). On July 30, 2026, Uniti Services repaid $19.8 million principal amount of the 2025 Term Loan.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Concurrently and in connection with the Term Loan Prepayment Offer, on July 23, 2026, the issuers of the 4.75% secured notes and 7.50% secured notes commenced asset sale offers (the “Asset Sale Offers”) to purchase up to $332.2 million aggregate principal amount (the “Maximum Offer Amount”) of the 4.75% secured notes and 7.50% secured notes. To the extent certain term loan lenders decline their pro rata share of the 2025 Term Loan prepayment amount and the total principal amount of 2025 Term Loan that is prepaid is less than $167.8 million, the issuers of the 4.75% secured notes and 7.50% secured notes intend to amend the Asset Sale Offers to increase the Maximum Offer Amount in an amount equal to the declined 2025 Term Loan prepayment amount.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47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47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(“MD&amp;A”) describes the principal factors affecting the results of our operations, financial condition, and changes in financial condition for the three and six months ended June 30, 2026. This discussion should be read in conjunction with the accompanying condensed consolidated financial statements, and the notes thereto set forth in Part I, Item 1 “Financial Statements” of this Quarterly Report on Form 10-Q and the Company’s 2025 Annual Report on Form 10-K filed with the U.S. Securities and Exchange Commission (“SEC”) on March 2,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Group Inc. (herein referred to as the “Company,” “Uniti,” “we,” “us,” or “our”) was incorporated in the State of Delaware on April 19, 2024, under the name “Windstream Parent, Inc.” and as a subsidiary of New Windstream, LLC (“Windstream”) (as successor to Windstream Holdings II, LLC) in connection with the Merger (as defined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Uniti is a premier digital infrastructure company with approximately 240,000 fiber route miles across 47 states. The Company serves more than 1.0 million customers, including approximately 603,000 residential fiber customers, with a network that includes approximately 2.1 million fiber-equipped households predominately situated in the Midwest and Southeast United States of America (“U.S.”). The Company offers a full suite of advanced communications services, including fiber-based broadband to residential and business customers, managed cloud communications and security services for large enterprises and government entities across the U.S., and tailored wave and transport solutions for carriers, content providers and large cloud computing and storage service providers in the U.S. and Canada. Our operations are organized into three business segments: Kinetic, Fiber Infrastructure and Uniti Solutions. See </w:t>
      </w:r>
      <w:hyperlink w:anchor="ie70f00857744476b82c49a37d8161764_61">
        <w:r>
          <w:rPr>
            <w:rStyle w:val="InternetLink"/>
            <w:rFonts w:ascii="Times New Roman;serif" w:hAnsi="Times New Roman;serif"/>
            <w:b w:val="false"/>
            <w:color w:val="0000FF"/>
            <w:sz w:val="20"/>
            <w:u w:val="single"/>
          </w:rPr>
          <w:t>Notes 8</w:t>
        </w:r>
      </w:hyperlink>
      <w:r>
        <w:rPr>
          <w:color w:val="000000"/>
        </w:rPr>
        <w:t xml:space="preserve"> </w:t>
      </w:r>
      <w:r>
        <w:rPr>
          <w:rFonts w:ascii="Times New Roman;serif" w:hAnsi="Times New Roman;serif"/>
          <w:b w:val="false"/>
          <w:color w:val="000000"/>
          <w:sz w:val="20"/>
        </w:rPr>
        <w:t xml:space="preserve">and </w:t>
      </w:r>
      <w:hyperlink w:anchor="ie70f00857744476b82c49a37d8161764_76">
        <w:r>
          <w:rPr>
            <w:rStyle w:val="InternetLink"/>
            <w:rFonts w:ascii="Times New Roman;serif" w:hAnsi="Times New Roman;serif"/>
            <w:b w:val="false"/>
            <w:color w:val="0000FF"/>
            <w:sz w:val="20"/>
            <w:u w:val="single"/>
          </w:rPr>
          <w:t>12</w:t>
        </w:r>
      </w:hyperlink>
      <w:r>
        <w:rPr>
          <w:color w:val="000000"/>
        </w:rPr>
        <w:t xml:space="preserve"> </w:t>
      </w:r>
      <w:r>
        <w:rPr>
          <w:rFonts w:ascii="Times New Roman;serif" w:hAnsi="Times New Roman;serif"/>
          <w:b w:val="false"/>
          <w:color w:val="000000"/>
          <w:sz w:val="20"/>
        </w:rPr>
        <w:t>for additional information regarding the Company’s business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Merger, Uniti Group LLC (F/k/a Uniti Group Inc., “Old Uniti”) was an independent internally managed real estate investment trust (“REIT”) engaged in the acquisition, construction and leasing of mission critical infrastructure in the communications industry. Old Uniti managed its operations within two primary lines of business: Uniti Fiber and Uniti Leasing.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Completion of Merger with Windstream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 2025, pursuant to the previously announced Agreement and Plan of Merger, dated as of May 3, 2024 (as amended) (the “Merger Agreement”), by and between Old Uniti, Windstream, the Company, New Uniti HoldCo LP 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and Old Uniti ceased to be a REIT and the Company does not qualify to be a REIT. The common stock of the Company (“Common Stock”) is listed on the Nasdaq Global Select Market under the symbol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set forth in the Merger Agreement, at the effective time of the Merger, each share of Old Uniti’s common stock, par value $0.0001 per share that was issued and outstanding immediately prior to the effective time of the Merger was automatically cancelled and retired and converted into the right to receive 0.6029 shares of Common Stock par value $0.0001 per share, pursuant to the exchange ratio set forth in the Merger Agreement with cash issued in lieu of fractional shares. Immediately following the consummation of the Merger (the “Closing”), Old Uniti’s and Windstream’s pre-Closing stockholders held approximately 62% and 38%, respectively, of the Company before giving effect to the conversion of any outstanding convertible securities or the issuance of warrants to purchase Common Stock referenced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48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48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Internal Reorg Merger, prior to the effective time of the Merger, Windstream’s equityholders received (i) approximately 90.1 million shares of Common Stock representing approximately 35.42% of the outstanding shares of Common Stock, (ii) approximately 0.6 million shares of non-voting preferred stock of the Company (“Preferred Stock”) with a dividend rate of 11% per year for the first six years, subject to an additional 0.5% per year during each of the seventh and eighth years after the initial issuance and further increased by an additional 1% per year during each subsequent year, subject to a cap of 16% per year and with an aggregate liquidation preference of $575.0 million and (iii) approximately 17.6 million warrants to purchase Common Stock, with an exercise price of $0.01 per share (“Warrants”), representing approximately 6.9% of the outstanding Common Stock immediately following the Closing on a fully diluted basis after giving effect to such Warrants. Windstream’s equityholders also received approximately $370.7 million in cash (net of certain transaction-related expenses) on a pro-rata basis (the “Merger Cash Consideration”). The Merger Cash Consideration was funded by Old Uniti using available cash on hand and borrowings under its Uniti Revolver (as defined herein).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Merger was accounted for as a reverse merger using the acquisition method of accounting, with Windstream treated as the legal acquirer and Old Uniti treated as the accounting acquirer. Because Old Uniti is treated as the accounting acquirer, financial information for periods prior to the Merger reflect the historical activity of Old Uniti. For periods after the Merger, the consolidated financial statements reflect the combined results of Old Uniti and Windstream. The Merger was a taxable transaction for U.S. federal income tax purposes. See </w:t>
      </w:r>
      <w:hyperlink w:anchor="ie70f00857744476b82c49a37d8161764_37">
        <w:r>
          <w:rPr>
            <w:rStyle w:val="InternetLink"/>
            <w:rFonts w:ascii="Times New Roman;serif" w:hAnsi="Times New Roman;serif"/>
            <w:b w:val="false"/>
            <w:color w:val="0000FF"/>
            <w:sz w:val="20"/>
            <w:u w:val="single"/>
          </w:rPr>
          <w:t>Notes 1</w:t>
        </w:r>
      </w:hyperlink>
      <w:r>
        <w:rPr>
          <w:rFonts w:ascii="Times New Roman;serif" w:hAnsi="Times New Roman;serif"/>
          <w:b w:val="false"/>
          <w:color w:val="000000"/>
          <w:sz w:val="20"/>
        </w:rPr>
        <w:t xml:space="preserve">, </w:t>
      </w:r>
      <w:hyperlink w:anchor="ie70f00857744476b82c49a37d8161764_40">
        <w:r>
          <w:rPr>
            <w:rStyle w:val="InternetLink"/>
            <w:rFonts w:ascii="Times New Roman;serif" w:hAnsi="Times New Roman;serif"/>
            <w:b w:val="false"/>
            <w:color w:val="0000FF"/>
            <w:sz w:val="20"/>
            <w:u w:val="single"/>
          </w:rPr>
          <w:t>2</w:t>
        </w:r>
      </w:hyperlink>
      <w:r>
        <w:rPr>
          <w:color w:val="000000"/>
        </w:rPr>
        <w:t xml:space="preserve"> </w:t>
      </w:r>
      <w:r>
        <w:rPr>
          <w:rFonts w:ascii="Times New Roman;serif" w:hAnsi="Times New Roman;serif"/>
          <w:b w:val="false"/>
          <w:color w:val="000000"/>
          <w:sz w:val="20"/>
        </w:rPr>
        <w:t xml:space="preserve">and </w:t>
      </w:r>
      <w:hyperlink w:anchor="ie70f00857744476b82c49a37d8161764_43">
        <w:r>
          <w:rPr>
            <w:rStyle w:val="InternetLink"/>
            <w:rFonts w:ascii="Times New Roman;serif" w:hAnsi="Times New Roman;serif"/>
            <w:b w:val="false"/>
            <w:color w:val="0000FF"/>
            <w:sz w:val="20"/>
            <w:u w:val="single"/>
          </w:rPr>
          <w:t>3</w:t>
        </w:r>
      </w:hyperlink>
      <w:r>
        <w:rPr>
          <w:color w:val="000000"/>
        </w:rPr>
        <w:t xml:space="preserve"> </w:t>
      </w:r>
      <w:r>
        <w:rPr>
          <w:rFonts w:ascii="Times New Roman;serif" w:hAnsi="Times New Roman;serif"/>
          <w:b w:val="false"/>
          <w:color w:val="000000"/>
          <w:sz w:val="20"/>
        </w:rPr>
        <w:t>to our accompanying condensed consolidated financial statements contained in Part I, Item 1 “Financial Statements” of this Quarterly Report on Form 10-Q for additional information regarding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Following the completion of the Merger, we updated our segment structure to include new operating segments for the acquired Windstream businesses, combined the legacy fiber and leasing businesses into a new segment and no longer reported corporate separately. Prior period segment information has been recast to reflect these changes for all periods presented. Our re</w:t>
      </w:r>
      <w:r>
        <w:rPr>
          <w:rFonts w:ascii="Times New Roman;serif" w:hAnsi="Times New Roman;serif"/>
          <w:b w:val="false"/>
          <w:color w:val="000000"/>
          <w:sz w:val="20"/>
          <w:shd w:fill="FFFFFF" w:val="clear"/>
        </w:rPr>
        <w:t>portable business segments are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Kinetic</w:t>
      </w:r>
      <w:r>
        <w:rPr>
          <w:color w:val="000000"/>
        </w:rPr>
        <w:t xml:space="preserve"> – </w:t>
      </w:r>
      <w:r>
        <w:rPr>
          <w:rFonts w:ascii="Times New Roman;serif" w:hAnsi="Times New Roman;serif"/>
          <w:b w:val="false"/>
          <w:color w:val="000000"/>
          <w:sz w:val="20"/>
        </w:rPr>
        <w:t>We manage as one business our residential, business and wholesale operations in markets in which we are the incumbent local exchange carrier (“ILEC”) due to the similarities with respect to service offerings and marketing strategies. Residential customers can bundle voice, high-speed internet and video services, to provide one convenient billing solution and receive bundle discounts. We offer a wide range of advanced internet services, local and long-distance voice services, integrated voice and data services, and web conferencing products to our business customers. These services are equipped to deliver high-speed internet with competitive speeds, value added services to enhance business productivity and options to bundle services to meet our business customers’ needs. Products and services offered to business customers also include managed cloud communications and security services. Our Kinetic wholesale operations provide network bandwidth to other telecommunications carriers, network operators, governmental entities, content providers, and large cloud computing and storage service providers. These services include network transport services to end users, Ethernet and Wave transport of up to 400 Gigabits per second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Kinetic service revenues also include revenue from federal and state Universal Service Fund (“USF”) programs, amounts received from the Rural Digital Opportunity Fund (“RDOF”), and certain surcharges assessed to our customers, including billings for our required contributions to federal and state USF programs. Kinetic sales revenues include sales of various types of communications equipment and products to customers, including selling network equipment to contractors on a wholesale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Fiber Infrastructure</w:t>
      </w:r>
      <w:r>
        <w:rPr>
          <w:color w:val="000000"/>
        </w:rPr>
        <w:t xml:space="preserve"> – </w:t>
      </w:r>
      <w:r>
        <w:rPr>
          <w:rFonts w:ascii="Times New Roman;serif" w:hAnsi="Times New Roman;serif"/>
          <w:b w:val="false"/>
          <w:color w:val="000000"/>
          <w:sz w:val="20"/>
        </w:rPr>
        <w:t>We manage as one business our legacy fiber and leasing businesses combined with the competitive local exchange carrier (“CLEC”) portion of Windstream's acquired wholesale business. Our Fiber Infrastructure operations are focused on providing network bandwidth to other telecommunications carriers, network operators, content providers, and large cloud computing and storage service providers. Services provided include network transport services to end users, Ethernet and Wave transport of up to 400 Gbps, and dark fiber and colocation services. Services also include fiber-to-the-tower connections to support the wireless backhaul market. In addition, we offer voice and data carrier services to other communications providers and to larger-scale purchasers of network capacity. We are also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Fiber Infrastructure sales revenues primarily represent amounts recognized from sales-type leases for fiber where control of the fiber has transferred to the customer.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49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49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u w:val="single"/>
        </w:rPr>
        <w:t>Uniti Solutions</w:t>
      </w:r>
      <w:r>
        <w:rPr>
          <w:color w:val="000000"/>
        </w:rPr>
        <w:t xml:space="preserve"> – </w:t>
      </w:r>
      <w:r>
        <w:rPr>
          <w:rFonts w:ascii="Times New Roman;serif" w:hAnsi="Times New Roman;serif"/>
          <w:b w:val="false"/>
          <w:color w:val="000000"/>
          <w:sz w:val="20"/>
        </w:rPr>
        <w:t>We manage as one business our mid-market and large business customers located within markets in which we are a CLEC and provide services over network facilities primarily leased from other carriers. Products and services consist of software solutions and network connectivity offerings. Software solutions include Secure Access Service Edge (“SASE”), Unified Communications as a Service (“UCaaS”), OfficeSuite UC®, and associated network access products and services. SASE includes Software-Defined Wide Area Network (“SD-WAN”) and Security Service Edge (“SSE”) and associated network access products and services. Network connectivity offerings consist of dynamic internet protocol, dedicated internet access, multi-protocol label switching services, integrated voice and data, long distance and other managed services, including time-division multiplexing (“TDM”) voice and data services and certain surcharges assessed to customers. Uniti Solutions’ sales revenues include sales of high-end data and communications equipment which facilitate the delivery of advanced data and voice services to business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the performance of each segment based on segment contribution margin which is computed as segment revenues and sales less segment expenses. Segment revenues are based upon each customer’s classification to an individual segment and include all services provided to that customer. Segment expenses include direct expenses incurred in providing services and products to segment customers and selling, general and administrative expenses that are directly associated with specific segment customers or activities. These direct expenses include network access and facilities, network operations and engineering, customer specific access costs, cost of sales, field operations, service delivery, sales and marketing, product development, licensing fees, provision for estimated credit losses, and compensation and benefit costs for employees directly assigned to the segments.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Costs related to centrally-managed administrative functions, including information technology, accounting and finance, legal, human resources and other corporate management activities are not monitored by or reported to the chief operating decision maker (“CODM”) by segment. We also do not assign to the segments depreciation and amortization expense and transaction-related and other costs, because these items are not monitored by or reported to the CODM at a segment level.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and (loss) gain on extinguishment of debt have also been excluded from segment operating results because we manage our financing activities on a total company basis and have not assigned any debt or finance lease obligations to the segments. Other income (expense), net, and income tax (expense) benefit are not monitored as a part of our segment operations and, therefore, these items also have been excluded from our segment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Significant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First Quarter 2026 Debt Refinancing Transactions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Kinetic ABS Series 2026-1 Notes</w:t>
      </w:r>
      <w:r>
        <w:rPr>
          <w:color w:val="000000"/>
        </w:rPr>
        <w:t xml:space="preserve"> – </w:t>
      </w:r>
      <w:r>
        <w:rPr>
          <w:rFonts w:ascii="Times New Roman;serif" w:hAnsi="Times New Roman;serif"/>
          <w:b w:val="false"/>
          <w:color w:val="000000"/>
          <w:sz w:val="20"/>
        </w:rPr>
        <w:t>On January 30, 2026, Kinetic ABS Issuer LLC (the “Kinetic ABS Issuer”), an indirect, bankruptcy-remote subsidiary of the Company, completed a private offering of $960.1 million aggregate principal amount of secured fiber network revenue term notes, consisting of $677.7 million 5.219% Series 2026-1, Class A-2 term notes, $113.0 million 5.561% Series 2026-1, Class B term notes and $169.4 million 7.653% Series 2026-1, Class C term notes (collectively, the “Kinetic ABS Notes”), each with an anticipated repayment date in February 2031. The Company intends to use the net proceeds from the offering for general corporate purposes, which may include success-based capital expenditures and/or repayment of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Kinetic ABS Notes were issued at an issue price of 100% of their respective principal amounts pursuant to an indenture, dated as of January 30, 2026 (the “Kinetic ABS Base Indenture”), as supplemented by a Series 2026-1 Supplement thereto, dated as of January 30, 2026 (the “Series 2026-1 Supplement”). In connection with the issuance of the Kinetic ABS Notes, the Kinetic ABS Base Indenture, as supplemented by the Series 2026-1 Supplement, also provides for up to $150.0 million of Series 2026-1, Class A-1-V variable funding notes (the “Kinetic ABS Class A-1 Variable Funding Notes”). The Kinetic ABS Base Indenture, as supplemented by the Series 2026-1 Supplement, also provides for up to $14.0 million of Series 2026-1, Class A-1-L liquidity funding notes (the “Kinetic ABS Class A-1 Liquidity Funding Notes” and, together with the Kinetic ABS Notes and the Kinetic ABS Class A-1 Variable Funding Notes, collectively, the “Series 2026-1 Notes”) to be issued solely to support the securitization program’s liquidity reserve and to cover specified payment shortfalls. As of the closing of the transactions on January 30, 2026, the Kinetic ABS Issuer has $960.1 million aggregate principal amount of Kinetic ABS Notes outstanding, zero principal amount of Kinetic ABS Class A-1 Variable Funding Notes outstanding and zero principal amount of Kinetic ABS Class A-1 Liquidity Funding Notes outstanding. The Kinetic ABS Base Indenture allows the Kinetic ABS Issuer to issue additional series of notes subject to certain conditions set forth therein.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Series 2026-1 Notes are outstanding, scheduled payments of interest are required to be made on the 25th day of each calendar month, commencing on March 25, 2026. The Series 2026-1 Notes are subject to a series of customary covenants and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u w:val="single"/>
        </w:rPr>
        <w:t>Senior Unsecured Notes</w:t>
      </w:r>
      <w:r>
        <w:rPr>
          <w:color w:val="000000"/>
        </w:rPr>
        <w:t xml:space="preserve"> – </w:t>
      </w:r>
      <w:r>
        <w:rPr>
          <w:rFonts w:ascii="Times New Roman;serif" w:hAnsi="Times New Roman;serif"/>
          <w:b w:val="false"/>
          <w:color w:val="000000"/>
          <w:sz w:val="20"/>
        </w:rPr>
        <w:t>On February 4, 2026, Uniti Services LLC, Uniti Group Finance, Uniti Fiber Holdings and CSL Capital issued $1.0 billion aggregate principal amount of unsecured 8.625% Senior Notes due 2032</w:t>
      </w:r>
      <w:r>
        <w:rPr>
          <w:color w:val="000000"/>
        </w:rPr>
        <w:t xml:space="preserve"> </w:t>
      </w:r>
      <w:r>
        <w:rPr>
          <w:rFonts w:ascii="Times New Roman;serif" w:hAnsi="Times New Roman;serif"/>
          <w:b w:val="false"/>
          <w:color w:val="000000"/>
          <w:sz w:val="20"/>
        </w:rPr>
        <w:t>(the “8.625% notes”) pursuant to an indenture with Deutsche Bank Trust Company Americas, as trustee (the “8.625% senior notes indenture”). Upon the guarantee of the 8.625% notes by each of the regulated subsidiaries that guarantee the existing 8.625% unsecured notes, the 8.625% notes are expected to be mandatorily exchanged for 8.625% unsecured notes issued as “additional notes” under the existing 8.625% senior notes indenture, have the same CUSIP number as, and be fungible with, the existing 8.625% unsecured notes. Net proceeds from the issuance of the 8.625% notes were used to repay the Windstream Term Loan, including related fees and expenses, and for general corporate purposes, including the repayment of borrowings outstanding under the revolving credit agreements and success-based capital expenditures.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See </w:t>
      </w:r>
      <w:hyperlink w:anchor="ie70f00857744476b82c49a37d8161764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 xml:space="preserve">to the condensed consolidated financial statements for additional information related to the issuance of the Kinetic ABS Notes and the additional 8.625% notes completed in the first quarter of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Third Quarter 2026 Debt Refinancing Transactions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Kinetic ABS Series 2026-2 Notes</w:t>
      </w:r>
      <w:r>
        <w:rPr>
          <w:color w:val="000000"/>
        </w:rPr>
        <w:t xml:space="preserve"> – </w:t>
      </w:r>
      <w:r>
        <w:rPr>
          <w:rFonts w:ascii="Times New Roman;serif" w:hAnsi="Times New Roman;serif"/>
          <w:b w:val="false"/>
          <w:color w:val="000000"/>
          <w:sz w:val="20"/>
        </w:rPr>
        <w:t>On July 15, 2026, Kinetic ABS Issuer LLC (“Kinetic ABS Issuer”) completed a private offering of $1.1 billion aggregate principal amount of secured fiber network revenue term notes, consisting of $805.2 million 5.834% Series 2026-2, Class A-2 term notes, $134.2 million 6.224% Series 2026-2, Class B term notes and $201.3 million 7.536% Series 2026-2, Class C term notes (collectively, the “Kinetic ABS 2026-2 Notes”), each with an anticipated repayment date in June 2033. The proceeds of the offering of the Kinetic ABS 2026-2 Notes were used to purchase assets held by certain subsidiary guarantors of the Company’s senior indebtedness that were contributed to certain subsidiaries of Kinetic ABS Issuer (the “Kinetic ABS Asset Sale”). Uniti intends to use a portion of the net cash provided by the Kinetic ABS Asset Sale for reinvestments in the business, including to fund growth capital expenditures, and $500 million of such net cash proceeds to repay the Company’s senior secured indebtedness pursuant to the Term Loan Prepayment Offer and the Asset Sale Offers (each as defined and described further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Kinetic ABS 2026-2 Notes were issued at an issue price of 100% of their respective principal amounts pursuant to an amended and restated indenture, dated as of July 15, 2026 (the “Kinetic ABS Base Indenture”), as supplemented by a Series 2026-2 Supplement thereto, dated as of July 15, 2026 (the “Series 2026-2 Supplement”). In connection with the issuance of the Kinetic ABS 2026-2 Notes, the Kinetic ABS Issuer (i) increased the maximum commitment under its existing liquidity funding note facility to reflect the increase in the transaction’s liquidity reserve requirements that resulted from the issuance of the Kinetic ABS 2026-2 Notes and (ii) extended the maturity of the existing liquidity note facility to align with the final maturity date of the Kinetic ABS 2026-2 Notes. No new variable funding notes were issued in connection with issuance of the Kinetic ABS 2026-2 Notes.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While the Kinetic ABS 2026-2 Notes are outstanding, scheduled payments of interest are required to be made on the 25th day of each calendar month, commencing on August 25, 2026. No principal payments will be due on the Kinetic ABS 2026-2 Notes prior to the applicable anticipated repayment date, unless certain rapid amortization or acceleration triggers are activated. The Kinetic ABS 2026-2 Notes are subject to a series of customary covenants and restrictions.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closing on July 15, 2026, together with the $960.1 million aggregate principal amount of Kinetic ABS 2026-1 Notes issued on January 30, 2026, the Kinetic ABS Issuer has $2.1 billion aggregate principal amount of revenue term notes outstanding, with no principal amount of variable funding notes or liquidity funding notes outstanding.</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Term Loan Prepayment Offer and Asset Sale Offers</w:t>
      </w:r>
      <w:r>
        <w:rPr>
          <w:color w:val="000000"/>
        </w:rPr>
        <w:t xml:space="preserve"> </w:t>
      </w:r>
      <w:r>
        <w:rPr>
          <w:rFonts w:ascii="Times New Roman;serif" w:hAnsi="Times New Roman;serif"/>
          <w:b w:val="false"/>
          <w:color w:val="000000"/>
          <w:sz w:val="20"/>
        </w:rPr>
        <w:t>- On July 23, 2026, Uniti Services issued a prepayment notice to the lenders of its 2025 Term Loan to prepay up to $167.8 million principal amount of the 2025 Term Loan on July 30, 2026 (the “Term Loan Prepayment Offer”). On July 30, 2026, Uniti Services repaid $19.8 million principal amount of the 2025 Term Loan.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Concurrently, on July 23, 2026, the issuers of the 4.75% secured notes and 7.50% secured notes commenced asset sale offers (the “Asset Sale Offers”) to purchase up to $332.2 million aggregate principal amount (the “Maximum Offer Amount”) of the 4.75% secured notes and 7.50% secured notes. To the extent certain term loan lenders decline their pro rata share of the Term Loan prepayment amount and the total principal amount of 2025 Term Loan that is prepaid is less than $167.8 million, the issuers of the 4.75% secured notes and 7.50% secured notes intend to amend the Asset Sale Offers to increase the Maximum Offer Amount in an amount equal to the declined 2025 Term Loan prepayment amount.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See </w:t>
      </w:r>
      <w:hyperlink w:anchor="ie70f00857744476b82c49a37d8161764_85">
        <w:r>
          <w:rPr>
            <w:rStyle w:val="InternetLink"/>
          </w:rPr>
          <w:t xml:space="preserve">Note </w:t>
        </w:r>
      </w:hyperlink>
      <w:hyperlink w:anchor="ie70f00857744476b82c49a37d8161764_85">
        <w:r>
          <w:rPr>
            <w:rStyle w:val="InternetLink"/>
          </w:rPr>
          <w:t>15</w:t>
        </w:r>
      </w:hyperlink>
      <w:r>
        <w:rPr>
          <w:color w:val="000000"/>
        </w:rPr>
        <w:t xml:space="preserve"> </w:t>
      </w:r>
      <w:r>
        <w:rPr>
          <w:rFonts w:ascii="Times New Roman;serif" w:hAnsi="Times New Roman;serif"/>
          <w:b w:val="false"/>
          <w:color w:val="000000"/>
          <w:sz w:val="20"/>
        </w:rPr>
        <w:t>to the unaudited condensed consolidated financial statements for additional information related to these third quarter 2026 debt refinancing transactions.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51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51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Financial and Performance Highlights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operating results for the three and six months ended June 30,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generated consolidated revenues and sales of $909.7 million and $1,897.2 million for the three and six months ended June 30, 2026, respectively, up $609.0 million and $1,302.6 million, when compared to the same periods a year ago. The acquired operations of Windstream generated total revenues and sales of $795.9 million and $1,605.2 million for the three and six months ended June 30, 2026, respectively. The Merger accounted for 87% and 85% of our total consolidated revenues and sales for the three and six months ended June 30, 2026, respectively. During the first half of 2026, we entered into an indefeasible right of use (“IRU”) agreement for dark fiber with a large hyperscaler, resulting in $85.5 million in incremental sales revenues.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generated consolidated operating income of $32.2 million and $143.1 million for the three and six months ended June 30, 2026, respectively, decreases of $112.8 million and $147.6 million, when compared to the same periods a year ago. The acquired operations of Windstream generated operating income of $69.7 million and $173.0 million for the three and six months ended June 30, 2026, respectively. Transaction-related and other costs were $9.6 million and $39.7 million for the three and six months ended June 30, 2026, respectively, a decrease of $3.9 million and an increase of $18.4 million from the same periods a year ago, primarily due to the Merger.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Within the Kinetic segment, service revenues were $501.9 million and $1,024.8 million and contribution margins were $228.4 million and $463.9 million for the three and six months ended June 30, 2026, respectively. We extended our fiber coverage during the quarter bringing our total to approximately 2.1 million consumer premises passed or 44% of our Kinetic footprint as of June 30, 2026. We ended the second quarter with approximately 603,000 consumer subscribers on our fiber network, representing a 29% fiber consumer subscriber penetration rate (calculated as the total number of fiber consumer subscribers divided by the total number of consumer premises passed).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Fiber Infrastructure segment generated solid operating results highlighted by high demand from carriers, content providers and larger-scale purchasers of network capacity. For this segment, service revenues were $216.0 million and $438.2 million and contribution margins were $121.8 million and $314.5 million, for the three and six months ended June 30, 2026, respectively. The acquired wholesale business of Windstream generated service revenues of $120.2 million and $236.8 million and direct margin of $68.9 million and $191.2 million for the three and six months ended June 30, 2026, respectively.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Within the Uniti Solutions segment, we continued execution of our transformation strategy, which is shifting away from legacy TDM revenues and narrowing our focus to emphasize profitability for the valuable base of managed services customers. For this segment, service revenues were $180.9 million and $371.9 million and contribution margins were $91.8 million and $187.6 million for the three and six months ended June 30, 2026,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relative size of the acquired Windstream operations in relation to Old Uniti's operations, the Merger had a significant impact on the operating results of the Company for the three and six months ended June 30, 2026. To facilitate a discussion and analysis of our results on a comparable basis, management has supplemented its discussion of the Company's results of operations under GAAP with supplemental unaudited pro forma condensed combined financial information based on the historical results of operations of Old Uniti and Windstream as if the Merger had been consummated on January 1, 2024. See the “Supplemental Unaudited Pro Forma Condensed Combined Financial Information” section within this MD&amp;A for further information on the assumptions used in the preparation of the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52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52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consolidated operating results for Uniti:</w:t>
      </w:r>
    </w:p>
    <w:p>
      <w:pPr>
        <w:pStyle w:val="TextBody"/>
        <w:bidi w:val="0"/>
        <w:spacing w:before="0" w:after="0"/>
        <w:jc w:val="both"/>
        <w:rPr/>
      </w:pPr>
      <w:r>
        <w:rPr/>
      </w:r>
    </w:p>
    <w:tbl>
      <w:tblPr>
        <w:tblW w:w="11303" w:type="dxa"/>
        <w:jc w:val="left"/>
        <w:tblInd w:w="0" w:type="dxa"/>
        <w:tblLayout w:type="fixed"/>
        <w:tblCellMar>
          <w:top w:w="28" w:type="dxa"/>
          <w:left w:w="28" w:type="dxa"/>
          <w:bottom w:w="28" w:type="dxa"/>
          <w:right w:w="28" w:type="dxa"/>
        </w:tblCellMar>
      </w:tblPr>
      <w:tblGrid>
        <w:gridCol w:w="646"/>
        <w:gridCol w:w="568"/>
        <w:gridCol w:w="317"/>
        <w:gridCol w:w="109"/>
        <w:gridCol w:w="109"/>
        <w:gridCol w:w="109"/>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240"/>
        <w:gridCol w:w="241"/>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39"/>
        <w:gridCol w:w="242"/>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 (Decrease)</w:t>
            </w:r>
          </w:p>
        </w:tc>
      </w:tr>
      <w:tr>
        <w:trPr/>
        <w:tc>
          <w:tcPr>
            <w:tcW w:w="15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br/>
              <w:t>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w:t>
              <w:br/>
              <w:t>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w:t>
              <w:br/>
              <w: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w:t>
              <w:br/>
              <w:t>   and other costs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costs and </w:t>
              <w:br/>
              <w: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br/>
              <w:t>   (expense), net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gain on </w:t>
              <w:br/>
              <w:t xml:space="preserve">   extinguishment </w:t>
              <w:br/>
              <w:t>   of debt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Loss before income </w:t>
              <w:br/>
              <w:t>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w:t>
              <w:br/>
              <w:t>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(a)Amounts are exclusive of depreciation and amortization included below.</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(b)Transaction related and other costs include professional services and fees, integration costs, and other miscellaneous costs. For additional information related to these expenses see the corresponding section of </w:t>
      </w:r>
      <w:hyperlink w:anchor="ie70f00857744476b82c49a37d8161764_43">
        <w:r>
          <w:rPr>
            <w:rStyle w:val="InternetLink"/>
            <w:rFonts w:ascii="Times New Roman;serif" w:hAnsi="Times New Roman;serif"/>
            <w:b w:val="false"/>
            <w:color w:val="0000FF"/>
            <w:sz w:val="20"/>
            <w:u w:val="single"/>
          </w:rPr>
          <w:t>Note 3</w:t>
        </w:r>
      </w:hyperlink>
      <w:r>
        <w:rPr>
          <w:color w:val="000000"/>
        </w:rPr>
        <w:t xml:space="preserve"> </w:t>
      </w:r>
      <w:r>
        <w:rPr>
          <w:rFonts w:ascii="Times New Roman;serif" w:hAnsi="Times New Roman;serif"/>
          <w:b w:val="false"/>
          <w:color w:val="000000"/>
          <w:sz w:val="20"/>
        </w:rPr>
        <w:t>to the condensed consolidated financial statements.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(c)Amounts primarily include $6.5 million and $11.7 million of incremental interest income earned on short-term investments in the three and six months ended June 30, 2026, respectively.</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(d)See corresponding section of </w:t>
      </w:r>
      <w:hyperlink w:anchor="ie70f00857744476b82c49a37d8161764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to the condensed consolidated financial statements for information related to the (loss) gain on extinguishment of debt recorded in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53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53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Service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service revenues compared to the same periods a year ago:</w:t>
      </w:r>
    </w:p>
    <w:p>
      <w:pPr>
        <w:pStyle w:val="TextBody"/>
        <w:bidi w:val="0"/>
        <w:spacing w:before="0" w:after="0"/>
        <w:jc w:val="both"/>
        <w:rPr/>
      </w:pPr>
      <w:r>
        <w:rPr/>
      </w:r>
    </w:p>
    <w:tbl>
      <w:tblPr>
        <w:tblW w:w="8513" w:type="dxa"/>
        <w:jc w:val="left"/>
        <w:tblInd w:w="0" w:type="dxa"/>
        <w:tblLayout w:type="fixed"/>
        <w:tblCellMar>
          <w:top w:w="28" w:type="dxa"/>
          <w:left w:w="28" w:type="dxa"/>
          <w:bottom w:w="28" w:type="dxa"/>
          <w:right w:w="28" w:type="dxa"/>
        </w:tblCellMar>
      </w:tblPr>
      <w:tblGrid>
        <w:gridCol w:w="1575"/>
        <w:gridCol w:w="1383"/>
        <w:gridCol w:w="1392"/>
        <w:gridCol w:w="109"/>
        <w:gridCol w:w="109"/>
        <w:gridCol w:w="109"/>
        <w:gridCol w:w="409"/>
        <w:gridCol w:w="1195"/>
        <w:gridCol w:w="211"/>
        <w:gridCol w:w="109"/>
        <w:gridCol w:w="109"/>
        <w:gridCol w:w="109"/>
        <w:gridCol w:w="315"/>
        <w:gridCol w:w="1149"/>
        <w:gridCol w:w="230"/>
      </w:tblGrid>
      <w:tr>
        <w:trPr/>
        <w:tc>
          <w:tcPr>
            <w:tcW w:w="15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1,540.6 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Fiber Infrastructure service revenues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increases in service revenues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557.1 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1,155.3 </w:t>
            </w:r>
          </w:p>
        </w:tc>
        <w:tc>
          <w:tcPr>
            <w:tcW w:w="2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(a)Decreases primarily reflect the absence of leasing revenues from Windstream subsequent to August 1, 2025, resulting from the settlement of the preexisting leasing relationships upon consummation of the Merger.</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Sales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revenues include sales of various types of communications equipment and products to customers including selling network equipment to contractors on a wholesale basis. Consumer product sales include home networking equipment, computers and phones. Uniti Solutions product sales include high-end data and communications equipment which facilitate the delivery of advanced data and voice services to business customers. Sales revenues also include amounts recognized from sales-type leases for fiber where control of the fiber has transferred to the customer. Revenues from sales-type leases were $16.8 million and $88.2 million for the three and six months ended June 30, 2026, respectively. Revenues from sales-type leases were $2.7 million for the six months ended June 30, 2025. There were no revenues from sales-type leases in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sales revenues compared to the same periods a year ago:</w:t>
      </w:r>
    </w:p>
    <w:p>
      <w:pPr>
        <w:pStyle w:val="TextBody"/>
        <w:bidi w:val="0"/>
        <w:spacing w:before="0" w:after="0"/>
        <w:jc w:val="both"/>
        <w:rPr/>
      </w:pPr>
      <w:r>
        <w:rPr/>
      </w:r>
    </w:p>
    <w:tbl>
      <w:tblPr>
        <w:tblW w:w="9037" w:type="dxa"/>
        <w:jc w:val="left"/>
        <w:tblInd w:w="0" w:type="dxa"/>
        <w:tblLayout w:type="fixed"/>
        <w:tblCellMar>
          <w:top w:w="28" w:type="dxa"/>
          <w:left w:w="28" w:type="dxa"/>
          <w:bottom w:w="28" w:type="dxa"/>
          <w:right w:w="28" w:type="dxa"/>
        </w:tblCellMar>
      </w:tblPr>
      <w:tblGrid>
        <w:gridCol w:w="1765"/>
        <w:gridCol w:w="1550"/>
        <w:gridCol w:w="1559"/>
        <w:gridCol w:w="109"/>
        <w:gridCol w:w="109"/>
        <w:gridCol w:w="109"/>
        <w:gridCol w:w="461"/>
        <w:gridCol w:w="1116"/>
        <w:gridCol w:w="238"/>
        <w:gridCol w:w="109"/>
        <w:gridCol w:w="109"/>
        <w:gridCol w:w="109"/>
        <w:gridCol w:w="364"/>
        <w:gridCol w:w="1065"/>
        <w:gridCol w:w="265"/>
      </w:tblGrid>
      <w:tr>
        <w:trPr/>
        <w:tc>
          <w:tcPr>
            <w:tcW w:w="176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attributable to sales-type leases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attributable to the Merger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Fiber Infrastructure equipment and other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sales revenues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26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(a)Increases attributable to IRU dark fiber agreements, including one agreement with a large hyperscaler entered into during the first quarter of 2026.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expense primarily consists of charges incurred for network operations, interconnection, and business taxes. Network operations charges include salaries and wages, materials, contractor costs, IT support and costs to lease certain network facilities. Interconnection expense consists of charges incurred to access the public switched network and transport traffic to the internet, including charges paid to other carriers for access points where we do not own the primary network infrastructure. Other expenses consist of third-party costs for ancillary voice and data services, business taxes, and business and financial services.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54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54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cost of services compared to the same periods a year ago:</w:t>
      </w:r>
    </w:p>
    <w:p>
      <w:pPr>
        <w:pStyle w:val="TextBody"/>
        <w:bidi w:val="0"/>
        <w:spacing w:before="0" w:after="0"/>
        <w:jc w:val="both"/>
        <w:rPr/>
      </w:pPr>
      <w:r>
        <w:rPr/>
      </w:r>
    </w:p>
    <w:tbl>
      <w:tblPr>
        <w:tblW w:w="7702" w:type="dxa"/>
        <w:jc w:val="left"/>
        <w:tblInd w:w="0" w:type="dxa"/>
        <w:tblLayout w:type="fixed"/>
        <w:tblCellMar>
          <w:top w:w="28" w:type="dxa"/>
          <w:left w:w="28" w:type="dxa"/>
          <w:bottom w:w="28" w:type="dxa"/>
          <w:right w:w="28" w:type="dxa"/>
        </w:tblCellMar>
      </w:tblPr>
      <w:tblGrid>
        <w:gridCol w:w="1282"/>
        <w:gridCol w:w="1125"/>
        <w:gridCol w:w="1132"/>
        <w:gridCol w:w="109"/>
        <w:gridCol w:w="109"/>
        <w:gridCol w:w="109"/>
        <w:gridCol w:w="409"/>
        <w:gridCol w:w="1195"/>
        <w:gridCol w:w="211"/>
        <w:gridCol w:w="109"/>
        <w:gridCol w:w="109"/>
        <w:gridCol w:w="109"/>
        <w:gridCol w:w="364"/>
        <w:gridCol w:w="1065"/>
        <w:gridCol w:w="265"/>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5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642.9 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network and other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increases in cost of services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311.1 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2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sales represents the associated cost of equipment and the net carrying value of fiber for sales-type leases. The following table reflects the primary drivers of the changes in cost of sales compared to the same periods a year ago:</w:t>
      </w:r>
    </w:p>
    <w:p>
      <w:pPr>
        <w:pStyle w:val="TextBody"/>
        <w:bidi w:val="0"/>
        <w:spacing w:before="0" w:after="0"/>
        <w:jc w:val="both"/>
        <w:rPr/>
      </w:pPr>
      <w:r>
        <w:rPr/>
      </w:r>
    </w:p>
    <w:tbl>
      <w:tblPr>
        <w:tblW w:w="9038" w:type="dxa"/>
        <w:jc w:val="left"/>
        <w:tblInd w:w="0" w:type="dxa"/>
        <w:tblLayout w:type="fixed"/>
        <w:tblCellMar>
          <w:top w:w="28" w:type="dxa"/>
          <w:left w:w="28" w:type="dxa"/>
          <w:bottom w:w="28" w:type="dxa"/>
          <w:right w:w="28" w:type="dxa"/>
        </w:tblCellMar>
      </w:tblPr>
      <w:tblGrid>
        <w:gridCol w:w="1765"/>
        <w:gridCol w:w="1550"/>
        <w:gridCol w:w="1560"/>
        <w:gridCol w:w="109"/>
        <w:gridCol w:w="109"/>
        <w:gridCol w:w="109"/>
        <w:gridCol w:w="461"/>
        <w:gridCol w:w="1116"/>
        <w:gridCol w:w="238"/>
        <w:gridCol w:w="109"/>
        <w:gridCol w:w="109"/>
        <w:gridCol w:w="109"/>
        <w:gridCol w:w="408"/>
        <w:gridCol w:w="989"/>
        <w:gridCol w:w="297"/>
      </w:tblGrid>
      <w:tr>
        <w:trPr/>
        <w:tc>
          <w:tcPr>
            <w:tcW w:w="176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8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attributable to sales-type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Fiber Infrastructure equipment and other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increases in cost of sales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changes in cost of sales were consistent with the net changes in sales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Selling, General and Administrative (“SG&amp;A”)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SG&amp;A expenses result from sales and marketing efforts, advertising, IT support, provision for estimated credit losses, costs associated with corporate and other support functions and professional fees. These expenses include salaries, wages and employee benefits not directly associated with the provisioning of services to our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SG&amp;A expenses compared to the same periods a year ago:</w:t>
      </w:r>
    </w:p>
    <w:p>
      <w:pPr>
        <w:pStyle w:val="TextBody"/>
        <w:bidi w:val="0"/>
        <w:spacing w:before="0" w:after="0"/>
        <w:jc w:val="both"/>
        <w:rPr/>
      </w:pPr>
      <w:r>
        <w:rPr/>
      </w:r>
    </w:p>
    <w:tbl>
      <w:tblPr>
        <w:tblW w:w="8438" w:type="dxa"/>
        <w:jc w:val="left"/>
        <w:tblInd w:w="0" w:type="dxa"/>
        <w:tblLayout w:type="fixed"/>
        <w:tblCellMar>
          <w:top w:w="28" w:type="dxa"/>
          <w:left w:w="28" w:type="dxa"/>
          <w:bottom w:w="28" w:type="dxa"/>
          <w:right w:w="28" w:type="dxa"/>
        </w:tblCellMar>
      </w:tblPr>
      <w:tblGrid>
        <w:gridCol w:w="1548"/>
        <w:gridCol w:w="1359"/>
        <w:gridCol w:w="1368"/>
        <w:gridCol w:w="109"/>
        <w:gridCol w:w="109"/>
        <w:gridCol w:w="109"/>
        <w:gridCol w:w="409"/>
        <w:gridCol w:w="1195"/>
        <w:gridCol w:w="211"/>
        <w:gridCol w:w="109"/>
        <w:gridCol w:w="109"/>
        <w:gridCol w:w="109"/>
        <w:gridCol w:w="364"/>
        <w:gridCol w:w="1065"/>
        <w:gridCol w:w="265"/>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2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provision for estimated credit losses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stock-based compensation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Decreases in other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increases in SG&amp;A</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2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(a)Increases were primarily attributable to customers bankruptcies filed in the second quarter of 2026.</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(b)Increases were primarily attributable to incremental expense associated with stock-based awards granted to select management employees of Old Uniti in 2025, for which vesting was contingent upon the closing of the Merger.</w:t>
      </w:r>
    </w:p>
    <w:p>
      <w:pPr>
        <w:pStyle w:val="TextBody"/>
        <w:bidi w:val="0"/>
        <w:spacing w:before="0" w:after="0"/>
        <w:ind w:left="0" w:right="0" w:hanging="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55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55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includes the depreciation of property, plant and equipment and the amortization of intangible assets. Substantially all of the increases in depreciation and amortization during the three and six months ended June 30, 2026 were attributable to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reported operating income of $32.2 million and $143.1 million for the three and six months ended June 30, 2026, compared to operating income of $145.0 million and $290.7 million for three and six months ended June 30, 2025. Compared to the same periods of 2025, operating income decreased $112.8 million, or 78%, and $147.6 million, or 51%, during the three and six months ended June 30, 2025, respectively. The decreases in both the three and six months ended June 30, 2026 as compared to the same periods in 2025 primarily reflected decreases in operating lease revenues of $165.4 million and $320.9 million, respectively, primarily due to the absence of leasing revenues from Windstream subsequent to August 1, 2025 resulting from the settlement of the preexisting leasing relationships upon consummation of the Merger, and the incremental increases in stock-based compensation expense. Higher transaction related and other costs related to the Merger of $18.4 million also contributed to the decrease in operating income in the six months ended June 30, 2026. The unfavorable effects of these items on operating income for the three and six months ended June 30, 2026 were partially offset by the incremental operating income of $69.7 million and $173.0 million, respectively, attributable to the acquired Windstream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interest expense, net compared to the same periods a year ago:</w:t>
      </w:r>
    </w:p>
    <w:p>
      <w:pPr>
        <w:pStyle w:val="TextBody"/>
        <w:bidi w:val="0"/>
        <w:spacing w:before="0" w:after="0"/>
        <w:jc w:val="both"/>
        <w:rPr/>
      </w:pPr>
      <w:r>
        <w:rPr/>
      </w:r>
    </w:p>
    <w:tbl>
      <w:tblPr>
        <w:tblW w:w="9832" w:type="dxa"/>
        <w:jc w:val="left"/>
        <w:tblInd w:w="0" w:type="dxa"/>
        <w:tblLayout w:type="fixed"/>
        <w:tblCellMar>
          <w:top w:w="28" w:type="dxa"/>
          <w:left w:w="28" w:type="dxa"/>
          <w:bottom w:w="28" w:type="dxa"/>
          <w:right w:w="28" w:type="dxa"/>
        </w:tblCellMar>
      </w:tblPr>
      <w:tblGrid>
        <w:gridCol w:w="2054"/>
        <w:gridCol w:w="1805"/>
        <w:gridCol w:w="1810"/>
        <w:gridCol w:w="109"/>
        <w:gridCol w:w="109"/>
        <w:gridCol w:w="109"/>
        <w:gridCol w:w="461"/>
        <w:gridCol w:w="1116"/>
        <w:gridCol w:w="238"/>
        <w:gridCol w:w="109"/>
        <w:gridCol w:w="109"/>
        <w:gridCol w:w="109"/>
        <w:gridCol w:w="364"/>
        <w:gridCol w:w="1065"/>
        <w:gridCol w:w="265"/>
      </w:tblGrid>
      <w:tr>
        <w:trPr/>
        <w:tc>
          <w:tcPr>
            <w:tcW w:w="2054"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5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5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facility -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Infrastructure ABS Notes and bridge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Kinetic ABS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debt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net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26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presented in the table above, interest expense, net increased $66.8 million and $125.6 million for the three and six months ended June 30, 2026, respectively, as compared to the same periods in 2025. The increase reflects the incremental net increase of approximately $4.6 billion in aggregate long-term debt outstanding following the completion of the Merger and debt refinancing transactions completed in the fourth quarter of 2025 and first quarter of 2026. See </w:t>
      </w:r>
      <w:hyperlink w:anchor="ie70f00857744476b82c49a37d8161764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to the condensed consolidated financial statements for additional information related to our long-term debt obligations.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56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56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determining our quarterly provision for income taxes, the Company uses an estimated annual effective tax rate, which is based on our expected annual income, statutory rates, permanent book/tax differences, valuation allowance analysis and tax planning opportunities. Significant or unusual items are separately recognized in the quarter in which they occur.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recorded income tax expense of $0.3 million and $0.9 million, respectively, resulting in an effective tax rate of (0.2)% and (0.4)%, respectively. The effective tax rate differed from the statutory rate for the three and six months ended June 30, 2026 primarily due to changes in the valuation allowance recorded against current year income and current state income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we recorded income tax benefits of $6.2 million and $10.7 million, respectively, resulting in an effective tax rate of 36.7% and 116.3%, respectively. The provision for income taxes differed from the statutory rate for the three and six months ended June 30, 2025 primarily due to the benefit of Old Uniti’s REIT status and the reversal of unrecognized tax benefits related to the expiration of a statute of limitations in a foreign jurisdiction.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57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57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SEGMENT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KINETIC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Kinetic segment results of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6"/>
        <w:gridCol w:w="605"/>
        <w:gridCol w:w="29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109"/>
        <w:gridCol w:w="109"/>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109"/>
        <w:gridCol w:w="109"/>
        <w:gridCol w:w="158"/>
      </w:tblGrid>
      <w:tr>
        <w:trPr/>
        <w:tc>
          <w:tcPr>
            <w:tcW w:w="78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Increase </w:t>
              <w:br/>
              <w:t>(Decrease)</w:t>
            </w:r>
          </w:p>
        </w:tc>
      </w:tr>
      <w:tr>
        <w:trPr/>
        <w:tc>
          <w:tcPr>
            <w:tcW w:w="1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consumer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Wholesale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RDOF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USF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user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w:t>
              <w:br/>
              <w: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Revenue-driven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w:t>
              <w:br/>
              <w:t xml:space="preserve">   facilities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and</w:t>
              <w:br/>
              <w:t>   customer operations</w:t>
              <w:br/>
              <w: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access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w:t>
              <w:br/>
              <w: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increases in Kinetic segment revenues and sales, costs and expenses and contribution margin were solely attributable to the acquisition of Windstream.</w:t>
      </w:r>
    </w:p>
    <w:p>
      <w:pPr>
        <w:pStyle w:val="TextBody"/>
        <w:bidi w:val="0"/>
        <w:spacing w:before="0" w:after="0"/>
        <w:jc w:val="both"/>
        <w:rPr/>
      </w:pPr>
      <w:r>
        <w:rPr/>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58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58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summary of Kinetic broadband customers was as follows as of June 30, 2026:</w:t>
      </w:r>
    </w:p>
    <w:p>
      <w:pPr>
        <w:pStyle w:val="TextBody"/>
        <w:bidi w:val="0"/>
        <w:spacing w:before="0" w:after="0"/>
        <w:jc w:val="both"/>
        <w:rPr/>
      </w:pPr>
      <w:r>
        <w:rPr/>
      </w:r>
    </w:p>
    <w:tbl>
      <w:tblPr>
        <w:tblW w:w="5837" w:type="dxa"/>
        <w:jc w:val="left"/>
        <w:tblInd w:w="0" w:type="dxa"/>
        <w:tblLayout w:type="fixed"/>
        <w:tblCellMar>
          <w:top w:w="28" w:type="dxa"/>
          <w:left w:w="28" w:type="dxa"/>
          <w:bottom w:w="28" w:type="dxa"/>
          <w:right w:w="28" w:type="dxa"/>
        </w:tblCellMar>
      </w:tblPr>
      <w:tblGrid>
        <w:gridCol w:w="1140"/>
        <w:gridCol w:w="1002"/>
        <w:gridCol w:w="1008"/>
        <w:gridCol w:w="109"/>
        <w:gridCol w:w="109"/>
        <w:gridCol w:w="109"/>
        <w:gridCol w:w="109"/>
        <w:gridCol w:w="109"/>
        <w:gridCol w:w="109"/>
        <w:gridCol w:w="109"/>
        <w:gridCol w:w="109"/>
        <w:gridCol w:w="109"/>
        <w:gridCol w:w="109"/>
        <w:gridCol w:w="109"/>
        <w:gridCol w:w="109"/>
        <w:gridCol w:w="109"/>
        <w:gridCol w:w="190"/>
        <w:gridCol w:w="190"/>
        <w:gridCol w:w="191"/>
        <w:gridCol w:w="109"/>
        <w:gridCol w:w="109"/>
        <w:gridCol w:w="109"/>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12"/>
            <w:tcBorders/>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consumer broadband customers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consumer broadband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 broadband customers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continued growth in our fiber broadband customer base and declines in DSL customers, primarily in lower speed areas, due to the effects of competition and our existing customers transitioning to our fiber-based broadband services. Our ability to deliver faster internet speeds across our footprint should drive gains in market share and corresponding growth in consumer and business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FIBER INFRASTRUCTURE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Fiber Infrastructure segment results of operations:</w:t>
      </w:r>
    </w:p>
    <w:p>
      <w:pPr>
        <w:pStyle w:val="TextBody"/>
        <w:bidi w:val="0"/>
        <w:spacing w:before="0" w:after="0"/>
        <w:jc w:val="both"/>
        <w:rPr/>
      </w:pPr>
      <w:r>
        <w:rPr/>
      </w:r>
    </w:p>
    <w:tbl>
      <w:tblPr>
        <w:tblW w:w="11123" w:type="dxa"/>
        <w:jc w:val="left"/>
        <w:tblInd w:w="0" w:type="dxa"/>
        <w:tblLayout w:type="fixed"/>
        <w:tblCellMar>
          <w:top w:w="28" w:type="dxa"/>
          <w:left w:w="28" w:type="dxa"/>
          <w:bottom w:w="28" w:type="dxa"/>
          <w:right w:w="28" w:type="dxa"/>
        </w:tblCellMar>
      </w:tblPr>
      <w:tblGrid>
        <w:gridCol w:w="854"/>
        <w:gridCol w:w="529"/>
        <w:gridCol w:w="283"/>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33"/>
        <w:gridCol w:w="233"/>
        <w:gridCol w:w="109"/>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33"/>
        <w:gridCol w:w="233"/>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Increase </w:t>
              <w:br/>
              <w:t>(Decrease)</w:t>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Wholesale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w:t>
              <w:br/>
              <w:t>   facilities expenses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w:t>
              <w:br/>
              <w:t>   expenses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and</w:t>
              <w:br/>
              <w:t>   customer operations</w:t>
              <w:br/>
              <w:t>   expenses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w:t>
              <w:br/>
              <w:t>   expenses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(a)Decreases primarily reflect the absence of leasing revenues from Windstream subsequent to August 1, 2025, resulting from the settlement of the preexisting leasing relationships upon consummation of the Merger previously discussed, partially offset by incremental revenues of $83.8 million and $162.0 million attributable to the acquired wholesale operations of Windstream for the three and six months ended June 30, 2026, respectively.</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(b)Consists of intercompany charges to Kinetic and Uniti Solutions primarily for usage of network and colocation facilities owned or operated by Fiber Infrastructure.</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9"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59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59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(c)Increases were primarily attributable to revenues from sales-type leases and reflect the impact of the IRU dark fiber agreement with a large hyperscaler entered into during the first quarter of 2026, as previously discussed.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(d)Increases were primarily attributable to the acquired wholesale operations of Windstream, which accounted for $41.6 million and $83.8 million of the increases in network access and facilities expense, $8.9 million and $17.6 million of the increases in compensation expense and $4.4 million and $10.4 million of the increases in revenue driven costs for the three and six months ended June 30, 2026, respectively.</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(e)Increases were primarily attributable to higher contract labor costs consistent with our increased usage of outside contractors for network construction projects.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(f)Consists of intercompany charges from Kinetic for resale access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UNITI SOLUTIONS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Uniti Solutions segment results of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65"/>
        <w:gridCol w:w="627"/>
        <w:gridCol w:w="29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109"/>
        <w:gridCol w:w="109"/>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109"/>
        <w:gridCol w:w="109"/>
        <w:gridCol w:w="157"/>
      </w:tblGrid>
      <w:tr>
        <w:trPr/>
        <w:tc>
          <w:tcPr>
            <w:tcW w:w="76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Increase </w:t>
              <w:br/>
              <w:t>(Decrease)</w:t>
            </w:r>
          </w:p>
        </w:tc>
      </w:tr>
      <w:tr>
        <w:trPr/>
        <w:tc>
          <w:tcPr>
            <w:tcW w:w="1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Managed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TDM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user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w:t>
              <w:br/>
              <w: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Revenue-driven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w:t>
              <w:br/>
              <w:t xml:space="preserve">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increases in Uniti Solutions segment revenues and sales, costs and expenses and contribution margin were solely attributable to the acquisition of Windstream.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60"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60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60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UNAUDITED PRO FORMA CONDENSED COMBINED FINANCIAL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supplemental unaudited pro forma combined consolidated results of operations for the three and six months ended June 30, 2025 is presented to illustrate the estimated impacts of the Merger, which was consummated on August 1, 2025, based on the historical results of operations of Old Uniti and Windstream after giving eﬀect to the Merger and the assumptions and adjustments further described below. See </w:t>
      </w:r>
      <w:hyperlink w:anchor="ie70f00857744476b82c49a37d8161764_37">
        <w:r>
          <w:rPr>
            <w:rStyle w:val="InternetLink"/>
            <w:rFonts w:ascii="Times New Roman;serif" w:hAnsi="Times New Roman;serif"/>
            <w:b w:val="false"/>
            <w:color w:val="0000FF"/>
            <w:sz w:val="20"/>
            <w:u w:val="single"/>
          </w:rPr>
          <w:t>Notes 1</w:t>
        </w:r>
      </w:hyperlink>
      <w:r>
        <w:rPr>
          <w:rFonts w:ascii="Times New Roman;serif" w:hAnsi="Times New Roman;serif"/>
          <w:b w:val="false"/>
          <w:color w:val="000000"/>
          <w:sz w:val="20"/>
        </w:rPr>
        <w:t xml:space="preserve">, </w:t>
      </w:r>
      <w:hyperlink w:anchor="ie70f00857744476b82c49a37d8161764_40">
        <w:r>
          <w:rPr>
            <w:rStyle w:val="InternetLink"/>
            <w:rFonts w:ascii="Times New Roman;serif" w:hAnsi="Times New Roman;serif"/>
            <w:b w:val="false"/>
            <w:color w:val="0000FF"/>
            <w:sz w:val="20"/>
            <w:u w:val="single"/>
          </w:rPr>
          <w:t>2</w:t>
        </w:r>
      </w:hyperlink>
      <w:r>
        <w:rPr>
          <w:color w:val="000000"/>
        </w:rPr>
        <w:t xml:space="preserve"> </w:t>
      </w:r>
      <w:r>
        <w:rPr>
          <w:rFonts w:ascii="Times New Roman;serif" w:hAnsi="Times New Roman;serif"/>
          <w:b w:val="false"/>
          <w:color w:val="000000"/>
          <w:sz w:val="20"/>
        </w:rPr>
        <w:t xml:space="preserve">and </w:t>
      </w:r>
      <w:hyperlink w:anchor="ie70f00857744476b82c49a37d8161764_43">
        <w:r>
          <w:rPr>
            <w:rStyle w:val="InternetLink"/>
            <w:rFonts w:ascii="Times New Roman;serif" w:hAnsi="Times New Roman;serif"/>
            <w:b w:val="false"/>
            <w:color w:val="0000FF"/>
            <w:sz w:val="20"/>
            <w:u w:val="single"/>
          </w:rPr>
          <w:t>3</w:t>
        </w:r>
      </w:hyperlink>
      <w:r>
        <w:rPr>
          <w:color w:val="000000"/>
        </w:rPr>
        <w:t xml:space="preserve"> </w:t>
      </w:r>
      <w:r>
        <w:rPr>
          <w:rFonts w:ascii="Times New Roman;serif" w:hAnsi="Times New Roman;serif"/>
          <w:b w:val="false"/>
          <w:color w:val="000000"/>
          <w:sz w:val="20"/>
        </w:rPr>
        <w:t>to the condensed consolidated financial statements for additional information on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condensed combined financial information is presented as if the Merger had been consummated on January 1, 2024, and combines the historical results of Old Uniti and Windstream. The unaudited supplemental pro forma condensed combined financial information set forth below primarily gives eﬀect to the following assumptions and adjustments: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Application of the acquisition method of accounting;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Each share of Old Uniti’s common stock that was issued and outstanding was automatically converted into 0.6029 shares of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Internal Reorg Merger;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Conformance of accounting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condensed combined financial information was prepared using the acquisition method of accounting, which requires, among other things, that assets acquired and liabilities assumed in a business combination be recognized at their fair values as of the completion of the acquisition. We utilized estimated fair values at the Merger date for the preliminary allocation of consideration to the net tangible and intangible assets acquired and liabilities assumed. During the measurement period, we will continue to obtain information to assist in determining the fair value of net assets acquired, which may diﬀer materially from these preliminary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condensed combined financial information has been prepared in accordance with SEC Regulation S-X Article 11 and is not necessarily indicative of the results of operations that would have been realized had the transactions been completed as of January 1, 2024, nor are they meant to be indicative of our anticipated combined future results. In addition, the accompanying supplemental unaudited pro forma condensed combined statements of operations do not reﬂect any anticipated synergies, operating efficiencies, cost savings or any integration costs that may result from the Merger.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Under SEC Regulation S-X Article 11, no adjustments were made to certain expenses recorded in the historical financial statements such as gain on settlement of preexisting relationships, transaction costs, and tax benefit from tax restructuring. In contrast, under the pro forma presentation in </w:t>
      </w:r>
      <w:hyperlink w:anchor="ie70f00857744476b82c49a37d8161764_43">
        <w:r>
          <w:rPr>
            <w:rStyle w:val="InternetLink"/>
            <w:rFonts w:ascii="Times New Roman;serif" w:hAnsi="Times New Roman;serif"/>
            <w:b w:val="false"/>
            <w:color w:val="0000FF"/>
            <w:sz w:val="20"/>
            <w:u w:val="single"/>
          </w:rPr>
          <w:t>Note 3</w:t>
        </w:r>
      </w:hyperlink>
      <w:r>
        <w:rPr>
          <w:color w:val="000000"/>
        </w:rPr>
        <w:t xml:space="preserve"> </w:t>
      </w:r>
      <w:r>
        <w:rPr>
          <w:rFonts w:ascii="Times New Roman;serif" w:hAnsi="Times New Roman;serif"/>
          <w:b w:val="false"/>
          <w:color w:val="000000"/>
          <w:sz w:val="20"/>
        </w:rPr>
        <w:t>to the condensed consolidated financial statements, these expenses are required to be included in prior year pro forma results as if the costs were incurred at the beginning of the pro forma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condensed combined financial information includes adjustments for the settlement of preexisting relationships, depreciation for property and equipment acquired, amortization for intangible assets acquired, stock-based compensation expense, interest expense for acquisition financing, incremental interest expense to amortize the fair value adjustment to assumed debt over the remaining life of the debt instruments, and reversal of historical amortization expense related to the elimination of deferred commission and deferred costs to fulfill, which do not qualify for separate asset recognition by the Company. The fair value of the customer relationship intangible asset and related amortization expense contemplate the value of the acquired contracts. A blended statutory tax rate of 25% was utilized to tax effect all related adjustments.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61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61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combined segment results of operations for the three and six months ended June 30, 2025 presented herein are based upon the combined historical financial information of Old Uniti and Windstream and exclude the effects of intercompany transactions that existed between the companies prior to the Merger. Because depreciation and amortization expense and interest expense are not allocated to the segments, the supplemental unaudited pro forma combined segment results of operations do not include the effects of the pro forma adjustments to depreciation and amortization expense, interest expense nor the elimination of historical amortization of deferred commission and deferred costs to fulfill discussed above. Accordingly, the supplemental unaudited pro forma combined segment results of operations information presented for the three and six months ended June 30, 2025 has not been prepared in accordance with SEC Regulation S-X Article 11. The supplemental unaudited pro forma combined segment results of operations are presented for informational purposes only and are not intended to represent nor necessarily be indicative of what the combined company’s business segment results of operations would have been had the Merger been completed on January 1, 2024. The supplemental unaudited pro forma combined segment results of operations results do not reflect any anticipated synergies, operating efficiencies, cost savings or any integration costs that may result from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compares the Company’s actual consolidated operating results for the three and six months ended June 30, 2026 (GAAP basis) to the three and six months ended June 30, 2025 (prepared on a pro forma combined basis):</w:t>
      </w:r>
    </w:p>
    <w:p>
      <w:pPr>
        <w:pStyle w:val="TextBody"/>
        <w:bidi w:val="0"/>
        <w:spacing w:before="0" w:after="0"/>
        <w:jc w:val="both"/>
        <w:rPr/>
      </w:pPr>
      <w:r>
        <w:rPr/>
      </w:r>
    </w:p>
    <w:tbl>
      <w:tblPr>
        <w:tblW w:w="11123" w:type="dxa"/>
        <w:jc w:val="left"/>
        <w:tblInd w:w="0" w:type="dxa"/>
        <w:tblLayout w:type="fixed"/>
        <w:tblCellMar>
          <w:top w:w="28" w:type="dxa"/>
          <w:left w:w="28" w:type="dxa"/>
          <w:bottom w:w="28" w:type="dxa"/>
          <w:right w:w="28" w:type="dxa"/>
        </w:tblCellMar>
      </w:tblPr>
      <w:tblGrid>
        <w:gridCol w:w="760"/>
        <w:gridCol w:w="383"/>
        <w:gridCol w:w="283"/>
        <w:gridCol w:w="109"/>
        <w:gridCol w:w="109"/>
        <w:gridCol w:w="109"/>
        <w:gridCol w:w="211"/>
        <w:gridCol w:w="631"/>
        <w:gridCol w:w="109"/>
        <w:gridCol w:w="109"/>
        <w:gridCol w:w="109"/>
        <w:gridCol w:w="109"/>
        <w:gridCol w:w="211"/>
        <w:gridCol w:w="616"/>
        <w:gridCol w:w="109"/>
        <w:gridCol w:w="109"/>
        <w:gridCol w:w="109"/>
        <w:gridCol w:w="109"/>
        <w:gridCol w:w="211"/>
        <w:gridCol w:w="526"/>
        <w:gridCol w:w="109"/>
        <w:gridCol w:w="109"/>
        <w:gridCol w:w="109"/>
        <w:gridCol w:w="109"/>
        <w:gridCol w:w="239"/>
        <w:gridCol w:w="242"/>
        <w:gridCol w:w="109"/>
        <w:gridCol w:w="109"/>
        <w:gridCol w:w="109"/>
        <w:gridCol w:w="109"/>
        <w:gridCol w:w="211"/>
        <w:gridCol w:w="766"/>
        <w:gridCol w:w="109"/>
        <w:gridCol w:w="109"/>
        <w:gridCol w:w="109"/>
        <w:gridCol w:w="109"/>
        <w:gridCol w:w="211"/>
        <w:gridCol w:w="766"/>
        <w:gridCol w:w="109"/>
        <w:gridCol w:w="109"/>
        <w:gridCol w:w="109"/>
        <w:gridCol w:w="109"/>
        <w:gridCol w:w="211"/>
        <w:gridCol w:w="631"/>
        <w:gridCol w:w="109"/>
        <w:gridCol w:w="109"/>
        <w:gridCol w:w="109"/>
        <w:gridCol w:w="109"/>
        <w:gridCol w:w="239"/>
        <w:gridCol w:w="242"/>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 (Decrease)</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w:t>
              <w:br/>
              <w:t>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operating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w:t>
              <w:br/>
              <w: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w:t>
              <w:br/>
              <w: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declared on </w:t>
              <w:br/>
              <w:t>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Net loss attributable to common </w:t>
              <w:br/>
              <w:t>   shareholders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(171.6)</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(a)Amounts are exclusive of depreciation and amortization included below.</w:t>
      </w:r>
    </w:p>
    <w:p>
      <w:pPr>
        <w:pStyle w:val="TextBody"/>
        <w:bidi w:val="0"/>
        <w:spacing w:before="0" w:after="0"/>
        <w:ind w:left="0" w:right="0" w:hanging="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62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62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Service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the actual service revenues compared to the same periods a year ago prepared on a pro forma combined basis:</w:t>
      </w:r>
    </w:p>
    <w:p>
      <w:pPr>
        <w:pStyle w:val="TextBody"/>
        <w:bidi w:val="0"/>
        <w:spacing w:before="0" w:after="0"/>
        <w:jc w:val="both"/>
        <w:rPr/>
      </w:pPr>
      <w:r>
        <w:rPr/>
      </w:r>
    </w:p>
    <w:tbl>
      <w:tblPr>
        <w:tblW w:w="8451" w:type="dxa"/>
        <w:jc w:val="left"/>
        <w:tblInd w:w="0" w:type="dxa"/>
        <w:tblLayout w:type="fixed"/>
        <w:tblCellMar>
          <w:top w:w="28" w:type="dxa"/>
          <w:left w:w="28" w:type="dxa"/>
          <w:bottom w:w="28" w:type="dxa"/>
          <w:right w:w="28" w:type="dxa"/>
        </w:tblCellMar>
      </w:tblPr>
      <w:tblGrid>
        <w:gridCol w:w="1554"/>
        <w:gridCol w:w="1364"/>
        <w:gridCol w:w="1371"/>
        <w:gridCol w:w="109"/>
        <w:gridCol w:w="109"/>
        <w:gridCol w:w="109"/>
        <w:gridCol w:w="422"/>
        <w:gridCol w:w="1174"/>
        <w:gridCol w:w="218"/>
        <w:gridCol w:w="109"/>
        <w:gridCol w:w="109"/>
        <w:gridCol w:w="109"/>
        <w:gridCol w:w="338"/>
        <w:gridCol w:w="1110"/>
        <w:gridCol w:w="246"/>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2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Fiber Infrastructure service revenues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Uniti Solutions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Kinetic service revenues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decreases in service revenues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2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w:t>
            </w:r>
          </w:p>
        </w:tc>
        <w:tc>
          <w:tcPr>
            <w:tcW w:w="2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(a)Increases were primarily attributable to price increases for transport and TDM services, as well as the effect of favorable adjustments to our reserves maintained for billing disputes with other carriers for their access to our networks.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(b)Decreases were primarily due to higher customer churn for legacy services as we continue to transition customers from TDM services. As a result, service revenues reflect reductions in traditional voice, long-distance and data and integrated services, as well as declines in long-distance usage.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(c)Decreases primarily reflect declines in consumer, business and wholesale revenues. The decrease in consumer revenues reflects a decline in DSL subscriber and other revenues due to the effects of continued declines in DSL customers and lower demand for consumer voice-only services. The decreases in business revenues were primarily attributable to customer churn and a decline in new sales to customers. Finally, the decreases in wholesale revenues were primarily due to declines in facilities-based resale access revenues due to customer churn and initiatives to bring service onto our network and higher customer churn for legacy TDM and transport services.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Sales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the actual sales revenues compared to the same periods a year ago prepared on a pro forma combined basis:</w:t>
      </w:r>
    </w:p>
    <w:p>
      <w:pPr>
        <w:pStyle w:val="TextBody"/>
        <w:bidi w:val="0"/>
        <w:spacing w:before="0" w:after="0"/>
        <w:jc w:val="both"/>
        <w:rPr/>
      </w:pPr>
      <w:r>
        <w:rPr/>
      </w:r>
    </w:p>
    <w:tbl>
      <w:tblPr>
        <w:tblW w:w="8272" w:type="dxa"/>
        <w:jc w:val="left"/>
        <w:tblInd w:w="0" w:type="dxa"/>
        <w:tblLayout w:type="fixed"/>
        <w:tblCellMar>
          <w:top w:w="28" w:type="dxa"/>
          <w:left w:w="28" w:type="dxa"/>
          <w:bottom w:w="28" w:type="dxa"/>
          <w:right w:w="28" w:type="dxa"/>
        </w:tblCellMar>
      </w:tblPr>
      <w:tblGrid>
        <w:gridCol w:w="1488"/>
        <w:gridCol w:w="1307"/>
        <w:gridCol w:w="1314"/>
        <w:gridCol w:w="109"/>
        <w:gridCol w:w="109"/>
        <w:gridCol w:w="109"/>
        <w:gridCol w:w="461"/>
        <w:gridCol w:w="1116"/>
        <w:gridCol w:w="238"/>
        <w:gridCol w:w="109"/>
        <w:gridCol w:w="109"/>
        <w:gridCol w:w="109"/>
        <w:gridCol w:w="364"/>
        <w:gridCol w:w="1065"/>
        <w:gridCol w:w="265"/>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Fiber Infrastructure sales revenues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Kinetic sales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Uniti Solutions sales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sales revenues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26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(a)Increases were primarily attributable to revenues from sales-type leases for fiber where control of the fiber has transferred to the customer, including one agreement with a large hyperscaler entered into during the first quarter of 2026. Revenues from sales-type leases were $16.8 million and $88.2 million for the three and six months ended June 30, 2026, respectively, on a pro forma combined basis. Revenues from sales-type leases were $2.7 million for the six months ended June 30, 2025, on a pro forma combined basis. There were no revenues from sales-type leases in the second quarter of 2025, on a pro forma combined basis.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(b)Increases reflect higher contractor sales due to increased outsourcing of fiber construction projects to external contractors.</w:t>
      </w:r>
    </w:p>
    <w:p>
      <w:pPr>
        <w:pStyle w:val="TextBody"/>
        <w:bidi w:val="0"/>
        <w:spacing w:before="0" w:after="0"/>
        <w:jc w:val="both"/>
        <w:rPr/>
      </w:pPr>
      <w:r>
        <w:rPr/>
      </w:r>
    </w:p>
    <w:p>
      <w:pPr>
        <w:pStyle w:val="TextBody"/>
        <w:bidi w:val="0"/>
        <w:spacing w:before="0" w:after="0"/>
        <w:ind w:left="0" w:right="0" w:hanging="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63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63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the actual cost of services compared to the same periods a year ago prepared on a pro forma combined basis:</w:t>
      </w:r>
    </w:p>
    <w:p>
      <w:pPr>
        <w:pStyle w:val="TextBody"/>
        <w:bidi w:val="0"/>
        <w:spacing w:before="0" w:after="0"/>
        <w:jc w:val="both"/>
        <w:rPr/>
      </w:pPr>
      <w:r>
        <w:rPr/>
      </w:r>
    </w:p>
    <w:tbl>
      <w:tblPr>
        <w:tblW w:w="7957" w:type="dxa"/>
        <w:jc w:val="left"/>
        <w:tblInd w:w="0" w:type="dxa"/>
        <w:tblLayout w:type="fixed"/>
        <w:tblCellMar>
          <w:top w:w="28" w:type="dxa"/>
          <w:left w:w="28" w:type="dxa"/>
          <w:bottom w:w="28" w:type="dxa"/>
          <w:right w:w="28" w:type="dxa"/>
        </w:tblCellMar>
      </w:tblPr>
      <w:tblGrid>
        <w:gridCol w:w="1372"/>
        <w:gridCol w:w="1209"/>
        <w:gridCol w:w="1213"/>
        <w:gridCol w:w="109"/>
        <w:gridCol w:w="109"/>
        <w:gridCol w:w="109"/>
        <w:gridCol w:w="422"/>
        <w:gridCol w:w="1174"/>
        <w:gridCol w:w="218"/>
        <w:gridCol w:w="109"/>
        <w:gridCol w:w="109"/>
        <w:gridCol w:w="109"/>
        <w:gridCol w:w="376"/>
        <w:gridCol w:w="1045"/>
        <w:gridCol w:w="274"/>
      </w:tblGrid>
      <w:tr>
        <w:trPr/>
        <w:tc>
          <w:tcPr>
            <w:tcW w:w="137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other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federal USF expense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interconnection expense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network and other operations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decreases in cost of services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2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27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(a)Decreases reflect federal USF credits received in April 2026, continued reductions in subscriber line charges and decreases in interstate private line services, as well as annual reductions in the federal USF rate effective in the second quarter of 2026.</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(b)Decreases in interconnection expense were attributable to increased legacy customer churn for TDM services and lower long-distance usage.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(c)Decreases were attributable to lower facility costs and decreases in salary expense resulting from workforce reductions completed in both 2026 and 2025.</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changes in the actual cost of sales compared to the same periods a year ago prepared on a pro forma combined basis:</w:t>
      </w:r>
    </w:p>
    <w:p>
      <w:pPr>
        <w:pStyle w:val="TextBody"/>
        <w:bidi w:val="0"/>
        <w:spacing w:before="0" w:after="0"/>
        <w:jc w:val="both"/>
        <w:rPr/>
      </w:pPr>
      <w:r>
        <w:rPr/>
      </w:r>
    </w:p>
    <w:tbl>
      <w:tblPr>
        <w:tblW w:w="7897" w:type="dxa"/>
        <w:jc w:val="left"/>
        <w:tblInd w:w="0" w:type="dxa"/>
        <w:tblLayout w:type="fixed"/>
        <w:tblCellMar>
          <w:top w:w="28" w:type="dxa"/>
          <w:left w:w="28" w:type="dxa"/>
          <w:bottom w:w="28" w:type="dxa"/>
          <w:right w:w="28" w:type="dxa"/>
        </w:tblCellMar>
      </w:tblPr>
      <w:tblGrid>
        <w:gridCol w:w="1352"/>
        <w:gridCol w:w="1189"/>
        <w:gridCol w:w="1193"/>
        <w:gridCol w:w="109"/>
        <w:gridCol w:w="109"/>
        <w:gridCol w:w="109"/>
        <w:gridCol w:w="461"/>
        <w:gridCol w:w="1116"/>
        <w:gridCol w:w="238"/>
        <w:gridCol w:w="109"/>
        <w:gridCol w:w="109"/>
        <w:gridCol w:w="109"/>
        <w:gridCol w:w="408"/>
        <w:gridCol w:w="989"/>
        <w:gridCol w:w="297"/>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Kinetic cost of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Uniti Solutions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Fiber Infrastructure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increases in cost of sales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changes in cost of sales were consistent with the net changes in sales revenues.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4"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64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64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Selling, General and Administrative (“SG&amp;A”)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change in actual SG&amp;A expenses compared to the same periods a year ago prepared on a pro forma combined basis:</w:t>
      </w:r>
    </w:p>
    <w:p>
      <w:pPr>
        <w:pStyle w:val="TextBody"/>
        <w:bidi w:val="0"/>
        <w:spacing w:before="0" w:after="0"/>
        <w:jc w:val="both"/>
        <w:rPr/>
      </w:pPr>
      <w:r>
        <w:rPr/>
      </w:r>
    </w:p>
    <w:tbl>
      <w:tblPr>
        <w:tblW w:w="8437" w:type="dxa"/>
        <w:jc w:val="left"/>
        <w:tblInd w:w="0" w:type="dxa"/>
        <w:tblLayout w:type="fixed"/>
        <w:tblCellMar>
          <w:top w:w="28" w:type="dxa"/>
          <w:left w:w="28" w:type="dxa"/>
          <w:bottom w:w="28" w:type="dxa"/>
          <w:right w:w="28" w:type="dxa"/>
        </w:tblCellMar>
      </w:tblPr>
      <w:tblGrid>
        <w:gridCol w:w="1547"/>
        <w:gridCol w:w="1361"/>
        <w:gridCol w:w="1366"/>
        <w:gridCol w:w="109"/>
        <w:gridCol w:w="109"/>
        <w:gridCol w:w="109"/>
        <w:gridCol w:w="461"/>
        <w:gridCol w:w="1116"/>
        <w:gridCol w:w="238"/>
        <w:gridCol w:w="109"/>
        <w:gridCol w:w="109"/>
        <w:gridCol w:w="109"/>
        <w:gridCol w:w="408"/>
        <w:gridCol w:w="989"/>
        <w:gridCol w:w="297"/>
      </w:tblGrid>
      <w:tr>
        <w:trPr/>
        <w:tc>
          <w:tcPr>
            <w:tcW w:w="154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2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provision for estimated credit losses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sales and marketing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compensation and benefits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increases in SG&amp;A</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9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(a)Increases were primarily attributable to two large customers filing for bankruptcy in the second quarter of 2026.</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(b)Increases were primarily attributable to higher advertising costs consistent with the Company’s initiatives to expand penetration of our fiber-based broadband services within our Kinetic footprint.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(c)Increase in the second quarter of 2026 was attributable to higher direct commissions primarily related to our customer referral programs and the addition of new external sales channel partners. Decrease in the first half of 2026 was primarily attributable to lower salary costs due to workforce reductions completed in both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 in actual depreciation and amortization expense compared to the same periods a year ago on a pro forma combined basis consisted of the following:</w:t>
      </w:r>
    </w:p>
    <w:p>
      <w:pPr>
        <w:pStyle w:val="TextBody"/>
        <w:bidi w:val="0"/>
        <w:spacing w:before="0" w:after="0"/>
        <w:jc w:val="both"/>
        <w:rPr/>
      </w:pPr>
      <w:r>
        <w:rPr/>
      </w:r>
    </w:p>
    <w:tbl>
      <w:tblPr>
        <w:tblW w:w="8422" w:type="dxa"/>
        <w:jc w:val="left"/>
        <w:tblInd w:w="0" w:type="dxa"/>
        <w:tblLayout w:type="fixed"/>
        <w:tblCellMar>
          <w:top w:w="28" w:type="dxa"/>
          <w:left w:w="28" w:type="dxa"/>
          <w:bottom w:w="28" w:type="dxa"/>
          <w:right w:w="28" w:type="dxa"/>
        </w:tblCellMar>
      </w:tblPr>
      <w:tblGrid>
        <w:gridCol w:w="1541"/>
        <w:gridCol w:w="1356"/>
        <w:gridCol w:w="1362"/>
        <w:gridCol w:w="109"/>
        <w:gridCol w:w="109"/>
        <w:gridCol w:w="109"/>
        <w:gridCol w:w="461"/>
        <w:gridCol w:w="1116"/>
        <w:gridCol w:w="238"/>
        <w:gridCol w:w="109"/>
        <w:gridCol w:w="109"/>
        <w:gridCol w:w="109"/>
        <w:gridCol w:w="364"/>
        <w:gridCol w:w="1065"/>
        <w:gridCol w:w="265"/>
      </w:tblGrid>
      <w:tr>
        <w:trPr/>
        <w:tc>
          <w:tcPr>
            <w:tcW w:w="154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depreciation expense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amortization expense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depreciation and amortization expense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2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(a)Increases primarily reflect incremental depreciation expense related to new additions of property, plant and equipment.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(b)Increases reflect timing differences in the recognition of amortization expense resulting from the use of an accelerated amortization method (sum-of-the-years-digits method) to amortize the customer relationships intangible assets acquired in the Merger, the effect of which results in an annual decline in expense each period as the intangible assets amortize. Because the supplemental unaudited pro forma condensed combined financial information assumed a Merger completion date of January 1, 2024, amortization expense for the three and six months ended June 30, 2025 reflected decreases of $12.5 million and $25.0 million, respectively, on a pro forma combined basis, when compared to actual amortization expense recognized in the three and six months ended June 30, 2026.</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5"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65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65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actual operating income of $32.2 million and $143.1 million for the three and six months ended June 30, 2026, compared to operating income of $145.1 million and $314.1 million for the same periods of 2025, on a pro forma combined basis. The decreases in year-over-year operating income in the three and six months ended June 30, 2026 primarily reflected the overall declines in services revenues, higher depreciation expense and increases in the provision for estimated credit losses discussed above. An increase in transaction related and other costs related to the Merger of $9.9 million, as well as a reduction in reported gains from the sale of IPv4 addresses of $27.0 million also contributed to the decrease in operating income for the six months ended June 30, 2026. The decreases in year-over-year operating income in the three and six months ended June 30, 2026 were partially offset by the overall increases in sales revenues, primarily attributable to additional revenues from sales-type leases and contractor sales, lower interconnections costs attributable to rate reductions and cost improvements from the continuation of network efficiency projects, and lower salary costs due to workforce reductions completed in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recognized actual income tax expense of $0.3 million and $0.9 million, respectively, primarily related to state and local income taxes. Comparatively, the Company recognized an income tax benefit of $9.6 million and $16.1 million for the three and six months ended June 30, 2025, respectively, on a pro forma combined basis, primarily related to the benefit of Old Uniti’s REIT status, the change in valuation allowance recorded against current year income and current state income tax, and deferred federal and state income taxes recorded due to a step-up in the tax basis of certain of the Company's assets following the closing of the Merger.</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6"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66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66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Supplemental Unaudited Segment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KINETIC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actual results of operations for the three and six months ended June 30, 2026 (GAAP basis) compared to the three and six months ended June 30, 2025 (prepared on a pro forma combined basis) for the Kinetic segment:</w:t>
      </w:r>
    </w:p>
    <w:p>
      <w:pPr>
        <w:pStyle w:val="TextBody"/>
        <w:bidi w:val="0"/>
        <w:spacing w:before="0" w:after="0"/>
        <w:jc w:val="both"/>
        <w:rPr/>
      </w:pPr>
      <w:r>
        <w:rPr/>
      </w:r>
    </w:p>
    <w:tbl>
      <w:tblPr>
        <w:tblW w:w="10913" w:type="dxa"/>
        <w:jc w:val="left"/>
        <w:tblInd w:w="0" w:type="dxa"/>
        <w:tblLayout w:type="fixed"/>
        <w:tblCellMar>
          <w:top w:w="28" w:type="dxa"/>
          <w:left w:w="28" w:type="dxa"/>
          <w:bottom w:w="28" w:type="dxa"/>
          <w:right w:w="28" w:type="dxa"/>
        </w:tblCellMar>
      </w:tblPr>
      <w:tblGrid>
        <w:gridCol w:w="810"/>
        <w:gridCol w:w="573"/>
        <w:gridCol w:w="283"/>
        <w:gridCol w:w="109"/>
        <w:gridCol w:w="109"/>
        <w:gridCol w:w="109"/>
        <w:gridCol w:w="211"/>
        <w:gridCol w:w="616"/>
        <w:gridCol w:w="109"/>
        <w:gridCol w:w="109"/>
        <w:gridCol w:w="109"/>
        <w:gridCol w:w="109"/>
        <w:gridCol w:w="211"/>
        <w:gridCol w:w="616"/>
        <w:gridCol w:w="109"/>
        <w:gridCol w:w="109"/>
        <w:gridCol w:w="109"/>
        <w:gridCol w:w="109"/>
        <w:gridCol w:w="211"/>
        <w:gridCol w:w="526"/>
        <w:gridCol w:w="109"/>
        <w:gridCol w:w="109"/>
        <w:gridCol w:w="109"/>
        <w:gridCol w:w="109"/>
        <w:gridCol w:w="231"/>
        <w:gridCol w:w="235"/>
        <w:gridCol w:w="109"/>
        <w:gridCol w:w="109"/>
        <w:gridCol w:w="109"/>
        <w:gridCol w:w="109"/>
        <w:gridCol w:w="211"/>
        <w:gridCol w:w="616"/>
        <w:gridCol w:w="109"/>
        <w:gridCol w:w="109"/>
        <w:gridCol w:w="109"/>
        <w:gridCol w:w="109"/>
        <w:gridCol w:w="211"/>
        <w:gridCol w:w="616"/>
        <w:gridCol w:w="109"/>
        <w:gridCol w:w="109"/>
        <w:gridCol w:w="109"/>
        <w:gridCol w:w="109"/>
        <w:gridCol w:w="211"/>
        <w:gridCol w:w="526"/>
        <w:gridCol w:w="109"/>
        <w:gridCol w:w="109"/>
        <w:gridCol w:w="109"/>
        <w:gridCol w:w="109"/>
        <w:gridCol w:w="247"/>
        <w:gridCol w:w="219"/>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 (Decrease)</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RDOF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USF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user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w:t>
              <w:br/>
              <w:t>   expenses (g)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and customer</w:t>
              <w:br/>
              <w:t>   operations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(a)Decreases reflect a decline in DSL subscriber and other revenues due to the effects of continued declines in DSL customers and lower demand for consumer voice-only services. The decreases were partially offset by growth in fiber subscriber revenues, consistent with the growth in fiber consumer broadband customers.</w:t>
      </w:r>
    </w:p>
    <w:p>
      <w:pPr>
        <w:pStyle w:val="TextBody"/>
        <w:bidi w:val="0"/>
        <w:spacing w:before="0" w:after="0"/>
        <w:ind w:left="0" w:right="0" w:hanging="45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(b)Decreases were primarily attributable to customer churn and a decline in new sales to customers.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(c)Decreases were primarily due to declines in facilities-based resale access revenues due to customer churn and initiatives to bring service onto our network and higher customer churn for legacy TDM and transport services.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(d)Consists of intercompany charges to Uniti Solutions and Fiber Infrastructure primarily for resale access services. Decreases primarily reflect a reduction in intercompany billings to Uniti Solutions, consistent with the overall decline in that segment’s revenues and sales from external customers.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7"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67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67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(e)Increases reflect higher contractor sales due to increased outsourcing of fiber construction projects to external contractors.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(f)Decreases primarily reflect the beneficial effects of an increase in capitalized internal labor costs compared to the prior year periods consistent with the Company’s accelerated deployment of fiber in our Kinetic footprint and the expansion of our workforce to augment our internal fiber construction operations.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(g)Increases were primarily related to higher advertising costs and contract labor costs consistent with the accelerated deployment of fiber in our network discussed above.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(h)Increases reflect higher cost of product sales consistent with the increases in contractor sales discussed in (e) above.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FIBER INFRASTRUCTURE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actual results of operations for the three and six months ended June 30, 2026 (GAAP basis) compared to the three and six months ended June 30, 2025 (prepared on a pro forma combined basis) for the Fiber Infrastructure segment:</w:t>
      </w:r>
    </w:p>
    <w:p>
      <w:pPr>
        <w:pStyle w:val="TextBody"/>
        <w:bidi w:val="0"/>
        <w:spacing w:before="0" w:after="0"/>
        <w:jc w:val="both"/>
        <w:rPr/>
      </w:pPr>
      <w:r>
        <w:rPr/>
      </w:r>
    </w:p>
    <w:tbl>
      <w:tblPr>
        <w:tblW w:w="10898" w:type="dxa"/>
        <w:jc w:val="left"/>
        <w:tblInd w:w="0" w:type="dxa"/>
        <w:tblLayout w:type="fixed"/>
        <w:tblCellMar>
          <w:top w:w="28" w:type="dxa"/>
          <w:left w:w="28" w:type="dxa"/>
          <w:bottom w:w="28" w:type="dxa"/>
          <w:right w:w="28" w:type="dxa"/>
        </w:tblCellMar>
      </w:tblPr>
      <w:tblGrid>
        <w:gridCol w:w="891"/>
        <w:gridCol w:w="492"/>
        <w:gridCol w:w="283"/>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32"/>
        <w:gridCol w:w="234"/>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87"/>
        <w:gridCol w:w="18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Wholesale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w:t>
              <w:br/>
              <w:t xml:space="preserve">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w:t>
              <w:br/>
              <w: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and customer</w:t>
              <w:br/>
              <w:t>   operations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(a)Increases were primarily attributable to price increases for transport and TDM services, as well as the effect of favorable adjustments to our reserves maintained for billing disputes with other carriers for their access to our networks.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(b)Increases primarily reflect one-time early contract termination penalties assessed to customers of $6.1 million and $14.3 million in the three and six months ended June 30, 2026, respectively, related to disconnecting circuits prior to the expiration of their contracts.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8"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68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68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(c)Increases were primarily attributable to revenues from sales-type leases for fiber where control of the fiber has transferred to the customer. Revenues from sales-type leases were $16.8 million and $88.2 million for the three and six months ended June 30, 2026, respectively, on a pro forma combined basis. Revenues from sales-type leases were $2.7 million for the six months ended June 30, 2025, on a pro forma combined basis. There were no revenues from sales-type leases in the second quarter of 2025. The increase in revenues from sales-type lease reflects the impact of the IRU dark fiber agreement with a large hyperscaler entered into in the first quarter of 2026, as previously discussed.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(d)Decreases were primarily attributable to reduced internal labor costs due to workforce reductions.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(e)Increases are consistent with the changes in sales revenues discussed in (b)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UNITI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actual results of operations for the three and six months ended June 30, 2026 (GAAP basis) compared to the three and six months ended June 30, 2025 (prepared on a pro forma combined basis) for the Uniti Solutions segment:</w:t>
      </w:r>
    </w:p>
    <w:p>
      <w:pPr>
        <w:pStyle w:val="TextBody"/>
        <w:bidi w:val="0"/>
        <w:spacing w:before="0" w:after="0"/>
        <w:jc w:val="both"/>
        <w:rPr/>
      </w:pPr>
      <w:r>
        <w:rPr/>
      </w:r>
    </w:p>
    <w:tbl>
      <w:tblPr>
        <w:tblW w:w="10913" w:type="dxa"/>
        <w:jc w:val="left"/>
        <w:tblInd w:w="0" w:type="dxa"/>
        <w:tblLayout w:type="fixed"/>
        <w:tblCellMar>
          <w:top w:w="28" w:type="dxa"/>
          <w:left w:w="28" w:type="dxa"/>
          <w:bottom w:w="28" w:type="dxa"/>
          <w:right w:w="28" w:type="dxa"/>
        </w:tblCellMar>
      </w:tblPr>
      <w:tblGrid>
        <w:gridCol w:w="826"/>
        <w:gridCol w:w="557"/>
        <w:gridCol w:w="283"/>
        <w:gridCol w:w="109"/>
        <w:gridCol w:w="109"/>
        <w:gridCol w:w="109"/>
        <w:gridCol w:w="211"/>
        <w:gridCol w:w="616"/>
        <w:gridCol w:w="109"/>
        <w:gridCol w:w="109"/>
        <w:gridCol w:w="109"/>
        <w:gridCol w:w="109"/>
        <w:gridCol w:w="211"/>
        <w:gridCol w:w="616"/>
        <w:gridCol w:w="109"/>
        <w:gridCol w:w="109"/>
        <w:gridCol w:w="109"/>
        <w:gridCol w:w="109"/>
        <w:gridCol w:w="211"/>
        <w:gridCol w:w="526"/>
        <w:gridCol w:w="109"/>
        <w:gridCol w:w="109"/>
        <w:gridCol w:w="109"/>
        <w:gridCol w:w="109"/>
        <w:gridCol w:w="233"/>
        <w:gridCol w:w="233"/>
        <w:gridCol w:w="109"/>
        <w:gridCol w:w="109"/>
        <w:gridCol w:w="109"/>
        <w:gridCol w:w="109"/>
        <w:gridCol w:w="211"/>
        <w:gridCol w:w="616"/>
        <w:gridCol w:w="109"/>
        <w:gridCol w:w="109"/>
        <w:gridCol w:w="109"/>
        <w:gridCol w:w="109"/>
        <w:gridCol w:w="211"/>
        <w:gridCol w:w="616"/>
        <w:gridCol w:w="109"/>
        <w:gridCol w:w="109"/>
        <w:gridCol w:w="109"/>
        <w:gridCol w:w="109"/>
        <w:gridCol w:w="211"/>
        <w:gridCol w:w="526"/>
        <w:gridCol w:w="109"/>
        <w:gridCol w:w="109"/>
        <w:gridCol w:w="109"/>
        <w:gridCol w:w="109"/>
        <w:gridCol w:w="233"/>
        <w:gridCol w:w="233"/>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Increase </w:t>
              <w:br/>
              <w:t>(Decrease)</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services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TDM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user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w:t>
              <w:br/>
              <w: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costs and </w:t>
              <w:br/>
              <w:t>   expenses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(a)Decreases were primarily due to higher customer churn for legacy services as we continue to transition customers from TDM services. As a result, service revenues reflect reductions in traditional voice, long-distance and data and integrated services, as well as declines in long-distance usage.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(b)Decreases were primarily attributable to reduced internal labor costs due to workforce reductions.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(c)Decreases were consistent with the overall reduction in service revenues primarily attributable to customer churn and the corresponding reductions in third-party commissions, bad debt expense and federal and state USF fees.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(d)Decreases were consistent with the overall decline in interconnect costs attributable to cost improvements from the continuation of network efficiency projects, increased legacy customer churn, and lower long-distance usage.</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9"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69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69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(e)Decreases were consistent with the overall decline in intercompany billings from Kinetic primarily for resale access services as previously discussed.</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Regulatory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is subject to regulatory oversight in the U.S. by the Federal Communications Commission (“FCC”) and state public utility commissions, and subject to regulatory oversight in Canada under the Canadian Radio-television and Telecommunications Commission. We are also subject in the U.S. to various federal and state statutes that govern the provision of telecommunications and broadband services. Uniti actively monitors and participates in regulatory proceedings and engages with federal and state lawmakers on matters that may impact its business. We cannot predict with certainty the outcome of pending federal and state proceedings relating to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Infrastructure Investment and Jobs Act Broadband Funding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2021, Congress passed a bipartisan infrastructure framework (the Infrastructure Investment and Jobs Act or “IIJA”), which includes $65.0 billion in broadband funding to be allocated by the National Telecommunications and Information Administration (“NTIA”), with $42.45 billion to be distributed through formula-based grants to states for broadband deployment projects in unserved and underserved areas over a five-year time frame pursuant to the Broadband Equity, Access and Deployment (“BEAD”) program. As part of the program, states submitted their initial proposals to NTIA, which outlined the process to challenge the classification of locations eligible for BEAD funding (in Volume I) and the competitive process to select providers for BEAD projects (in Volume II). Updated guidance from NTIA released on June 6, 2025, purported to streamline the program and confirm technology neutral requirements. The guidance emphasized that cost to build was of preeminent importance, and set new deadlines for application submissions and approvals, with NTIA claiming that all applications would be approved by year-end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Uniti submitted bids under the updated guidance in seven states and was granted provisional awards in the seven states totaling $184.3 million for approximately 58,000 locations: All seven states have received final approval from NTIA. At this time, Uniti has executed two of the seven contracts in Arkansas and Texas, representing approximately $9.8 million and 3,800 locations of the total provisional awards granted to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RDOF Funding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2019, the FCC announced a $20.4 billion RDOF program to support rural broadband deployments. In January 2020, the FCC established two reverse-auction funding phases, with Phase I funding of $16.0 billion and Phase II funding of $4.4 billion. Phase I targeted areas that were wholly unserved by broadband speeds of at least 25-Megabytes per second (“Mbps”) download and 3-Mbps upload. After conducting an auction, $9.2 billion was awarded in December 2020. At the time, the FCC indicated that the $6.8 billion not awarded would be added to Phase II, but Phase II will not likely proceed, in light of the BEAD Program. Uniti was awarded $522.8 million in support over ten years ($52.3 million per year) for approximately 192,000 locations in eighteen states. Uniti met the 40% completion on or before December 31, 2025 in a number of states but permitting delays in other areas led to a shortfall. Uniti notified the FCC and Universal Service Administrative Company on January 15, 2026, and filed its quarterly progress report</w:t>
      </w:r>
      <w:r>
        <w:rPr>
          <w:rFonts w:ascii="Times New Roman;serif" w:hAnsi="Times New Roman;serif"/>
          <w:b/>
          <w:color w:val="0E32E1"/>
          <w:sz w:val="20"/>
        </w:rPr>
        <w:t>s</w:t>
      </w:r>
      <w:r>
        <w:rPr>
          <w:color w:val="000000"/>
        </w:rPr>
        <w:t xml:space="preserve"> </w:t>
      </w:r>
      <w:r>
        <w:rPr>
          <w:rFonts w:ascii="Times New Roman;serif" w:hAnsi="Times New Roman;serif"/>
          <w:b w:val="false"/>
          <w:color w:val="000000"/>
          <w:sz w:val="20"/>
        </w:rPr>
        <w:t>on April 15, 2026 and June 30, 2026. Uniti will continue to comply with applicable reporting requirements and cooperate with the FCC regarding matters arising from its RDOF milestone status.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State USF Funding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Uniti recognized revenue from state USF programs in Texas, Pennsylvania, New Mexico, Oklahoma, South Carolina, Nebraska, Alabama, and Arkansas. These payments are intended to provide subsidies, in addition to federal USF receipts, for the high cost of operating telecommunications networks in certain areas. For the six months ended June 30, 2026, we recognized $25.2 million in state USF support. Uniti participates in two USF programs in Texas, and for the six months ended June 30, 2026, we received $10.4 million from the large company program, $1.2 million from the small company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receives approximately $13.2 million in annual state USF support in Pennsylvania. In August 2023, the Pennsylvania Public Service Commission (“PSC”) issued an order opening a rulemaking proceeding regarding the program. Uniti, along with the industry trade group, is actively participating in the proceeding. The PSC's USF Working Group began meeting in late 2025 and will continue throughout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70"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70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70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relies primarily on operating cash flows and long-term debt to provide for its liquidity needs. The Company generated positive operating cash flows during the three and six months ended June 30, 2026 and utilized available cash and available capacity under its credit agreements to meet its short-term liquidity needs. At June 30, 2026, the Company had $608.9 million of available cash on hand, and when considering letters of credit of $136.9 million, the Company had access to and available borrowing capacity under its senior secured revolving credit facilities of $838.1 million. Management has assessed the current and expected business climate, the Company’s current and expected needs for funds and its current and expected sources of funds, and has determined, based on the Company’s forecasted financial results and financial condition as of June 30, 2026, that cash and cash equivalents on hand combined with cash expected to be generated from operating activities, will be sufficient to fund the Company’s ongoing working capital requirements, planned capital expenditures, and scheduled debt principal and interest payments in the short-term (the next twelve months) and long-term (beyond the next twelve months). The Company intends to utilize its available cash as well as the available capacity under its revolving credit facilities to fund its short-term liquidity needs as they arise.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further discussed in </w:t>
      </w:r>
      <w:hyperlink w:anchor="ie70f00857744476b82c49a37d8161764_85">
        <w:r>
          <w:rPr>
            <w:rStyle w:val="InternetLink"/>
          </w:rPr>
          <w:t>N</w:t>
        </w:r>
      </w:hyperlink>
      <w:hyperlink w:anchor="ie70f00857744476b82c49a37d8161764_85">
        <w:r>
          <w:rPr>
            <w:rStyle w:val="InternetLink"/>
          </w:rPr>
          <w:t>ote 15</w:t>
        </w:r>
      </w:hyperlink>
      <w:r>
        <w:rPr>
          <w:color w:val="000000"/>
        </w:rPr>
        <w:t xml:space="preserve"> </w:t>
      </w:r>
      <w:r>
        <w:rPr>
          <w:rFonts w:ascii="Times New Roman;serif" w:hAnsi="Times New Roman;serif"/>
          <w:b w:val="false"/>
          <w:color w:val="000000"/>
          <w:sz w:val="20"/>
        </w:rPr>
        <w:t xml:space="preserve">to condensed consolidated financial statements, on July 15, 2026, Kinetic ABS Issuer LLC (“Kinetic ABS Issuer”) completed a private offering of $1.1 billion aggregate principal amount of secured fiber network revenue term notes (the “Kinetic ABS 2026-2 Notes”). The Company intends to use the net proceeds from the offering for general corporate purposes, which may include success-based expenditures and/or repayment of outstanding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including in the near term, the Company may seek to opportunistically refinance or extend maturity dates of existing indebtedness through, but not limited to, tender offers, exchange offers, redemptions, open market purchases, privately negotiated purchases and new issuances. In the near term, the Company may also seek opportunities to monetize certain non-strategic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Historical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activities:</w:t>
      </w:r>
    </w:p>
    <w:p>
      <w:pPr>
        <w:pStyle w:val="TextBody"/>
        <w:bidi w:val="0"/>
        <w:spacing w:before="0" w:after="0"/>
        <w:jc w:val="both"/>
        <w:rPr/>
      </w:pPr>
      <w:r>
        <w:rPr/>
      </w:r>
    </w:p>
    <w:tbl>
      <w:tblPr>
        <w:tblW w:w="7281" w:type="dxa"/>
        <w:jc w:val="left"/>
        <w:tblInd w:w="0" w:type="dxa"/>
        <w:tblLayout w:type="fixed"/>
        <w:tblCellMar>
          <w:top w:w="28" w:type="dxa"/>
          <w:left w:w="28" w:type="dxa"/>
          <w:bottom w:w="28" w:type="dxa"/>
          <w:right w:w="28" w:type="dxa"/>
        </w:tblCellMar>
      </w:tblPr>
      <w:tblGrid>
        <w:gridCol w:w="1705"/>
        <w:gridCol w:w="1500"/>
        <w:gridCol w:w="1505"/>
        <w:gridCol w:w="109"/>
        <w:gridCol w:w="109"/>
        <w:gridCol w:w="109"/>
        <w:gridCol w:w="211"/>
        <w:gridCol w:w="616"/>
        <w:gridCol w:w="109"/>
        <w:gridCol w:w="109"/>
        <w:gridCol w:w="109"/>
        <w:gridCol w:w="109"/>
        <w:gridCol w:w="211"/>
        <w:gridCol w:w="616"/>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from (used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cash position increased $598.6 million in the six months ended June 30, 2026 and increased $114.8 million in the six months ended June 30, 2025. Cash inflows in 2026 were primarily from the issuance of debt and from operating activities. These cash inflows were offset by cash outflows for repayments of debt, capital expenditures and payments of financing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 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from operations is our primary source of funds. Cash flows provided from operating activities increased $155.8 million in the six months ended June 30, 2026, as compared to the same period in 2025, primarily due to incremental operating cash flows attributable to the acquired Windstream operations and net favorable working capital changes, principally consisting of favorable timing differences in the realization of deferred revenue, interest payments on our debt obligations and payments of trade accounts payable. The effect of these increases to cash provided from operating activities was partially offset by increased cash outlays for transaction related and other costs and unfavorable timing differences in the collection of accounts receivable.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71"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71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71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 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primarily consisted of capital expenditures to upgrade and expand the speed capabilities of our network facilities. Cash used in investing activities increased $573.0 million in the six months ended June 30, 2026, as compared to the same period in 2025, primarily driven by higher capital expenditures. During the six months ended June 30, 2026, cash outlays for capital expenditures were $799.2 million and cash outlays for capital expenditures funded by government grants totaled $34.8 million. Cash inflows from investing activities included $11.9 million in grant funds received from various state programs to fund capital expenditures and $3.5 million in proceeds from sales of equipment and certain unused IPv4 addresses.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Comparatively, </w:t>
      </w:r>
      <w:r>
        <w:rPr>
          <w:rFonts w:ascii="Times New Roman;serif" w:hAnsi="Times New Roman;serif"/>
          <w:b w:val="false"/>
          <w:color w:val="212529"/>
          <w:sz w:val="20"/>
          <w:shd w:fill="FFFFFF" w:val="clear"/>
        </w:rPr>
        <w:t>c</w:t>
      </w:r>
      <w:r>
        <w:rPr>
          <w:rFonts w:ascii="Times New Roman;serif" w:hAnsi="Times New Roman;serif"/>
          <w:b w:val="false"/>
          <w:color w:val="000000"/>
          <w:sz w:val="20"/>
          <w:shd w:fill="FFFFFF" w:val="clear"/>
        </w:rPr>
        <w:t xml:space="preserve">ash outlays for capital expenditures were </w:t>
      </w:r>
      <w:r>
        <w:rPr>
          <w:rFonts w:ascii="Times New Roman;serif" w:hAnsi="Times New Roman;serif"/>
          <w:b w:val="false"/>
          <w:color w:val="000000"/>
          <w:sz w:val="20"/>
        </w:rPr>
        <w:t>$246.2 million</w:t>
      </w:r>
      <w:r>
        <w:rPr>
          <w:color w:val="000000"/>
          <w:shd w:fill="FFFFFF" w:val="clear"/>
        </w:rPr>
        <w:t xml:space="preserve"> </w:t>
      </w:r>
      <w:r>
        <w:rPr>
          <w:rFonts w:ascii="Times New Roman;serif" w:hAnsi="Times New Roman;serif"/>
          <w:b w:val="false"/>
          <w:color w:val="000000"/>
          <w:sz w:val="20"/>
          <w:shd w:fill="FFFFFF" w:val="clear"/>
        </w:rPr>
        <w:t>for t</w:t>
      </w:r>
      <w:r>
        <w:rPr>
          <w:rFonts w:ascii="Times New Roman;serif" w:hAnsi="Times New Roman;serif"/>
          <w:b w:val="false"/>
          <w:color w:val="000000"/>
          <w:sz w:val="20"/>
        </w:rPr>
        <w:t xml:space="preserve">he </w:t>
      </w:r>
      <w:r>
        <w:rPr>
          <w:rFonts w:ascii="Times New Roman;serif" w:hAnsi="Times New Roman;serif"/>
          <w:b w:val="false"/>
          <w:color w:val="000000"/>
          <w:sz w:val="20"/>
          <w:shd w:fill="FFFFFF" w:val="clear"/>
        </w:rPr>
        <w:t>six months ended June 30, 2025, and were incurred for the construction of network assets to be deployed in Old Uniti’s fiber and leasing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 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from financing activities totaled $1,077.8 million for the six months ended June 30, 2026. Cash inflows included $2,072.6 million of proceeds from issuance of debt partially offset by $930.0 million in repayments of debt, payments of financing costs of $39.7 million and payment of preferred stock dividends of $16.7 million. Proceeds from the issuance of debt consisted of the issuance of $1,000.0 million of additional 8.625% unsecured notes, which was issued at a premium of $2.5 million, the issuance of $960.1 million of Kinetic ABS 2026-1 Notes and new borrowings of $110.0 million under the senior secured credit facilities. Repayments of debt consisted of the $500.0 million Windstream Term Loan, $425.0 million of borrowings under the senior secured revolving credit facilities and scheduled principal payments of $5.0 million on the 2025 Term Loan.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Comparatively, cash provided from financing activities totaled $176.8 million for the six months ended June 30, 2025. Cash inflows included $1,229.0 million of proceeds from issuance of debt partially offset by $940.0 million in repayments of debt, payments of settlement obligations of $49.0 million and financing costs of $59.1 million. Proceeds from issuance of debt consisted of $600.0 million of the 8.625% unsecured notes, $589.0 million under the Fiber Infrastructure ABS Notes and $40.0 million under the Uniti Revolver. Repayments of debt consisted of $625.0 million of 10.50% secured notes, $275.0 million under the ABS Loan Facility and $40.0 million under the Uniti Revolver. See </w:t>
      </w:r>
      <w:hyperlink w:anchor="ie70f00857744476b82c49a37d8161764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 xml:space="preserve">to the condensed consolidated financial statements for additional information about borrowings and repayments of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Pension and Employee Savings Plan Contributions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connection with the Merger, the Company assumed a non-contributory qualified defined benefit pension plan. Future benefit accruals for all eligible non-bargaining unit employees covered by the pension plan have ceased. </w:t>
      </w:r>
      <w:r>
        <w:rPr>
          <w:rFonts w:ascii="Times New Roman;serif" w:hAnsi="Times New Roman;serif"/>
          <w:b w:val="false"/>
          <w:color w:val="000000"/>
          <w:sz w:val="20"/>
        </w:rPr>
        <w:t>The minimum required employer contributions to the pension plan in 2026 total $20.6 million, consisting of $7.4 million for the 2025 plan year and $13.2 million for the 2026 plan year. In January 2026, the Company made a $4.5 million cash contribution to the pension plan attributable to the 2025 plan year and will contribute the remaining $2.9 million for the 2025 plan year in September 2026. Incremental to its required minimum funding contributions, the Company also made a voluntary cash contribution of $4.4 million to the pension plan on June 2, 2026, which was allocated to the 2025 plan year. On April 15, 2026, the Company made in cash its first required quarterly employer contribution for the 2026 plan year of $4.4 million, and on July 15, 2026, the Company made in cash its second required quarterly employer contribution for the 2026 plan year of $4.4 million. The amount and timing of future contributions to the pension plan are dependent upon a myriad of factors including future investment performance, changes in future discount rates and changes in the demographics of the pop</w:t>
      </w:r>
      <w:r>
        <w:rPr>
          <w:rFonts w:ascii="Times New Roman;serif" w:hAnsi="Times New Roman;serif"/>
          <w:b w:val="false"/>
          <w:color w:val="000000"/>
          <w:sz w:val="20"/>
          <w:shd w:fill="FFFFFF" w:val="clear"/>
        </w:rPr>
        <w:t>ulation participating in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connection with the Merger, the Company also assumed </w:t>
      </w:r>
      <w:r>
        <w:rPr>
          <w:rFonts w:ascii="Times New Roman;serif" w:hAnsi="Times New Roman;serif"/>
          <w:b w:val="false"/>
          <w:color w:val="000000"/>
          <w:sz w:val="20"/>
        </w:rPr>
        <w:t>an employee savings plan under section 401(k) of the Internal Revenue Code, which covers substantially all salaried employees and certain bargaining unit employees of Windstream. Participating employees receive employer matching contributions up to a maximum of 4.0% of employee pre-tax contributions to the plan for employees contributing up to 5.0% of their eligible pre-tax compensation. The employer matching contribution is calculated and funded in cash to the plan each pay period with an annual true-up to be made as soon as administratively possible after the end of the year. Inclusive of the Company's existing 401(k) defined contribution plan, expense attributable to the employer matching contribution under the plans, excluding amounts capitalized, was $6.0 million and $13.4 million for the three and six months ended June 30, 2026, respectively, as compared to $0.6 million and $1.2 million for the three and six months ended June 30, 2025. Expense related to the employee savings plan is included in cost of services and SG&amp;A expenses in the condensed consolidated statements of operations.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72" name="Frame7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72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72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Broadband Grant Awards and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BEAD funding previously discussed, the Company also receives federal and state governmental assistance in the form of grants for the construction of long-lived assets to expand the availability and affordability of residential broadband service via direct grants or through the formation of public private partnerships. No new grants have been awarded to the Company in 2026. As of June 30, 2026, the Company has secured approximately $160.6 million in funding commitments from governmental agencies in Florida, Georgia, Iowa, North Carolina, Pennsylvania, and Texas, that will help us deliver fiber to approximately 91,800 locations. In completing these broadband expansion projects, the Company expects to incur $131.9 million of incremental capital expenditures. The Company will continue to seek out additional opportunities to obtain external funding for the expansion of 1-Gbps internet service across its service areas either from direct grants from governmental programs or through the formation of public private partnerships.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Debt Agreements and Covenants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At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notes and other debt, net included the following: (i) the Uniti Revolver pursuant to the Uniti Credit Agreement (as defined in Note 5), of which no borrowings were outstanding; (ii) the Windstream Revolver (as defined in Note 5) pursuant to the Windstream Credit Agreement (as defined in Note 5), of which no borrowings were outstanding; (iii) the 2025 Term Loan (as defined in Note 5) pursuant to the Windstream Credit Agreement, of which $995.0 million was outstanding; (iv) $570.0 million aggregate principal amount of </w:t>
      </w:r>
      <w:r>
        <w:rPr>
          <w:rFonts w:ascii="Times New Roman;serif" w:hAnsi="Times New Roman;serif"/>
          <w:b w:val="false"/>
          <w:color w:val="000000"/>
          <w:sz w:val="20"/>
          <w:shd w:fill="FFFFFF" w:val="clear"/>
        </w:rPr>
        <w:t>4.75%</w:t>
      </w:r>
      <w:r>
        <w:rPr>
          <w:color w:val="000000"/>
        </w:rPr>
        <w:t xml:space="preserve"> </w:t>
      </w:r>
      <w:r>
        <w:rPr>
          <w:rFonts w:ascii="Times New Roman;serif" w:hAnsi="Times New Roman;serif"/>
          <w:b w:val="false"/>
          <w:color w:val="000000"/>
          <w:sz w:val="20"/>
        </w:rPr>
        <w:t>senior secured notes due 2028 (the “</w:t>
      </w:r>
      <w:r>
        <w:rPr>
          <w:rFonts w:ascii="Times New Roman;serif" w:hAnsi="Times New Roman;serif"/>
          <w:b w:val="false"/>
          <w:color w:val="000000"/>
          <w:sz w:val="20"/>
          <w:shd w:fill="FFFFFF" w:val="clear"/>
        </w:rPr>
        <w:t>4.75%</w:t>
      </w:r>
      <w:r>
        <w:rPr>
          <w:color w:val="000000"/>
        </w:rPr>
        <w:t xml:space="preserve"> </w:t>
      </w:r>
      <w:r>
        <w:rPr>
          <w:rFonts w:ascii="Times New Roman;serif" w:hAnsi="Times New Roman;serif"/>
          <w:b w:val="false"/>
          <w:color w:val="000000"/>
          <w:sz w:val="20"/>
        </w:rPr>
        <w:t xml:space="preserve">secured notes”); (v) $1.1 billion aggregate principal amount of </w:t>
      </w:r>
      <w:r>
        <w:rPr>
          <w:rFonts w:ascii="Times New Roman;serif" w:hAnsi="Times New Roman;serif"/>
          <w:b w:val="false"/>
          <w:color w:val="000000"/>
          <w:sz w:val="20"/>
          <w:shd w:fill="FFFFFF" w:val="clear"/>
        </w:rPr>
        <w:t>6.50%</w:t>
      </w:r>
      <w:r>
        <w:rPr>
          <w:color w:val="000000"/>
        </w:rPr>
        <w:t xml:space="preserve"> </w:t>
      </w:r>
      <w:r>
        <w:rPr>
          <w:rFonts w:ascii="Times New Roman;serif" w:hAnsi="Times New Roman;serif"/>
          <w:b w:val="false"/>
          <w:color w:val="000000"/>
          <w:sz w:val="20"/>
        </w:rPr>
        <w:t>senior unsecured notes due 2029 (the “</w:t>
      </w:r>
      <w:r>
        <w:rPr>
          <w:rFonts w:ascii="Times New Roman;serif" w:hAnsi="Times New Roman;serif"/>
          <w:b w:val="false"/>
          <w:color w:val="000000"/>
          <w:sz w:val="20"/>
          <w:shd w:fill="FFFFFF" w:val="clear"/>
        </w:rPr>
        <w:t>6.50%</w:t>
      </w:r>
      <w:r>
        <w:rPr>
          <w:color w:val="000000"/>
        </w:rPr>
        <w:t xml:space="preserve"> </w:t>
      </w:r>
      <w:r>
        <w:rPr>
          <w:rFonts w:ascii="Times New Roman;serif" w:hAnsi="Times New Roman;serif"/>
          <w:b w:val="false"/>
          <w:color w:val="000000"/>
          <w:sz w:val="20"/>
        </w:rPr>
        <w:t xml:space="preserve">unsecured notes”); (vi) $700.0 million aggregate principal amount of </w:t>
      </w:r>
      <w:r>
        <w:rPr>
          <w:rFonts w:ascii="Times New Roman;serif" w:hAnsi="Times New Roman;serif"/>
          <w:b w:val="false"/>
          <w:color w:val="000000"/>
          <w:sz w:val="20"/>
          <w:shd w:fill="FFFFFF" w:val="clear"/>
        </w:rPr>
        <w:t>6.00%</w:t>
      </w:r>
      <w:r>
        <w:rPr>
          <w:color w:val="000000"/>
        </w:rPr>
        <w:t xml:space="preserve"> </w:t>
      </w:r>
      <w:r>
        <w:rPr>
          <w:rFonts w:ascii="Times New Roman;serif" w:hAnsi="Times New Roman;serif"/>
          <w:b w:val="false"/>
          <w:color w:val="000000"/>
          <w:sz w:val="20"/>
        </w:rPr>
        <w:t>senior unsecured notes due 2030 (the “</w:t>
      </w:r>
      <w:r>
        <w:rPr>
          <w:rFonts w:ascii="Times New Roman;serif" w:hAnsi="Times New Roman;serif"/>
          <w:b w:val="false"/>
          <w:color w:val="000000"/>
          <w:sz w:val="20"/>
          <w:shd w:fill="FFFFFF" w:val="clear"/>
        </w:rPr>
        <w:t>6.00%</w:t>
      </w:r>
      <w:r>
        <w:rPr>
          <w:color w:val="000000"/>
        </w:rPr>
        <w:t xml:space="preserve"> </w:t>
      </w:r>
      <w:r>
        <w:rPr>
          <w:rFonts w:ascii="Times New Roman;serif" w:hAnsi="Times New Roman;serif"/>
          <w:b w:val="false"/>
          <w:color w:val="000000"/>
          <w:sz w:val="20"/>
        </w:rPr>
        <w:t xml:space="preserve">unsecured notes”); (vii) $2.2 billion aggregate principal amount of 8.25% senior secured notes due 2031 (the “8.25% secured notes”); (viii) $1.6 billion aggregate principal amount of </w:t>
      </w:r>
      <w:r>
        <w:rPr>
          <w:rFonts w:ascii="Times New Roman;serif" w:hAnsi="Times New Roman;serif"/>
          <w:b w:val="false"/>
          <w:color w:val="000000"/>
          <w:sz w:val="20"/>
          <w:shd w:fill="FFFFFF" w:val="clear"/>
        </w:rPr>
        <w:t>8.625%</w:t>
      </w:r>
      <w:r>
        <w:rPr>
          <w:color w:val="000000"/>
        </w:rPr>
        <w:t xml:space="preserve"> </w:t>
      </w:r>
      <w:r>
        <w:rPr>
          <w:rFonts w:ascii="Times New Roman;serif" w:hAnsi="Times New Roman;serif"/>
          <w:b w:val="false"/>
          <w:color w:val="000000"/>
          <w:sz w:val="20"/>
        </w:rPr>
        <w:t>senior unsecured notes due 2032 (the “</w:t>
      </w:r>
      <w:r>
        <w:rPr>
          <w:rFonts w:ascii="Times New Roman;serif" w:hAnsi="Times New Roman;serif"/>
          <w:b w:val="false"/>
          <w:color w:val="000000"/>
          <w:sz w:val="20"/>
          <w:shd w:fill="FFFFFF" w:val="clear"/>
        </w:rPr>
        <w:t>8.625%</w:t>
      </w:r>
      <w:r>
        <w:rPr>
          <w:color w:val="000000"/>
        </w:rPr>
        <w:t xml:space="preserve"> </w:t>
      </w:r>
      <w:r>
        <w:rPr>
          <w:rFonts w:ascii="Times New Roman;serif" w:hAnsi="Times New Roman;serif"/>
          <w:b w:val="false"/>
          <w:color w:val="000000"/>
          <w:sz w:val="20"/>
        </w:rPr>
        <w:t xml:space="preserve">unsecured notes”); (ix) $1.4 billion aggregate principal amount of </w:t>
      </w:r>
      <w:r>
        <w:rPr>
          <w:rFonts w:ascii="Times New Roman;serif" w:hAnsi="Times New Roman;serif"/>
          <w:b w:val="false"/>
          <w:color w:val="000000"/>
          <w:sz w:val="20"/>
          <w:shd w:fill="FFFFFF" w:val="clear"/>
        </w:rPr>
        <w:t>7.50%</w:t>
      </w:r>
      <w:r>
        <w:rPr>
          <w:color w:val="000000"/>
        </w:rPr>
        <w:t xml:space="preserve"> </w:t>
      </w:r>
      <w:r>
        <w:rPr>
          <w:rFonts w:ascii="Times New Roman;serif" w:hAnsi="Times New Roman;serif"/>
          <w:b w:val="false"/>
          <w:color w:val="000000"/>
          <w:sz w:val="20"/>
        </w:rPr>
        <w:t>senior secured notes due 2033 (the “</w:t>
      </w:r>
      <w:r>
        <w:rPr>
          <w:rFonts w:ascii="Times New Roman;serif" w:hAnsi="Times New Roman;serif"/>
          <w:b w:val="false"/>
          <w:color w:val="000000"/>
          <w:sz w:val="20"/>
          <w:shd w:fill="FFFFFF" w:val="clear"/>
        </w:rPr>
        <w:t>7.50%</w:t>
      </w:r>
      <w:r>
        <w:rPr>
          <w:color w:val="000000"/>
        </w:rPr>
        <w:t xml:space="preserve"> </w:t>
      </w:r>
      <w:r>
        <w:rPr>
          <w:rFonts w:ascii="Times New Roman;serif" w:hAnsi="Times New Roman;serif"/>
          <w:b w:val="false"/>
          <w:color w:val="000000"/>
          <w:sz w:val="20"/>
        </w:rPr>
        <w:t xml:space="preserve">secured notes”); (x) $306.5 million aggregate principal amount of </w:t>
      </w:r>
      <w:r>
        <w:rPr>
          <w:rFonts w:ascii="Times New Roman;serif" w:hAnsi="Times New Roman;serif"/>
          <w:b w:val="false"/>
          <w:color w:val="000000"/>
          <w:sz w:val="20"/>
          <w:shd w:fill="FFFFFF" w:val="clear"/>
        </w:rPr>
        <w:t>7.50%</w:t>
      </w:r>
      <w:r>
        <w:rPr>
          <w:color w:val="000000"/>
        </w:rPr>
        <w:t xml:space="preserve"> </w:t>
      </w:r>
      <w:r>
        <w:rPr>
          <w:rFonts w:ascii="Times New Roman;serif" w:hAnsi="Times New Roman;serif"/>
          <w:b w:val="false"/>
          <w:color w:val="000000"/>
          <w:sz w:val="20"/>
        </w:rPr>
        <w:t>convertible senior notes due 2027 (the “2027 convertible notes”); (xi) $839.0 million aggregate principal amount of secured fiber network revenue term notes (collectively, the “Fiber Infrastructure ABS Notes”), consisting of $426.0 million 5.877% Series 2025-1, Class A-2 term notes, $180.0 million 5.177% Series 2025-2, Class A-2 term notes, $65.0 million 6.369% Series 2025-1, Class B term notes, $28.2 million 5.621% Series 2025-2, Class B term notes, $98.0 million 9.018% Series 2025-1, Class C term notes and $41.8 million 7.834% Series 2025-2, Class C term notes, each issued by Uniti Fiber ABS Issuer LLC and Uniti Fiber TRS Issuer LLC (collectively, the “Fiber Infrastructure ABS Notes Issuers”), each an indirect, bankruptcy-remote subsidiaries of the Company, and (xii) $960.1 million aggregate principal amount of Kinetic ABS 2026-1 Notes, consisting of $677.7 million 5.219% Series 2026-1, Class A-2 term notes, $113.0 million 5.561% Series 2026-1, Class B term notes and $169.4 million 7.653% Series 2026-1, Class C term notes each issued by Kinetic ABS Issuer.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terms of the credit agreements and indentures governing the Company’s debt obligations include customary covenants that, among other things, require the Company to </w:t>
      </w:r>
      <w:r>
        <w:rPr>
          <w:rFonts w:ascii="Times New Roman;serif" w:hAnsi="Times New Roman;serif"/>
          <w:b w:val="false"/>
          <w:color w:val="000000"/>
          <w:sz w:val="20"/>
        </w:rPr>
        <w:t>maintain</w:t>
      </w:r>
      <w:r>
        <w:rPr>
          <w:color w:val="000000"/>
          <w:shd w:fill="FFFFFF" w:val="clear"/>
        </w:rPr>
        <w:t xml:space="preserve"> </w:t>
      </w:r>
      <w:r>
        <w:rPr>
          <w:rFonts w:ascii="Times New Roman;serif" w:hAnsi="Times New Roman;serif"/>
          <w:b w:val="false"/>
          <w:color w:val="000000"/>
          <w:sz w:val="20"/>
          <w:shd w:fill="FFFFFF" w:val="clear"/>
        </w:rPr>
        <w:t xml:space="preserve">certain financial ratios and restrict its ability to incur additional indebtedness. As of June 30, 2026, the Company was in compliance with all of its debt covenants. For additional information regarding the Company’s debt obligations, see </w:t>
      </w:r>
      <w:hyperlink w:anchor="ie70f00857744476b82c49a37d8161764_49">
        <w:r>
          <w:rPr>
            <w:rStyle w:val="InternetLink"/>
            <w:rFonts w:ascii="Times New Roman;serif" w:hAnsi="Times New Roman;serif"/>
            <w:b w:val="false"/>
            <w:color w:val="0000FF"/>
            <w:sz w:val="20"/>
            <w:u w:val="single"/>
          </w:rPr>
          <w:t>Note 5</w:t>
        </w:r>
      </w:hyperlink>
      <w:r>
        <w:rPr>
          <w:color w:val="000000"/>
          <w:shd w:fill="FFFFFF" w:val="clear"/>
        </w:rPr>
        <w:t xml:space="preserve"> </w:t>
      </w:r>
      <w:r>
        <w:rPr>
          <w:rFonts w:ascii="Times New Roman;serif" w:hAnsi="Times New Roman;serif"/>
          <w:b w:val="false"/>
          <w:color w:val="000000"/>
          <w:sz w:val="20"/>
          <w:shd w:fill="FFFFFF" w:val="clear"/>
        </w:rPr>
        <w:t>to the condensed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ABS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2024, we formed Uniti Fiber ABS Parent LLC (“Fiber Infrastructure ABS Parent”) and Uniti Fiber Bridge Borrower LLC, Uniti Fiber Bridge HoldCo LLC and Uniti Fiber GulfCo LLC (the “ABS Bridge Loan Parties”), each an indirect, bankruptcy-remote subsidiary of the Company, and we designated Fiber Infrastructure ABS Parent and the ABS Bridge Loan Parties as unrestricted subsidiaries under the Uniti Credit Agreement and the applicable indentures governing the Company’s outstanding senior notes. During 2025, we formed Fiber Infrastructure ABS Notes Issuers and Uniti Fiber TRS AssetCo LLC (with Uniti Fiber GulfCo LLC, the “Fiber Infrastructure ABS Notes Obligors”), each a subsidiary of Fiber Infrastructure ABS Parent and an indirect, bankruptcy-remote subsidiary of the Company. Each Fiber Infrastructure ABS Notes Obligor is an unrestricted subsidiary under the Uniti Credit Agreement and the applicable indentures governing the Company’s senior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January 2026, we formed Kinetic ABS Parent LLC (“Kinetic ABS Parent”), an indirect, bankruptcy-remote subsidiary of the Company, and designated Kinetic ABS Parent as an unrestricted subsidiary under the credit agreements and the applicable indentures governing our outstanding senior notes. We also formed the Kinetic ABS 2026-1 Obligors, each a subsidiary of Kinetic ABS Parent and an indirect, bankruptcy-remote subsidiary of the Company. Each Kinetic ABS 2026-1 Obligor is an unrestricted subsidiary under the credit agreements and the applicable indentures governing the Company’s senior notes.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1155"/>
                <wp:effectExtent l="0" t="0" r="0" b="0"/>
                <wp:wrapNone/>
                <wp:docPr id="73"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73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73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For additional information concerning the financial position and results of operations of Fiber Infrastructure ABS Parent and its subsidiaries and Kinetic ABS Parent and its subsidiaries (all unrestricted subsidiaries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please </w:t>
      </w:r>
      <w:hyperlink w:anchor="ie70f00857744476b82c49a37d8161764_82">
        <w:r>
          <w:rPr>
            <w:rStyle w:val="InternetLink"/>
            <w:rFonts w:ascii="Times New Roman;serif" w:hAnsi="Times New Roman;serif"/>
            <w:b w:val="false"/>
            <w:color w:val="0000FF"/>
            <w:sz w:val="20"/>
            <w:u w:val="single"/>
          </w:rPr>
          <w:t>see Note 14</w:t>
        </w:r>
      </w:hyperlink>
      <w:r>
        <w:rPr>
          <w:color w:val="000000"/>
        </w:rPr>
        <w:t xml:space="preserve"> </w:t>
      </w:r>
      <w:r>
        <w:rPr>
          <w:rFonts w:ascii="Times New Roman;serif" w:hAnsi="Times New Roman;serif"/>
          <w:b w:val="false"/>
          <w:color w:val="000000"/>
          <w:sz w:val="20"/>
        </w:rPr>
        <w:t>to our accompanying condensed consolidated financial statements contained in Part I, Item 1 “Financial Statements</w:t>
      </w:r>
      <w:r>
        <w:rPr>
          <w:color w:val="000000"/>
          <w:shd w:fill="FFFFFF" w:val="clear"/>
        </w:rPr>
        <w:t>”</w:t>
      </w:r>
      <w:r>
        <w:rPr>
          <w:color w:val="000000"/>
        </w:rPr>
        <w:t xml:space="preserve"> </w:t>
      </w:r>
      <w:r>
        <w:rPr>
          <w:rFonts w:ascii="Times New Roman;serif" w:hAnsi="Times New Roman;serif"/>
          <w:b w:val="false"/>
          <w:color w:val="000000"/>
          <w:sz w:val="20"/>
        </w:rPr>
        <w:t>of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Except for the changes discussed in </w:t>
      </w:r>
      <w:hyperlink w:anchor="ie70f00857744476b82c49a37d8161764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 xml:space="preserve">and </w:t>
      </w:r>
      <w:hyperlink w:anchor="ie70f00857744476b82c49a37d8161764_85">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color w:val="000000"/>
          <w:sz w:val="20"/>
        </w:rPr>
        <w:t>to the condensed consolidated financial statements resulting from the 2026 debt refinancing activities, there have been no other material changes to our contractual obligations and commitments as set forth in the Company’s 2025 Annual Report on Form 10-K filed with the SEC on March 2,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does not use securitization of trade receivables, affiliation with special purpose entities, variable interest entities or synthetic leases to finance its operations. Additionally, the Company has not entered into any arrangement requiring it to guarantee payment of third-party debt or to fund losses of an unconsolidated special purpose entity.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w:t>
      </w:r>
      <w:r>
        <w:rPr>
          <w:rFonts w:ascii="Times New Roman;serif" w:hAnsi="Times New Roman;serif"/>
          <w:b w:val="false"/>
          <w:color w:val="000000"/>
          <w:sz w:val="20"/>
          <w:shd w:fill="FFFFFF" w:val="clear"/>
        </w:rPr>
        <w:t>refer to EBITDA and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Adjusted EBITDA are important non-GAAP supplemental measures of our operating performance.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define “EBITDA” as net (loss) income, as defined by GAAP, before interest expense, provision for income taxes, depreciation and amortization, and costs incurred as a result of the early repayment of debt, including early tender and redemption premiums and the write off of unamortized deferred financing costs. We define “Adjusted EBITDA” as EBITDA before stock-based compensation expense and the impact, which may be recurring in nature, of incremental acquisition, pursuit, transaction and integration costs (including unsuccessful acquisition pursuit costs), and costs associated with litigation claims made against us, and costs associated with the implementation of our enterprise resource planning system, (collectively, “Transaction Related and Other Costs”), </w:t>
      </w:r>
      <w:r>
        <w:rPr>
          <w:rFonts w:ascii="Times New Roman;serif" w:hAnsi="Times New Roman;serif"/>
          <w:b w:val="false"/>
          <w:color w:val="000000"/>
          <w:sz w:val="20"/>
        </w:rPr>
        <w:t>gains or losses on retirements and dispositions of assets,</w:t>
      </w:r>
      <w:r>
        <w:rPr>
          <w:color w:val="000000"/>
          <w:shd w:fill="FFFFFF" w:val="clear"/>
        </w:rPr>
        <w:t xml:space="preserve"> </w:t>
      </w:r>
      <w:r>
        <w:rPr>
          <w:rFonts w:ascii="Times New Roman;serif" w:hAnsi="Times New Roman;serif"/>
          <w:b w:val="false"/>
          <w:color w:val="000000"/>
          <w:sz w:val="20"/>
          <w:shd w:fill="FFFFFF" w:val="clear"/>
        </w:rPr>
        <w:t>amortization of non-cash rights-of-use assets, costs associated with the termination of related hedging activities, changes in the fair value of financial instruments, and other similar or infrequent items (although we may not have had such charges in the periods presented). We believe EBITDA and Adjusted EBITDA are important supplemental measures to net (loss)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(loss) income determined in accordance with GAAP. F</w:t>
      </w:r>
      <w:r>
        <w:rPr>
          <w:rFonts w:ascii="Times New Roman;serif" w:hAnsi="Times New Roman;serif"/>
          <w:b w:val="false"/>
          <w:color w:val="000000"/>
          <w:sz w:val="20"/>
        </w:rPr>
        <w:t xml:space="preserve">urther, </w:t>
      </w:r>
      <w:r>
        <w:rPr>
          <w:rFonts w:ascii="Times New Roman;serif" w:hAnsi="Times New Roman;serif"/>
          <w:b w:val="false"/>
          <w:color w:val="000000"/>
          <w:sz w:val="20"/>
          <w:shd w:fill="FFFFFF" w:val="clear"/>
        </w:rPr>
        <w:t>our computations of EBITDA and Adjusted EBITDA may not be comparable to that reported by other companies.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74"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74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74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EBITDA and Adjusted EBITDA is as follows:</w:t>
      </w:r>
    </w:p>
    <w:p>
      <w:pPr>
        <w:pStyle w:val="TextBody"/>
        <w:bidi w:val="0"/>
        <w:spacing w:before="0" w:after="0"/>
        <w:jc w:val="both"/>
        <w:rPr/>
      </w:pPr>
      <w:r>
        <w:rPr/>
      </w:r>
    </w:p>
    <w:tbl>
      <w:tblPr>
        <w:tblW w:w="8940" w:type="dxa"/>
        <w:jc w:val="left"/>
        <w:tblInd w:w="0" w:type="dxa"/>
        <w:tblLayout w:type="fixed"/>
        <w:tblCellMar>
          <w:top w:w="28" w:type="dxa"/>
          <w:left w:w="28" w:type="dxa"/>
          <w:bottom w:w="28" w:type="dxa"/>
          <w:right w:w="28" w:type="dxa"/>
        </w:tblCellMar>
      </w:tblPr>
      <w:tblGrid>
        <w:gridCol w:w="1454"/>
        <w:gridCol w:w="1280"/>
        <w:gridCol w:w="1286"/>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211"/>
        <w:gridCol w:w="616"/>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non-cash rights-of-use assets (a)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retirements and dispositions (b)</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other, net</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shd w:fill="FFFFFF" w:val="clear"/>
        </w:rPr>
        <w:t>(a)</w:t>
      </w:r>
      <w:r>
        <w:rPr>
          <w:rFonts w:ascii="Times New Roman;serif" w:hAnsi="Times New Roman;serif"/>
          <w:b w:val="false"/>
          <w:color w:val="000000"/>
          <w:sz w:val="20"/>
        </w:rPr>
        <w:t>Included within cost of services (exclusive of depreciation and amortization) in the condensed consolidated statements of operations.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(b)Included within SG&amp;A expense line item in the condensed consolidated statements of operations.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business combinations and the related purchase price allocations, goodwill impairment assessments, valuation of pension obligations and income taxes as critical accounting estimates, as they are the most important to our financial statement presentation and require difficult, subjective and complex judgments.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 There were no material changes to these critical accounting estimates during the first six months of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Guidance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Se</w:t>
      </w:r>
      <w:hyperlink w:anchor="ie70f00857744476b82c49a37d8161764_40">
        <w:r>
          <w:rPr>
            <w:rStyle w:val="InternetLink"/>
            <w:rFonts w:ascii="Times New Roman;serif" w:hAnsi="Times New Roman;serif"/>
            <w:b w:val="false"/>
            <w:strike w:val="false"/>
            <w:dstrike w:val="false"/>
            <w:color w:val="000000"/>
            <w:sz w:val="20"/>
            <w:u w:val="none"/>
            <w:effect w:val="none"/>
          </w:rPr>
          <w:t xml:space="preserve">e </w:t>
        </w:r>
      </w:hyperlink>
      <w:hyperlink w:anchor="ie70f00857744476b82c49a37d8161764_40">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color w:val="000000"/>
          <w:sz w:val="20"/>
        </w:rPr>
        <w:t>to our accompanying condensed consolidated financial statements contained in Part I, Item 1 “Financial Statements” of this Quarterly Report on Form 10-Q for a discussion of recently issued authoritative guidance and our evaluation of the related impacts to the condensed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5"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75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75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Market risk is comprised of three elements: interest rate risk, equity risk and foreign currency risk. Uniti has exposure to market risk from changes in interest rates, as further discussed below. Currently, the Company does not have any significant exposure to equity or foreign currency risk, and as further discussed below, the Company has effectively hedged its exposure to interest rate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market risk through changes in variable interest rates incurred on borrowings under the Company’s credit agreements, consisting of the $995.0 million 2025 Term Loan and any borrowings outstanding under the senior secured revolving credit facilities. As of June 30, 2026 there were no borrowings outstanding under the senior secured revolving credit facilities.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to mitigate its exposure to the variability in cash flows on a portion of its floating-rate debt obligations. The Company has established policies and procedures for risk assessment and the approval, reporting and monitoring of interest rate swap activity. The Company does not enter into interest rate swap agreements, or other derivative financial instruments, for trading or speculative purposes. Management periodically reviews the Company’s exposure to interest rate fluctuations and implements strategies to manage the exposure.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 Company is party to four pay fixed, receive variable interest rate swap agreements with an aggregate notional value of $650.0 million. The interest rate swaps are scheduled to mature on October 31, 2028, October 31, 2029, and October 31, 2030. As of June 30, 2026, the weighted average fixed rate paid on the interest rate swaps was 3.618% and the weighted average variable rate received was 3.644%. The interest rate swaps have been designated as cash flow hedges of the interest rate risk inherent in floating rate borrowings outstanding due to changes in the benchmark interest rate, and accordingly, the hedging relationship is expected to be highly effective in mitigating cash flow risks resulting from changes in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unhedged portion of our variable rate debt was $345.0 million. For variable rate debt instruments, market risk is defined as the potential change in earnings resulting from a hypothetical adverse change in interest rates. A hypothetical increase of 100 basis points in variable interest rates would increase annual interest expense by approximately $3.5 million. Actual results may differ from this estimate.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w:t>
      </w:r>
      <w:r>
        <w:rPr>
          <w:rFonts w:ascii="Times New Roman;serif" w:hAnsi="Times New Roman;serif"/>
          <w:b w:val="false"/>
          <w:color w:val="000000"/>
          <w:sz w:val="20"/>
          <w:shd w:fill="FFFFFF" w:val="clear"/>
        </w:rPr>
        <w:t xml:space="preserve">have established disclosure controls and procedures, as such term is defined in Rule 13a-15(e) under the Securities Exchange Act of 1934, as amended (the </w:t>
      </w:r>
      <w:r>
        <w:rPr>
          <w:color w:val="000000"/>
        </w:rPr>
        <w:t>“</w:t>
      </w:r>
      <w:r>
        <w:rPr>
          <w:rFonts w:ascii="Times New Roman;serif" w:hAnsi="Times New Roman;serif"/>
          <w:b w:val="false"/>
          <w:color w:val="000000"/>
          <w:sz w:val="20"/>
          <w:shd w:fill="FFFFFF" w:val="clear"/>
        </w:rPr>
        <w:t>Exchange Act</w:t>
      </w:r>
      <w:r>
        <w:rPr>
          <w:color w:val="000000"/>
        </w:rPr>
        <w:t>”</w:t>
      </w:r>
      <w:r>
        <w:rPr>
          <w:rFonts w:ascii="Times New Roman;serif" w:hAnsi="Times New Roman;serif"/>
          <w:b w:val="false"/>
          <w:color w:val="000000"/>
          <w:sz w:val="20"/>
          <w:shd w:fill="FFFFFF" w:val="clear"/>
        </w:rPr>
        <w: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w:t>
      </w:r>
      <w:r>
        <w:rPr>
          <w:rFonts w:ascii="Times New Roman;serif" w:hAnsi="Times New Roman;serif"/>
          <w:b w:val="false"/>
          <w:color w:val="000000"/>
          <w:sz w:val="20"/>
          <w:shd w:fill="FFFFFF" w:val="clear"/>
        </w:rPr>
        <w:t>management, with the participation of our principal executive officer and principal financial officer, evaluated the effectiveness of our disclosure controls and procedures as of June 30, 2026, and based on this evaluation, our principal executive officer and principal financial officer concluded that our disclosure controls and procedures were effective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 were no changes in our internal control over financial reporting, as such term is defined in Rule 13a-15(f) under the Exchange Act, that occurred during the quarter ended June 30, 2026 that have materially affected, or are reasonably likely to materially affect, our internal control over financial reporting.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6"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76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76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 xml:space="preserve">description of legal proceedings can be found in </w:t>
      </w:r>
      <w:hyperlink w:anchor="ie70f00857744476b82c49a37d8161764_79">
        <w:r>
          <w:rPr>
            <w:rStyle w:val="InternetLink"/>
            <w:rFonts w:ascii="Times New Roman;serif" w:hAnsi="Times New Roman;serif"/>
            <w:b w:val="false"/>
            <w:color w:val="0000FF"/>
            <w:sz w:val="20"/>
            <w:u w:val="single"/>
          </w:rPr>
          <w:t>Note 13</w:t>
        </w:r>
      </w:hyperlink>
      <w:r>
        <w:rPr>
          <w:color w:val="000000"/>
        </w:rPr>
        <w:t xml:space="preserve"> </w:t>
      </w:r>
      <w:r>
        <w:rPr>
          <w:rFonts w:ascii="Times New Roman;serif" w:hAnsi="Times New Roman;serif"/>
          <w:b w:val="false"/>
          <w:color w:val="000000"/>
          <w:sz w:val="20"/>
        </w:rPr>
        <w:t>to our condensed consolidated financial statements, included in Part I, Item 1. “Financial Statements” of this Quarterly Report on Form 10-Q, and is incorporated by reference into this Item 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affecting our business that were discussed in Part I, Item 1A. “Risk Factors” in our Annual Report on Form 10-K filed with the SEC on March 2,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table below provides information regarding shares withheld from Uniti employees to satisfy minimum statutory tax withholding obligations arising from the vesting of restricted stock granted under the Old Uniti’s 2015 Equity Incentive Plan. The shares of common stock withheld to satisfy tax withholding obligations may be deemed purchases of such shares required to be disclosed pursuant to this Item 2</w:t>
      </w:r>
      <w:r>
        <w:rPr>
          <w:rFonts w:ascii="Times New Roman;serif" w:hAnsi="Times New Roman;serif"/>
          <w:b w:val="false"/>
          <w:color w:val="000000"/>
          <w:sz w:val="20"/>
        </w:rPr>
        <w:t>.</w:t>
      </w:r>
    </w:p>
    <w:p>
      <w:pPr>
        <w:pStyle w:val="TextBody"/>
        <w:bidi w:val="0"/>
        <w:spacing w:before="0" w:after="0"/>
        <w:jc w:val="both"/>
        <w:rPr/>
      </w:pPr>
      <w:r>
        <w:rPr/>
      </w:r>
    </w:p>
    <w:tbl>
      <w:tblPr>
        <w:tblW w:w="9959" w:type="dxa"/>
        <w:jc w:val="left"/>
        <w:tblInd w:w="0" w:type="dxa"/>
        <w:tblLayout w:type="fixed"/>
        <w:tblCellMar>
          <w:top w:w="28" w:type="dxa"/>
          <w:left w:w="28" w:type="dxa"/>
          <w:bottom w:w="28" w:type="dxa"/>
          <w:right w:w="28" w:type="dxa"/>
        </w:tblCellMar>
      </w:tblPr>
      <w:tblGrid>
        <w:gridCol w:w="956"/>
        <w:gridCol w:w="838"/>
        <w:gridCol w:w="846"/>
        <w:gridCol w:w="109"/>
        <w:gridCol w:w="109"/>
        <w:gridCol w:w="109"/>
        <w:gridCol w:w="499"/>
        <w:gridCol w:w="499"/>
        <w:gridCol w:w="501"/>
        <w:gridCol w:w="109"/>
        <w:gridCol w:w="109"/>
        <w:gridCol w:w="109"/>
        <w:gridCol w:w="474"/>
        <w:gridCol w:w="474"/>
        <w:gridCol w:w="476"/>
        <w:gridCol w:w="109"/>
        <w:gridCol w:w="109"/>
        <w:gridCol w:w="109"/>
        <w:gridCol w:w="524"/>
        <w:gridCol w:w="524"/>
        <w:gridCol w:w="526"/>
        <w:gridCol w:w="109"/>
        <w:gridCol w:w="109"/>
        <w:gridCol w:w="109"/>
        <w:gridCol w:w="443"/>
        <w:gridCol w:w="443"/>
        <w:gridCol w:w="628"/>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w:t>
              <w:br/>
              <w:t>Total Number of</w:t>
              <w:br/>
              <w:t>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Average Price</w:t>
            </w:r>
          </w:p>
          <w:p>
            <w:pPr>
              <w:pStyle w:val="TableContents"/>
              <w:bidi w:val="0"/>
              <w:spacing w:lineRule="auto" w:line="288" w:before="0" w:after="0"/>
              <w:jc w:val="center"/>
              <w:rPr/>
            </w:pPr>
            <w:r>
              <w:rPr>
                <w:rFonts w:ascii="Times New Roman;serif" w:hAnsi="Times New Roman;serif"/>
                <w:b w:val="false"/>
                <w:color w:val="000000"/>
                <w:sz w:val="20"/>
              </w:rPr>
              <w:t>Paid per Share</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t>
              <w:br/>
              <w:t>Total Number of</w:t>
              <w:br/>
              <w:t>Shares Purchased</w:t>
              <w:br/>
              <w:t>as Part of Publicly</w:t>
              <w:br/>
              <w:t>Announced Plans</w:t>
              <w:br/>
              <w:t>or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w:t>
              <w:br/>
              <w:t>Maximum</w:t>
              <w:br/>
              <w:t>Number of</w:t>
              <w:br/>
              <w:t>Shares that May</w:t>
              <w:br/>
              <w:t>Yet Be</w:t>
              <w:br/>
              <w:t>Purchased Under</w:t>
              <w:br/>
              <w:t>the Plans or</w:t>
              <w:br/>
              <w:t>Programs</w:t>
            </w:r>
          </w:p>
        </w:tc>
      </w:tr>
      <w:tr>
        <w:trPr/>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48,526 </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6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52,275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The average price paid per share is the weighted average of the fair market prices at which we calculated the number of shares withheld to cover tax withholdings for the employees.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None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None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(c) During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none of the Company’s directors or officers (as defined in Rule 16a-1(f) under the Exchange Act) adopted or terminated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1155"/>
                <wp:effectExtent l="0" t="0" r="0" b="0"/>
                <wp:wrapNone/>
                <wp:docPr id="77"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77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77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3"/>
        <w:gridCol w:w="249"/>
        <w:gridCol w:w="250"/>
        <w:gridCol w:w="109"/>
        <w:gridCol w:w="109"/>
        <w:gridCol w:w="109"/>
        <w:gridCol w:w="2762"/>
        <w:gridCol w:w="2613"/>
        <w:gridCol w:w="3721"/>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8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
              <w:r>
                <w:rPr>
                  <w:rStyle w:val="InternetLink"/>
                  <w:rFonts w:ascii="Times New Roman;serif" w:hAnsi="Times New Roman;serif"/>
                  <w:b w:val="false"/>
                  <w:color w:val="0000FF"/>
                  <w:sz w:val="20"/>
                  <w:u w:val="single"/>
                </w:rPr>
                <w:t>Agreement and Plan of Merger, dated as of May 3, 2024, by and between Uniti Group LLC (f/k/a Uniti Group Inc.) and Windstream Holdings II, LLC (incorporated by reference to Exhibit 2.1 to Old Uniti’s Current Report on Form 8-K dated and filed with the SEC as of May 3, 2024 (File No. 001-36708)).</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
              <w:r>
                <w:rPr>
                  <w:rStyle w:val="InternetLink"/>
                  <w:rFonts w:ascii="Times New Roman;serif" w:hAnsi="Times New Roman;serif"/>
                  <w:b w:val="false"/>
                  <w:color w:val="0000FF"/>
                  <w:sz w:val="20"/>
                  <w:u w:val="single"/>
                </w:rPr>
                <w:t>Amendment No. 1 to Agreement and Plan of Merger, dated July 17, 2024, by and between Uniti Group LLC (f/k/a Uniti Group Inc.) and Windstream Holdings II, LLC (incorporated by reference to Exhibit 2.2 to Old Uniti's Quarterly Report on Form 10-Q dated and filed with the SEC as of August 1, 2024 (File No. 001-36708)).</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
              <w:r>
                <w:rPr>
                  <w:rStyle w:val="InternetLink"/>
                  <w:rFonts w:ascii="Times New Roman;serif" w:hAnsi="Times New Roman;serif"/>
                  <w:b w:val="false"/>
                  <w:color w:val="0000FF"/>
                  <w:sz w:val="20"/>
                  <w:u w:val="single"/>
                </w:rPr>
                <w:t>Certificate of Amendment to the Second Amended and Restated Certificate of Incorporation of Uniti Group Inc., as filed with the Secretary of State of the State of Delaware on April 13, 2026 (incorporated by reference to Exhibit 3.1 to the Company’s Current Report on Form 8-K dated as of April 13, 2026 and filed with the SEC as of April 14, 2026 (File No. 001-42779)).</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
              <w:r>
                <w:rPr>
                  <w:rStyle w:val="InternetLink"/>
                  <w:rFonts w:ascii="Times New Roman;serif" w:hAnsi="Times New Roman;serif"/>
                  <w:b w:val="false"/>
                  <w:color w:val="0000FF"/>
                  <w:sz w:val="20"/>
                  <w:u w:val="single"/>
                </w:rPr>
                <w:t>Amended and Restated Base Indenture, dated as of July 15, 2026, by and among Kinetic ABS Issuer LLC, Kinetic ABS AR LLC, Kinetic ABS GA LLC, Kinetic ABS KY LLC, Kinetic ABS OH LLC, Kinetic ABS TX LLC, Kinetic ABS NC LLC, Kinetic ABS FL LLC, Kinetic ABS OK LLC, Kinetic ABS AL LLC, Kinetic ABS IA LLC and Wilmington Trust, National Association, as indenture trustee (incorporated by reference to Exhibit 4.1 to the Company’s Current Report on Form 8-K dated as of July 15, 2026 and filed with the SEC as of July 17, 2026 (File No. 001-42779)).</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
              <w:r>
                <w:rPr>
                  <w:rStyle w:val="InternetLink"/>
                  <w:rFonts w:ascii="Times New Roman;serif" w:hAnsi="Times New Roman;serif"/>
                  <w:b w:val="false"/>
                  <w:color w:val="0000FF"/>
                  <w:sz w:val="20"/>
                  <w:u w:val="single"/>
                </w:rPr>
                <w:t>Series 2026-2 Supplement, dated as of July 15, 2026, by and among Kinetic ABS Issuer LLC, Kinetic ABS AR LLC, Kinetic ABS GA LLC, Kinetic ABS KY LLC, Kinetic ABS OH LLC, Kinetic ABS TX LLC, Kinetic ABS NC LLC, Kinetic ABS FL LLC, Kinetic ABS OK LLC, Kinetic ABS AL LLC, Kinetic ABS IA LLC and Wilmington Trust, National Association, as indenture trustee (incorporated by reference to Exhibit 4.2 to the Company’s Current Report on Form 8-K dated as of July 15, 2026 and filed with the SEC as of July 17, 2026 (File No. 001-42779)).</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7">
              <w:r>
                <w:rPr>
                  <w:rStyle w:val="InternetLink"/>
                  <w:rFonts w:ascii="Times New Roman;serif" w:hAnsi="Times New Roman;serif"/>
                  <w:b w:val="false"/>
                  <w:color w:val="0000FF"/>
                  <w:sz w:val="20"/>
                  <w:u w:val="single"/>
                </w:rPr>
                <w:t>Uniti Group Inc. 2025 Equity Incentive Plan, as amended and restated February 26, 2026 (incorporated by reference to Exhibit 10.1 to the Company’s Current Report on Form 8-K dated as of May 21, 2026 and filed with the SEC as of May 22, 2026 (File No. 001-42779)).</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nit-exx311x2q26.htm">
              <w:r>
                <w:rPr>
                  <w:rStyle w:val="InternetLink"/>
                  <w:rFonts w:ascii="Times New Roman;serif" w:hAnsi="Times New Roman;serif"/>
                  <w:b w:val="false"/>
                  <w:color w:val="0000E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nit-exx312x2q26.htm">
              <w:r>
                <w:rPr>
                  <w:rStyle w:val="InternetLink"/>
                  <w:rFonts w:ascii="Times New Roman;serif" w:hAnsi="Times New Roman;serif"/>
                  <w:b w:val="false"/>
                  <w:color w:val="0000E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nit-exx321x2q26.htm">
              <w:r>
                <w:rPr>
                  <w:rStyle w:val="InternetLink"/>
                  <w:rFonts w:ascii="Times New Roman;serif" w:hAnsi="Times New Roman;serif"/>
                  <w:b w:val="false"/>
                  <w:color w:val="0000EE"/>
                  <w:sz w:val="20"/>
                  <w:u w:val="single"/>
                </w:rPr>
                <w:t>Certification of Principal Executive Officer Pursuant to 18 U.S.C. Section 1350, as Adopted Pursuant to Section 906 of the Sarbanes-Oxley Act of 2002.</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nit-exx322x2q26.htm">
              <w:r>
                <w:rPr>
                  <w:rStyle w:val="InternetLink"/>
                  <w:rFonts w:ascii="Times New Roman;serif" w:hAnsi="Times New Roman;serif"/>
                  <w:b w:val="false"/>
                  <w:color w:val="0000EE"/>
                  <w:sz w:val="20"/>
                  <w:u w:val="single"/>
                </w:rPr>
                <w:t>Certification of Principal Financial Officer Pursuant to 18 U.S.C. Section 1350, as Adopted Pursuant to Section 906 of the Sarbanes-Oxley Act of 2002.</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155"/>
                <wp:effectExtent l="0" t="0" r="0" b="0"/>
                <wp:wrapNone/>
                <wp:docPr id="78"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78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78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70f00857744476b82c49a37d8161764_10">
        <w:r>
          <w:rPr>
            <w:rStyle w:val="InternetLink"/>
            <w:rFonts w:ascii="Times New Roman;serif" w:hAnsi="Times New Roman;serif"/>
            <w:b w:val="false"/>
            <w:color w:val="0000FF"/>
            <w:sz w:val="20"/>
            <w:u w:val="single"/>
          </w:rPr>
          <w:t>Table of Contents</w:t>
        </w:r>
      </w:hyperlink>
    </w:p>
    <w:tbl>
      <w:tblPr>
        <w:tblW w:w="7795" w:type="dxa"/>
        <w:jc w:val="left"/>
        <w:tblInd w:w="0" w:type="dxa"/>
        <w:tblLayout w:type="fixed"/>
        <w:tblCellMar>
          <w:top w:w="28" w:type="dxa"/>
          <w:left w:w="28" w:type="dxa"/>
          <w:bottom w:w="28" w:type="dxa"/>
          <w:right w:w="28" w:type="dxa"/>
        </w:tblCellMar>
      </w:tblPr>
      <w:tblGrid>
        <w:gridCol w:w="315"/>
        <w:gridCol w:w="276"/>
        <w:gridCol w:w="278"/>
        <w:gridCol w:w="109"/>
        <w:gridCol w:w="109"/>
        <w:gridCol w:w="109"/>
        <w:gridCol w:w="1929"/>
        <w:gridCol w:w="1929"/>
        <w:gridCol w:w="2741"/>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1"/>
        <w:gridCol w:w="2901"/>
        <w:gridCol w:w="40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Schedules and similar attachments have been omitted from this filing pursuant to Item 601(a)(5) of Regulation S-K. A copy of any omitted schedule or similar attachment will be furnished to the Securities and Exchange Commission upon request.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9"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79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79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e70f00857744476b82c49a37d816176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217"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953"/>
        <w:gridCol w:w="953"/>
        <w:gridCol w:w="953"/>
        <w:gridCol w:w="953"/>
        <w:gridCol w:w="953"/>
        <w:gridCol w:w="135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UNITI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Paul E. Bullington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Paul E. Bullington</w:t>
              <w:br/>
              <w:t>Senior Executive Vice President – Chief Financial Officer &amp; Treasurer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Travis T. Black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Travis T. Black</w:t>
              <w:br/>
              <w:t>Senior Vice President &amp;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80"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80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80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Kenneth A. Gunderman,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Uniti Group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92"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931"/>
        <w:gridCol w:w="931"/>
        <w:gridCol w:w="131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/s/Kenneth A. Gunderman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Kenneth A. Gunderman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President &amp;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0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Paul E. Bullington,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Uniti Group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38"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942"/>
        <w:gridCol w:w="942"/>
        <w:gridCol w:w="134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E. Bullington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Paul E. Bullington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Senior Executive Vice President – </w:t>
              <w:br/>
              <w:t>Chief Financial Officer &amp;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556"/>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Uniti Group Inc. (the “Company”) for the period ending June 30, 2026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293"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931"/>
        <w:gridCol w:w="931"/>
        <w:gridCol w:w="131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Kenneth A. Gunderman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Kenneth A. Gunderman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President &amp;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Uniti Group Inc. (the “Company”) for the period ending June 30, 2026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338"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942"/>
        <w:gridCol w:w="942"/>
        <w:gridCol w:w="134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erif" w:hAnsi="Times New Roman;serif"/>
                <w:b w:val="false"/>
                <w:color w:val="000000"/>
                <w:sz w:val="20"/>
              </w:rPr>
              <w:t>By</w:t>
            </w:r>
            <w:r>
              <w:rPr>
                <w:rFonts w:ascii="Arial;sans-serif" w:hAnsi="Arial;sans-serif"/>
                <w:b w:val="false"/>
                <w:color w:val="222222"/>
                <w:sz w:val="20"/>
              </w:rPr>
              <w:t>:</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E. Bullington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Paul E. Bullington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Senior Executive Vice President – </w:t>
              <w:br/>
              <w:t>Chief Financial Officer &amp;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280/000095010324006323/dp210423_ex0201.htm" TargetMode="External"/><Relationship Id="rId3" Type="http://schemas.openxmlformats.org/officeDocument/2006/relationships/hyperlink" Target="https://www.sec.gov/Archives/edgar/data/1620280/000162828024034151/unit-ex22.htm" TargetMode="External"/><Relationship Id="rId4" Type="http://schemas.openxmlformats.org/officeDocument/2006/relationships/hyperlink" Target="https://www.sec.gov/Archives/edgar/data/2020795/000095010326005715/dp245200_ex0301.htm" TargetMode="External"/><Relationship Id="rId5" Type="http://schemas.openxmlformats.org/officeDocument/2006/relationships/hyperlink" Target="https://www.sec.gov/Archives/edgar/data/2020795/000095010326010759/dp250187_ex0401.htm" TargetMode="External"/><Relationship Id="rId6" Type="http://schemas.openxmlformats.org/officeDocument/2006/relationships/hyperlink" Target="https://www.sec.gov/Archives/edgar/data/2020795/000095010326010759/dp250187_ex0402.htm" TargetMode="External"/><Relationship Id="rId7" Type="http://schemas.openxmlformats.org/officeDocument/2006/relationships/hyperlink" Target="https://www.sec.gov/Archives/edgar/data/2020795/000110465926065706/tm2615361d2_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39005</Words>
  <Characters>217871</Characters>
  <CharactersWithSpaces>254722</CharactersWithSpaces>
  <Paragraphs>6106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