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Uniti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6"/>
              </w:rPr>
              <w:t>Maryland</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7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6220" w:type="dxa"/>
            <w:vAlign w:val="bottom"/>
          </w:tcPr>
          <w:p>
            <w:pPr>
              <w:jc w:val="center"/>
              <w:ind w:right="3759"/>
              <w:spacing w:after="0"/>
              <w:rPr>
                <w:sz w:val="20"/>
                <w:szCs w:val="20"/>
                <w:color w:val="auto"/>
              </w:rPr>
            </w:pPr>
            <w:r>
              <w:rPr>
                <w:rFonts w:ascii="Arial" w:cs="Arial" w:eastAsia="Arial" w:hAnsi="Arial"/>
                <w:sz w:val="18"/>
                <w:szCs w:val="18"/>
                <w:b w:val="1"/>
                <w:bCs w:val="1"/>
                <w:color w:val="auto"/>
                <w:w w:val="91"/>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89"/>
              </w:rPr>
              <w:t>Benton Building Suite 300</w:t>
            </w:r>
          </w:p>
        </w:tc>
        <w:tc>
          <w:tcPr>
            <w:tcW w:w="1240" w:type="dxa"/>
            <w:vAlign w:val="bottom"/>
          </w:tcPr>
          <w:p>
            <w:pPr>
              <w:spacing w:after="0"/>
              <w:rPr>
                <w:sz w:val="18"/>
                <w:szCs w:val="18"/>
                <w:color w:val="auto"/>
              </w:rPr>
            </w:pPr>
          </w:p>
        </w:tc>
      </w:t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1"/>
              </w:rPr>
              <w:t>Little Rock, Arkansas</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72211</w:t>
            </w:r>
          </w:p>
        </w:tc>
      </w:tr>
      <w:tr>
        <w:trPr>
          <w:trHeight w:val="186"/>
        </w:trPr>
        <w:tc>
          <w:tcPr>
            <w:tcW w:w="6220" w:type="dxa"/>
            <w:vAlign w:val="bottom"/>
          </w:tcPr>
          <w:p>
            <w:pPr>
              <w:jc w:val="center"/>
              <w:ind w:right="3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6220" w:type="dxa"/>
            <w:vAlign w:val="bottom"/>
          </w:tcPr>
          <w:p>
            <w:pPr>
              <w:ind w:left="1960"/>
              <w:spacing w:after="0"/>
              <w:rPr>
                <w:sz w:val="20"/>
                <w:szCs w:val="20"/>
                <w:color w:val="auto"/>
              </w:rPr>
            </w:pPr>
            <w:r>
              <w:rPr>
                <w:rFonts w:ascii="Arial" w:cs="Arial" w:eastAsia="Arial" w:hAnsi="Arial"/>
                <w:sz w:val="14"/>
                <w:szCs w:val="14"/>
                <w:b w:val="1"/>
                <w:bCs w:val="1"/>
                <w:color w:val="auto"/>
                <w:w w:val="94"/>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8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0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280" w:firstLine="518"/>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28, 2017, the registrant had 175,448,552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185420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4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integration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amortization of intangible assets; and expectations regarding the payment of dividends.</w:t>
      </w:r>
    </w:p>
    <w:p>
      <w:pPr>
        <w:spacing w:after="0" w:line="1" w:lineRule="exact"/>
        <w:rPr>
          <w:sz w:val="20"/>
          <w:szCs w:val="20"/>
          <w:color w:val="auto"/>
        </w:rPr>
      </w:pPr>
    </w:p>
    <w:p>
      <w:pPr>
        <w:ind w:right="200" w:firstLine="357"/>
        <w:spacing w:after="0" w:line="270"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1" w:lineRule="exact"/>
        <w:rPr>
          <w:sz w:val="20"/>
          <w:szCs w:val="20"/>
          <w:color w:val="auto"/>
        </w:rPr>
      </w:pPr>
    </w:p>
    <w:p>
      <w:pPr>
        <w:ind w:left="1040" w:right="1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2016, as well as those described from time to time in our future reports filed with the U.S. Securities and Exchange Commission (“the SEC”).</w:t>
      </w:r>
    </w:p>
    <w:p>
      <w:pPr>
        <w:spacing w:after="0" w:line="10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9"/>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11"/>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9"/>
            <w:vMerge w:val="continue"/>
          </w:tcPr>
          <w:p>
            <w:pPr>
              <w:spacing w:after="0"/>
              <w:rPr>
                <w:sz w:val="15"/>
                <w:szCs w:val="15"/>
                <w:color w:val="auto"/>
              </w:rPr>
            </w:pPr>
          </w:p>
        </w:tc>
        <w:tc>
          <w:tcPr>
            <w:tcW w:w="7540" w:type="dxa"/>
            <w:vAlign w:val="bottom"/>
            <w:gridSpan w:val="11"/>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Uniti Group Inc.</w:t>
            </w:r>
          </w:p>
        </w:tc>
        <w:tc>
          <w:tcPr>
            <w:tcW w:w="752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8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2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79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Unregistered Sales of Equity Securities and Use of Proceeds</w:t>
              </w:r>
            </w:hyperlink>
          </w:p>
        </w:tc>
        <w:tc>
          <w:tcPr>
            <w:tcW w:w="55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Defaults Upon Senior Securities</w:t>
              </w:r>
            </w:hyperlink>
          </w:p>
        </w:tc>
        <w:tc>
          <w:tcPr>
            <w:tcW w:w="760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Mine Safety Disclosures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86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6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Exhibit Index</w:t>
              </w:r>
            </w:hyperlink>
          </w:p>
        </w:tc>
        <w:tc>
          <w:tcPr>
            <w:tcW w:w="986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2,689,500</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2,670,037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934,096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211,155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Straight-line revenue receivable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4,161,161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3,318,752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68,222</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371,707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106,709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Notes and other debt, net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4,439,245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4,028,214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5,220,159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0"/>
              </w:rPr>
              <w:t>Convertible preferred stock</w:t>
            </w:r>
            <w:r>
              <w:rPr>
                <w:rFonts w:ascii="Arial" w:cs="Arial" w:eastAsia="Arial" w:hAnsi="Arial"/>
                <w:sz w:val="18"/>
                <w:szCs w:val="18"/>
                <w:color w:val="auto"/>
                <w:w w:val="90"/>
              </w:rPr>
              <w:t>, Series A, $0.0001 par value, 88 shares authorized, issued and outstanding,</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82,041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80,552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$87,500 liquidation value</w:t>
            </w: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6"/>
              </w:rPr>
              <w:t>Preferred stock, $0.0001 par value, 50,000 shares authorized, no shares issued and outstanding</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Common stock, $0.0001 par value, 500,000 shares authorized, issued and outstanding: 174,813 shares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at June 30, 2017 and 155,139 at December 31, 2016</w:t>
            </w: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641,810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(7,500)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Distributions in excess of accumulated earnings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(1,775,366)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(1,537,183)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deficit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(1,141,039)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4,161,161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170,914</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168,966</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341,220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337,579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213,013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188,573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424,486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Transaction related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229,398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(Loss) 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(36,460)</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(1,312)</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(1,490)</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6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(loss) income applicable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(40,030)</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(Loss) earnings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9"/>
              </w:rPr>
              <w:t>Weighted-average number of common shares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169,655</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150,913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162,460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169,655</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150,913</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162,460</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150,661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9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(10,695)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(21,019)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(6,129)</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(61,461)</w:t>
            </w:r>
          </w:p>
        </w:tc>
      </w:tr>
      <w:tr>
        <w:trPr>
          <w:trHeight w:val="230"/>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7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4"/>
              </w:rPr>
              <w:t>Uniti Group Inc.</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gridSpan w:val="20"/>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Shareholders’ Deficit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200" w:type="dxa"/>
            <w:vAlign w:val="bottom"/>
            <w:gridSpan w:val="3"/>
            <w:vMerge w:val="restart"/>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ind w:left="22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Other</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in Excess of</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Paid-in</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080" w:type="dxa"/>
            <w:vAlign w:val="bottom"/>
            <w:gridSpan w:val="3"/>
          </w:tcPr>
          <w:p>
            <w:pPr>
              <w:spacing w:after="0"/>
              <w:rPr>
                <w:sz w:val="20"/>
                <w:szCs w:val="20"/>
                <w:color w:val="auto"/>
              </w:rPr>
            </w:pPr>
            <w:r>
              <w:rPr>
                <w:rFonts w:ascii="Arial" w:cs="Arial" w:eastAsia="Arial" w:hAnsi="Arial"/>
                <w:sz w:val="18"/>
                <w:szCs w:val="18"/>
                <w:color w:val="auto"/>
                <w:w w:val="95"/>
              </w:rPr>
              <w:t>Shareholders'</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4"/>
                <w:szCs w:val="14"/>
                <w:color w:val="auto"/>
              </w:rPr>
              <w:t>(Thousands, except share data)</w:t>
            </w:r>
          </w:p>
        </w:tc>
        <w:tc>
          <w:tcPr>
            <w:tcW w:w="8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5"/>
          </w:tcPr>
          <w:p>
            <w:pPr>
              <w:jc w:val="right"/>
              <w:ind w:right="7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Capital</w:t>
            </w:r>
          </w:p>
        </w:tc>
        <w:tc>
          <w:tcPr>
            <w:tcW w:w="300" w:type="dxa"/>
            <w:vAlign w:val="bottom"/>
          </w:tcPr>
          <w:p>
            <w:pPr>
              <w:spacing w:after="0"/>
              <w:rPr>
                <w:sz w:val="20"/>
                <w:szCs w:val="20"/>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Loss</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Earnings</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183"/>
        </w:trPr>
        <w:tc>
          <w:tcPr>
            <w:tcW w:w="1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gridSpan w:val="4"/>
          </w:tcPr>
          <w:p>
            <w:pPr>
              <w:ind w:left="80"/>
              <w:spacing w:after="0" w:line="182" w:lineRule="exact"/>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right"/>
              <w:ind w:right="60"/>
              <w:spacing w:after="0" w:line="182" w:lineRule="exact"/>
              <w:rPr>
                <w:sz w:val="20"/>
                <w:szCs w:val="20"/>
                <w:color w:val="auto"/>
              </w:rPr>
            </w:pPr>
            <w:r>
              <w:rPr>
                <w:rFonts w:ascii="Arial" w:cs="Arial" w:eastAsia="Arial" w:hAnsi="Arial"/>
                <w:sz w:val="18"/>
                <w:szCs w:val="18"/>
                <w:color w:val="auto"/>
                <w:w w:val="90"/>
              </w:rPr>
              <w:t>Amount</w:t>
            </w: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ind w:right="80"/>
              <w:spacing w:after="0" w:line="182" w:lineRule="exact"/>
              <w:rPr>
                <w:sz w:val="20"/>
                <w:szCs w:val="20"/>
                <w:color w:val="auto"/>
              </w:rPr>
            </w:pPr>
            <w:r>
              <w:rPr>
                <w:rFonts w:ascii="Arial" w:cs="Arial" w:eastAsia="Arial" w:hAnsi="Arial"/>
                <w:sz w:val="18"/>
                <w:szCs w:val="18"/>
                <w:color w:val="auto"/>
                <w:w w:val="90"/>
              </w:rPr>
              <w:t>Amount</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December 31, 2015</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149,862,459</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(1,162,886)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(1,166,906)</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3,202,160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gridSpan w:val="3"/>
          </w:tcPr>
          <w:p>
            <w:pPr>
              <w:spacing w:after="0"/>
              <w:rPr>
                <w:sz w:val="20"/>
                <w:szCs w:val="20"/>
                <w:color w:val="auto"/>
              </w:rPr>
            </w:pPr>
            <w:r>
              <w:rPr>
                <w:rFonts w:ascii="Arial" w:cs="Arial" w:eastAsia="Arial" w:hAnsi="Arial"/>
                <w:sz w:val="16"/>
                <w:szCs w:val="16"/>
                <w:color w:val="auto"/>
              </w:rPr>
              <w:t>Amortization of discount of convertible</w:t>
            </w: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2"/>
        </w:trPr>
        <w:tc>
          <w:tcPr>
            <w:tcW w:w="2740" w:type="dxa"/>
            <w:vAlign w:val="bottom"/>
            <w:gridSpan w:val="3"/>
          </w:tcPr>
          <w:p>
            <w:pPr>
              <w:spacing w:after="0"/>
              <w:rPr>
                <w:sz w:val="20"/>
                <w:szCs w:val="20"/>
                <w:color w:val="auto"/>
              </w:rPr>
            </w:pPr>
            <w:r>
              <w:rPr>
                <w:rFonts w:ascii="Arial" w:cs="Arial" w:eastAsia="Arial" w:hAnsi="Arial"/>
                <w:sz w:val="16"/>
                <w:szCs w:val="16"/>
                <w:color w:val="auto"/>
              </w:rPr>
              <w:t>preferred stock</w:t>
            </w:r>
          </w:p>
        </w:tc>
        <w:tc>
          <w:tcPr>
            <w:tcW w:w="6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(61,540)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(61,540)</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(182,956)</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(182,956)</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dividends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178,990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June 30, 2016</w:t>
            </w: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153,243,609</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81,881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(1,341,630</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(1,326,701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December 31, 2016</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155,138,637</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(6,369)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(1,537,183)</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(1,402,445)</w:t>
            </w:r>
          </w:p>
        </w:tc>
        <w:tc>
          <w:tcPr>
            <w:tcW w:w="0" w:type="dxa"/>
            <w:vAlign w:val="bottom"/>
          </w:tcPr>
          <w:p>
            <w:pPr>
              <w:spacing w:after="0"/>
              <w:rPr>
                <w:sz w:val="1"/>
                <w:szCs w:val="1"/>
                <w:color w:val="auto"/>
              </w:rPr>
            </w:pPr>
          </w:p>
        </w:tc>
      </w:tr>
      <w:tr>
        <w:trPr>
          <w:trHeight w:val="223"/>
        </w:trPr>
        <w:tc>
          <w:tcPr>
            <w:tcW w:w="274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19,528,302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gridSpan w:val="3"/>
          </w:tcPr>
          <w:p>
            <w:pPr>
              <w:spacing w:after="0"/>
              <w:rPr>
                <w:sz w:val="20"/>
                <w:szCs w:val="20"/>
                <w:color w:val="auto"/>
              </w:rPr>
            </w:pPr>
            <w:r>
              <w:rPr>
                <w:rFonts w:ascii="Arial" w:cs="Arial" w:eastAsia="Arial" w:hAnsi="Arial"/>
                <w:sz w:val="16"/>
                <w:szCs w:val="16"/>
                <w:color w:val="auto"/>
                <w:w w:val="98"/>
              </w:rPr>
              <w:t>Amortization of discount on convertible</w:t>
            </w: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(1,490)</w:t>
            </w:r>
          </w:p>
        </w:tc>
        <w:tc>
          <w:tcPr>
            <w:tcW w:w="3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2"/>
        </w:trPr>
        <w:tc>
          <w:tcPr>
            <w:tcW w:w="2740" w:type="dxa"/>
            <w:vAlign w:val="bottom"/>
            <w:gridSpan w:val="3"/>
          </w:tcPr>
          <w:p>
            <w:pPr>
              <w:spacing w:after="0"/>
              <w:rPr>
                <w:sz w:val="20"/>
                <w:szCs w:val="20"/>
                <w:color w:val="auto"/>
              </w:rPr>
            </w:pPr>
            <w:r>
              <w:rPr>
                <w:rFonts w:ascii="Arial" w:cs="Arial" w:eastAsia="Arial" w:hAnsi="Arial"/>
                <w:sz w:val="16"/>
                <w:szCs w:val="16"/>
                <w:color w:val="auto"/>
              </w:rPr>
              <w:t>preferred stock</w:t>
            </w:r>
          </w:p>
        </w:tc>
        <w:tc>
          <w:tcPr>
            <w:tcW w:w="6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(199,137)</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(199,137)</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dividends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(18,525)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(1,274)</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145,626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June 30, 2017</w:t>
            </w: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174,812,565</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641,810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(1,775,366</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(1,141,039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20"/>
                <w:szCs w:val="20"/>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(loss) income</w:t>
            </w:r>
          </w:p>
        </w:tc>
        <w:tc>
          <w:tcPr>
            <w:tcW w:w="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(36,460)</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203,960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178,725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5,906</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(1,607)</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(599)</w:t>
            </w: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Straight-line revenues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(7,248)</w:t>
            </w:r>
          </w:p>
        </w:tc>
        <w:tc>
          <w:tcPr>
            <w:tcW w:w="7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(8,627)</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(2,671)</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(2,104)</w:t>
            </w:r>
          </w:p>
        </w:tc>
      </w:tr>
      <w:tr>
        <w:trPr>
          <w:trHeight w:val="230"/>
        </w:trPr>
        <w:tc>
          <w:tcPr>
            <w:tcW w:w="720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13,024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196,402</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183,811</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(316,133)</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ground lease investments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(9,355)</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(5,693)</w:t>
            </w: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NMS asset acquisitions (Note 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(67,924)</w:t>
            </w: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 other</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(46,234)</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(3,759)</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(123,265)</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(325,585)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Principal payment on debt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(10,540)</w:t>
            </w:r>
          </w:p>
        </w:tc>
        <w:tc>
          <w:tcPr>
            <w:tcW w:w="7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(11,394)</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(188,347)</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(180,694)</w:t>
            </w: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(18,791)</w:t>
            </w: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148,875</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360,000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321,000</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(125,000)</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(278,936)</w:t>
            </w: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7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(25,411)</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(2,998)</w:t>
            </w: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498,977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54,836</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(1,694)</w:t>
            </w: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(2,055)</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688,849</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762,342</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(93,685)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142,498</w:t>
            </w:r>
          </w:p>
        </w:tc>
        <w:tc>
          <w:tcPr>
            <w:tcW w:w="120" w:type="dxa"/>
            <w:vAlign w:val="bottom"/>
            <w:shd w:val="clear" w:color="auto" w:fill="CFF0FC"/>
          </w:tcPr>
          <w:p>
            <w:pPr>
              <w:spacing w:after="0"/>
              <w:rPr>
                <w:sz w:val="19"/>
                <w:szCs w:val="19"/>
                <w:color w:val="auto"/>
              </w:rPr>
            </w:pPr>
          </w:p>
        </w:tc>
      </w:tr>
      <w:tr>
        <w:trPr>
          <w:trHeight w:val="26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934,096</w:t>
            </w:r>
          </w:p>
        </w:tc>
        <w:tc>
          <w:tcPr>
            <w:tcW w:w="24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48,813</w:t>
            </w:r>
          </w:p>
        </w:tc>
        <w:tc>
          <w:tcPr>
            <w:tcW w:w="120" w:type="dxa"/>
            <w:vAlign w:val="bottom"/>
            <w:tcBorders>
              <w:bottom w:val="single" w:sz="8" w:color="CFF0FC"/>
            </w:tcBorders>
          </w:tcPr>
          <w:p>
            <w:pPr>
              <w:spacing w:after="0"/>
              <w:rPr>
                <w:sz w:val="22"/>
                <w:szCs w:val="22"/>
                <w:color w:val="auto"/>
              </w:rPr>
            </w:pPr>
          </w:p>
        </w:tc>
      </w:tr>
      <w:tr>
        <w:trPr>
          <w:trHeight w:val="224"/>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2,892</w:t>
            </w:r>
          </w:p>
        </w:tc>
        <w:tc>
          <w:tcPr>
            <w:tcW w:w="240" w:type="dxa"/>
            <w:vAlign w:val="bottom"/>
          </w:tcPr>
          <w:p>
            <w:pPr>
              <w:spacing w:after="0"/>
              <w:rPr>
                <w:sz w:val="21"/>
                <w:szCs w:val="21"/>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r>
      <w:tr>
        <w:trPr>
          <w:trHeight w:val="243"/>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Tenant capital improvements</w:t>
            </w:r>
          </w:p>
        </w:tc>
        <w:tc>
          <w:tcPr>
            <w:tcW w:w="58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113,785</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70,603</w:t>
            </w:r>
          </w:p>
        </w:tc>
        <w:tc>
          <w:tcPr>
            <w:tcW w:w="120" w:type="dxa"/>
            <w:vAlign w:val="bottom"/>
            <w:shd w:val="clear" w:color="auto" w:fill="CFF0FC"/>
          </w:tcPr>
          <w:p>
            <w:pPr>
              <w:spacing w:after="0"/>
              <w:rPr>
                <w:sz w:val="21"/>
                <w:szCs w:val="21"/>
                <w:color w:val="auto"/>
              </w:rPr>
            </w:pP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Acquisition of businesses through non-cash consideration</w:t>
            </w:r>
          </w:p>
        </w:tc>
        <w:tc>
          <w:tcPr>
            <w:tcW w:w="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102,881</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Uniti Group Inc. (the “Company,” “Uniti,” “we,” “us,” or “our”), formerly known as Communications Sales and Leasing, Inc.,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Effective the first quarter of 2017, we commenced managing our operations in four separate lines of business: Uniti Fiber, Uniti Towers, Uniti Leasing, and the Consumer CLEC Business.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for future acquisitions of assets or entities. As of June 30, 2017, we are the sole general partner of the Operating Partnership and own approximately 100% of the partnership interests in the Operating Partnership.</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2016 (“Annual Report”), filed with the SEC on February 23, 2017. Accordingly, significant accounting policies and other disclosures normally provided have been omitted from the accompanying Condensed Consolidated Financial Statements and related notes since such items are disclosed in our Annual Report. All material intercompany balances and transactions have been eliminated.</w:t>
      </w:r>
    </w:p>
    <w:p>
      <w:pPr>
        <w:spacing w:after="0" w:line="156" w:lineRule="exact"/>
        <w:rPr>
          <w:sz w:val="20"/>
          <w:szCs w:val="20"/>
          <w:color w:val="auto"/>
        </w:rPr>
      </w:pPr>
    </w:p>
    <w:p>
      <w:pPr>
        <w:ind w:right="260"/>
        <w:spacing w:after="0" w:line="264" w:lineRule="auto"/>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—We currently have recorded a $5.3 million liability for unrecognized tax benefits which was assumed in connection with the acquisition of Network Management Holdings, LTD (“NMS”). </w:t>
      </w:r>
      <w:hyperlink w:anchor="page12">
        <w:r>
          <w:rPr>
            <w:rFonts w:ascii="Arial" w:cs="Arial" w:eastAsia="Arial" w:hAnsi="Arial"/>
            <w:sz w:val="18"/>
            <w:szCs w:val="18"/>
            <w:u w:val="single" w:color="auto"/>
            <w:color w:val="0000EE"/>
          </w:rPr>
          <w:t>See 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We have filed our initial U.S. federal and state income tax returns which are subject to examination.</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—Customer list intangible assets are presented in the financial statements at cost less accumulated amortization and are amortized using the straight-line over their estimated useful lives with the exception of the customer list intangible assets related to our Consumer CLEC Business, which were brought over at carry-over basis at the time of the Company’s spin-off from Windstream Holdings, Inc. in 2015 and is amortized using the sum-of-the-digits method over their estimated useful lives.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Impairment of Long-Lived Assets and Finite-Lived Intangible Assets</w:t>
      </w:r>
      <w:r>
        <w:rPr>
          <w:rFonts w:ascii="Arial" w:cs="Arial" w:eastAsia="Arial" w:hAnsi="Arial"/>
          <w:sz w:val="17"/>
          <w:szCs w:val="17"/>
          <w:color w:val="auto"/>
        </w:rPr>
        <w:t>—We review long-lived assets and finite-lived intangible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rPr>
        <w:t>—Certain amounts have been reclassified to conform with current year presentation. Following the acquisition of NMS in the first quarter of 2017, the Company manages and reports our operations in four reportable business segments: Leasing, Fiber Infrastructure, Towers and Consumer</w:t>
      </w:r>
    </w:p>
    <w:p>
      <w:pPr>
        <w:ind w:right="100"/>
        <w:spacing w:after="0" w:line="261" w:lineRule="auto"/>
        <w:rPr>
          <w:rFonts w:ascii="Arial" w:cs="Arial" w:eastAsia="Arial" w:hAnsi="Arial"/>
          <w:sz w:val="18"/>
          <w:szCs w:val="18"/>
          <w:color w:val="0000EE"/>
        </w:rPr>
      </w:pPr>
      <w:hyperlink w:anchor="page22">
        <w:r>
          <w:rPr>
            <w:rFonts w:ascii="Arial" w:cs="Arial" w:eastAsia="Arial" w:hAnsi="Arial"/>
            <w:sz w:val="18"/>
            <w:szCs w:val="18"/>
            <w:color w:val="auto"/>
          </w:rPr>
          <w:t xml:space="preserve">CLEC. Prior year information, including revenues on the Consolidated Statement of Income, has been recast to conform to the current year presentation. </w:t>
        </w:r>
        <w:r>
          <w:rPr>
            <w:rFonts w:ascii="Arial" w:cs="Arial" w:eastAsia="Arial" w:hAnsi="Arial"/>
            <w:sz w:val="18"/>
            <w:szCs w:val="18"/>
            <w:u w:val="single" w:color="auto"/>
            <w:color w:val="0000EE"/>
          </w:rPr>
          <w:t>See</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Note 12</w:t>
        </w:r>
        <w:r>
          <w:rPr>
            <w:rFonts w:ascii="Arial" w:cs="Arial" w:eastAsia="Arial" w:hAnsi="Arial"/>
            <w:sz w:val="18"/>
            <w:szCs w:val="18"/>
            <w:color w:val="000000"/>
          </w:rPr>
          <w:t>.</w:t>
        </w:r>
      </w:hyperlink>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2017, the FASB issued Accounting Standards Update (“ASU”) No. 2017-05, </w:t>
      </w:r>
      <w:r>
        <w:rPr>
          <w:rFonts w:ascii="Arial" w:cs="Arial" w:eastAsia="Arial" w:hAnsi="Arial"/>
          <w:sz w:val="18"/>
          <w:szCs w:val="18"/>
          <w:i w:val="1"/>
          <w:iCs w:val="1"/>
          <w:color w:val="auto"/>
        </w:rPr>
        <w:t>Other Income - Gains and Losses from the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Nonfinancial Assets (Subtopic 610-20): Clarifying the Scope of Asset Derecognition Guidance and Accounting for Partial Sales of Nonfinancial Assets</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for recognizing gains and losses from the transfer of nonfinancial assets and for partial sales of nonfinancial assets, and is effective for financial statements issued for fiscal years and interim periods beginning after December 15, 2017. The Company is currently evaluating the impacts the adoption of this accounting standard will have on our financial statements.</w:t>
      </w:r>
    </w:p>
    <w:p>
      <w:pPr>
        <w:spacing w:after="0" w:line="18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Accounting for Goodwill Impairment</w:t>
      </w:r>
      <w:r>
        <w:rPr>
          <w:rFonts w:ascii="Arial" w:cs="Arial" w:eastAsia="Arial" w:hAnsi="Arial"/>
          <w:sz w:val="16"/>
          <w:szCs w:val="16"/>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We adopted ASU 2017-04 effective January 1, 2017, and there was no material impact on our financial position, results of operations or cash flows.</w:t>
      </w:r>
    </w:p>
    <w:p>
      <w:pPr>
        <w:spacing w:after="0" w:line="158"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NMS (</w:t>
      </w:r>
      <w:hyperlink w:anchor="page12">
        <w:r>
          <w:rPr>
            <w:rFonts w:ascii="Arial" w:cs="Arial" w:eastAsia="Arial" w:hAnsi="Arial"/>
            <w:sz w:val="18"/>
            <w:szCs w:val="18"/>
            <w:u w:val="single" w:color="auto"/>
            <w:color w:val="auto"/>
          </w:rPr>
          <w:t>see Note 3</w:t>
        </w:r>
      </w:hyperlink>
      <w:r>
        <w:rPr>
          <w:rFonts w:ascii="Arial" w:cs="Arial" w:eastAsia="Arial" w:hAnsi="Arial"/>
          <w:sz w:val="18"/>
          <w:szCs w:val="18"/>
          <w:color w:val="auto"/>
        </w:rPr>
        <w:t>) was determined to be an asset acquisition. Transaction costs associated with asset acquisitions, which includes our real property interest investments, are now capitalized as opposed to be recorded as an expense as was required prior to adoption of ASU 2017-01.</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using the modified retrospective approach. The Company’s implementation efforts include reviewing revenue contracts and the identification of revenue within the scope of the guidance. While the Company currently has not identified any material changes in the timing of revenue recognition, the evaluation is ongoing.</w:t>
      </w:r>
    </w:p>
    <w:p>
      <w:pPr>
        <w:spacing w:after="0" w:line="19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changes to the recognition of operating lease expense in its Consolidated Statements of Income.</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 the adoption of this accounting standard will have on our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 and Asset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Management Holdings LTD</w:t>
      </w:r>
    </w:p>
    <w:p>
      <w:pPr>
        <w:spacing w:after="0" w:line="171" w:lineRule="exact"/>
        <w:rPr>
          <w:sz w:val="20"/>
          <w:szCs w:val="20"/>
          <w:color w:val="auto"/>
        </w:rPr>
      </w:pPr>
    </w:p>
    <w:p>
      <w:pPr>
        <w:ind w:right="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January 31, 2017, we completed the previously announced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currently in operation was $62.6 million, which was funded through cash on hand, and is presented in NMS asset acquisition on the Condensed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w:anchor="page22">
        <w:r>
          <w:rPr>
            <w:rFonts w:ascii="Arial" w:cs="Arial" w:eastAsia="Arial" w:hAnsi="Arial"/>
            <w:sz w:val="17"/>
            <w:szCs w:val="17"/>
            <w:u w:val="single" w:color="auto"/>
            <w:color w:val="auto"/>
          </w:rPr>
          <w:t>See note 12</w:t>
        </w:r>
      </w:hyperlink>
      <w:r>
        <w:rPr>
          <w:rFonts w:ascii="Arial" w:cs="Arial" w:eastAsia="Arial" w:hAnsi="Arial"/>
          <w:sz w:val="17"/>
          <w:szCs w:val="17"/>
          <w:color w:val="auto"/>
        </w:rPr>
        <w:t>. The following is a summary of the estimated fair values of the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(thousands)</w:t>
            </w:r>
          </w:p>
        </w:tc>
      </w:tr>
      <w:tr>
        <w:trPr>
          <w:trHeight w:val="250"/>
        </w:trPr>
        <w:tc>
          <w:tcPr>
            <w:tcW w:w="8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36,417</w:t>
            </w:r>
          </w:p>
        </w:tc>
        <w:tc>
          <w:tcPr>
            <w:tcW w:w="120" w:type="dxa"/>
            <w:vAlign w:val="bottom"/>
            <w:tcBorders>
              <w:top w:val="single" w:sz="8" w:color="CFF0FC"/>
            </w:tcBorders>
            <w:shd w:val="clear" w:color="auto" w:fill="CFF0FC"/>
          </w:tcPr>
          <w:p>
            <w:pPr>
              <w:spacing w:after="0"/>
              <w:rPr>
                <w:sz w:val="21"/>
                <w:szCs w:val="2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52,437</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liabilities</w:t>
            </w: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(18,403)</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purchase considerations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16">
        <w:r>
          <w:rPr>
            <w:rFonts w:ascii="Arial" w:cs="Arial" w:eastAsia="Arial" w:hAnsi="Arial"/>
            <w:sz w:val="18"/>
            <w:szCs w:val="18"/>
            <w:u w:val="single" w:color="auto"/>
            <w:color w:val="auto"/>
          </w:rPr>
          <w:t>See Note 7</w:t>
        </w:r>
      </w:hyperlink>
      <w:r>
        <w:rPr>
          <w:rFonts w:ascii="Arial" w:cs="Arial" w:eastAsia="Arial" w:hAnsi="Arial"/>
          <w:sz w:val="18"/>
          <w:szCs w:val="18"/>
          <w:color w:val="auto"/>
        </w:rPr>
        <w: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2017, construction was completed on 40 of the 105 towers that were under development at the time of the NMS acquisition, and we acquired the completed towers pursuant to the purchase agreement for approximately $3.6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Cloud, Inc.</w:t>
      </w:r>
    </w:p>
    <w:p>
      <w:pPr>
        <w:spacing w:after="0" w:line="171" w:lineRule="exact"/>
        <w:rPr>
          <w:sz w:val="20"/>
          <w:szCs w:val="20"/>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 August 31, 2016, we acquired 100% of the outstanding equity of Tower Cloud, Inc. (“Tower Cloud”) for $187.5 million in cash and 1.9 million shares of our common stock with an acquisition date fair value of $58.5 million. Additional contingent consideration of up to $130 million, with an acquisition date fair value of $98.6 million, may be paid upon the achievement of certain defined operational and financial milestones. </w:t>
      </w:r>
      <w:hyperlink w:anchor="page14">
        <w:r>
          <w:rPr>
            <w:rFonts w:ascii="Arial" w:cs="Arial" w:eastAsia="Arial" w:hAnsi="Arial"/>
            <w:sz w:val="18"/>
            <w:szCs w:val="18"/>
            <w:u w:val="single" w:color="auto"/>
            <w:color w:val="0000EE"/>
          </w:rPr>
          <w:t>See Note 4</w:t>
        </w:r>
      </w:hyperlink>
      <w:r>
        <w:rPr>
          <w:rFonts w:ascii="Arial" w:cs="Arial" w:eastAsia="Arial" w:hAnsi="Arial"/>
          <w:sz w:val="18"/>
          <w:szCs w:val="18"/>
          <w:color w:val="auto"/>
        </w:rPr>
        <w:t>. At the Company’s discretion, a combination of cash and shares of our common stock may be used to satisfy the contingent consideration payments, provided that at least 50% of the aggregate amount of payments is satisfied in cash. Tower Cloud provides data transport services, with particular focus on providing infrastructure solutions to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wireless and enterprise sectors, including fiber-to-the-tower backhaul, small cell networks, and dark fiber deployments.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During the first quarter of 2017, certain contractual working capital adjustments resulted in a $0.2 million reduction of the purchase price and goodwill. </w:t>
      </w:r>
      <w:hyperlink w:anchor="page16">
        <w:r>
          <w:rPr>
            <w:rFonts w:ascii="Arial" w:cs="Arial" w:eastAsia="Arial" w:hAnsi="Arial"/>
            <w:sz w:val="18"/>
            <w:szCs w:val="18"/>
            <w:u w:val="single" w:color="auto"/>
            <w:color w:val="0000EE"/>
          </w:rPr>
          <w:t>See Note 7</w:t>
        </w:r>
      </w:hyperlink>
      <w:r>
        <w:rPr>
          <w:rFonts w:ascii="Arial" w:cs="Arial" w:eastAsia="Arial" w:hAnsi="Arial"/>
          <w:sz w:val="18"/>
          <w:szCs w:val="18"/>
          <w:color w:val="auto"/>
        </w:rPr>
        <w:t>. The following is a summary of the estimated fair values of the assets acquired and liabilities assumed: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r>
      <w:tr>
        <w:trPr>
          <w:trHeight w:val="25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163,680</w:t>
            </w:r>
          </w:p>
        </w:tc>
        <w:tc>
          <w:tcPr>
            <w:tcW w:w="100" w:type="dxa"/>
            <w:vAlign w:val="bottom"/>
            <w:shd w:val="clear" w:color="auto" w:fill="CFF0FC"/>
          </w:tcPr>
          <w:p>
            <w:pPr>
              <w:spacing w:after="0"/>
              <w:rPr>
                <w:sz w:val="21"/>
                <w:szCs w:val="2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19"/>
                <w:szCs w:val="19"/>
                <w:color w:val="auto"/>
              </w:rPr>
            </w:pPr>
          </w:p>
        </w:tc>
      </w:tr>
      <w:tr>
        <w:trPr>
          <w:trHeight w:val="230"/>
        </w:trPr>
        <w:tc>
          <w:tcPr>
            <w:tcW w:w="8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FF0FC"/>
          </w:tcPr>
          <w:p>
            <w:pPr>
              <w:spacing w:after="0"/>
              <w:rPr>
                <w:sz w:val="19"/>
                <w:szCs w:val="19"/>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r>
      <w:tr>
        <w:trPr>
          <w:trHeight w:val="230"/>
        </w:trPr>
        <w:tc>
          <w:tcPr>
            <w:tcW w:w="8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116,218</w:t>
            </w:r>
          </w:p>
        </w:tc>
        <w:tc>
          <w:tcPr>
            <w:tcW w:w="100" w:type="dxa"/>
            <w:vAlign w:val="bottom"/>
            <w:shd w:val="clear" w:color="auto" w:fill="CFF0FC"/>
          </w:tcPr>
          <w:p>
            <w:pPr>
              <w:spacing w:after="0"/>
              <w:rPr>
                <w:sz w:val="19"/>
                <w:szCs w:val="19"/>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(16,782)</w:t>
            </w:r>
          </w:p>
        </w:tc>
      </w:tr>
      <w:tr>
        <w:trPr>
          <w:trHeight w:val="230"/>
        </w:trPr>
        <w:tc>
          <w:tcPr>
            <w:tcW w:w="8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(23,900)</w:t>
            </w: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(24,866)</w:t>
            </w:r>
          </w:p>
        </w:tc>
      </w:tr>
      <w:tr>
        <w:trPr>
          <w:trHeight w:val="230"/>
        </w:trPr>
        <w:tc>
          <w:tcPr>
            <w:tcW w:w="8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(6,750)</w:t>
            </w:r>
          </w:p>
        </w:tc>
      </w:tr>
      <w:tr>
        <w:trPr>
          <w:trHeight w:val="223"/>
        </w:trPr>
        <w:tc>
          <w:tcPr>
            <w:tcW w:w="89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227,584</w:t>
            </w:r>
          </w:p>
        </w:tc>
        <w:tc>
          <w:tcPr>
            <w:tcW w:w="100" w:type="dxa"/>
            <w:vAlign w:val="bottom"/>
            <w:tcBorders>
              <w:bottom w:val="single" w:sz="8" w:color="CFF0FC"/>
            </w:tcBorders>
          </w:tcPr>
          <w:p>
            <w:pPr>
              <w:spacing w:after="0"/>
              <w:rPr>
                <w:sz w:val="19"/>
                <w:szCs w:val="19"/>
                <w:color w:val="auto"/>
              </w:rPr>
            </w:pPr>
          </w:p>
        </w:tc>
      </w:tr>
      <w:tr>
        <w:trPr>
          <w:trHeight w:val="223"/>
        </w:trPr>
        <w:tc>
          <w:tcPr>
            <w:tcW w:w="8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117,032</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PEG Bandwidth, LLC</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 2016, we acquired 100% of the outstanding equity of PEG Bandwidth for $322.5 million in cash, the issuance of 87,500 shares of our 3.00%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The following is a summary of the estimated fair values of the assets acquired and liabilities assumed: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4540" w:type="dxa"/>
            <w:vAlign w:val="bottom"/>
            <w:gridSpan w:val="3"/>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293,030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(8,643)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(49,195)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tcPr>
          <w:p>
            <w:pPr>
              <w:spacing w:after="0"/>
              <w:rPr>
                <w:sz w:val="19"/>
                <w:szCs w:val="19"/>
                <w:color w:val="auto"/>
              </w:rPr>
            </w:pPr>
          </w:p>
        </w:tc>
        <w:tc>
          <w:tcPr>
            <w:tcW w:w="3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145,054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60" w:type="dxa"/>
            <w:vAlign w:val="bottom"/>
            <w:vMerge w:val="restart"/>
          </w:tcPr>
          <w:p>
            <w:pPr>
              <w:jc w:val="right"/>
              <w:ind w:right="28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8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2017 and December 31, 2016: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Quoted 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6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2017</w:t>
            </w: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term loan B - variable rate, due October 24, 2022</w:t>
            </w:r>
          </w:p>
        </w:tc>
        <w:tc>
          <w:tcPr>
            <w:tcW w:w="5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2,094,805</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2,094,805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572,000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1,151,625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1,151,625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 - 7.125% due December 15, 2024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197,500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234,977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234,977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92,833</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4,750,971</w:t>
            </w:r>
          </w:p>
        </w:tc>
        <w:tc>
          <w:tcPr>
            <w:tcW w:w="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4,658,138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92,833</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restart"/>
          </w:tcPr>
          <w:p>
            <w:pPr>
              <w:jc w:val="center"/>
              <w:ind w:right="48"/>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6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term loan B - variable rate, due October 24, 2022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2,139,586</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2,139,586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569,250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1,176,600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1,176,600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98,600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4,394,138</w:t>
            </w:r>
          </w:p>
        </w:tc>
        <w:tc>
          <w:tcPr>
            <w:tcW w:w="1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4,295,538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The total principal balance of our outstanding notes and other debt was $4.59 billion at June 30, 2017, with a fair value of $4.65 billion. The estimated fair value of our outstanding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6">
        <w:r>
          <w:rPr>
            <w:rFonts w:ascii="Arial" w:cs="Arial" w:eastAsia="Arial" w:hAnsi="Arial"/>
            <w:sz w:val="16"/>
            <w:szCs w:val="16"/>
            <w:u w:val="single" w:color="auto"/>
            <w:color w:val="0000EE"/>
          </w:rPr>
          <w:t>See Note 6</w:t>
        </w:r>
      </w:hyperlink>
      <w:r>
        <w:rPr>
          <w:rFonts w:ascii="Arial" w:cs="Arial" w:eastAsia="Arial" w:hAnsi="Arial"/>
          <w:sz w:val="16"/>
          <w:szCs w:val="16"/>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June 30, 2017,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16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$98.6 million as of August 31, 2016. The fair value of the contingent consideration as of August 31, 2016, was determined using a discounted cash flow model and probability adjusted estimates of the future earnings and is classified as Level 3. During the three months ended June 30, 2017, there were no payments made for the achievement of certain milestones in accordance with the Tower Cloud merger agreement. During the six months ended June 30, 2017, we paid $18.8 million for the achievement of certain milestones in accordance with the Tower Cloud merger agreement. Changes in the fair value of contingent consideration will be recorded in our Condensed Consolidated Statement of Income in the period in which the change occurs. For the three and six months ended June 30, 2017, there was $2.1 million and a $13.0 million increase, respectively, in the fair value of the contingent consideration that was recorded in Other expenses on the Condensed Consolidated Statements of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liability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(Gain)/Loss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8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w w:val="93"/>
              </w:rPr>
              <w:t>Transfers into Level 3</w:t>
            </w:r>
          </w:p>
        </w:tc>
        <w:tc>
          <w:tcPr>
            <w:tcW w:w="108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Settlements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earnings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98,600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13,024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4"/>
              </w:rPr>
              <w:t>Note 5. Property, Plant and Equipment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6"/>
          </w:tcPr>
          <w:p>
            <w:pPr>
              <w:spacing w:after="0"/>
              <w:rPr>
                <w:sz w:val="20"/>
                <w:szCs w:val="20"/>
                <w:color w:val="auto"/>
              </w:rPr>
            </w:pPr>
            <w:r>
              <w:rPr>
                <w:rFonts w:ascii="Arial" w:cs="Arial" w:eastAsia="Arial" w:hAnsi="Arial"/>
                <w:sz w:val="18"/>
                <w:szCs w:val="18"/>
                <w:color w:val="auto"/>
                <w:w w:val="95"/>
              </w:rPr>
              <w:t>The carrying value of property, plant and equipment is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Depreciable Lives</w:t>
            </w:r>
          </w:p>
        </w:tc>
        <w:tc>
          <w:tcPr>
            <w:tcW w:w="140" w:type="dxa"/>
            <w:vAlign w:val="bottom"/>
          </w:tcPr>
          <w:p>
            <w:pPr>
              <w:spacing w:after="0"/>
              <w:rPr>
                <w:sz w:val="24"/>
                <w:szCs w:val="24"/>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- 40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320,829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w w:val="92"/>
              </w:rPr>
              <w:t>- 99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Poles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- 40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240,355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w w:val="92"/>
              </w:rPr>
              <w:t>- 40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2,301,679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5 - 7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136,474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w w:val="92"/>
              </w:rPr>
              <w:t>- 40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3,599,954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- 47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91,003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w w:val="92"/>
              </w:rPr>
              <w:t>- 49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91,626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w w:val="92"/>
              </w:rPr>
              <w:t>- 20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3 - 7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75,089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6,965,133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6,751,076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(4,275,633)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(4,081,039)</w:t>
            </w:r>
          </w:p>
        </w:tc>
        <w:tc>
          <w:tcPr>
            <w:tcW w:w="0" w:type="dxa"/>
            <w:vAlign w:val="bottom"/>
          </w:tcPr>
          <w:p>
            <w:pPr>
              <w:spacing w:after="0"/>
              <w:rPr>
                <w:sz w:val="1"/>
                <w:szCs w:val="1"/>
                <w:color w:val="auto"/>
              </w:rPr>
            </w:pPr>
          </w:p>
        </w:tc>
      </w:tr>
      <w:tr>
        <w:trPr>
          <w:trHeight w:val="224"/>
        </w:trPr>
        <w:tc>
          <w:tcPr>
            <w:tcW w:w="312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2,689,500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 w:lineRule="exact"/>
        <w:rPr>
          <w:sz w:val="20"/>
          <w:szCs w:val="20"/>
          <w:color w:val="auto"/>
        </w:rPr>
      </w:pPr>
    </w:p>
    <w:p>
      <w:pPr>
        <w:jc w:val="right"/>
        <w:ind w:left="5620" w:right="5600" w:hanging="5612"/>
        <w:spacing w:after="0" w:line="941" w:lineRule="auto"/>
        <w:tabs>
          <w:tab w:leader="none" w:pos="228" w:val="left"/>
        </w:tabs>
        <w:numPr>
          <w:ilvl w:val="0"/>
          <w:numId w:val="5"/>
        </w:numPr>
        <w:rPr>
          <w:rFonts w:ascii="Arial" w:cs="Arial" w:eastAsia="Arial" w:hAnsi="Arial"/>
          <w:sz w:val="14"/>
          <w:szCs w:val="14"/>
          <w:color w:val="auto"/>
        </w:rPr>
      </w:pPr>
      <w:r>
        <w:rPr>
          <w:rFonts w:ascii="Arial" w:cs="Arial" w:eastAsia="Arial" w:hAnsi="Arial"/>
          <w:sz w:val="16"/>
          <w:szCs w:val="16"/>
          <w:color w:val="auto"/>
        </w:rPr>
        <w:t>See our Annual Report for property, plant and equipment accounting policies.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-915035</wp:posOffset>
            </wp:positionV>
            <wp:extent cx="2752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expense for the three and six months ended June 30, 2017 was $99.8 million and $198.7 million, respectively. Depreciation expense for the three and six months ended June 30, 2016 was $91.2 million and $176.7 million,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 and Hedging Activities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Location on Condensed Consolidated</w:t>
            </w:r>
          </w:p>
        </w:tc>
        <w:tc>
          <w:tcPr>
            <w:tcW w:w="260" w:type="dxa"/>
            <w:vAlign w:val="bottom"/>
          </w:tcPr>
          <w:p>
            <w:pPr>
              <w:spacing w:after="0"/>
              <w:rPr>
                <w:sz w:val="14"/>
                <w:szCs w:val="14"/>
                <w:color w:val="auto"/>
              </w:rPr>
            </w:pPr>
          </w:p>
        </w:tc>
        <w:tc>
          <w:tcPr>
            <w:tcW w:w="14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Derivative liability</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and December 31, 2016, all of the interest rate swaps were valued in net unrealized loss positions and recognized as liability balances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within the derivative liability balance. For the three and six months ended June 30, 2017, the amount recorded in other comprehensive income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 on derivative instruments was $16.5 million and $17.7 million, respectively. The amount reclassified out of other comprehensive income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on our Condensed Consolidated Statement of Income for the three and six months ended June 30, 2017 was $5.8 million and $11.6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For the three and six months ended June 30, 2016, the amount recorded in other comprehensive income related to the unrealized loss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derivative instruments was $27 million and $73.4 million, respectively. The amount reclassified out of other comprehensive income into interest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 our Condensed Consolidated Statement of Income for the three and six months ended June 30, 2016 was $5.9 million and $11.9 million, respectively.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and six months ended June 30, 2017, there was no ineffective portion of the change in fair value derivatives. For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2016, there was no ineffective portion of the change in fair value derivatives.</w:t>
      </w:r>
    </w:p>
    <w:p>
      <w:pPr>
        <w:spacing w:after="0" w:line="21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July 1, 2017, we estimate that $23.2 million will be reclassified as an increase to interest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six months ended June 30,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Fiber Infrastructure</w:t>
            </w:r>
          </w:p>
        </w:tc>
        <w:tc>
          <w:tcPr>
            <w:tcW w:w="600" w:type="dxa"/>
            <w:vAlign w:val="bottom"/>
          </w:tcPr>
          <w:p>
            <w:pPr>
              <w:spacing w:after="0"/>
              <w:rPr>
                <w:sz w:val="18"/>
                <w:szCs w:val="18"/>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Goodwill purchase accounting adjustments</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60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at June 30, 2017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16</w:t>
            </w: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ind w:left="820"/>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4"/>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17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Accumulated Amortization</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Finite life intangible assets: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188,644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(34,433)</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188,642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Tenant contracts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40,034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Acquired below-market leases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246,684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190,642</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(35,529)</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(30,058)</w:t>
            </w:r>
          </w:p>
        </w:tc>
        <w:tc>
          <w:tcPr>
            <w:tcW w:w="8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00" w:type="dxa"/>
            <w:vAlign w:val="bottom"/>
            <w:gridSpan w:val="3"/>
          </w:tcPr>
          <w:p>
            <w:pPr>
              <w:spacing w:after="0"/>
              <w:rPr>
                <w:sz w:val="20"/>
                <w:szCs w:val="20"/>
                <w:color w:val="auto"/>
              </w:rPr>
            </w:pPr>
            <w:r>
              <w:rPr>
                <w:rFonts w:ascii="Arial" w:cs="Arial" w:eastAsia="Arial" w:hAnsi="Arial"/>
                <w:sz w:val="18"/>
                <w:szCs w:val="18"/>
                <w:color w:val="auto"/>
              </w:rPr>
              <w:t>Total intangible assets, net</w:t>
            </w: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211,155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160,584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Finite life intangible liabilities: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above-market leases</w:t>
            </w:r>
          </w:p>
        </w:tc>
        <w:tc>
          <w:tcPr>
            <w:tcW w:w="1020" w:type="dxa"/>
            <w:vAlign w:val="bottom"/>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Acquired above-market leases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right="340" w:hanging="372"/>
        <w:spacing w:after="0" w:line="25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in accounts payable, accrued expenses and other liabilities on the Condensed Consolidated Balance Sheet.</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Amortization expense for the three and six months ended June 30, 2017 was $2.8 million and $5.3 million, respectively. Amortization expense for the three and six months ended June 30, 2016 was $1.2 million and $2.0 million, respectively.</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is estimated to be $11.0 million for the full year of 2017, $10.4 million in 2018, $9.8 million in 2019, $9.2 million in 2020, and $8.8 million in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and Other Debt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Uniti Group LP and certain of its subsidiaries as discussed below. The Company is, however, a guarantor of such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36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4,592,427</w:t>
            </w:r>
          </w:p>
        </w:tc>
        <w:tc>
          <w:tcPr>
            <w:tcW w:w="2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4,167,967</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36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(153,182)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(139,753)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4,439,245</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4,028,214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June 30, 2017 and December 31, 2016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1037"/>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Unamortized Discount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Senior secured term loan B - variable rate, due October 24, 2022</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2,097,427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(95,424)</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2,107,967</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(78,699)</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(43,340)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(45,599)</w:t>
            </w:r>
          </w:p>
        </w:tc>
        <w:tc>
          <w:tcPr>
            <w:tcW w:w="0" w:type="dxa"/>
            <w:vAlign w:val="bottom"/>
          </w:tcPr>
          <w:p>
            <w:pPr>
              <w:spacing w:after="0"/>
              <w:rPr>
                <w:sz w:val="1"/>
                <w:szCs w:val="1"/>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43"/>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notes - 7.125% due December 15, 2024</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Senior secured revolving credit facility, variable rate, due April</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24, 2020</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4,592,427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(153,182)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4,167,967</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(139,753)</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June 30, 2017, notes and other debt included the following: (i) $2.1 billion under the senior secured term loan B facility that matures on October 24, 2022 (“Term Loan Facility”) pursuant to the credit agreement by and among Uniti Group LP,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$400 million aggregate principal amount of 7.125% Senior Unsecured Notes due December 15, 2024 (the “2024 Notes”), (v) $200 million aggregate principal amount of 7.125% Senior Notes due December 15, 2024 (the “May 2017 Notes,” together with the Secured Notes, 2023 Notes and 2024 Notes, the “Notes”), and $235 million under the senior secured revolving credit facility, variable rate, that matures April 24, 2020 (the “Revolving Credit Facility” and, together with the Term Loan Facility, the “Facilities”) pursuant to the Credit Agreement.</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CSL Capital, LLC, Uniti Group Finance Inc. and Uniti Fiber Holdings Inc. In connection with the up-REIT Reorganization, the Operating Partnership replaced the Company and assumed its obligations as an obligor under the Notes and Credit Agreement. The Company subsequently became a guarantor of the Notes and Credit Agreement. Because the Operating Partnership is not a corporation, a corporate co-obligor that is a subsidiary of the Operating Partnership was also added to the Notes and Credit Agreement as part of the up-REIT Reorganization. Separate financial statements of the Operating Partnership have not been included since the Operating Partnership is not a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2017, the Borrowers were in compliance with all of the covenants under the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of the Secured Notes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Guarantors.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Operating Partnership and its wholly-owned subsidiaries, CSL Capital, LLC and Uniti Fiber Holdings Inc., as co-issuers, have outstanding $400 million aggregate principal amount of the 2024 Notes. The 2024 Notes were originally issued on December 15, 2016 at an issue price of 100% of par value and are guaranteed by the Company, Uniti Group Finance Inc. and the Guarantors.</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May 8, 2017, the Company, CSL Capital, LLC and Uniti Fiber Holdings Inc. co-issued $200 million aggregate principal amount of the May 2017 Notes at an issue price of 100.50%. In connection with the up-REIT Reorganization on May 9, 2017, the Operating Partnership replaced the Company as a co-issuer of the May 2017 Notes, and the Company and Uniti Group Finance Inc. became guarantors of the May 2017 Notes. The proceeds from the offering were used to fund a portion of the cash consideration payable in connection with the previously announced acquisition of Southern Light, LLC (“Southern Light”), which closed on July 3, 2017. As a result of the completion of the Southern Light acquisition, the May 2017 Notes will be mandatorily exchanged, in accordance with their terms, for 2024 Notes issued as “additional notes” under the indenture governing the 2024 Notes, which will occur on August 11,</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2017. The additional notes will be part of the same series as the existing 2024 Notes. The May 2017 Notes are identical in all material respects with the existing 2024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For the three and six months ended June 30, 2017, we recognized $2.6 million and $5.1 million, respectively, of non-cash interest expense related to the amortization of deferred financing costs. For the three and six months ended June 30, 2016, we recognized $1.9 million and $3.7 million, respectively, of non-cash interest expense related to the amortization of deferred financing costs.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25, 2017, we issued 19.5 million shares of our common stock, par value $0.0001 per share. The shares were sold at a public offering price of $26.50, generating proceeds of approximately $518 million, before underwriter discounts and transaction costs.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Company used the proceeds from this offering to fund a portion of the cash consideration paid in connection with the acquisitions of Southern Light and Hunt Telecommunications, LLC (“Hunt”) that closed on July 3,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24, 2015, Uniti was separated and spun-off (the “Spin-Off”) from Windstream Holdings, Inc. (“Windstream Holdings” and together with its subsidiaries, “Windstream”). In connection with the Spin-Off, Windstream contributed certain telecommunications network assets, including fiber and copper networks and other real estate (the “Distribution Systems”) and a small consumer competitive local exchange carrier (“CLEC”) business (the “Consumer CLEC Business”) and we issued approximately 149.8 million shares of our common stock to Windstream Services as partial consideration for the contribution of the Distribution Systems and the Consumer CLEC Business. Immediately following the Spin-Off, we entered into a long-term exclusive triple-net lease (the “Master Lease”) with Windstream pursuant to which Uniti leases the Distribution Systems to Windstream. Windstream distributed approximately 80.4% of the Uniti shares it received to existing stockholders of Windstream Holdings and retained a passive ownership interest of approximately 19.6% of the common stock of Uniti. As a result of this ownership Windstream was deemed to be a related party.</w:t>
      </w:r>
    </w:p>
    <w:p>
      <w:pPr>
        <w:spacing w:after="0" w:line="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Accordingly, effective as of June 24, 2016, Windstream is no longer deemed a related party under applicable accounting regulations. Our condensed consolidated financial statements reflect the following transactions with Windstream during the periods in which Windstream was deemed a related party.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The Company records leasing revenue pursuant to the Master Lease. For the three and six months ended June 30, 2016, we recognized leasing revenues of $169.0 million and $337.6 million, respectively, related to the Master Lease.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We were party to a Transition Services Agreement (“TSA”) pursuant to which Windstream and its affiliates provided, on an interim basis, various services, including but not limited to information technology services, payment processing and collection services, financial and tax services, regulatory compliance and other support services. On April 1, 2016, the TSA terminated and we incurred $19,000 of related TSA expense for the three months ended March 31, 2016.</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 We are party to a Wholesale Master Services Agreement (“Wholesale Agreement”) and a Master Services Agreement (the “Master Service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Uniti. During the three months ended June 30, 2016, we incurred expenses of $3.2 million and $0.4 million related to the Wholesale Agreement and Master Services Agreement, respectively. During the six months ended June 30, 2016, we incurred expenses of $6.6 million and $0.9 million related to the Wholesale Agreement and Master Services Agreement, respectively.</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u w:val="single" w:color="auto"/>
          <w:color w:val="auto"/>
        </w:rPr>
        <w:t>Employee Matters Agreement</w:t>
      </w:r>
      <w:r>
        <w:rPr>
          <w:rFonts w:ascii="Arial" w:cs="Arial" w:eastAsia="Arial" w:hAnsi="Arial"/>
          <w:sz w:val="17"/>
          <w:szCs w:val="17"/>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Uniti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Lease Amendment</w:t>
      </w:r>
      <w:r>
        <w:rPr>
          <w:rFonts w:ascii="Arial" w:cs="Arial" w:eastAsia="Arial" w:hAnsi="Arial"/>
          <w:sz w:val="18"/>
          <w:szCs w:val="18"/>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IRU in certain fiber assets that constitute leased property under the Master Lease in exchange for Uniti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Uniti related to the sale, exchange or other disposition of the fiber assets delivered to a third party or the granting of rights to the leased property that arise from fiber exchange agreements. As of June 24, 2016, no such transactions had been consummated. The Master Lease Amendment also permits us to install, own and operate certain wireless communication towers, antennas and related equipment on designated portions of the leased property.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earnings per share impact of the Company’s 3% Convertible Preferred Stock, $0.0001 par value (“Series A Shares”), issued in connection with the acquisition of PEG Bandwidth, LLC, is calculated using the net share settlement method, whereby the redemption value of the instrument is assumed to be settled in cash and only the conversion premium, if any, is assumed to be settled in shares. The Series A Shares provide Uniti the option to cash or share settle the instrument, and it is our policy to settle the instrument in cash upon conversion.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3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(16,460)</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(1,535)</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(36,460)</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5"/>
              </w:rPr>
              <w:t>Dividends declared on convertible preferred stock</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(1,312)</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800"/>
              <w:spacing w:after="0"/>
              <w:rPr>
                <w:sz w:val="20"/>
                <w:szCs w:val="20"/>
                <w:color w:val="auto"/>
              </w:rPr>
            </w:pPr>
            <w:r>
              <w:rPr>
                <w:rFonts w:ascii="Arial" w:cs="Arial" w:eastAsia="Arial" w:hAnsi="Arial"/>
                <w:sz w:val="18"/>
                <w:szCs w:val="18"/>
                <w:color w:val="auto"/>
                <w:w w:val="97"/>
              </w:rPr>
              <w:t>Amortization of discount on convertible preferred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(496)</w:t>
            </w:r>
          </w:p>
        </w:tc>
        <w:tc>
          <w:tcPr>
            <w:tcW w:w="340" w:type="dxa"/>
            <w:vAlign w:val="bottom"/>
          </w:tcPr>
          <w:p>
            <w:pPr>
              <w:spacing w:after="0"/>
              <w:rPr>
                <w:sz w:val="18"/>
                <w:szCs w:val="18"/>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00" w:type="dxa"/>
            <w:vAlign w:val="bottom"/>
            <w:vMerge w:val="restart"/>
          </w:tcPr>
          <w:p>
            <w:pPr>
              <w:ind w:left="6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CFF0FC"/>
            </w:tcBorders>
            <w:vMerge w:val="continue"/>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applicable to common shares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150,913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162,460</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3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(16,460)</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(1,535)</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(36,460)</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5"/>
              </w:rPr>
              <w:t>Dividends declared on convertible preferred stock</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(1,312)</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5"/>
        </w:trPr>
        <w:tc>
          <w:tcPr>
            <w:tcW w:w="4600" w:type="dxa"/>
            <w:vAlign w:val="bottom"/>
          </w:tcPr>
          <w:p>
            <w:pPr>
              <w:ind w:left="800"/>
              <w:spacing w:after="0"/>
              <w:rPr>
                <w:sz w:val="20"/>
                <w:szCs w:val="20"/>
                <w:color w:val="auto"/>
              </w:rPr>
            </w:pPr>
            <w:r>
              <w:rPr>
                <w:rFonts w:ascii="Arial" w:cs="Arial" w:eastAsia="Arial" w:hAnsi="Arial"/>
                <w:sz w:val="18"/>
                <w:szCs w:val="18"/>
                <w:color w:val="auto"/>
                <w:w w:val="97"/>
              </w:rPr>
              <w:t>Amortization of discount on convertible preferred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(496)</w:t>
            </w:r>
          </w:p>
        </w:tc>
        <w:tc>
          <w:tcPr>
            <w:tcW w:w="340" w:type="dxa"/>
            <w:vAlign w:val="bottom"/>
          </w:tcPr>
          <w:p>
            <w:pPr>
              <w:spacing w:after="0"/>
              <w:rPr>
                <w:sz w:val="18"/>
                <w:szCs w:val="18"/>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122"/>
        </w:trPr>
        <w:tc>
          <w:tcPr>
            <w:tcW w:w="4600" w:type="dxa"/>
            <w:vAlign w:val="bottom"/>
            <w:vMerge w:val="restart"/>
          </w:tcPr>
          <w:p>
            <w:pPr>
              <w:ind w:left="6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CFF0FC"/>
            </w:tcBorders>
            <w:vMerge w:val="continue"/>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applicable to common shares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162,460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Weighted-average shares for dilutive earnings per common</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169,655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150,913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162,460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0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Dilutive (loss) earnings per common share</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and six months ended June 30, 2017, 295,837 non-participating securities were excluded from the computation of diluted earnings per share, as their effect would have been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Effective in the first quarter of 2017, our management, including our chief executive officer, who is our chief operating decision maker, commenced managing our operations as four reportable segments in addition to our corporate operations and include: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 communications assets and leasing them back to anchor customers on either an exclusive or shared-tenant basis.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Latin America.</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that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Spin-Off was reported as an integrated operation within Windstream. Talk America provides local telephone, high-speed internet and long distance services to customers in the eastern and central United States.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business segment information is presented below. Prior year information has been recast to conform to the current year presentation.</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170,914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7,497</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hanging="193"/>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Segment capital expenditures represents capital expenditures, the NMS asset acquisition and ground lease investments as reported in the investing activities</w:t>
      </w:r>
      <w:r>
        <w:rPr>
          <w:rFonts w:ascii="Arial" w:cs="Arial" w:eastAsia="Arial" w:hAnsi="Arial"/>
          <w:sz w:val="15"/>
          <w:szCs w:val="15"/>
          <w:color w:val="auto"/>
        </w:rPr>
        <w:t xml:space="preserve"> </w:t>
      </w:r>
      <w:r>
        <w:rPr>
          <w:rFonts w:ascii="Arial" w:cs="Arial" w:eastAsia="Arial" w:hAnsi="Arial"/>
          <w:sz w:val="18"/>
          <w:szCs w:val="18"/>
          <w:color w:val="auto"/>
        </w:rPr>
        <w:t>section of the Condensed Consolidated Statements of Cash Flows.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168,966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(297)</w:t>
            </w:r>
          </w:p>
        </w:tc>
        <w:tc>
          <w:tcPr>
            <w:tcW w:w="5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(3,522)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hanging="193"/>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Segment capital expenditures represents capital expenditures and ground lease investments as reported in the investing activities section of the Condensed</w:t>
      </w:r>
      <w:r>
        <w:rPr>
          <w:rFonts w:ascii="Arial" w:cs="Arial" w:eastAsia="Arial" w:hAnsi="Arial"/>
          <w:sz w:val="15"/>
          <w:szCs w:val="15"/>
          <w:color w:val="auto"/>
        </w:rPr>
        <w:t xml:space="preserve"> </w:t>
      </w: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June 30, 2017</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Fiber</w:t>
            </w: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Leasing</w:t>
            </w: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Towers</w:t>
            </w:r>
          </w:p>
        </w:tc>
        <w:tc>
          <w:tcPr>
            <w:tcW w:w="14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Consumer CLEC</w:t>
            </w:r>
          </w:p>
        </w:tc>
        <w:tc>
          <w:tcPr>
            <w:tcW w:w="340" w:type="dxa"/>
            <w:vAlign w:val="bottom"/>
          </w:tcPr>
          <w:p>
            <w:pPr>
              <w:spacing w:after="0"/>
              <w:rPr>
                <w:sz w:val="12"/>
                <w:szCs w:val="12"/>
                <w:color w:val="auto"/>
              </w:rPr>
            </w:pPr>
          </w:p>
        </w:tc>
        <w:tc>
          <w:tcPr>
            <w:tcW w:w="13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341,220</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3,883</w:t>
            </w:r>
          </w:p>
        </w:tc>
        <w:tc>
          <w:tcPr>
            <w:tcW w:w="560" w:type="dxa"/>
            <w:vAlign w:val="bottom"/>
            <w:tcBorders>
              <w:top w:val="single" w:sz="8" w:color="auto"/>
            </w:tcBorders>
            <w:shd w:val="clear" w:color="auto" w:fill="CFF0FC"/>
          </w:tcPr>
          <w:p>
            <w:pPr>
              <w:jc w:val="right"/>
              <w:ind w:right="294"/>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340,588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56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(9,713)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w w:val="95"/>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2,178</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79,700</w:t>
            </w:r>
          </w:p>
        </w:tc>
        <w:tc>
          <w:tcPr>
            <w:tcW w:w="56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hanging="193"/>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Segment capital expenditures represents capital expenditures, the NMS asset acquisition and ground lease investments as reported in the investing activities</w:t>
      </w:r>
      <w:r>
        <w:rPr>
          <w:rFonts w:ascii="Arial" w:cs="Arial" w:eastAsia="Arial" w:hAnsi="Arial"/>
          <w:sz w:val="15"/>
          <w:szCs w:val="15"/>
          <w:color w:val="auto"/>
        </w:rPr>
        <w:t xml:space="preserve"> </w:t>
      </w:r>
      <w:r>
        <w:rPr>
          <w:rFonts w:ascii="Arial" w:cs="Arial" w:eastAsia="Arial" w:hAnsi="Arial"/>
          <w:sz w:val="18"/>
          <w:szCs w:val="18"/>
          <w:color w:val="auto"/>
        </w:rPr>
        <w:t>section of the Condensed Consolidated Statements of Cash Flows.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w w:val="97"/>
              </w:rPr>
              <w:t>Six Months Ended June 30, 2016</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Consumer CLEC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337,579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w:t>
            </w: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(7,051)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hanging="193"/>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Segment capital expenditures represents capital expenditures and ground lease investments as reported in the investing activities section of the Condensed</w:t>
      </w:r>
      <w:r>
        <w:rPr>
          <w:rFonts w:ascii="Arial" w:cs="Arial" w:eastAsia="Arial" w:hAnsi="Arial"/>
          <w:sz w:val="15"/>
          <w:szCs w:val="15"/>
          <w:color w:val="auto"/>
        </w:rPr>
        <w:t xml:space="preserve"> </w:t>
      </w:r>
      <w:r>
        <w:rPr>
          <w:rFonts w:ascii="Arial" w:cs="Arial" w:eastAsia="Arial" w:hAnsi="Arial"/>
          <w:sz w:val="18"/>
          <w:szCs w:val="18"/>
          <w:color w:val="auto"/>
        </w:rPr>
        <w:t>Consolidated Statements of Cash Flows.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by business segment as of June 30, 2017 and December 31, 2016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June 30, 2017</w:t>
            </w:r>
          </w:p>
        </w:tc>
        <w:tc>
          <w:tcPr>
            <w:tcW w:w="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FF0FC"/>
            </w:tcBorders>
          </w:tcPr>
          <w:p>
            <w:pPr>
              <w:spacing w:after="0"/>
              <w:rPr>
                <w:sz w:val="14"/>
                <w:szCs w:val="14"/>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Leasing</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2,343,427</w:t>
            </w:r>
          </w:p>
        </w:tc>
        <w:tc>
          <w:tcPr>
            <w:tcW w:w="4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2,238,517</w:t>
            </w:r>
          </w:p>
        </w:tc>
        <w:tc>
          <w:tcPr>
            <w:tcW w:w="100" w:type="dxa"/>
            <w:vAlign w:val="bottom"/>
            <w:shd w:val="clear" w:color="auto" w:fill="CFF0FC"/>
          </w:tcPr>
          <w:p>
            <w:pPr>
              <w:spacing w:after="0"/>
              <w:rPr>
                <w:sz w:val="20"/>
                <w:szCs w:val="20"/>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Fiber Infrastructure</w:t>
            </w:r>
          </w:p>
        </w:tc>
        <w:tc>
          <w:tcPr>
            <w:tcW w:w="5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951,143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914,082</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Towers</w:t>
            </w:r>
          </w:p>
        </w:tc>
        <w:tc>
          <w:tcPr>
            <w:tcW w:w="52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134,876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Consumer CLEC</w:t>
            </w:r>
          </w:p>
        </w:tc>
        <w:tc>
          <w:tcPr>
            <w:tcW w:w="5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14,634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w:t>
            </w:r>
          </w:p>
        </w:tc>
        <w:tc>
          <w:tcPr>
            <w:tcW w:w="52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717,081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133,910</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of reportable segments</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4,161,161</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3,318,752</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terms of the Tax Matters Agreement entered into with Windstream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income by component is as follows for the six months ended June 30,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Currency Translation</w:t>
            </w: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Changes in Fair Value of</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Effective Cash Flow</w:t>
            </w:r>
          </w:p>
        </w:tc>
        <w:tc>
          <w:tcPr>
            <w:tcW w:w="36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Hedge</w:t>
            </w:r>
          </w:p>
        </w:tc>
        <w:tc>
          <w:tcPr>
            <w:tcW w:w="3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 at December 31, 2016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(17,714)</w:t>
            </w:r>
          </w:p>
        </w:tc>
        <w:tc>
          <w:tcPr>
            <w:tcW w:w="3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Ending balance at June 30,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Supplemental Guarantor Information</w:t>
      </w:r>
    </w:p>
    <w:p>
      <w:pPr>
        <w:spacing w:after="0" w:line="229" w:lineRule="exact"/>
        <w:rPr>
          <w:sz w:val="20"/>
          <w:szCs w:val="20"/>
          <w:color w:val="auto"/>
        </w:rPr>
      </w:pPr>
    </w:p>
    <w:p>
      <w:pPr>
        <w:ind w:right="180"/>
        <w:spacing w:after="0" w:line="259" w:lineRule="auto"/>
        <w:rPr>
          <w:rFonts w:ascii="Arial" w:cs="Arial" w:eastAsia="Arial" w:hAnsi="Arial"/>
          <w:sz w:val="18"/>
          <w:szCs w:val="18"/>
          <w:color w:val="auto"/>
        </w:rPr>
      </w:pPr>
      <w:r>
        <w:rPr>
          <w:rFonts w:ascii="Arial" w:cs="Arial" w:eastAsia="Arial" w:hAnsi="Arial"/>
          <w:sz w:val="18"/>
          <w:szCs w:val="18"/>
          <w:color w:val="auto"/>
        </w:rPr>
        <w:t>Pursuant to SEC Regulation S-X Rule 3-10 “Financial statements of guarantors and issuers of guaranteed securities registered or being registered,” the Company historically has provided condensed consolidating financial information for CSL Capital and the Guarantors because the 2023 Notes and the guarantees thereof were previously registered with the SEC under the Securities Act of 1933, as amended. Effective as of May 9, 2017 (the effective date of the previously announced up-REIT Reorganization (</w:t>
      </w:r>
      <w:hyperlink w:anchor="page17">
        <w:r>
          <w:rPr>
            <w:rFonts w:ascii="Arial" w:cs="Arial" w:eastAsia="Arial" w:hAnsi="Arial"/>
            <w:sz w:val="18"/>
            <w:szCs w:val="18"/>
            <w:u w:val="single" w:color="auto"/>
            <w:color w:val="0000EE"/>
          </w:rPr>
          <w:t>see Note 8</w:t>
        </w:r>
      </w:hyperlink>
      <w:r>
        <w:rPr>
          <w:rFonts w:ascii="Arial" w:cs="Arial" w:eastAsia="Arial" w:hAnsi="Arial"/>
          <w:sz w:val="18"/>
          <w:szCs w:val="18"/>
          <w:color w:val="auto"/>
        </w:rPr>
        <w:t>)), the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Notes ceased to be an obligation of the Company, and the Company was no longer required to provide supplemental guarantor information related to the 2023 Notes.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July 3, 2017, we completed the previously announced acquisition of Southern Light. We acquired all of the outstanding membership interests of Southern Light for approximately $635 million in cash, including the payoff of existing indebtedness and unpaid transaction expenses, and the issuance of 2.5 million common units in the Operating Partnership with an estimated value of $64 million. Southern Light is a leading provider of data transport services along the Gulf Coast region serving twelve attractive Tier II and Tier III markets across Florida, Alabama, Louisiana, and Mississippi.</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3, 2017, we completed the previously announced acquisition of Hunt. We acquired all of the outstanding equity interests of Hunt for approximately $127 million in cash, including the payoff of existing indebtedness and unpaid transactions expenses, and approximately 1.6 million common units in the Operating Partnership with an estimated value of $41 million. Additional contingent consideration of up to $15 million, may be paid upon the achievement of certain defined operational and financial milestones. Hunt is a leading provider of data transport to K-12 schools and government agencies with a dense fiber network in Louisiana.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2017. This discussion should be read in conjunction with the accompanying unaudited financial statements, and the notes thereto set forth in Part I, Item 1 of this Quarterly Report on Form 10-Q and our Annual Report on Form 10-K for the year ended December 31, 2016, filed with the Securities and Exchange Commission (the “SEC”) on February 23,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24, 2015, Uniti Group Inc. (the “Company”, “Uniti”, “we”, “us” or “our”), formerly known as Communications Sales &amp; Leasing, Inc., was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substantially all of our leasing revenues are currently derived.</w:t>
      </w:r>
    </w:p>
    <w:p>
      <w:pPr>
        <w:spacing w:after="0" w:line="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as taxable REIT subsidiaries (“TRSs”). TRSs enable us to engage in activities that do not result in income that would be qualifying income for a REIT. Our TRSs are subject to U.S. federal, state and local corporate income taxes.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for future acquisitions of assets or entities. As of the date of this report, we are the sole general partner of the Operating Partnership and own approximately 98% of the partnership interests in the Operating Partnership.</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53"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leaseback transactions, whereby we acquire existing infrastructure assets from communication service providers and lease them back on a long-term triple net basis; (ii) whole company acquisitions, which may include the use of one or more TRSs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 communications assets and leasing them back to anchor customers on either an exclusive or shared-tenant basis.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Latin America.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that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Spin-Off was reported as an integrated operation within Windstream. Talk America provides local telephone, high-speed internet and long distance services to customers in the eastern and central United States.</w:t>
      </w:r>
    </w:p>
    <w:p>
      <w:pPr>
        <w:spacing w:after="0" w:line="181"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color w:val="auto"/>
        </w:rPr>
        <w:t>: 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7"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Acquisition of Southern Light, LLC.</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3, 2017, we completed the previously announced acquisition of Southern Light, LLC (“Southern Light”).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all of the outstanding membership interests of Southern Light for approximately $635 million in cash, including the payoff of existing indebtedness and unpaid transaction expenses, and the issuance of 2.5 million common units in the Operating Partnerships with an acquisition date fair value of $64 million. Southern Light is a leading provider of data transport services along the Gulf Coast region serving twelve attractive Tier II and Tier III markets across Florida, Alabama, Louisiana, and Mississippi. Southern Light’s dense regional fiber network comprises nearly 540,000 fiber strand miles, 5,700 fiber route miles, and over 4,500 on-net locations.</w:t>
      </w:r>
    </w:p>
    <w:p>
      <w:pPr>
        <w:spacing w:after="0" w:line="8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u w:val="single" w:color="auto"/>
          <w:color w:val="auto"/>
        </w:rPr>
        <w:t>Acquisition of Hunt Telecommunications, LLC.</w:t>
      </w:r>
      <w:r>
        <w:rPr>
          <w:rFonts w:ascii="Arial" w:cs="Arial" w:eastAsia="Arial" w:hAnsi="Arial"/>
          <w:sz w:val="17"/>
          <w:szCs w:val="17"/>
          <w:i w:val="1"/>
          <w:iCs w:val="1"/>
          <w:color w:val="auto"/>
        </w:rPr>
        <w:t xml:space="preserve"> </w:t>
      </w:r>
      <w:r>
        <w:rPr>
          <w:rFonts w:ascii="Arial" w:cs="Arial" w:eastAsia="Arial" w:hAnsi="Arial"/>
          <w:sz w:val="17"/>
          <w:szCs w:val="17"/>
          <w:color w:val="auto"/>
        </w:rPr>
        <w:t>On July 3, 2017, we completed the previously announced acquisition of Hunt Telecommunications, LLC</w:t>
      </w:r>
      <w:r>
        <w:rPr>
          <w:rFonts w:ascii="Arial" w:cs="Arial" w:eastAsia="Arial" w:hAnsi="Arial"/>
          <w:sz w:val="17"/>
          <w:szCs w:val="17"/>
          <w:i w:val="1"/>
          <w:iCs w:val="1"/>
          <w:color w:val="auto"/>
        </w:rPr>
        <w:t xml:space="preserve"> </w:t>
      </w:r>
      <w:r>
        <w:rPr>
          <w:rFonts w:ascii="Arial" w:cs="Arial" w:eastAsia="Arial" w:hAnsi="Arial"/>
          <w:sz w:val="17"/>
          <w:szCs w:val="17"/>
          <w:color w:val="auto"/>
        </w:rPr>
        <w:t>(“Hunt”). The Company acquired all of the outstanding equity interests of Hunt for approximately $127 million in cash, including the payoff of existing indebtedness and unpaid transaction expenses, and approximately 1.6 million units in the Operating Partnership with an acquisition date fair value of $41 million. Additional contingent consideration of up to $15 million, will be paid upon the achievement of certain defined operational and financial milestones. Hunt is a leading provider of data transport to K-12 schools and government agencies with a dense fiber network in Louisiana.</w:t>
      </w:r>
    </w:p>
    <w:p>
      <w:pPr>
        <w:spacing w:after="0" w:line="6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u w:val="single" w:color="auto"/>
          <w:color w:val="auto"/>
        </w:rPr>
        <w:t>Issuance of Senior Unsecured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May 8, 2017, the Company, CSL Capital, LLC and Uniti Fiber Holdings Inc. co-issued $200 million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7.125% Senior Unsecured Notes due December 15, 2024 (the “May 2017 Notes”). The proceeds from the offering were used to fund a portion of the cash consideration payable in connection with the acquisition of Southern Light. In connection with the up-REIT Reorganization on May 9, 2017, the Operating Partnership replaced the Company as a co-issuer of the May 2017 Notes, and the Company and Uniti Group Finance Inc. became guarantors of the May 2017 Notes.</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Issuance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25, 2017, we issued 19.5 million shares of our common stock at a public offering price of $26.50, resulting in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of $499 million, net of underwriting discounts and commissions, which were used to fund a portion of the cash consideration payable in connection with the acquisitions of Southern Light and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-424180</wp:posOffset>
            </wp:positionV>
            <wp:extent cx="590867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08675" cy="1289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2017 and 2016</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Beginning in the first quarter of 2017, the Company manages and reports our operations in four reportable segments: Leasing, Fiber Infrastructure, Towers, and Consumer CLEC. Prior period data has been reclassified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170,914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80.2%</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168,966</w:t>
            </w:r>
          </w:p>
        </w:tc>
        <w:tc>
          <w:tcPr>
            <w:tcW w:w="320" w:type="dxa"/>
            <w:vAlign w:val="bottom"/>
          </w:tcPr>
          <w:p>
            <w:pPr>
              <w:spacing w:after="0"/>
              <w:rPr>
                <w:sz w:val="19"/>
                <w:szCs w:val="19"/>
                <w:color w:val="auto"/>
              </w:rPr>
            </w:pP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0"/>
              </w:rPr>
              <w:t>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2"/>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92"/>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213,013</w:t>
            </w:r>
          </w:p>
        </w:tc>
        <w:tc>
          <w:tcPr>
            <w:tcW w:w="320" w:type="dxa"/>
            <w:vAlign w:val="bottom"/>
          </w:tcPr>
          <w:p>
            <w:pPr>
              <w:spacing w:after="0"/>
              <w:rPr>
                <w:sz w:val="19"/>
                <w:szCs w:val="19"/>
                <w:color w:val="auto"/>
              </w:rPr>
            </w:pPr>
          </w:p>
        </w:tc>
        <w:tc>
          <w:tcPr>
            <w:tcW w:w="940" w:type="dxa"/>
            <w:vAlign w:val="bottom"/>
          </w:tcPr>
          <w:p>
            <w:pPr>
              <w:jc w:val="center"/>
              <w:ind w:left="12"/>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188,573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75,086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35.2%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68,036</w:t>
            </w:r>
          </w:p>
        </w:tc>
        <w:tc>
          <w:tcPr>
            <w:tcW w:w="320" w:type="dxa"/>
            <w:vAlign w:val="bottom"/>
          </w:tcPr>
          <w:p>
            <w:pPr>
              <w:spacing w:after="0"/>
              <w:rPr>
                <w:sz w:val="19"/>
                <w:szCs w:val="19"/>
                <w:color w:val="auto"/>
              </w:rPr>
            </w:pP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0"/>
              </w:rPr>
              <w:t>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92,385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0"/>
              </w:rPr>
              <w:t>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8,239</w:t>
            </w:r>
          </w:p>
        </w:tc>
        <w:tc>
          <w:tcPr>
            <w:tcW w:w="320" w:type="dxa"/>
            <w:vAlign w:val="bottom"/>
          </w:tcPr>
          <w:p>
            <w:pPr>
              <w:spacing w:after="0"/>
              <w:rPr>
                <w:sz w:val="19"/>
                <w:szCs w:val="19"/>
                <w:color w:val="auto"/>
              </w:rPr>
            </w:pP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2"/>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2"/>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14,017</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6.6%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11,210</w:t>
            </w:r>
          </w:p>
        </w:tc>
        <w:tc>
          <w:tcPr>
            <w:tcW w:w="320" w:type="dxa"/>
            <w:vAlign w:val="bottom"/>
          </w:tcPr>
          <w:p>
            <w:pPr>
              <w:spacing w:after="0"/>
              <w:rPr>
                <w:sz w:val="19"/>
                <w:szCs w:val="19"/>
                <w:color w:val="auto"/>
              </w:rPr>
            </w:pP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2"/>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229,398</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1"/>
              </w:rPr>
              <w:t>107.7%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189,781</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4"/>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2"/>
              </w:rPr>
              <w:t>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4"/>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(381)</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(438)</w:t>
            </w:r>
          </w:p>
        </w:tc>
        <w:tc>
          <w:tcPr>
            <w:tcW w:w="96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4"/>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(496)</w:t>
            </w:r>
          </w:p>
        </w:tc>
        <w:tc>
          <w:tcPr>
            <w:tcW w:w="960" w:type="dxa"/>
            <w:vAlign w:val="bottom"/>
          </w:tcPr>
          <w:p>
            <w:pPr>
              <w:jc w:val="center"/>
              <w:ind w:left="11"/>
              <w:spacing w:after="0"/>
              <w:rPr>
                <w:sz w:val="20"/>
                <w:szCs w:val="20"/>
                <w:color w:val="auto"/>
              </w:rPr>
            </w:pPr>
            <w:r>
              <w:rPr>
                <w:rFonts w:ascii="Arial" w:cs="Arial" w:eastAsia="Arial" w:hAnsi="Arial"/>
                <w:sz w:val="18"/>
                <w:szCs w:val="18"/>
                <w:color w:val="auto"/>
                <w:w w:val="94"/>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applicable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(8.6%)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94"/>
              </w:rPr>
              <w:t>(1.5%)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attributable to rental revenue from leasing our Distribution Systems to Windstream Holdings pursuant to the Master Lease.</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thus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three months ended June 30, 2017, we recognized $170.9 million of revenue from rents under the Master Lease, which included $4.3 million of straight-line revenues and $3.2 million of TCI revenue. For the three months ended June 30, 2016, we recognized $169.0 million of revenues from the Master Lease, which included $4.3 million of straight-line rent revenue, and $1.3 million of TCI revenue. The increase in TCI revenue is attributable to increased investment by Windstream in TCI’s. Windstream invested $80.0 million in TCIs during the three months ended June 30, 2017, an increase from $38.2 million it invested in TCIs during the three months ended June 30, 2016. Since the inception of the Master Lease, Windstream has invested a total of $339.3 million in such improvements.</w:t>
      </w:r>
    </w:p>
    <w:p>
      <w:pPr>
        <w:spacing w:after="0" w:line="8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Because a substantial portion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6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June 30, 2017, we recognized $35.0 million of revenue, approximately 70.8% of which was derived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lit backhaul services. For the three months ended June 30, 2016 we recognized $13.8 million of revenue, approximately 80% of which was derived from lit backhaul services. The increase is primarily driven by the timing of the acquisitions of PEG Bandwidth, LLC (“PEG”) and Tower Cloud, Inc. (“Tower Cloud”), which took place on May 2, 2016 and August 31, 2016, respectively. At June 30, 2017, we had approximately 5,600 customer connections, up from 3,300 customer connections at June 30, 2016. The increase is primarily attributable to the August 31, 2016 acquisition of Tower Cloud.</w:t>
      </w:r>
    </w:p>
    <w:p>
      <w:pPr>
        <w:spacing w:after="0" w:line="5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June 30, 2017, we recognized $2.5 million of revenue, of which $2.0 million relates to our Latin American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revenues associated with our January 2017 acquisition of Network Management Holdings LTD (“NMS”).</w:t>
      </w:r>
    </w:p>
    <w:p>
      <w:pPr>
        <w:spacing w:after="0" w:line="3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2017, we recognized $4.7 million of revenue from the Consumer CLEC Business, compared to $5.7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2016. The decrease is due to the effects of competition and customer attrition, as we served 33,100 customers as of June 30, 2017, a 19.7% decrease from 41,200 customers served at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expense for the three months ended June 30, 2017, totaled $75.1 million, which includes non-cash interest expense of $5.7 million resulting from the amortization of our debt discounts and debt issuance costs. Interest expense for the three months ended June 30, 2016 totaled $68.0 million, which includes non-cash interest expense of $3.8 million resulting from the amortization of our debt discounts and debt issuance costs. The increase is primarily related to interest expense on the add-on Secured Notes, 2024 Notes (December 2016 issuance) and the May 2017 Notes of $11.1 million, which were not incurred in the prior year. This increase was partially offset by approximately $5.0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three months ended June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three months ended June 30, 2017 totaled $102.6 million, which included property, plant and equipment depreciation of $99.7 million, corporate asset depreciation of $0.1 million and intangible asset amortization of $2.8 million. Charges for depreciation and amortization for the three months ended June 30, 2016 totaled $92.4 million, which included property, plant and equipment depreciation of $91.1 million, corporate asset depreciation of $0.1 million and intangible asset amortization of $1.2 million. The increase is primarily driven by the timing of the acquisitions of PEG and Tower Cloud, which closed on May 2, 2016 and August 31,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three months ended June 30, 2017, general and administrative costs totaled $13.5 million (6.3% of revenue), which includes $2.0 million of stock-based compensation expense. For the three months ended June 30, 2016, general and administrative costs totaled $8.2 million (4.4% of revenue), which includes $1.2 million of stock-based compensation expense. The increase is primarily driven by the timing of the acquisitions of PEG and Tower Cloud, which closed on May 2, 2016 and August 31, 2016, respectively. Fiber Infrastructure general and administrative expenses for the three months ended June 30, 2017 and 2016, totaled $5.4 million and $3.4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expense for the three months ended June 30, 2017, totaled $22 million (10.3% of revenue), and consisted of $3.3 million (1.5% of revenue) of expense related to the operation of the Consumer CLEC Business and $17.3 million (8.1% of revenue) of expense related to Fiber Infrastructure operations. For the three months ended June 30, 2016, operating expenses totaled $9.9 million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(5.2% of revenue), which related to the operation of the Consumer CLEC Business ($4.4 million) and Fiber Infrastructure operations ($5.5 million).</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to Fiber Infrastructure operating expense is primarily driven by the timing of the acquisitions of PEG and Tower Cloud, which closed on May 2, 2016 and August 31, 2016, respectively. For the three months ended June 30, 2017, Fiber Infrastructure operating expenses included $5.5 million of construction related expenses, $2.0 million of payroll related expense, $2.6 million of tower rent, $1.8 million of lit service expense and $1.7 million of dark fiber rent. For the three months ended June 30, 2016, Fiber Infrastructure operating expenses included $1.0 million of payroll related expense, $1.4 million of tower rent and $0.9 million of lit service expense.</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three months ended June 30, 2017 totaled $2.6 million (1.2% of revenue) and $0.4 million (0.2% of revenue), respectively, and expense associated with the Wholesale Agreement and the Master Services Agreement for the three months ended June 30, 2016 totaled $3.2 million (1.7% of revenue) and $0.4 million (0.2% of revenue),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expense for the three months ended June 30, 2017, totaled $2.2 million (1.1% of revenue), primarily as a result of an unrealized loss of $2.1 million for mark-to-market adjustments on our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for the three months ended June 30, 2017 and 2016, revenues and Adjusted EBITDA of our reportable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170,914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213,013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jc w:val="right"/>
              <w:ind w:right="896"/>
              <w:spacing w:after="0"/>
              <w:rPr>
                <w:sz w:val="20"/>
                <w:szCs w:val="20"/>
                <w:color w:val="auto"/>
              </w:rPr>
            </w:pPr>
            <w:r>
              <w:rPr>
                <w:rFonts w:ascii="Arial" w:cs="Arial" w:eastAsia="Arial" w:hAnsi="Arial"/>
                <w:sz w:val="18"/>
                <w:szCs w:val="18"/>
                <w:color w:val="auto"/>
                <w:w w:val="79"/>
              </w:rPr>
              <w:t>31</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168,966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(297)</w:t>
            </w:r>
          </w:p>
        </w:tc>
        <w:tc>
          <w:tcPr>
            <w:tcW w:w="5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(3,522)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2017 and 2016</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Beginning in the first quarter of 2017, the Company manages and reports our operations in four reportable segments: Leasing, Fiber Infrastructure, Towers, and Consumer CLEC. Prior period data has been reclassified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 of Revenues</w:t>
            </w:r>
          </w:p>
        </w:tc>
        <w:tc>
          <w:tcPr>
            <w:tcW w:w="0" w:type="dxa"/>
            <w:vAlign w:val="bottom"/>
          </w:tcPr>
          <w:p>
            <w:pPr>
              <w:spacing w:after="0"/>
              <w:rPr>
                <w:sz w:val="1"/>
                <w:szCs w:val="1"/>
                <w:color w:val="auto"/>
              </w:rPr>
            </w:pPr>
          </w:p>
        </w:tc>
      </w:tr>
      <w:tr>
        <w:trPr>
          <w:trHeight w:val="171"/>
        </w:trPr>
        <w:tc>
          <w:tcPr>
            <w:tcW w:w="6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341,220</w:t>
            </w:r>
          </w:p>
        </w:tc>
        <w:tc>
          <w:tcPr>
            <w:tcW w:w="340" w:type="dxa"/>
            <w:vAlign w:val="bottom"/>
          </w:tcPr>
          <w:p>
            <w:pPr>
              <w:spacing w:after="0"/>
              <w:rPr>
                <w:sz w:val="19"/>
                <w:szCs w:val="19"/>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80.4%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337,579</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16.4%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3,883</w:t>
            </w:r>
          </w:p>
        </w:tc>
        <w:tc>
          <w:tcPr>
            <w:tcW w:w="340" w:type="dxa"/>
            <w:vAlign w:val="bottom"/>
          </w:tcPr>
          <w:p>
            <w:pPr>
              <w:spacing w:after="0"/>
              <w:rPr>
                <w:sz w:val="19"/>
                <w:szCs w:val="19"/>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2"/>
              </w:rPr>
              <w:t>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2"/>
              </w:rPr>
              <w:t>2.3%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424,486</w:t>
            </w:r>
          </w:p>
        </w:tc>
        <w:tc>
          <w:tcPr>
            <w:tcW w:w="3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363,248</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148,451</w:t>
            </w:r>
          </w:p>
        </w:tc>
        <w:tc>
          <w:tcPr>
            <w:tcW w:w="340" w:type="dxa"/>
            <w:vAlign w:val="bottom"/>
          </w:tcPr>
          <w:p>
            <w:pPr>
              <w:spacing w:after="0"/>
              <w:rPr>
                <w:sz w:val="19"/>
                <w:szCs w:val="19"/>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35.0%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134,085</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203,960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48.0%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178,725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27,481</w:t>
            </w:r>
          </w:p>
        </w:tc>
        <w:tc>
          <w:tcPr>
            <w:tcW w:w="340" w:type="dxa"/>
            <w:vAlign w:val="bottom"/>
          </w:tcPr>
          <w:p>
            <w:pPr>
              <w:spacing w:after="0"/>
              <w:rPr>
                <w:sz w:val="19"/>
                <w:szCs w:val="19"/>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2"/>
              </w:rPr>
              <w:t>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13,428</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10.4%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Transaction related costs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23,701</w:t>
            </w:r>
          </w:p>
        </w:tc>
        <w:tc>
          <w:tcPr>
            <w:tcW w:w="340" w:type="dxa"/>
            <w:vAlign w:val="bottom"/>
          </w:tcPr>
          <w:p>
            <w:pPr>
              <w:spacing w:after="0"/>
              <w:rPr>
                <w:sz w:val="19"/>
                <w:szCs w:val="19"/>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2"/>
              </w:rPr>
              <w:t>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15,120</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2"/>
              </w:rPr>
              <w:t>3.2%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461,250</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108.7%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355,976</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98.0%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(8.7%)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4"/>
              </w:rPr>
              <w:t>(0.1%)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4"/>
              </w:rPr>
              <w:t>(8.6%)</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4"/>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(757)</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(1,312)</w:t>
            </w: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(438)</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(1,490)</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4"/>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(496)</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 applicable to common shareholders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4"/>
              </w:rPr>
              <w:t>(9.4%)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2017, we recognized $341.2 million of revenue from rents under the Master Lease, which included $8.6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straight-line revenues and $5.8 million of TCI revenue. For the six months ended June 30, 2016, we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recognized $337.6 million of revenues from the Master Lease, which included $8.6 million of straight-line rent revenue, and $2.2 million of TCI</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The increase in TCI revenue is attributable to increased investment by Windstream in TCIs. Windstream invested $113.8 million in TCIs during the six months ended June 30, 2017, an increase from $70.6 million it invested in TCIs during the six months ended June 30, 2016. Since the inception of the Master Lease, Windstream has invested a total of $339.3 million in such improvements.</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six months ended June 30, 2017 we recognized $69.8 million of revenue, approximately 70.5% of which was derived from lit</w:t>
      </w:r>
      <w:r>
        <w:rPr>
          <w:rFonts w:ascii="Arial" w:cs="Arial" w:eastAsia="Arial" w:hAnsi="Arial"/>
          <w:sz w:val="17"/>
          <w:szCs w:val="17"/>
          <w:i w:val="1"/>
          <w:iCs w:val="1"/>
          <w:color w:val="auto"/>
        </w:rPr>
        <w:t xml:space="preserve"> </w:t>
      </w:r>
      <w:r>
        <w:rPr>
          <w:rFonts w:ascii="Arial" w:cs="Arial" w:eastAsia="Arial" w:hAnsi="Arial"/>
          <w:sz w:val="17"/>
          <w:szCs w:val="17"/>
          <w:color w:val="auto"/>
        </w:rPr>
        <w:t>backhaul services. For the six months ended June 30, 2016 we recognized $13.8 million of revenue, approximately 80% of which was derived from lit backhaul services. The increase is primarily driven by the timing of the acquisitions of PEG and Tower Cloud, which took place on May 2, 2016 and August 31, 2016, respectively. At June 30, 2017, we had approximately 5,600 customer connections, up from 3,300 customer connections at June 30, 2016. The increase is primarily attributable to the August 31, 2016 acquisition of Tower Cloud.</w:t>
      </w:r>
    </w:p>
    <w:p>
      <w:pPr>
        <w:spacing w:after="0" w:line="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2017, we recognized $3.8 million of revenue, of which $3.1 million relates to our Latin American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revenues associated with our January 2017 acquisition of NMS.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2017, we recognized $9.6 million of revenue from the Consumer CLEC Business, compared to $11.8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2016. The decrease is due to the effects of competition and customer attrition, as we served 33,100 customers as of June 30, 2017, a 19.7% decrease from 41,200 customers served at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expense for the six months ended June 30, 2017, totaled $148.5 million, which includes non-cash interest expense of $11.0 million resulting from the amortization of our debt discounts and debt issuance costs. Interest expense for the six months ended June 30, 2016, totaled $134.1 million, which includes non-cash interest expense of $7.6 million resulting from the amortization of our debt discounts and debt issuance costs. The increase is primarily related to interest expense on the add-on Secured Notes, 2024 Notes (December 2016 issuance) and the May 2017 Notes of $20.4 million, which were not incurred in the prior year. This increase was partially offset by approximately $8.8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six months ended June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six months ended June 30, 2017 totaled $204 million, which included property, plant and equipment depreciation of $198.5 million, corporate asset depreciation of $0.2 million and intangible asset amortization of $5.3 million. Charges for depreciation and amortization for the six months ended June 30, 2016 totaled $178.7 million, which included property, plant and equipment depreciation of $176.6 million, corporate asset depreciation of $0.1 million and intangible asset amortization of $2.0 million. The increase is primarily driven by the timing of the acquisitions of PEG and Tower Cloud, which closed on May 2, 2016 and August 31,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six months ended June 30, 2017, general and administrative costs totaled $27.5 million (6.5% of revenue), which includes $3.6 million of stock-based compensation expense. For the six months ended June 30, 2016, general and administrative costs totaled $13.4 million (3.7% of revenue), which includes $2.1 million of stock-based compensation expense. The increase is primarily driven by the timing of the acquisitions of PEG and Tower Cloud, which closed on May 2, 2016 and August 31, 2016, respectively. Fiber Infrastructure general and administrative expenses for the six months ended June 30, 2017 and 2016, totaled $11.2 million and $3.4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Operating expense for the six months ended June 30, 2017, totaled $44.1 million (10.4% of revenue), and consisted of $7.1 million (1.7% of revenue) of expense related to the operation of the Consumer CLEC Business and $35 million (8.2% of revenue) of expense related to Fiber Infrastructure operations. For the six months ended June 30, 2016, operating expenses totaled $14.6 million (4.0%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revenue), which related to the operation of the Consumer CLEC Business ($9.1 million) and Fiber Infrastructure operations ($5.5 million).</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increase to Fiber Infrastructure operating expense is primarily driven by the timing of the acquisitions of PEG and Tower Cloud, which closed on May 2, 2016 and August 31, 2016, respectively. For the six months ended June 30, 2017, Fiber Infrastructure operating expenses included $11.1 million of construction related expenses, $4.1 million of payroll related expense, $5.2 million of tower rent, $3.6 million of lit service expense, $3.4 million of maintenance expense and $3.4 million of dark fiber rent. For the six months ended June 30, 2016, Fiber Infrastructure operating expenses included $1.0 million of payroll related expense, $1.4 million of tower rent and $0.9 million of lit service expense.</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six months ended June 30, 2017 totaled $5.4 million (1.3% of revenue) and $0.8 million (0.2% of revenue), respectively, and expense associated with the Wholesale Agreement and the Master Services Agreement for the six months ended June 30, 2016 totaled $6.6 million (1.8% of revenue) and $0.9 million (0.2% of revenue),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expense for the six months ended June 30, 2017, totaled $13.6 million (3.2% of revenue), primarily as a result of an unrealized loss of $13.0 million for mark-to-market adjustments on our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for the six months ended June 30, 2017 and 2016, revenues and Adjusted EBITDA of our reportable segments: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341,220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424,486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340,588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(977)</w:t>
            </w:r>
          </w:p>
        </w:tc>
        <w:tc>
          <w:tcPr>
            <w:tcW w:w="5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(9,713)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w w:val="95"/>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203,960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jc w:val="right"/>
              <w:ind w:right="896"/>
              <w:spacing w:after="0"/>
              <w:rPr>
                <w:sz w:val="20"/>
                <w:szCs w:val="20"/>
                <w:color w:val="auto"/>
              </w:rPr>
            </w:pPr>
            <w:r>
              <w:rPr>
                <w:rFonts w:ascii="Arial" w:cs="Arial" w:eastAsia="Arial" w:hAnsi="Arial"/>
                <w:sz w:val="18"/>
                <w:szCs w:val="18"/>
                <w:color w:val="auto"/>
                <w:w w:val="79"/>
              </w:rPr>
              <w:t>34</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Six Months Ended June 30,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337,579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336,837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(599)</w:t>
            </w: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w w:val="95"/>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and the amortization of other non-cash revenues to the extent that cash has not been received, such as revenue associated with the amortization of TCIs and (iii)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and financial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We use FFO and AFFO, and their respective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per share amounts,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applicable to common shareholders to FFO and AFFO for the three and six months ended June 30, 2017 and 2016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4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102,599</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203,960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178,725</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161,300</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159,213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315,647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Transaction related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179,570</w:t>
            </w:r>
          </w:p>
        </w:tc>
        <w:tc>
          <w:tcPr>
            <w:tcW w:w="3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171,640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Net (loss) income attributable to common shareholders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92,181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183,195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172,832</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(381)</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applicable to common shareholders</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73,939</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143,165</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Transaction related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14,017</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23,701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15,120</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2,588</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depreciation and amortization</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Straight-line revenues</w:t>
            </w: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(3,619)</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(7,248)</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(8,627)</w:t>
            </w: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Maintenance capital expenditures</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(1,442)</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(1,978)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Amortization of discount on convertible preferred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non-cash (revenue) expense, net</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(2,467)</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(5,795)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(2,509)</w:t>
            </w: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AFFO applicable to common shareholders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101,442</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201,758</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197,076</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2016, filed with SEC on February 23, 2017. As of June 30, 2017, there has been no material change to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 As of June 30, 2017, we had cash and cash equivalents of $934.1 million and $515 million of undrawn borrowing capacity under the Revolving Credit Facility. On July 3, 2017, we closed the previously announced acquisitions of Southern Light and Hunt, using approximately $762 million in cash, including the payoff of existing indebtedness and unpaid transaction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was $196.4 million and $183.8 million for the six months ended June 30, 2017 and 2016, respectively.</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Cash used in investing activities was $123.3 million for the six months ended June 30, 2017, which was driven by the acquisition of NMS assets ($67.9 million), ground lease investments ($9.4 million) and capital expenditures ($46.2 million), primarily related to our Uniti Fiber and Uniti Towers businesses. Cash used in investing activities was $325.6 million for the six months ended June 30, 2016, which was driven by the acquisition of PEG ($316.1 million) and capital expenditures ($9.5 million). The increase in capital expenditures is due to network deployments related to our Uniti Fiber and Uniti Towers businesses.</w:t>
      </w:r>
    </w:p>
    <w:p>
      <w:pPr>
        <w:spacing w:after="0" w:line="8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As of June 30, 2017, under the terms of the purchase agreement with NMS, we have acquired 40 of the 105 completed towers, which were under development at the time of the NMS acquisition, for approximately $3.6 million.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provided by financing activities was $688.8 million for the six months ended June 30, 2017, which primarily represents the net proceeds from the sale of common stock through a public offering ($499.0 million) and proceeds from the May 2017 Notes ($201.0 million), which were used to fund acquisitions of Southern Light and Hunt, and net borrowings under the Revolving Credit Facility ($235.0 million), partially offset by dividend payments ($188.3 million), deferred financing costs related to the term loan repricing ($25.4 million), contingent consideration payments ($18.8 million), and principal payments related to the Term Loan Facility ($10.5 million).</w:t>
      </w:r>
    </w:p>
    <w:p>
      <w:pPr>
        <w:spacing w:after="0" w:line="8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June 30, 2017,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recently completed acquisitions of Hunt and Southern Light.</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anticipate our cash on hand and borrowing availability under our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including, without limitation, the ATM Program.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May 9, 2017, the Company completed its previously announced reorganization (the “up-REIT Reorganization”) to operate through a customary “up-REIT” structure. Under this structure, a new partnership, Uniti Group LP (the “Operating Partnership”), now holds substantially all of the Company’s assets and is the parent company of CSL Capital, LLC, Uniti Group Finance Inc. and Uniti Fiber Holdings Inc. In connection with the reorganization, the Operating Partnership replaced the Company and assumed its obligations as an obligor under the Notes and Credit Agreement. The Company subsequently become a guarantor of the Notes and Credit Agreement. The issuers of the Notes and their subsidiaries include substantially all the assets, liabilities and operations of the Company, with the only significant difference between the financial position and results of operations of the issuers and their subsidiaries compared to the consolidated financial position and consolidated results of operations of Uniti is that the results for the issuers and their subsidiaries do not include Uniti’s Consumer CLEC segment, which consists of Talk America Services. Our financial statements present financial information for this segment in Note 12 to our unaudited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o</w:t>
      </w:r>
      <w:r>
        <w:rPr>
          <w:rFonts w:ascii="Arial" w:cs="Arial" w:eastAsia="Arial" w:hAnsi="Arial"/>
          <w:sz w:val="18"/>
          <w:szCs w:val="18"/>
          <w:b w:val="1"/>
          <w:bCs w:val="1"/>
          <w:color w:val="auto"/>
        </w:rPr>
        <w:t>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contractual obligations and commitments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3"/>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780" w:type="dxa"/>
            <w:vAlign w:val="bottom"/>
          </w:tcPr>
          <w:p>
            <w:pPr>
              <w:jc w:val="right"/>
              <w:ind w:right="47"/>
              <w:spacing w:after="0" w:line="133"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More than</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5 Years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Interest payments on long-term debt obligations</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 deployment</w:t>
            </w:r>
            <w:r>
              <w:rPr>
                <w:rFonts w:ascii="Arial" w:cs="Arial" w:eastAsia="Arial" w:hAnsi="Arial"/>
                <w:sz w:val="15"/>
                <w:szCs w:val="15"/>
                <w:color w:val="auto"/>
              </w:rPr>
              <w:t>(c)</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 projected obligations and commitments</w:t>
            </w:r>
            <w:r>
              <w:rPr>
                <w:rFonts w:ascii="Arial" w:cs="Arial" w:eastAsia="Arial" w:hAnsi="Arial"/>
                <w:sz w:val="15"/>
                <w:szCs w:val="15"/>
                <w:b w:val="1"/>
                <w:bCs w:val="1"/>
                <w:color w:val="auto"/>
              </w:rPr>
              <w:t>(d)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$153.2 million of unamortized discounts on long-term debt and deferred financing costs.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 on our Term Loan Facility are based on our swap rates.</w:t>
      </w:r>
    </w:p>
    <w:p>
      <w:pPr>
        <w:spacing w:after="0" w:line="9"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Network deployment purchase commitments are for success-based projects for which we have a signed customer contract before we commit resources to expand our network.</w:t>
      </w: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$12.2 million of derivative liability related to interest rate swaps maturing on October 24,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14, 2017, we paid, to shareholders of record as of the close of business on June 30, 2017, a cash dividend on our common stock of $0.60 per share for the period from April 1, 2017 through June 30, 2017.</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14, 2017, we paid, to shareholders of record as of the close of business on March 31, 2017, a cash dividend on our common stock of $0.60 per share for the period from January 1, 2017 through March 31, 2017.</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13, 2017, we paid, to shareholders of record as of the close of business on December 30, 2016, a cash dividend on our common stock of $0.60 per share for the period from October 1, 2016 through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Towers portfolios, and expect that cash on hand, borrowings under our Revolving Credit Facility, and cash flows provided by operating activities will be sufficient to support these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2016, filed with the SEC on February 23, 2017.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2017, the FASB issued Accounting Standards Update (“ASU”) No. 2017-05, </w:t>
      </w:r>
      <w:r>
        <w:rPr>
          <w:rFonts w:ascii="Arial" w:cs="Arial" w:eastAsia="Arial" w:hAnsi="Arial"/>
          <w:sz w:val="18"/>
          <w:szCs w:val="18"/>
          <w:i w:val="1"/>
          <w:iCs w:val="1"/>
          <w:color w:val="auto"/>
        </w:rPr>
        <w:t>Other Income - Gains and Losses from the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Nonfinancial Assets (Subtopic 610-20): Clarifying the Scope of Asset Derecognition Guidance and Accounting for Partial Sales of Nonfinancial Assets</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for recognizing gains and losses from the transfer of nonfinancial assets and for partial sales of nonfinancial assets, and is effective for financial statements issued for fiscal years and interim periods beginning after December 15, 2017. The Company is currently evaluating the impacts the adoption of this accounting standard will have on our financial statements.</w:t>
      </w:r>
    </w:p>
    <w:p>
      <w:pPr>
        <w:spacing w:after="0" w:line="18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Accounting for Goodwill Impairment</w:t>
      </w:r>
      <w:r>
        <w:rPr>
          <w:rFonts w:ascii="Arial" w:cs="Arial" w:eastAsia="Arial" w:hAnsi="Arial"/>
          <w:sz w:val="16"/>
          <w:szCs w:val="16"/>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t>
      </w:r>
      <w:r>
        <w:rPr>
          <w:rFonts w:ascii="Arial" w:cs="Arial" w:eastAsia="Arial" w:hAnsi="Arial"/>
          <w:sz w:val="16"/>
          <w:szCs w:val="16"/>
          <w:color w:val="2F2F2F"/>
        </w:rPr>
        <w:t>We adopted ASU</w:t>
      </w:r>
      <w:r>
        <w:rPr>
          <w:rFonts w:ascii="Arial" w:cs="Arial" w:eastAsia="Arial" w:hAnsi="Arial"/>
          <w:sz w:val="16"/>
          <w:szCs w:val="16"/>
          <w:color w:val="auto"/>
        </w:rPr>
        <w:t xml:space="preserve"> </w:t>
      </w:r>
      <w:r>
        <w:rPr>
          <w:rFonts w:ascii="Arial" w:cs="Arial" w:eastAsia="Arial" w:hAnsi="Arial"/>
          <w:sz w:val="16"/>
          <w:szCs w:val="16"/>
          <w:color w:val="2F2F2F"/>
        </w:rPr>
        <w:t>2017-04 effective January 1, 2017, and there was no material impact on our financial position, results of operations or cash flows.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NMS was determined to be an asset acquisition. Transaction costs associated with asset acquisitions, which includes our real property interest investments, are now capitalized as opposed to be recorded as an expense as was required prior to adoption of ASU 2017-01.</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using the modified retrospective approach. The Company’s implementation efforts include reviewing revenue contracts and the identification of revenue within the scope of the guidance. While the Company currently has not identified any material changes in the timing of revenue recognition, the evaluation is ongoing.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w:t>
      </w:r>
      <w:r>
        <w:rPr>
          <w:rFonts w:ascii="Arial" w:cs="Arial" w:eastAsia="Arial" w:hAnsi="Arial"/>
          <w:sz w:val="16"/>
          <w:szCs w:val="16"/>
          <w:color w:val="2F2F2F"/>
        </w:rPr>
        <w:t>sets out the principles for the recognition, measurement, presentation and</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2F2F2F"/>
        </w:rPr>
        <w:t>disclosure of leases for both parties to a contract (i.e. lessees and lessors). The new standard requires lessees to apply a dual approach, classifying leases as either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2F2F2F"/>
        </w:rPr>
        <w:t>finance or operating leases based on the principle of whether or not the lease is effectively a financed purchase by the lessee. This classification will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2F2F2F"/>
        </w:rPr>
        <w:t xml:space="preserve">determine </w:t>
      </w:r>
      <w:r>
        <w:rPr>
          <w:rFonts w:ascii="Arial" w:cs="Arial" w:eastAsia="Arial" w:hAnsi="Arial"/>
          <w:sz w:val="15"/>
          <w:szCs w:val="15"/>
          <w:color w:val="000000"/>
        </w:rPr>
        <w:t>whether lease expense is recognized</w:t>
      </w:r>
      <w:r>
        <w:rPr>
          <w:rFonts w:ascii="Arial" w:cs="Arial" w:eastAsia="Arial" w:hAnsi="Arial"/>
          <w:sz w:val="15"/>
          <w:szCs w:val="15"/>
          <w:color w:val="2F2F2F"/>
        </w:rPr>
        <w:t xml:space="preserve"> based on an effective interest method </w:t>
      </w:r>
      <w:r>
        <w:rPr>
          <w:rFonts w:ascii="Arial" w:cs="Arial" w:eastAsia="Arial" w:hAnsi="Arial"/>
          <w:sz w:val="15"/>
          <w:szCs w:val="15"/>
          <w:color w:val="000000"/>
        </w:rPr>
        <w:t>or</w:t>
      </w:r>
      <w:r>
        <w:rPr>
          <w:rFonts w:ascii="Arial" w:cs="Arial" w:eastAsia="Arial" w:hAnsi="Arial"/>
          <w:sz w:val="15"/>
          <w:szCs w:val="15"/>
          <w:color w:val="2F2F2F"/>
        </w:rPr>
        <w:t xml:space="preserve"> on a straight line basis over the term of the lease, respectively. A lessee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2F2F2F"/>
        </w:rPr>
        <w:t>also required to record a right-of-use asset and a lease liability for all leases with a term of greater than 12 months regardless of their classification. Leases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F2F2F"/>
        </w:rPr>
        <w:t xml:space="preserve">term of 12 months or less will be accounted for similar to existing guidance for operating leases today. </w:t>
      </w:r>
      <w:r>
        <w:rPr>
          <w:rFonts w:ascii="Arial" w:cs="Arial" w:eastAsia="Arial" w:hAnsi="Arial"/>
          <w:sz w:val="16"/>
          <w:szCs w:val="16"/>
          <w:color w:val="000000"/>
        </w:rPr>
        <w:t>The provisions of this guidance are effective for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periods beginning after December 31, 2018, and for interim periods therein. </w:t>
      </w:r>
      <w:r>
        <w:rPr>
          <w:rFonts w:ascii="Arial" w:cs="Arial" w:eastAsia="Arial" w:hAnsi="Arial"/>
          <w:sz w:val="16"/>
          <w:szCs w:val="16"/>
          <w:color w:val="2F2F2F"/>
        </w:rPr>
        <w:t>The Company is currently evaluating this guidance to determine the impact it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F2F2F"/>
        </w:rPr>
        <w:t>have on our financial statements by reviewing its existing operating lease contracts, where we are the lessee and service contracts that may include embedded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F2F2F"/>
        </w:rPr>
        <w:t>leases. The Company expects a gross-up of its Consolidated Balance Sheets as a result of recognizing lease liabilities and right of use assets, the extent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F2F2F"/>
        </w:rPr>
        <w:t>impact of a gross-up is under evaluation. The Company does not anticipate material chang</w:t>
      </w:r>
      <w:r>
        <w:rPr>
          <w:rFonts w:ascii="Arial" w:cs="Arial" w:eastAsia="Arial" w:hAnsi="Arial"/>
          <w:sz w:val="16"/>
          <w:szCs w:val="16"/>
          <w:color w:val="000000"/>
        </w:rPr>
        <w:t>es to the recognition of operating lease expense in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w:t>
      </w:r>
      <w:r>
        <w:rPr>
          <w:rFonts w:ascii="Arial" w:cs="Arial" w:eastAsia="Arial" w:hAnsi="Arial"/>
          <w:sz w:val="18"/>
          <w:szCs w:val="18"/>
          <w:color w:val="2F2F2F"/>
        </w:rPr>
        <w:t>.</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ASU 2016-15 provides guidance on reducing the diversity in how certain cash receipts and cash payments are presented and classified in the statement of cash flows. In addition to other specific cash flow issues, ASU 2016-15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 the adoption of this accounting standard will have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2016, filed with the SEC on February 23,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2017. Based on this evaluation, our principal executive officer and principal financial officer concluded that our disclosure controls and procedures were effective as of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June 30,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2016 filed with the SEC on February 23,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jc w:val="right"/>
              <w:ind w:right="433"/>
              <w:spacing w:after="0"/>
              <w:rPr>
                <w:sz w:val="20"/>
                <w:szCs w:val="20"/>
                <w:color w:val="auto"/>
              </w:rPr>
            </w:pPr>
            <w:r>
              <w:rPr>
                <w:rFonts w:ascii="Arial" w:cs="Arial" w:eastAsia="Arial" w:hAnsi="Arial"/>
                <w:sz w:val="14"/>
                <w:szCs w:val="14"/>
                <w:b w:val="1"/>
                <w:bCs w:val="1"/>
                <w:color w:val="auto"/>
              </w:rPr>
              <w:t>Exhibit</w:t>
            </w: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320" w:type="dxa"/>
            <w:vAlign w:val="bottom"/>
            <w:gridSpan w:val="18"/>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2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2.1</w:t>
            </w:r>
          </w:p>
        </w:tc>
        <w:tc>
          <w:tcPr>
            <w:tcW w:w="9440" w:type="dxa"/>
            <w:vAlign w:val="bottom"/>
            <w:tcBorders>
              <w:bottom w:val="single" w:sz="8" w:color="0000EE"/>
            </w:tcBorders>
            <w:gridSpan w:val="11"/>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Membership Interest Purchase Agreement, dated April 7, 2017, by and among Uniti Group Inc., Uniti Fiber Holdings Inc. and SLF</w:t>
              </w:r>
            </w:hyperlink>
          </w:p>
        </w:tc>
        <w:tc>
          <w:tcPr>
            <w:tcW w:w="380" w:type="dxa"/>
            <w:vAlign w:val="bottom"/>
            <w:gridSpan w:val="10"/>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96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Holdings, LLC (incorporated by reference to Exhibit 2.1 to the Company’s Current Report on Form 8-K dated as of April 7, 2017 and</w:t>
              </w:r>
            </w:hyperlink>
          </w:p>
        </w:tc>
        <w:tc>
          <w:tcPr>
            <w:tcW w:w="18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5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filed with the SEC as of April 11, 2017 (File No. 001-36708)).</w:t>
              </w:r>
            </w:hyperlink>
          </w:p>
        </w:tc>
        <w:tc>
          <w:tcPr>
            <w:tcW w:w="5320" w:type="dxa"/>
            <w:vAlign w:val="bottom"/>
            <w:gridSpan w:val="18"/>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2.2</w:t>
            </w:r>
          </w:p>
        </w:tc>
        <w:tc>
          <w:tcPr>
            <w:tcW w:w="9820" w:type="dxa"/>
            <w:vAlign w:val="bottom"/>
            <w:tcBorders>
              <w:bottom w:val="single" w:sz="8" w:color="0000EE"/>
            </w:tcBorders>
            <w:gridSpan w:val="21"/>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Agreement of Limited Partnership of Uniti Group LP, dated July 3, 2017, by and between Uniti and Uniti Group</w:t>
              </w:r>
            </w:hyperlink>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LP LLC (incorporated by reference to Exhibit 2.1 to the Company’s Current Report on Form 8-K dated as of July 3, 2017 and filed with</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the SEC as of July 3, 2017 (File No. 001-36708)).</w:t>
              </w:r>
            </w:hyperlink>
          </w:p>
        </w:tc>
        <w:tc>
          <w:tcPr>
            <w:tcW w:w="6220" w:type="dxa"/>
            <w:vAlign w:val="bottom"/>
            <w:gridSpan w:val="19"/>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3.1</w:t>
            </w:r>
          </w:p>
        </w:tc>
        <w:tc>
          <w:tcPr>
            <w:tcW w:w="9820" w:type="dxa"/>
            <w:vAlign w:val="bottom"/>
            <w:gridSpan w:val="21"/>
          </w:tcPr>
          <w:p>
            <w:pPr>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Amended and Restated Bylaws of Uniti Group Inc., as amended May 1, 2017 (incorporated by reference to Exhibit 3.1 to the</w:t>
              </w:r>
            </w:hyperlink>
          </w:p>
        </w:tc>
      </w:tr>
      <w:tr>
        <w:trPr>
          <w:trHeight w:val="20"/>
        </w:trPr>
        <w:tc>
          <w:tcPr>
            <w:tcW w:w="12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5"/>
              </w:rPr>
            </w:pPr>
            <w:hyperlink r:id="rId69">
              <w:r>
                <w:rPr>
                  <w:rFonts w:ascii="Arial" w:cs="Arial" w:eastAsia="Arial" w:hAnsi="Arial"/>
                  <w:sz w:val="18"/>
                  <w:szCs w:val="18"/>
                  <w:color w:val="0000EE"/>
                  <w:w w:val="95"/>
                </w:rPr>
                <w:t>Company’s Current Report on Form 8-K dated as of May 1, 2017 and filed with the SEC as of May 2, 2017 (File No. 001-36708)).</w:t>
              </w:r>
            </w:hyperlink>
          </w:p>
        </w:tc>
      </w:tr>
      <w:tr>
        <w:trPr>
          <w:trHeight w:val="20"/>
        </w:trPr>
        <w:tc>
          <w:tcPr>
            <w:tcW w:w="12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3.2</w:t>
            </w:r>
          </w:p>
        </w:tc>
        <w:tc>
          <w:tcPr>
            <w:tcW w:w="9540" w:type="dxa"/>
            <w:vAlign w:val="bottom"/>
            <w:tcBorders>
              <w:bottom w:val="single" w:sz="8" w:color="0000EE"/>
            </w:tcBorders>
            <w:gridSpan w:val="14"/>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Articles of Amendment to the Articles Supplementary for 3.00% Series A Convertible Preferred Stock of the Uniti Group Inc. dated</w:t>
              </w:r>
            </w:hyperlink>
          </w:p>
        </w:tc>
        <w:tc>
          <w:tcPr>
            <w:tcW w:w="28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May 9, 2017 (incorporated by reference to Exhibit 3.1 to the Company’s Current Report on Form 8-K dated and filed with the SEC on</w:t>
              </w:r>
            </w:hyperlink>
          </w:p>
        </w:tc>
      </w:tr>
      <w:tr>
        <w:trPr>
          <w:trHeight w:val="196"/>
        </w:trPr>
        <w:tc>
          <w:tcPr>
            <w:tcW w:w="1240" w:type="dxa"/>
            <w:vAlign w:val="bottom"/>
          </w:tcPr>
          <w:p>
            <w:pPr>
              <w:spacing w:after="0"/>
              <w:rPr>
                <w:sz w:val="17"/>
                <w:szCs w:val="17"/>
                <w:color w:val="auto"/>
              </w:rPr>
            </w:pPr>
          </w:p>
        </w:tc>
        <w:tc>
          <w:tcPr>
            <w:tcW w:w="2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May 9, 2017 (File No. 001-36708)).</w:t>
              </w:r>
            </w:hyperlink>
          </w:p>
        </w:tc>
        <w:tc>
          <w:tcPr>
            <w:tcW w:w="7080" w:type="dxa"/>
            <w:vAlign w:val="bottom"/>
            <w:tcBorders>
              <w:top w:val="single" w:sz="8" w:color="0000EE"/>
            </w:tcBorders>
            <w:gridSpan w:val="16"/>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4.1</w:t>
            </w:r>
          </w:p>
        </w:tc>
        <w:tc>
          <w:tcPr>
            <w:tcW w:w="9820" w:type="dxa"/>
            <w:vAlign w:val="bottom"/>
            <w:gridSpan w:val="21"/>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Fifth Supplemental Indenture, dated as of May 9, 2017, to the indenture dated as of April 24, 2015, among Uniti Group LP, Uniti Group</w:t>
              </w:r>
            </w:hyperlink>
          </w:p>
        </w:tc>
      </w:tr>
      <w:tr>
        <w:trPr>
          <w:trHeight w:val="20"/>
        </w:trPr>
        <w:tc>
          <w:tcPr>
            <w:tcW w:w="1240" w:type="dxa"/>
            <w:vAlign w:val="bottom"/>
          </w:tcPr>
          <w:p>
            <w:pPr>
              <w:spacing w:after="0" w:line="20" w:lineRule="exact"/>
              <w:rPr>
                <w:sz w:val="1"/>
                <w:szCs w:val="1"/>
                <w:color w:val="auto"/>
              </w:rPr>
            </w:pPr>
          </w:p>
        </w:tc>
        <w:tc>
          <w:tcPr>
            <w:tcW w:w="49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Finance Inc., CSL Capital, LLC, Uniti Group Inc., the guarantors named therein and Wells Fargo Bank, National Association, as trustee,</w:t>
              </w:r>
            </w:hyperlink>
          </w:p>
        </w:tc>
      </w:tr>
      <w:tr>
        <w:trPr>
          <w:trHeight w:val="196"/>
        </w:trPr>
        <w:tc>
          <w:tcPr>
            <w:tcW w:w="124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governing the 8.25% Senior Notes due 2023 (incorporated by reference to Exhibit 4.1 to the Company’s Current Report on Form 8-K</w:t>
              </w:r>
            </w:hyperlink>
          </w:p>
        </w:tc>
        <w:tc>
          <w:tcPr>
            <w:tcW w:w="22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dated and filed with the SEC on May 9, 2017 (File No. 001-36708)).</w:t>
              </w:r>
            </w:hyperlink>
          </w:p>
        </w:tc>
        <w:tc>
          <w:tcPr>
            <w:tcW w:w="4880" w:type="dxa"/>
            <w:vAlign w:val="bottom"/>
            <w:gridSpan w:val="17"/>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4.2</w:t>
            </w:r>
          </w:p>
        </w:tc>
        <w:tc>
          <w:tcPr>
            <w:tcW w:w="9820" w:type="dxa"/>
            <w:vAlign w:val="bottom"/>
            <w:tcBorders>
              <w:bottom w:val="single" w:sz="8" w:color="0000EE"/>
            </w:tcBorders>
            <w:gridSpan w:val="21"/>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Sixth Supplemental Indenture, dated as of May 9, 2017, to the indenture dated as of April 24, 2015, among Uniti Group LP, Uniti Group</w:t>
              </w:r>
            </w:hyperlink>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Finance Inc., CSL Capital, LLC, Uniti Group Inc., the guarantors named therein and Wells Fargo Bank, National Association, as trustee,</w:t>
              </w:r>
            </w:hyperlink>
          </w:p>
        </w:tc>
      </w:tr>
      <w:tr>
        <w:trPr>
          <w:trHeight w:val="196"/>
        </w:trPr>
        <w:tc>
          <w:tcPr>
            <w:tcW w:w="124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governing the 8.25% Senior Notes due 2023 (incorporated by reference to Exhibit 4.2 to the Company’s Current Report on Form 8-K</w:t>
              </w:r>
            </w:hyperlink>
          </w:p>
        </w:tc>
        <w:tc>
          <w:tcPr>
            <w:tcW w:w="22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dated and filed with the SEC on May 9, 2017 (File No. 001-36708)).</w:t>
              </w:r>
            </w:hyperlink>
          </w:p>
        </w:tc>
        <w:tc>
          <w:tcPr>
            <w:tcW w:w="4880" w:type="dxa"/>
            <w:vAlign w:val="bottom"/>
            <w:gridSpan w:val="17"/>
          </w:tcPr>
          <w:p>
            <w:pPr>
              <w:spacing w:after="0"/>
              <w:rPr>
                <w:sz w:val="17"/>
                <w:szCs w:val="17"/>
                <w:color w:val="auto"/>
              </w:rPr>
            </w:pPr>
          </w:p>
        </w:tc>
      </w:tr>
      <w:tr>
        <w:trPr>
          <w:trHeight w:val="412"/>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4.3</w:t>
            </w:r>
          </w:p>
        </w:tc>
        <w:tc>
          <w:tcPr>
            <w:tcW w:w="9820" w:type="dxa"/>
            <w:vAlign w:val="bottom"/>
            <w:tcBorders>
              <w:bottom w:val="single" w:sz="8" w:color="0000EE"/>
            </w:tcBorders>
            <w:gridSpan w:val="21"/>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Sixth Supplemental Indenture, dated as of May 9, 2017, to the indenture dated as of April 24, 2015, among Uniti Group LP, Uniti Group</w:t>
              </w:r>
            </w:hyperlink>
          </w:p>
        </w:tc>
      </w:tr>
      <w:tr>
        <w:trPr>
          <w:trHeight w:val="196"/>
        </w:trPr>
        <w:tc>
          <w:tcPr>
            <w:tcW w:w="1240" w:type="dxa"/>
            <w:vAlign w:val="bottom"/>
          </w:tcPr>
          <w:p>
            <w:pPr>
              <w:spacing w:after="0"/>
              <w:rPr>
                <w:sz w:val="17"/>
                <w:szCs w:val="17"/>
                <w:color w:val="auto"/>
              </w:rPr>
            </w:pPr>
          </w:p>
        </w:tc>
        <w:tc>
          <w:tcPr>
            <w:tcW w:w="97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Finance Inc., CSL Capital, LLC, Uniti Group Inc., the guarantors named therein and Wells Fargo Bank, National Association, as trustee</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and collateral agent, governing the 6.00% Senior Secured Notes due 2023 (incorporated by reference to Exhibit 4.3 to the Company’s</w:t>
              </w:r>
            </w:hyperlink>
          </w:p>
        </w:tc>
      </w:tr>
      <w:tr>
        <w:trPr>
          <w:trHeight w:val="196"/>
        </w:trPr>
        <w:tc>
          <w:tcPr>
            <w:tcW w:w="124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Current Report on Form 8-K dated and filed with the SEC on May 9, 2017 (File No. 001-36708)).</w:t>
              </w:r>
            </w:hyperlink>
          </w:p>
        </w:tc>
        <w:tc>
          <w:tcPr>
            <w:tcW w:w="2540" w:type="dxa"/>
            <w:vAlign w:val="bottom"/>
            <w:tcBorders>
              <w:top w:val="single" w:sz="8" w:color="0000EE"/>
            </w:tcBorders>
            <w:gridSpan w:val="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4.4</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Seventh Supplemental Indenture, dated as of May 9, 2017, to the indenture dated as of April 24, 2015, among Uniti Group LP, Uniti</w:t>
              </w:r>
            </w:hyperlink>
          </w:p>
        </w:tc>
        <w:tc>
          <w:tcPr>
            <w:tcW w:w="30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Group Finance Inc., CSL Capital, LLC, Uniti Group Inc., the guarantors named therein and Wells Fargo Bank, National Association, as</w:t>
              </w:r>
            </w:hyperlink>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trustee and collateral agent, governing the 6.00% Senior Secured Notes due 2023 (incorporated by reference to Exhibit 4.4 to the</w:t>
              </w:r>
            </w:hyperlink>
          </w:p>
        </w:tc>
      </w:tr>
      <w:tr>
        <w:trPr>
          <w:trHeight w:val="196"/>
        </w:trPr>
        <w:tc>
          <w:tcPr>
            <w:tcW w:w="124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Company’s Current Report on Form 8-K dated and filed with the SEC on May 9, 2017 (File No. 001-36708)).</w:t>
              </w:r>
            </w:hyperlink>
          </w:p>
        </w:tc>
        <w:tc>
          <w:tcPr>
            <w:tcW w:w="1340" w:type="dxa"/>
            <w:vAlign w:val="bottom"/>
            <w:tcBorders>
              <w:top w:val="single" w:sz="8" w:color="0000EE"/>
            </w:tcBorders>
            <w:gridSpan w:val="2"/>
          </w:tcPr>
          <w:p>
            <w:pPr>
              <w:spacing w:after="0"/>
              <w:rPr>
                <w:sz w:val="17"/>
                <w:szCs w:val="17"/>
                <w:color w:val="auto"/>
              </w:rPr>
            </w:pPr>
          </w:p>
        </w:tc>
        <w:tc>
          <w:tcPr>
            <w:tcW w:w="560" w:type="dxa"/>
            <w:vAlign w:val="bottom"/>
            <w:gridSpan w:val="12"/>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4.5</w:t>
            </w:r>
          </w:p>
        </w:tc>
        <w:tc>
          <w:tcPr>
            <w:tcW w:w="9820" w:type="dxa"/>
            <w:vAlign w:val="bottom"/>
            <w:gridSpan w:val="2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Third Supplemental Indenture, dated as of May 9, 2017, to the indenture dated as of December 15, 2016, among Uniti Group LP, Uniti</w:t>
              </w:r>
            </w:hyperlink>
          </w:p>
        </w:tc>
      </w:tr>
      <w:tr>
        <w:trPr>
          <w:trHeight w:val="20"/>
        </w:trPr>
        <w:tc>
          <w:tcPr>
            <w:tcW w:w="1240" w:type="dxa"/>
            <w:vAlign w:val="bottom"/>
          </w:tcPr>
          <w:p>
            <w:pPr>
              <w:spacing w:after="0" w:line="20" w:lineRule="exact"/>
              <w:rPr>
                <w:sz w:val="1"/>
                <w:szCs w:val="1"/>
                <w:color w:val="auto"/>
              </w:rPr>
            </w:pPr>
          </w:p>
        </w:tc>
        <w:tc>
          <w:tcPr>
            <w:tcW w:w="5700" w:type="dxa"/>
            <w:vAlign w:val="bottom"/>
            <w:gridSpan w:val="5"/>
            <w:shd w:val="clear" w:color="auto" w:fill="0000EE"/>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18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Fiber Holdings Inc., CSL Capital, LLC, Uniti Group Inc., the guarantors named therein and Wells Fargo Bank, National Association, as</w:t>
              </w:r>
            </w:hyperlink>
          </w:p>
        </w:tc>
      </w:tr>
      <w:tr>
        <w:trPr>
          <w:trHeight w:val="196"/>
        </w:trPr>
        <w:tc>
          <w:tcPr>
            <w:tcW w:w="124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trustee, governing the 7.125% Senior Notes due 2024 (incorporated by reference to Exhibit 4.5 to the Company’s Current Report on</w:t>
              </w:r>
            </w:hyperlink>
          </w:p>
        </w:tc>
        <w:tc>
          <w:tcPr>
            <w:tcW w:w="26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7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Form 8-K dated and filed with the SEC on May 9, 2017 (File No. 001-36708)).</w:t>
              </w:r>
            </w:hyperlink>
          </w:p>
        </w:tc>
        <w:tc>
          <w:tcPr>
            <w:tcW w:w="4120" w:type="dxa"/>
            <w:vAlign w:val="bottom"/>
            <w:gridSpan w:val="16"/>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4.6</w:t>
            </w:r>
          </w:p>
        </w:tc>
        <w:tc>
          <w:tcPr>
            <w:tcW w:w="9780" w:type="dxa"/>
            <w:vAlign w:val="bottom"/>
            <w:tcBorders>
              <w:bottom w:val="single" w:sz="8" w:color="0000EE"/>
            </w:tcBorders>
            <w:gridSpan w:val="19"/>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Fourth Supplemental Indenture, dated as of May 9, 2017, to the indenture dated as of December 15, 2016, among Uniti Group LP, Uniti</w:t>
              </w:r>
            </w:hyperlink>
          </w:p>
        </w:tc>
        <w:tc>
          <w:tcPr>
            <w:tcW w:w="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Fiber Holdings Inc., CSL Capital, LLC, Uniti Group Inc., the guarantors named therein and Wells Fargo Bank, National Association, as</w:t>
              </w:r>
            </w:hyperlink>
          </w:p>
        </w:tc>
      </w:tr>
      <w:tr>
        <w:trPr>
          <w:trHeight w:val="196"/>
        </w:trPr>
        <w:tc>
          <w:tcPr>
            <w:tcW w:w="124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trustee, governing the 7.125% Senior Notes due 2024 (incorporated by reference to Exhibit 4.6 to the Company’s Current Report on</w:t>
              </w:r>
            </w:hyperlink>
          </w:p>
        </w:tc>
        <w:tc>
          <w:tcPr>
            <w:tcW w:w="26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7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8-K dated and filed with the SEC on May 9, 2017 (File No. 001-36708)).</w:t>
              </w:r>
            </w:hyperlink>
          </w:p>
        </w:tc>
        <w:tc>
          <w:tcPr>
            <w:tcW w:w="4120" w:type="dxa"/>
            <w:vAlign w:val="bottom"/>
            <w:gridSpan w:val="16"/>
          </w:tcPr>
          <w:p>
            <w:pPr>
              <w:spacing w:after="0"/>
              <w:rPr>
                <w:sz w:val="17"/>
                <w:szCs w:val="17"/>
                <w:color w:val="auto"/>
              </w:rPr>
            </w:pPr>
          </w:p>
        </w:tc>
      </w:tr>
      <w:tr>
        <w:trPr>
          <w:trHeight w:val="345"/>
        </w:trPr>
        <w:tc>
          <w:tcPr>
            <w:tcW w:w="1240" w:type="dxa"/>
            <w:vAlign w:val="bottom"/>
          </w:tcPr>
          <w:p>
            <w:pPr>
              <w:jc w:val="right"/>
              <w:ind w:right="933"/>
              <w:spacing w:after="0"/>
              <w:rPr>
                <w:sz w:val="20"/>
                <w:szCs w:val="20"/>
                <w:color w:val="auto"/>
              </w:rPr>
            </w:pPr>
            <w:r>
              <w:rPr>
                <w:rFonts w:ascii="Arial" w:cs="Arial" w:eastAsia="Arial" w:hAnsi="Arial"/>
                <w:sz w:val="18"/>
                <w:szCs w:val="18"/>
                <w:color w:val="auto"/>
                <w:w w:val="79"/>
              </w:rPr>
              <w:t>4.7</w:t>
            </w:r>
          </w:p>
        </w:tc>
        <w:tc>
          <w:tcPr>
            <w:tcW w:w="9820" w:type="dxa"/>
            <w:vAlign w:val="bottom"/>
            <w:tcBorders>
              <w:bottom w:val="single" w:sz="8" w:color="0000EE"/>
            </w:tcBorders>
            <w:gridSpan w:val="21"/>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Indenture, dated as of May 8, 2017, among Uniti Fiber Holdings Inc., Uniti Group Inc. and CSL Capital, LLC, as Issuers, the guarantors</w:t>
              </w:r>
            </w:hyperlink>
          </w:p>
        </w:tc>
      </w:tr>
      <w:tr>
        <w:trPr>
          <w:trHeight w:val="196"/>
        </w:trPr>
        <w:tc>
          <w:tcPr>
            <w:tcW w:w="1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named therein, and Wells Fargo Bank, National Association, as trustee, governing the 7.125% Senior Notes due 2024 (incorporated by</w:t>
              </w:r>
            </w:hyperlink>
          </w:p>
        </w:tc>
      </w:tr>
      <w:tr>
        <w:trPr>
          <w:trHeight w:val="20"/>
        </w:trPr>
        <w:tc>
          <w:tcPr>
            <w:tcW w:w="12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320"/>
        <w:spacing w:after="0" w:line="277" w:lineRule="auto"/>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reference to Exhibit 4.1 to the Company’s Current Report on Form 8-K dated and filed with the SEC on May 8, 2017 (File No. 001-</w:t>
        </w:r>
      </w:hyperlink>
      <w:hyperlink r:id="rId77">
        <w:r>
          <w:rPr>
            <w:rFonts w:ascii="Arial" w:cs="Arial" w:eastAsia="Arial" w:hAnsi="Arial"/>
            <w:sz w:val="18"/>
            <w:szCs w:val="18"/>
            <w:u w:val="single" w:color="auto"/>
            <w:color w:val="0000EE"/>
          </w:rPr>
          <w:t>36708)).</w:t>
        </w:r>
      </w:hyperlink>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Table of Contents</w:t>
              </w:r>
            </w:hyperlink>
          </w:p>
        </w:tc>
        <w:tc>
          <w:tcPr>
            <w:tcW w:w="13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1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9840" w:type="dxa"/>
            <w:vAlign w:val="bottom"/>
            <w:gridSpan w:val="15"/>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First Supplemental Indenture, dated as of May 9, 2017, to the indenture dated as of May 8, 2017, among Uniti Group LP, Uniti Fiber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Holdings Inc., CSL Capital, LLC, Uniti Group Inc., the guarantors named therein and Wells Fargo Bank, National Association, as</w:t>
              </w:r>
            </w:hyperlink>
          </w:p>
        </w:tc>
        <w:tc>
          <w:tcPr>
            <w:tcW w:w="30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trustee, governing the 7.125% Senior Notes due 2024 (incorporated by reference to Exhibit 4.7 to the Company’s Current Report on</w:t>
              </w:r>
            </w:hyperlink>
          </w:p>
        </w:tc>
        <w:tc>
          <w:tcPr>
            <w:tcW w:w="34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Form 8-K dated and filed with the SEC on May 9, 2017 (File No. 001-36708)).</w:t>
              </w:r>
            </w:hyperlink>
          </w:p>
        </w:tc>
        <w:tc>
          <w:tcPr>
            <w:tcW w:w="4120" w:type="dxa"/>
            <w:vAlign w:val="bottom"/>
            <w:gridSpan w:val="10"/>
          </w:tcPr>
          <w:p>
            <w:pPr>
              <w:spacing w:after="0"/>
              <w:rPr>
                <w:sz w:val="17"/>
                <w:szCs w:val="17"/>
                <w:color w:val="auto"/>
              </w:rPr>
            </w:pPr>
          </w:p>
        </w:tc>
      </w:tr>
      <w:tr>
        <w:trPr>
          <w:trHeight w:val="345"/>
        </w:trPr>
        <w:tc>
          <w:tcPr>
            <w:tcW w:w="1280" w:type="dxa"/>
            <w:vAlign w:val="bottom"/>
          </w:tcPr>
          <w:p>
            <w:pPr>
              <w:ind w:left="1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9840" w:type="dxa"/>
            <w:vAlign w:val="bottom"/>
            <w:gridSpan w:val="15"/>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Second Supplemental Indenture, dated as of May 9, 2017, to the indenture dated as of May 8, 2017, among Uniti Group LP, Uniti Fiber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Holdings Inc., CSL Capital, LLC, Uniti Group Inc., the guarantors named therein and Wells Fargo Bank, National Association, as</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trustee, governing the 7.125% Senior Notes due 2024 (incorporated by reference to Exhibit 4.8 to the Company’s Current Report on</w:t>
              </w:r>
            </w:hyperlink>
          </w:p>
        </w:tc>
        <w:tc>
          <w:tcPr>
            <w:tcW w:w="34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Form 8-K dated and filed with the SEC on May 9, 2017 (File No. 001-36708)).</w:t>
              </w:r>
            </w:hyperlink>
          </w:p>
        </w:tc>
        <w:tc>
          <w:tcPr>
            <w:tcW w:w="4140" w:type="dxa"/>
            <w:vAlign w:val="bottom"/>
            <w:gridSpan w:val="11"/>
          </w:tcPr>
          <w:p>
            <w:pPr>
              <w:spacing w:after="0"/>
              <w:rPr>
                <w:sz w:val="17"/>
                <w:szCs w:val="17"/>
                <w:color w:val="auto"/>
              </w:rPr>
            </w:pPr>
          </w:p>
        </w:tc>
      </w:tr>
      <w:tr>
        <w:trPr>
          <w:trHeight w:val="345"/>
        </w:trPr>
        <w:tc>
          <w:tcPr>
            <w:tcW w:w="1280" w:type="dxa"/>
            <w:vAlign w:val="bottom"/>
          </w:tcPr>
          <w:p>
            <w:pPr>
              <w:ind w:lef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Borrower Assumption Agreement and Joinder, dated as of May 9, 2017 by and among Uniti Group Inc., as initial borrower, Uniti Group</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LP and Uniti Group Finance Inc., as borrowers, the guarantors party thereto, the lenders party thereto, and Bank of America, N.A., as</w:t>
              </w:r>
            </w:hyperlink>
          </w:p>
        </w:tc>
        <w:tc>
          <w:tcPr>
            <w:tcW w:w="2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administrative agent and collateral agent (incorporated by reference to Exhibit 10.1 to the Company’s Current Report on Form 8-K dated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gridSpan w:val="1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and filed with the SEC on May 9, 2017 (File No. 001-36708)).</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39"/>
        </w:trPr>
        <w:tc>
          <w:tcPr>
            <w:tcW w:w="1280" w:type="dxa"/>
            <w:vAlign w:val="bottom"/>
          </w:tcPr>
          <w:p>
            <w:pPr>
              <w:ind w:left="1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Adopted Pursuant to Section 302 of the Sarbanes-Oxley Act of 2002.</w:t>
              </w:r>
            </w:hyperlink>
          </w:p>
        </w:tc>
        <w:tc>
          <w:tcPr>
            <w:tcW w:w="4860" w:type="dxa"/>
            <w:vAlign w:val="bottom"/>
            <w:gridSpan w:val="12"/>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Adopted Pursuant to Section 302 of the Sarbanes-Oxley Act of 2002.</w:t>
              </w:r>
            </w:hyperlink>
          </w:p>
        </w:tc>
        <w:tc>
          <w:tcPr>
            <w:tcW w:w="4860" w:type="dxa"/>
            <w:vAlign w:val="bottom"/>
            <w:gridSpan w:val="12"/>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840" w:type="dxa"/>
            <w:vAlign w:val="bottom"/>
            <w:gridSpan w:val="1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Principal Executive Officer Pursuant to 18 U.S.C. Section 1350, as Adopted Pursuant to Section 906 of the Sarbanes-</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Oxley Act of 2002.</w:t>
              </w:r>
            </w:hyperlink>
          </w:p>
        </w:tc>
        <w:tc>
          <w:tcPr>
            <w:tcW w:w="24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95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w:t>
            </w:r>
          </w:p>
        </w:tc>
        <w:tc>
          <w:tcPr>
            <w:tcW w:w="28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gridSpan w:val="15"/>
          </w:tcPr>
          <w:p>
            <w:pPr>
              <w:spacing w:after="0" w:line="196" w:lineRule="exact"/>
              <w:rPr>
                <w:sz w:val="20"/>
                <w:szCs w:val="20"/>
                <w:color w:val="auto"/>
              </w:rPr>
            </w:pPr>
            <w:r>
              <w:rPr>
                <w:rFonts w:ascii="Arial" w:cs="Arial" w:eastAsia="Arial" w:hAnsi="Arial"/>
                <w:sz w:val="18"/>
                <w:szCs w:val="18"/>
                <w:color w:val="auto"/>
              </w:rPr>
              <w:t>Oxley Act of 2002.</w:t>
            </w:r>
          </w:p>
        </w:tc>
      </w:tr>
      <w:tr>
        <w:trPr>
          <w:trHeight w:val="20"/>
        </w:trPr>
        <w:tc>
          <w:tcPr>
            <w:tcW w:w="13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r>
      <w:tr>
        <w:trPr>
          <w:trHeight w:val="35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8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08" w:right="4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August 3, 2017</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August 3, 2017</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Vice President – Chief Accounting Officer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gridSpan w:val="25"/>
          </w:tcPr>
          <w:p>
            <w:pPr>
              <w:jc w:val="center"/>
              <w:ind w:right="4980"/>
              <w:spacing w:after="0"/>
              <w:rPr>
                <w:sz w:val="20"/>
                <w:szCs w:val="20"/>
                <w:color w:val="auto"/>
              </w:rPr>
            </w:pPr>
            <w:r>
              <w:rPr>
                <w:rFonts w:ascii="Arial" w:cs="Arial" w:eastAsia="Arial" w:hAnsi="Arial"/>
                <w:sz w:val="18"/>
                <w:szCs w:val="18"/>
                <w:b w:val="1"/>
                <w:bCs w:val="1"/>
                <w:color w:val="auto"/>
                <w:w w:val="94"/>
              </w:rPr>
              <w:t>Exhibit Index</w:t>
            </w:r>
          </w:p>
        </w:tc>
      </w:tr>
      <w:tr>
        <w:trPr>
          <w:trHeight w:val="149"/>
        </w:trPr>
        <w:tc>
          <w:tcPr>
            <w:tcW w:w="1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Exhibit</w:t>
            </w:r>
          </w:p>
        </w:tc>
        <w:tc>
          <w:tcPr>
            <w:tcW w:w="10080" w:type="dxa"/>
            <w:vAlign w:val="bottom"/>
            <w:gridSpan w:val="28"/>
          </w:tcPr>
          <w:p>
            <w:pPr>
              <w:spacing w:after="0" w:line="149" w:lineRule="exact"/>
              <w:rPr>
                <w:sz w:val="20"/>
                <w:szCs w:val="20"/>
                <w:color w:val="auto"/>
              </w:rPr>
            </w:pPr>
            <w:r>
              <w:rPr>
                <w:rFonts w:ascii="Arial" w:cs="Arial" w:eastAsia="Arial" w:hAnsi="Arial"/>
                <w:sz w:val="14"/>
                <w:szCs w:val="14"/>
                <w:b w:val="1"/>
                <w:bCs w:val="1"/>
                <w:color w:val="auto"/>
              </w:rPr>
              <w:t>Description</w:t>
            </w:r>
          </w:p>
        </w:tc>
      </w:tr>
      <w:tr>
        <w:trPr>
          <w:trHeight w:val="186"/>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5"/>
        </w:trPr>
        <w:tc>
          <w:tcPr>
            <w:tcW w:w="1360" w:type="dxa"/>
            <w:vAlign w:val="bottom"/>
          </w:tcPr>
          <w:p>
            <w:pPr>
              <w:ind w:left="120"/>
              <w:spacing w:after="0"/>
              <w:rPr>
                <w:sz w:val="20"/>
                <w:szCs w:val="20"/>
                <w:color w:val="auto"/>
              </w:rPr>
            </w:pPr>
            <w:r>
              <w:rPr>
                <w:rFonts w:ascii="Arial" w:cs="Arial" w:eastAsia="Arial" w:hAnsi="Arial"/>
                <w:sz w:val="18"/>
                <w:szCs w:val="18"/>
                <w:color w:val="auto"/>
              </w:rPr>
              <w:t>2.1</w:t>
            </w:r>
          </w:p>
        </w:tc>
        <w:tc>
          <w:tcPr>
            <w:tcW w:w="9440" w:type="dxa"/>
            <w:vAlign w:val="bottom"/>
            <w:tcBorders>
              <w:bottom w:val="single" w:sz="8" w:color="0000EE"/>
            </w:tcBorders>
            <w:gridSpan w:val="12"/>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Membership Interest Purchase Agreement, dated April 7, 2017, by and among Uniti Group Inc., Uniti Fiber Holdings Inc. and SLF</w:t>
              </w:r>
            </w:hyperlink>
          </w:p>
        </w:tc>
        <w:tc>
          <w:tcPr>
            <w:tcW w:w="640" w:type="dxa"/>
            <w:vAlign w:val="bottom"/>
            <w:gridSpan w:val="16"/>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96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Holdings, LLC (incorporated by reference to Exhibit 2.1 to the Company’s Current Report on Form 8-K dated as of April 7, 2017 and</w:t>
              </w:r>
            </w:hyperlink>
          </w:p>
        </w:tc>
        <w:tc>
          <w:tcPr>
            <w:tcW w:w="44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filed with the SEC as of April 11, 2017 (File No. 001-36708)).</w:t>
              </w:r>
            </w:hyperlink>
          </w:p>
        </w:tc>
        <w:tc>
          <w:tcPr>
            <w:tcW w:w="5580" w:type="dxa"/>
            <w:vAlign w:val="bottom"/>
            <w:gridSpan w:val="24"/>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2.2</w:t>
            </w: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Agreement of Limited Partnership of Uniti Group LP, dated July 3, 2017, by and between Uniti and Uniti Group</w:t>
              </w:r>
            </w:hyperlink>
          </w:p>
        </w:tc>
        <w:tc>
          <w:tcPr>
            <w:tcW w:w="2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LP LLC (incorporated by reference to Exhibit 2.1 to the Company’s Current Report on Form 8-K dated as of July 3, 2017 and filed with</w:t>
              </w:r>
            </w:hyperlink>
          </w:p>
        </w:tc>
        <w:tc>
          <w:tcPr>
            <w:tcW w:w="2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6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the SEC as of July 3, 2017 (File No. 001-36708)).</w:t>
              </w:r>
            </w:hyperlink>
          </w:p>
        </w:tc>
        <w:tc>
          <w:tcPr>
            <w:tcW w:w="6480" w:type="dxa"/>
            <w:vAlign w:val="bottom"/>
            <w:gridSpan w:val="25"/>
          </w:tcPr>
          <w:p>
            <w:pPr>
              <w:spacing w:after="0"/>
              <w:rPr>
                <w:sz w:val="17"/>
                <w:szCs w:val="17"/>
                <w:color w:val="auto"/>
              </w:rPr>
            </w:pPr>
          </w:p>
        </w:tc>
      </w:tr>
      <w:tr>
        <w:trPr>
          <w:trHeight w:val="412"/>
        </w:trPr>
        <w:tc>
          <w:tcPr>
            <w:tcW w:w="1360" w:type="dxa"/>
            <w:vAlign w:val="bottom"/>
          </w:tcPr>
          <w:p>
            <w:pPr>
              <w:ind w:left="120"/>
              <w:spacing w:after="0"/>
              <w:rPr>
                <w:sz w:val="20"/>
                <w:szCs w:val="20"/>
                <w:color w:val="auto"/>
              </w:rPr>
            </w:pPr>
            <w:r>
              <w:rPr>
                <w:rFonts w:ascii="Arial" w:cs="Arial" w:eastAsia="Arial" w:hAnsi="Arial"/>
                <w:sz w:val="18"/>
                <w:szCs w:val="18"/>
                <w:color w:val="auto"/>
              </w:rPr>
              <w:t>3.1</w:t>
            </w:r>
          </w:p>
        </w:tc>
        <w:tc>
          <w:tcPr>
            <w:tcW w:w="10080" w:type="dxa"/>
            <w:vAlign w:val="bottom"/>
            <w:gridSpan w:val="28"/>
          </w:tcPr>
          <w:p>
            <w:pPr>
              <w:spacing w:after="0"/>
              <w:rPr>
                <w:rFonts w:ascii="Arial" w:cs="Arial" w:eastAsia="Arial" w:hAnsi="Arial"/>
                <w:sz w:val="18"/>
                <w:szCs w:val="18"/>
                <w:color w:val="0000EE"/>
              </w:rPr>
            </w:pPr>
            <w:hyperlink r:id="rId69">
              <w:r>
                <w:rPr>
                  <w:rFonts w:ascii="Arial" w:cs="Arial" w:eastAsia="Arial" w:hAnsi="Arial"/>
                  <w:sz w:val="18"/>
                  <w:szCs w:val="18"/>
                  <w:color w:val="0000EE"/>
                </w:rPr>
                <w:t>Amended and Restated Bylaws of Uniti Group Inc., as amended May 1, 2017 (incorporated by reference to Exhibit 3.1 to the</w:t>
              </w:r>
            </w:hyperlink>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7"/>
              </w:rPr>
            </w:pPr>
            <w:hyperlink r:id="rId69">
              <w:r>
                <w:rPr>
                  <w:rFonts w:ascii="Arial" w:cs="Arial" w:eastAsia="Arial" w:hAnsi="Arial"/>
                  <w:sz w:val="18"/>
                  <w:szCs w:val="18"/>
                  <w:color w:val="0000EE"/>
                  <w:w w:val="97"/>
                </w:rPr>
                <w:t>Company’s Current Report on Form 8-K dated as of May 1, 2017 and filed with the SEC as of May 2, 2017 (File No. 001-36708)).</w:t>
              </w:r>
            </w:hyperlink>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3.2</w:t>
            </w:r>
          </w:p>
        </w:tc>
        <w:tc>
          <w:tcPr>
            <w:tcW w:w="9540" w:type="dxa"/>
            <w:vAlign w:val="bottom"/>
            <w:tcBorders>
              <w:bottom w:val="single" w:sz="8" w:color="0000EE"/>
            </w:tcBorders>
            <w:gridSpan w:val="15"/>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Articles of Amendment to the Articles Supplementary for 3.00% Series A Convertible Preferred Stock of the Uniti Group Inc. dated</w:t>
              </w:r>
            </w:hyperlink>
          </w:p>
        </w:tc>
        <w:tc>
          <w:tcPr>
            <w:tcW w:w="54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5"/>
              </w:rPr>
            </w:pPr>
            <w:hyperlink r:id="rId70">
              <w:r>
                <w:rPr>
                  <w:rFonts w:ascii="Arial" w:cs="Arial" w:eastAsia="Arial" w:hAnsi="Arial"/>
                  <w:sz w:val="18"/>
                  <w:szCs w:val="18"/>
                  <w:color w:val="0000EE"/>
                  <w:w w:val="95"/>
                </w:rPr>
                <w:t>May 9, 2017 (incorporated by reference to Exhibit 3.1 to the Company’s Current Report on Form 8-K dated and filed with the SEC on</w:t>
              </w:r>
            </w:hyperlink>
          </w:p>
        </w:tc>
      </w:tr>
      <w:tr>
        <w:trPr>
          <w:trHeight w:val="196"/>
        </w:trPr>
        <w:tc>
          <w:tcPr>
            <w:tcW w:w="13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May 9, 2017 (File No. 001-36708)).</w:t>
              </w:r>
            </w:hyperlink>
          </w:p>
        </w:tc>
        <w:tc>
          <w:tcPr>
            <w:tcW w:w="7060" w:type="dxa"/>
            <w:vAlign w:val="bottom"/>
            <w:tcBorders>
              <w:top w:val="single" w:sz="8" w:color="0000EE"/>
            </w:tcBorders>
            <w:gridSpan w:val="16"/>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4.1</w:t>
            </w:r>
          </w:p>
        </w:tc>
        <w:tc>
          <w:tcPr>
            <w:tcW w:w="10080" w:type="dxa"/>
            <w:vAlign w:val="bottom"/>
            <w:gridSpan w:val="28"/>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Fifth Supplemental Indenture, dated as of May 9, 2017, to the indenture dated as of April 24, 2015, among Uniti Group LP, Uniti Group</w:t>
              </w:r>
            </w:hyperlink>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Finance Inc., CSL Capital, LLC, Uniti Group Inc., the guarantors named therein and Wells Fargo Bank, National Association, as trustee,</w:t>
              </w:r>
            </w:hyperlink>
          </w:p>
        </w:tc>
        <w:tc>
          <w:tcPr>
            <w:tcW w:w="2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governing the 8.25% Senior Notes due 2023 (incorporated by reference to Exhibit 4.1 to the Company’s Current Report on Form 8-K</w:t>
              </w:r>
            </w:hyperlink>
          </w:p>
        </w:tc>
        <w:tc>
          <w:tcPr>
            <w:tcW w:w="4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dated and filed with the SEC on May 9, 2017 (File No. 001-36708)).</w:t>
              </w:r>
            </w:hyperlink>
          </w:p>
        </w:tc>
        <w:tc>
          <w:tcPr>
            <w:tcW w:w="5140" w:type="dxa"/>
            <w:vAlign w:val="bottom"/>
            <w:gridSpan w:val="23"/>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4.2</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Sixth Supplemental Indenture, dated as of May 9, 2017, to the indenture dated as of April 24, 2015, among Uniti Group LP, Uniti Group</w:t>
              </w:r>
            </w:hyperlink>
          </w:p>
        </w:tc>
        <w:tc>
          <w:tcPr>
            <w:tcW w:w="22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Finance Inc., CSL Capital, LLC, Uniti Group Inc., the guarantors named therein and Wells Fargo Bank, National Association, as trustee,</w:t>
              </w:r>
            </w:hyperlink>
          </w:p>
        </w:tc>
        <w:tc>
          <w:tcPr>
            <w:tcW w:w="2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governing the 8.25% Senior Notes due 2023 (incorporated by reference to Exhibit 4.2 to the Company’s Current Report on Form 8-K</w:t>
              </w:r>
            </w:hyperlink>
          </w:p>
        </w:tc>
        <w:tc>
          <w:tcPr>
            <w:tcW w:w="4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dated and filed with the SEC on May 9, 2017 (File No. 001-36708)).</w:t>
              </w:r>
            </w:hyperlink>
          </w:p>
        </w:tc>
        <w:tc>
          <w:tcPr>
            <w:tcW w:w="5140" w:type="dxa"/>
            <w:vAlign w:val="bottom"/>
            <w:gridSpan w:val="23"/>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4.3</w:t>
            </w:r>
          </w:p>
        </w:tc>
        <w:tc>
          <w:tcPr>
            <w:tcW w:w="9840" w:type="dxa"/>
            <w:vAlign w:val="bottom"/>
            <w:tcBorders>
              <w:bottom w:val="single" w:sz="8" w:color="0000EE"/>
            </w:tcBorders>
            <w:gridSpan w:val="25"/>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Sixth Supplemental Indenture, dated as of May 9, 2017, to the indenture dated as of April 24, 2015, among Uniti Group LP, Uniti Group</w:t>
              </w:r>
            </w:hyperlink>
          </w:p>
        </w:tc>
        <w:tc>
          <w:tcPr>
            <w:tcW w:w="24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Finance Inc., CSL Capital, LLC, Uniti Group Inc., the guarantors named therein and Wells Fargo Bank, National Association, as trustee</w:t>
              </w:r>
            </w:hyperlink>
          </w:p>
        </w:tc>
        <w:tc>
          <w:tcPr>
            <w:tcW w:w="3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and collateral agent, governing the 6.00% Senior Secured Notes due 2023 (incorporated by reference to Exhibit 4.3 to the Company’s</w:t>
              </w:r>
            </w:hyperlink>
          </w:p>
        </w:tc>
      </w:tr>
      <w:tr>
        <w:trPr>
          <w:trHeight w:val="196"/>
        </w:trPr>
        <w:tc>
          <w:tcPr>
            <w:tcW w:w="136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Current Report on Form 8-K dated and filed with the SEC on May 9, 2017 (File No. 001-36708)).</w:t>
              </w:r>
            </w:hyperlink>
          </w:p>
        </w:tc>
        <w:tc>
          <w:tcPr>
            <w:tcW w:w="2540" w:type="dxa"/>
            <w:vAlign w:val="bottom"/>
            <w:tcBorders>
              <w:top w:val="single" w:sz="8" w:color="0000EE"/>
            </w:tcBorders>
            <w:gridSpan w:val="9"/>
          </w:tcPr>
          <w:p>
            <w:pPr>
              <w:spacing w:after="0"/>
              <w:rPr>
                <w:sz w:val="17"/>
                <w:szCs w:val="17"/>
                <w:color w:val="auto"/>
              </w:rPr>
            </w:pPr>
          </w:p>
        </w:tc>
        <w:tc>
          <w:tcPr>
            <w:tcW w:w="480" w:type="dxa"/>
            <w:vAlign w:val="bottom"/>
            <w:gridSpan w:val="12"/>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4.4</w:t>
            </w:r>
          </w:p>
        </w:tc>
        <w:tc>
          <w:tcPr>
            <w:tcW w:w="9520" w:type="dxa"/>
            <w:vAlign w:val="bottom"/>
            <w:tcBorders>
              <w:bottom w:val="single" w:sz="8" w:color="0000EE"/>
            </w:tcBorders>
            <w:gridSpan w:val="14"/>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Seventh Supplemental Indenture, dated as of May 9, 2017, to the indenture dated as of April 24, 2015, among Uniti Group LP, Uniti</w:t>
              </w:r>
            </w:hyperlink>
          </w:p>
        </w:tc>
        <w:tc>
          <w:tcPr>
            <w:tcW w:w="56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Group Finance Inc., CSL Capital, LLC, Uniti Group Inc., the guarantors named therein and Wells Fargo Bank, National Association, as</w:t>
              </w:r>
            </w:hyperlink>
          </w:p>
        </w:tc>
        <w:tc>
          <w:tcPr>
            <w:tcW w:w="3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7"/>
              </w:rPr>
            </w:pPr>
            <w:hyperlink r:id="rId74">
              <w:r>
                <w:rPr>
                  <w:rFonts w:ascii="Arial" w:cs="Arial" w:eastAsia="Arial" w:hAnsi="Arial"/>
                  <w:sz w:val="18"/>
                  <w:szCs w:val="18"/>
                  <w:color w:val="0000EE"/>
                  <w:w w:val="97"/>
                </w:rPr>
                <w:t>trustee and collateral agent, governing the 6.00% Senior Secured Notes due 2023 (incorporated by reference to Exhibit 4.4 to the</w:t>
              </w:r>
            </w:hyperlink>
          </w:p>
        </w:tc>
      </w:tr>
      <w:tr>
        <w:trPr>
          <w:trHeight w:val="196"/>
        </w:trPr>
        <w:tc>
          <w:tcPr>
            <w:tcW w:w="136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Company’s Current Report on Form 8-K dated and filed with the SEC on May 9, 2017 (File No. 001-36708)).</w:t>
              </w:r>
            </w:hyperlink>
          </w:p>
        </w:tc>
        <w:tc>
          <w:tcPr>
            <w:tcW w:w="1340" w:type="dxa"/>
            <w:vAlign w:val="bottom"/>
            <w:tcBorders>
              <w:top w:val="single" w:sz="8" w:color="0000EE"/>
            </w:tcBorders>
            <w:gridSpan w:val="2"/>
          </w:tcPr>
          <w:p>
            <w:pPr>
              <w:spacing w:after="0"/>
              <w:rPr>
                <w:sz w:val="17"/>
                <w:szCs w:val="17"/>
                <w:color w:val="auto"/>
              </w:rPr>
            </w:pPr>
          </w:p>
        </w:tc>
        <w:tc>
          <w:tcPr>
            <w:tcW w:w="820" w:type="dxa"/>
            <w:vAlign w:val="bottom"/>
            <w:gridSpan w:val="18"/>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4.5</w:t>
            </w:r>
          </w:p>
        </w:tc>
        <w:tc>
          <w:tcPr>
            <w:tcW w:w="9700" w:type="dxa"/>
            <w:vAlign w:val="bottom"/>
            <w:tcBorders>
              <w:bottom w:val="single" w:sz="8" w:color="0000EE"/>
            </w:tcBorders>
            <w:gridSpan w:val="20"/>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Third Supplemental Indenture, dated as of May 9, 2017, to the indenture dated as of December 15, 2016, among Uniti Group LP, Uniti</w:t>
              </w:r>
            </w:hyperlink>
          </w:p>
        </w:tc>
        <w:tc>
          <w:tcPr>
            <w:tcW w:w="38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Fiber Holdings Inc., CSL Capital, LLC, Uniti Group Inc., the guarantors named therein and Wells Fargo Bank, National Association, as</w:t>
              </w:r>
            </w:hyperlink>
          </w:p>
        </w:tc>
      </w:tr>
      <w:tr>
        <w:trPr>
          <w:trHeight w:val="196"/>
        </w:trPr>
        <w:tc>
          <w:tcPr>
            <w:tcW w:w="13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trustee, governing the 7.125% Senior Notes due 2024 (incorporated by reference to Exhibit 4.5 to the Company’s Current Report on</w:t>
              </w:r>
            </w:hyperlink>
          </w:p>
        </w:tc>
        <w:tc>
          <w:tcPr>
            <w:tcW w:w="260" w:type="dxa"/>
            <w:vAlign w:val="bottom"/>
            <w:tcBorders>
              <w:top w:val="single" w:sz="8" w:color="0000EE"/>
            </w:tcBorders>
            <w:gridSpan w:val="8"/>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Form 8-K dated and filed with the SEC on May 9, 2017 (File No. 001-36708)).</w:t>
              </w:r>
            </w:hyperlink>
          </w:p>
        </w:tc>
        <w:tc>
          <w:tcPr>
            <w:tcW w:w="4380" w:type="dxa"/>
            <w:vAlign w:val="bottom"/>
            <w:gridSpan w:val="22"/>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4.6</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Fourth Supplemental Indenture, dated as of May 9, 2017, to the indenture dated as of December 15, 2016, among Uniti Group LP, Uniti</w:t>
              </w:r>
            </w:hyperlink>
          </w:p>
        </w:tc>
        <w:tc>
          <w:tcPr>
            <w:tcW w:w="30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Fiber Holdings Inc., CSL Capital, LLC, Uniti Group Inc., the guarantors named therein and Wells Fargo Bank, National Association, as</w:t>
              </w:r>
            </w:hyperlink>
          </w:p>
        </w:tc>
      </w:tr>
      <w:tr>
        <w:trPr>
          <w:trHeight w:val="196"/>
        </w:trPr>
        <w:tc>
          <w:tcPr>
            <w:tcW w:w="13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trustee, governing the 7.125% Senior Notes due 2024 (incorporated by reference to Exhibit 4.6 to the Company’s Current Report on</w:t>
              </w:r>
            </w:hyperlink>
          </w:p>
        </w:tc>
        <w:tc>
          <w:tcPr>
            <w:tcW w:w="260" w:type="dxa"/>
            <w:vAlign w:val="bottom"/>
            <w:tcBorders>
              <w:top w:val="single" w:sz="8" w:color="0000EE"/>
            </w:tcBorders>
            <w:gridSpan w:val="8"/>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8-K dated and filed with the SEC on May 9, 2017 (File No. 001-36708)).</w:t>
              </w:r>
            </w:hyperlink>
          </w:p>
        </w:tc>
        <w:tc>
          <w:tcPr>
            <w:tcW w:w="4380" w:type="dxa"/>
            <w:vAlign w:val="bottom"/>
            <w:gridSpan w:val="22"/>
          </w:tcPr>
          <w:p>
            <w:pPr>
              <w:spacing w:after="0"/>
              <w:rPr>
                <w:sz w:val="17"/>
                <w:szCs w:val="17"/>
                <w:color w:val="auto"/>
              </w:rPr>
            </w:pPr>
          </w:p>
        </w:tc>
      </w:tr>
      <w:tr>
        <w:trPr>
          <w:trHeight w:val="318"/>
        </w:trPr>
        <w:tc>
          <w:tcPr>
            <w:tcW w:w="1360" w:type="dxa"/>
            <w:vAlign w:val="bottom"/>
          </w:tcPr>
          <w:p>
            <w:pPr>
              <w:ind w:left="120"/>
              <w:spacing w:after="0"/>
              <w:rPr>
                <w:sz w:val="20"/>
                <w:szCs w:val="20"/>
                <w:color w:val="auto"/>
              </w:rPr>
            </w:pPr>
            <w:r>
              <w:rPr>
                <w:rFonts w:ascii="Arial" w:cs="Arial" w:eastAsia="Arial" w:hAnsi="Arial"/>
                <w:sz w:val="18"/>
                <w:szCs w:val="18"/>
                <w:color w:val="auto"/>
              </w:rPr>
              <w:t>4.7</w:t>
            </w: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Indenture, dated as of May 8, 2017, among Uniti Fiber Holdings Inc., Uniti Group Inc. and CSL Capital, LLC, as Issuers, the guarantors</w:t>
              </w:r>
            </w:hyperlink>
          </w:p>
        </w:tc>
        <w:tc>
          <w:tcPr>
            <w:tcW w:w="2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named therein, and Wells Fargo Bank, National Association, as trustee, governing the 7.125% Senior Notes due 2024 (incorporated by</w:t>
              </w:r>
            </w:hyperlink>
          </w:p>
        </w:tc>
      </w:tr>
      <w:tr>
        <w:trPr>
          <w:trHeight w:val="196"/>
        </w:trPr>
        <w:tc>
          <w:tcPr>
            <w:tcW w:w="136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reference to Exhibit 4.1 to the Company’s Current Report on Form 8-K dated and filed with the SEC on May 8, 2017 (File No. 001-</w:t>
              </w:r>
            </w:hyperlink>
          </w:p>
        </w:tc>
        <w:tc>
          <w:tcPr>
            <w:tcW w:w="4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36708)</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817"/>
        </w:trPr>
        <w:tc>
          <w:tcPr>
            <w:tcW w:w="1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Table of Contents</w:t>
              </w:r>
            </w:hyperlink>
          </w:p>
        </w:tc>
        <w:tc>
          <w:tcPr>
            <w:tcW w:w="1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1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First Supplemental Indenture, dated as of May 9, 2017, to the indenture dated as of May 8, 2017, among Uniti Group LP, Uniti Fiber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Holdings Inc., CSL Capital, LLC, Uniti Group Inc., the guarantors named therein and Wells Fargo Bank, National Association, as</w:t>
              </w:r>
            </w:hyperlink>
          </w:p>
        </w:tc>
        <w:tc>
          <w:tcPr>
            <w:tcW w:w="3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trustee, governing the 7.125% Senior Notes due 2024 (incorporated by reference to</w:t>
              </w:r>
            </w:hyperlink>
          </w:p>
        </w:tc>
        <w:tc>
          <w:tcPr>
            <w:tcW w:w="50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EE"/>
                <w:w w:val="98"/>
              </w:rPr>
            </w:pPr>
            <w:hyperlink r:id="rId79">
              <w:r>
                <w:rPr>
                  <w:rFonts w:ascii="Arial" w:cs="Arial" w:eastAsia="Arial" w:hAnsi="Arial"/>
                  <w:sz w:val="18"/>
                  <w:szCs w:val="18"/>
                  <w:color w:val="0000EE"/>
                  <w:w w:val="98"/>
                </w:rPr>
                <w:t>Exhibit 4.7 to the Company’s Current Report on Form 8-K dated and filed with the SEC on May 9, 2017 (File No. 001-36708)).</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Second Supplemental Indenture, dated as of May 9, 2017, to the indenture dated as of May 8, 2017, among Uniti Group LP, Uniti Fiber</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Holdings Inc., CSL Capital, LLC, Uniti Group Inc., the guarantors named therein and Wells Fargo Bank, National Association, as</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trustee, governing the 7.125% Senior Notes due 2024 (incorporated by reference to Exhibit 4.8 to the Company’s Current Report on</w:t>
              </w:r>
            </w:hyperlink>
          </w:p>
        </w:tc>
        <w:tc>
          <w:tcPr>
            <w:tcW w:w="34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Form 8-K dated and filed with the SEC on May 9, 2017 (File No. 001-36708)).</w:t>
              </w:r>
            </w:hyperlink>
          </w:p>
        </w:tc>
        <w:tc>
          <w:tcPr>
            <w:tcW w:w="4140" w:type="dxa"/>
            <w:vAlign w:val="bottom"/>
            <w:gridSpan w:val="12"/>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820" w:type="dxa"/>
            <w:vAlign w:val="bottom"/>
            <w:tcBorders>
              <w:bottom w:val="single" w:sz="8" w:color="0000EE"/>
            </w:tcBorders>
            <w:gridSpan w:val="15"/>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Borrower Assumption Agreement and Joinder, dated as of May 9, 2017 by and among Uniti Group Inc., as initial borrower, Uniti Group</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LP and Uniti Group Finance Inc., as borrowers, the guarantors party thereto, the lenders party thereto, and Bank of America, N.A., as</w:t>
              </w:r>
            </w:hyperlink>
          </w:p>
        </w:tc>
        <w:tc>
          <w:tcPr>
            <w:tcW w:w="2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administrative agent and collateral agent (incorporated by reference to Exhibit 10.1 to the Company’s Current Report on Form 8-K dated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and filed with the SEC on May 9, 2017 (File No. 001-36708)).</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Adopted Pursuant to Section 302 of the Sarbanes-Oxley Act of 2002</w:t>
              </w:r>
            </w:hyperlink>
          </w:p>
        </w:tc>
        <w:tc>
          <w:tcPr>
            <w:tcW w:w="4900" w:type="dxa"/>
            <w:vAlign w:val="bottom"/>
            <w:gridSpan w:val="13"/>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5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Adopted Pursuant to Section 302 of the Sarbanes-Oxley Act of 2002</w:t>
              </w:r>
            </w:hyperlink>
          </w:p>
        </w:tc>
        <w:tc>
          <w:tcPr>
            <w:tcW w:w="4900" w:type="dxa"/>
            <w:vAlign w:val="bottom"/>
            <w:gridSpan w:val="13"/>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Principal Executive Officer Pursuant to 18 U.S.C. Section 1350, as Adopted Pursuant to Section 906 of the Sarbanes-</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Oxley Act of 2002</w:t>
              </w:r>
            </w:hyperlink>
          </w:p>
        </w:tc>
        <w:tc>
          <w:tcPr>
            <w:tcW w:w="8260" w:type="dxa"/>
            <w:vAlign w:val="bottom"/>
            <w:tcBorders>
              <w:top w:val="single" w:sz="8" w:color="0000EE"/>
            </w:tcBorders>
            <w:gridSpan w:val="11"/>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318"/>
        </w:trPr>
        <w:tc>
          <w:tcPr>
            <w:tcW w:w="1280" w:type="dxa"/>
            <w:vAlign w:val="bottom"/>
          </w:tcPr>
          <w:p>
            <w:pPr>
              <w:ind w:left="1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28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Oxley Act of 2002</w:t>
              </w:r>
            </w:hyperlink>
          </w:p>
        </w:tc>
        <w:tc>
          <w:tcPr>
            <w:tcW w:w="8500" w:type="dxa"/>
            <w:vAlign w:val="bottom"/>
            <w:gridSpan w:val="15"/>
          </w:tcPr>
          <w:p>
            <w:pPr>
              <w:spacing w:after="0"/>
              <w:rPr>
                <w:sz w:val="17"/>
                <w:szCs w:val="17"/>
                <w:color w:val="auto"/>
              </w:rPr>
            </w:pPr>
          </w:p>
        </w:tc>
      </w:tr>
      <w:tr>
        <w:trPr>
          <w:trHeight w:val="35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84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690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7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108"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100" w:hanging="756"/>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40" w:right="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2017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2017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8"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67" Type="http://schemas.openxmlformats.org/officeDocument/2006/relationships/hyperlink" Target="http://www.sec.gov/Archives/edgar/data/1620280/000095010317003463/dp75010_ex0201.htm" TargetMode="External"/><Relationship Id="rId68" Type="http://schemas.openxmlformats.org/officeDocument/2006/relationships/hyperlink" Target="http://www.sec.gov/Archives/edgar/data/1620280/000110465917043238/a17-15991_1ex2d1.htm" TargetMode="External"/><Relationship Id="rId69" Type="http://schemas.openxmlformats.org/officeDocument/2006/relationships/hyperlink" Target="http://www.sec.gov/Archives/edgar/data/1620280/000110465917028526/a17-12174_1ex3d1.htm" TargetMode="External"/><Relationship Id="rId70" Type="http://schemas.openxmlformats.org/officeDocument/2006/relationships/hyperlink" Target="http://www.sec.gov/Archives/edgar/data/1620280/000110465917031184/a17-12744_1ex3d1.htm" TargetMode="External"/><Relationship Id="rId71" Type="http://schemas.openxmlformats.org/officeDocument/2006/relationships/hyperlink" Target="http://www.sec.gov/Archives/edgar/data/1620280/000110465917031184/a17-12744_1ex4d1.htm" TargetMode="External"/><Relationship Id="rId72" Type="http://schemas.openxmlformats.org/officeDocument/2006/relationships/hyperlink" Target="http://www.sec.gov/Archives/edgar/data/1620280/000110465917031184/a17-12744_1ex4d2.htm" TargetMode="External"/><Relationship Id="rId73" Type="http://schemas.openxmlformats.org/officeDocument/2006/relationships/hyperlink" Target="http://www.sec.gov/Archives/edgar/data/1620280/000110465917031184/a17-12744_1ex4d3.htm" TargetMode="External"/><Relationship Id="rId74" Type="http://schemas.openxmlformats.org/officeDocument/2006/relationships/hyperlink" Target="http://www.sec.gov/Archives/edgar/data/1620280/000110465917031184/a17-12744_1ex4d4.htm" TargetMode="External"/><Relationship Id="rId75" Type="http://schemas.openxmlformats.org/officeDocument/2006/relationships/hyperlink" Target="http://www.sec.gov/Archives/edgar/data/1620280/000110465917031184/a17-12744_1ex4d5.htm" TargetMode="External"/><Relationship Id="rId76" Type="http://schemas.openxmlformats.org/officeDocument/2006/relationships/hyperlink" Target="http://www.sec.gov/Archives/edgar/data/1620280/000110465917031184/a17-12744_1ex4d6.htm" TargetMode="External"/><Relationship Id="rId77" Type="http://schemas.openxmlformats.org/officeDocument/2006/relationships/hyperlink" Target="http://www.sec.gov/Archives/edgar/data/1620280/000110465917030684/a17-12606_1ex4d1.htm" TargetMode="External"/><Relationship Id="rId79" Type="http://schemas.openxmlformats.org/officeDocument/2006/relationships/hyperlink" Target="http://www.sec.gov/Archives/edgar/data/1620280/000110465917031184/a17-12744_1ex4d7.htm" TargetMode="External"/><Relationship Id="rId80" Type="http://schemas.openxmlformats.org/officeDocument/2006/relationships/hyperlink" Target="http://www.sec.gov/Archives/edgar/data/1620280/000110465917031184/a17-12744_1ex4d8.htm" TargetMode="External"/><Relationship Id="rId81" Type="http://schemas.openxmlformats.org/officeDocument/2006/relationships/hyperlink" Target="http://www.sec.gov/Archives/edgar/data/1620280/000110465917031184/a17-1274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2019-12-29T05:39:02Z</dcterms:created>
  <dcterms:modified xsi:type="dcterms:W3CDTF">2019-12-29T05:39:02Z</dcterms:modified>
</cp:coreProperties>
</file>