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March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Uniti Group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001-36708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46-5230630</w:t>
      </w:r>
    </w:p>
    <w:p>
      <w:pPr>
        <w:spacing w:after="0" w:line="31" w:lineRule="exact"/>
        <w:rPr>
          <w:sz w:val="24"/>
          <w:szCs w:val="24"/>
          <w:color w:val="auto"/>
        </w:rPr>
      </w:pPr>
    </w:p>
    <w:p>
      <w:pPr>
        <w:sectPr>
          <w:pgSz w:w="11900" w:h="16838" w:orient="portrait"/>
          <w:cols w:equalWidth="0" w:num="3">
            <w:col w:w="4600" w:space="720"/>
            <w:col w:w="3040" w:space="720"/>
            <w:col w:w="2160"/>
          </w:cols>
          <w:pgMar w:left="320" w:top="495" w:right="339" w:bottom="1440" w:gutter="0" w:footer="0" w:header="0"/>
          <w:type w:val="continuous"/>
        </w:sectPr>
      </w:pPr>
    </w:p>
    <w:p>
      <w:pPr>
        <w:spacing w:after="0" w:line="11" w:lineRule="exact"/>
        <w:rPr>
          <w:sz w:val="24"/>
          <w:szCs w:val="24"/>
          <w:color w:val="auto"/>
        </w:rPr>
      </w:pPr>
    </w:p>
    <w:p>
      <w:pPr>
        <w:jc w:val="center"/>
        <w:ind w:right="920"/>
        <w:spacing w:after="0"/>
        <w:rPr>
          <w:sz w:val="20"/>
          <w:szCs w:val="20"/>
          <w:color w:val="auto"/>
        </w:rPr>
      </w:pPr>
      <w:r>
        <w:rPr>
          <w:rFonts w:ascii="Arial" w:cs="Arial" w:eastAsia="Arial" w:hAnsi="Arial"/>
          <w:sz w:val="13"/>
          <w:szCs w:val="13"/>
          <w:b w:val="1"/>
          <w:bCs w:val="1"/>
          <w:color w:val="auto"/>
        </w:rPr>
        <w:t>(State or other jurisdiction</w:t>
      </w:r>
    </w:p>
    <w:p>
      <w:pPr>
        <w:jc w:val="center"/>
        <w:ind w:right="9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4"/>
          <w:szCs w:val="14"/>
          <w:b w:val="1"/>
          <w:bCs w:val="1"/>
          <w:color w:val="auto"/>
        </w:rPr>
        <w:t>(IRS Employer</w:t>
      </w:r>
    </w:p>
    <w:p>
      <w:pPr>
        <w:jc w:val="center"/>
        <w:ind w:right="118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80" w:space="720"/>
            <w:col w:w="2920" w:space="720"/>
            <w:col w:w="2300"/>
          </w:cols>
          <w:pgMar w:left="320" w:top="495" w:right="339" w:bottom="1440" w:gutter="0" w:footer="0" w:header="0"/>
          <w:type w:val="continuous"/>
        </w:sectPr>
      </w:pPr>
    </w:p>
    <w:p>
      <w:pPr>
        <w:spacing w:after="0" w:line="32"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10802 Executive Center Drive</w:t>
      </w:r>
    </w:p>
    <w:p>
      <w:pPr>
        <w:spacing w:after="0" w:line="50" w:lineRule="exact"/>
        <w:rPr>
          <w:sz w:val="24"/>
          <w:szCs w:val="24"/>
          <w:color w:val="auto"/>
        </w:rPr>
      </w:pPr>
    </w:p>
    <w:p>
      <w:pPr>
        <w:jc w:val="center"/>
        <w:ind w:right="2220"/>
        <w:spacing w:after="0"/>
        <w:rPr>
          <w:sz w:val="20"/>
          <w:szCs w:val="20"/>
          <w:color w:val="auto"/>
        </w:rPr>
      </w:pPr>
      <w:r>
        <w:rPr>
          <w:rFonts w:ascii="Arial" w:cs="Arial" w:eastAsia="Arial" w:hAnsi="Arial"/>
          <w:sz w:val="18"/>
          <w:szCs w:val="18"/>
          <w:b w:val="1"/>
          <w:bCs w:val="1"/>
          <w:color w:val="auto"/>
        </w:rPr>
        <w:t>Benton Building Suite 300</w:t>
      </w:r>
    </w:p>
    <w:p>
      <w:pPr>
        <w:spacing w:after="0" w:line="9" w:lineRule="exact"/>
        <w:rPr>
          <w:sz w:val="24"/>
          <w:szCs w:val="24"/>
          <w:color w:val="auto"/>
        </w:rPr>
      </w:pPr>
    </w:p>
    <w:p>
      <w:pPr>
        <w:jc w:val="center"/>
        <w:ind w:right="2220"/>
        <w:spacing w:after="0"/>
        <w:rPr>
          <w:sz w:val="20"/>
          <w:szCs w:val="20"/>
          <w:color w:val="auto"/>
        </w:rPr>
      </w:pPr>
      <w:r>
        <w:rPr>
          <w:rFonts w:ascii="Arial" w:cs="Arial" w:eastAsia="Arial" w:hAnsi="Arial"/>
          <w:sz w:val="18"/>
          <w:szCs w:val="18"/>
          <w:b w:val="1"/>
          <w:bCs w:val="1"/>
          <w:color w:val="auto"/>
        </w:rPr>
        <w:t>Little Rock, Arkansas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72211</w:t>
      </w:r>
    </w:p>
    <w:p>
      <w:pPr>
        <w:spacing w:after="0" w:line="493" w:lineRule="exact"/>
        <w:rPr>
          <w:sz w:val="24"/>
          <w:szCs w:val="24"/>
          <w:color w:val="auto"/>
        </w:rPr>
      </w:pPr>
    </w:p>
    <w:p>
      <w:pPr>
        <w:sectPr>
          <w:pgSz w:w="11900" w:h="16838" w:orient="portrait"/>
          <w:cols w:equalWidth="0" w:num="2">
            <w:col w:w="7660" w:space="720"/>
            <w:col w:w="2860"/>
          </w:cols>
          <w:pgMar w:left="320" w:top="495" w:right="339" w:bottom="1440" w:gutter="0" w:footer="0" w:header="0"/>
          <w:type w:val="continuous"/>
        </w:sectPr>
      </w:pPr>
    </w:p>
    <w:p>
      <w:pPr>
        <w:ind w:left="15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02" w:lineRule="exact"/>
        <w:rPr>
          <w:sz w:val="24"/>
          <w:szCs w:val="24"/>
          <w:color w:val="auto"/>
        </w:rPr>
      </w:pPr>
    </w:p>
    <w:p>
      <w:pPr>
        <w:sectPr>
          <w:pgSz w:w="11900" w:h="16838" w:orient="portrait"/>
          <w:cols w:equalWidth="0" w:num="2">
            <w:col w:w="7560" w:space="720"/>
            <w:col w:w="2960"/>
          </w:cols>
          <w:pgMar w:left="320" w:top="495"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(501) 850-0820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700" w:firstLine="8"/>
        <w:spacing w:after="0" w:line="340" w:lineRule="auto"/>
        <w:tabs>
          <w:tab w:leader="none" w:pos="48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10" w:lineRule="exact"/>
        <w:rPr>
          <w:sz w:val="24"/>
          <w:szCs w:val="24"/>
          <w:color w:val="auto"/>
        </w:rPr>
      </w:pPr>
    </w:p>
    <w:tbl>
      <w:tblPr>
        <w:tblLayout w:type="fixed"/>
        <w:tblInd w:w="10" w:type="dxa"/>
        <w:tblCellMar>
          <w:top w:w="0" w:type="dxa"/>
          <w:left w:w="0" w:type="dxa"/>
          <w:bottom w:w="0" w:type="dxa"/>
          <w:right w:w="0" w:type="dxa"/>
        </w:tblCellMar>
      </w:tblPr>
      <w:tr>
        <w:trPr>
          <w:trHeight w:val="244"/>
        </w:trPr>
        <w:tc>
          <w:tcPr>
            <w:tcW w:w="43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UNIT</w:t>
            </w:r>
          </w:p>
        </w:tc>
        <w:tc>
          <w:tcPr>
            <w:tcW w:w="4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The NASDAQ Global Select Market</w:t>
            </w: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bl>
    <w:p>
      <w:pPr>
        <w:spacing w:after="0" w:line="40" w:lineRule="exact"/>
        <w:rPr>
          <w:sz w:val="24"/>
          <w:szCs w:val="24"/>
          <w:color w:val="auto"/>
        </w:rPr>
      </w:pPr>
    </w:p>
    <w:p>
      <w:pPr>
        <w:jc w:val="both"/>
        <w:ind w:right="2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96"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type w:val="continuous"/>
        </w:sectPr>
      </w:pPr>
    </w:p>
    <w:bookmarkStart w:id="1" w:name="page2"/>
    <w:bookmarkEnd w:id="1"/>
    <w:p>
      <w:pPr>
        <w:ind w:left="1380" w:hanging="1376"/>
        <w:spacing w:after="0" w:line="282" w:lineRule="auto"/>
        <w:tabs>
          <w:tab w:leader="none" w:pos="13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864"/>
        <w:spacing w:after="0" w:line="253" w:lineRule="auto"/>
        <w:rPr>
          <w:sz w:val="20"/>
          <w:szCs w:val="20"/>
          <w:color w:val="auto"/>
        </w:rPr>
      </w:pPr>
      <w:r>
        <w:rPr>
          <w:rFonts w:ascii="Arial" w:cs="Arial" w:eastAsia="Arial" w:hAnsi="Arial"/>
          <w:sz w:val="18"/>
          <w:szCs w:val="18"/>
          <w:color w:val="auto"/>
        </w:rPr>
        <w:t>On March 4, 2020, the Compensation Committee (the “Committee”) of the Board of Directors of Uniti Group Inc. (the “Company”) approved the Uniti Group Inc. Annual Short-Term Incentive Plan (the “Plan”), which will be administered by the Committee. The Plan permits the Committee to award and pay cash bonuses to officers, employees and consultants of the Company or any of its subsidiaries or affiliates. The Plan is designed to motivate, attract and retain qualified officers, consultants and other key employees and to promote the alignment of such persons’ interests with those of the Company’s stockholders. The Plan provides the Committee authority to construe and interpret the Plan, make rules and regulations relating to the administration of the Plan, designate eligible persons to receive awards, establish the terms and conditions of the awards and make all other determinations necessary or advisable for the administration of the Plan. The Plan may be amended or terminated by the Committee in any respect at any time, but any amendment that must be approved the Company’s stockholders in order to comply with applicable laws or stock exchange rules will not be effective unless and until such approval has been obtained. The Plan will continue indefinitely until terminated by the Committee, and no award will be made thereunder after such termination. Awards outstanding at the termination of the Plan will continue in accordance with their terms and will not be affected by such termination.</w:t>
      </w:r>
    </w:p>
    <w:p>
      <w:pPr>
        <w:spacing w:after="0" w:line="192" w:lineRule="exact"/>
        <w:rPr>
          <w:sz w:val="20"/>
          <w:szCs w:val="20"/>
          <w:color w:val="auto"/>
        </w:rPr>
      </w:pPr>
    </w:p>
    <w:p>
      <w:pPr>
        <w:ind w:right="280" w:firstLine="864"/>
        <w:spacing w:after="0" w:line="286" w:lineRule="auto"/>
        <w:rPr>
          <w:sz w:val="20"/>
          <w:szCs w:val="20"/>
          <w:color w:val="auto"/>
        </w:rPr>
      </w:pPr>
      <w:r>
        <w:rPr>
          <w:rFonts w:ascii="Arial" w:cs="Arial" w:eastAsia="Arial" w:hAnsi="Arial"/>
          <w:sz w:val="16"/>
          <w:szCs w:val="16"/>
          <w:color w:val="auto"/>
        </w:rPr>
        <w:t>In connection with the adoption of the Plan, the Committee approved award opportunities for the Company’s President and Chief Executive Officer, Executive Vice President - Chief Financial Officer and Treasurer and Executive Vice President - General Counsel and Secretary for 2020 (the “NEOs”). The Committee approved the following threshold (i.e., minimum), target and superior payout opportunities, expressed as a percentage of base salary, that the NEOs will be eligible to receive under the Plan upon the achievement of certain performance goals during 2020:</w:t>
      </w:r>
    </w:p>
    <w:p>
      <w:pPr>
        <w:spacing w:after="0" w:line="1"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2020 Award Opportunities</w:t>
      </w: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i w:val="1"/>
                <w:iCs w:val="1"/>
                <w:color w:val="auto"/>
                <w:w w:val="89"/>
              </w:rPr>
              <w:t>as a percentage of base salary</w:t>
            </w:r>
            <w:r>
              <w:rPr>
                <w:rFonts w:ascii="Arial" w:cs="Arial" w:eastAsia="Arial" w:hAnsi="Arial"/>
                <w:sz w:val="18"/>
                <w:szCs w:val="18"/>
                <w:color w:val="auto"/>
                <w:w w:val="89"/>
              </w:rPr>
              <w:t>)</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98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Threshold</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04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Superior</w:t>
            </w:r>
          </w:p>
        </w:tc>
        <w:tc>
          <w:tcPr>
            <w:tcW w:w="0" w:type="dxa"/>
            <w:vAlign w:val="bottom"/>
          </w:tcPr>
          <w:p>
            <w:pPr>
              <w:spacing w:after="0"/>
              <w:rPr>
                <w:sz w:val="1"/>
                <w:szCs w:val="1"/>
                <w:color w:val="auto"/>
              </w:rPr>
            </w:pPr>
          </w:p>
        </w:tc>
      </w:tr>
      <w:tr>
        <w:trPr>
          <w:trHeight w:val="202"/>
        </w:trPr>
        <w:tc>
          <w:tcPr>
            <w:tcW w:w="5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Kenneth A. Gunderman</w:t>
            </w:r>
          </w:p>
        </w:tc>
        <w:tc>
          <w:tcPr>
            <w:tcW w:w="1980" w:type="dxa"/>
            <w:vAlign w:val="bottom"/>
            <w:vMerge w:val="restart"/>
            <w:shd w:val="clear" w:color="auto" w:fill="CCEEFF"/>
          </w:tcPr>
          <w:p>
            <w:pPr>
              <w:jc w:val="center"/>
              <w:ind w:left="1030"/>
              <w:spacing w:after="0"/>
              <w:rPr>
                <w:sz w:val="20"/>
                <w:szCs w:val="20"/>
                <w:color w:val="auto"/>
              </w:rPr>
            </w:pPr>
            <w:r>
              <w:rPr>
                <w:rFonts w:ascii="Arial" w:cs="Arial" w:eastAsia="Arial" w:hAnsi="Arial"/>
                <w:sz w:val="18"/>
                <w:szCs w:val="18"/>
                <w:color w:val="auto"/>
                <w:w w:val="94"/>
              </w:rPr>
              <w:t>75%</w:t>
            </w:r>
          </w:p>
        </w:tc>
        <w:tc>
          <w:tcPr>
            <w:tcW w:w="2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150%</w:t>
            </w:r>
          </w:p>
        </w:tc>
        <w:tc>
          <w:tcPr>
            <w:tcW w:w="1040" w:type="dxa"/>
            <w:vAlign w:val="bottom"/>
            <w:vMerge w:val="restart"/>
            <w:shd w:val="clear" w:color="auto" w:fill="CCEEFF"/>
          </w:tcPr>
          <w:p>
            <w:pPr>
              <w:jc w:val="center"/>
              <w:ind w:right="170"/>
              <w:spacing w:after="0"/>
              <w:rPr>
                <w:sz w:val="20"/>
                <w:szCs w:val="20"/>
                <w:color w:val="auto"/>
              </w:rPr>
            </w:pPr>
            <w:r>
              <w:rPr>
                <w:rFonts w:ascii="Arial" w:cs="Arial" w:eastAsia="Arial" w:hAnsi="Arial"/>
                <w:sz w:val="18"/>
                <w:szCs w:val="18"/>
                <w:color w:val="auto"/>
                <w:w w:val="91"/>
              </w:rPr>
              <w:t>225%</w:t>
            </w:r>
          </w:p>
        </w:tc>
        <w:tc>
          <w:tcPr>
            <w:tcW w:w="0" w:type="dxa"/>
            <w:vAlign w:val="bottom"/>
          </w:tcPr>
          <w:p>
            <w:pPr>
              <w:spacing w:after="0"/>
              <w:rPr>
                <w:sz w:val="1"/>
                <w:szCs w:val="1"/>
                <w:color w:val="auto"/>
              </w:rPr>
            </w:pPr>
          </w:p>
        </w:tc>
      </w:tr>
      <w:tr>
        <w:trPr>
          <w:trHeight w:val="122"/>
        </w:trPr>
        <w:tc>
          <w:tcPr>
            <w:tcW w:w="5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1980" w:type="dxa"/>
            <w:vAlign w:val="bottom"/>
            <w:vMerge w:val="continue"/>
            <w:shd w:val="clear" w:color="auto" w:fill="CCEEFF"/>
          </w:tcPr>
          <w:p>
            <w:pPr>
              <w:spacing w:after="0"/>
              <w:rPr>
                <w:sz w:val="10"/>
                <w:szCs w:val="10"/>
                <w:color w:val="auto"/>
              </w:rPr>
            </w:pPr>
          </w:p>
        </w:tc>
        <w:tc>
          <w:tcPr>
            <w:tcW w:w="2380" w:type="dxa"/>
            <w:vAlign w:val="bottom"/>
            <w:vMerge w:val="continue"/>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40" w:type="dxa"/>
            <w:vAlign w:val="bottom"/>
            <w:vMerge w:val="continue"/>
            <w:shd w:val="clear" w:color="auto" w:fill="CCEEFF"/>
          </w:tcPr>
          <w:p>
            <w:pPr>
              <w:spacing w:after="0"/>
              <w:rPr>
                <w:sz w:val="9"/>
                <w:szCs w:val="9"/>
                <w:color w:val="auto"/>
              </w:rPr>
            </w:pPr>
          </w:p>
        </w:tc>
        <w:tc>
          <w:tcPr>
            <w:tcW w:w="1980" w:type="dxa"/>
            <w:vAlign w:val="bottom"/>
            <w:shd w:val="clear" w:color="auto" w:fill="CCEEFF"/>
          </w:tcPr>
          <w:p>
            <w:pPr>
              <w:spacing w:after="0"/>
              <w:rPr>
                <w:sz w:val="9"/>
                <w:szCs w:val="9"/>
                <w:color w:val="auto"/>
              </w:rPr>
            </w:pPr>
          </w:p>
        </w:tc>
        <w:tc>
          <w:tcPr>
            <w:tcW w:w="23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5840" w:type="dxa"/>
            <w:vAlign w:val="bottom"/>
          </w:tcPr>
          <w:p>
            <w:pPr>
              <w:spacing w:after="0" w:line="201" w:lineRule="exact"/>
              <w:rPr>
                <w:sz w:val="20"/>
                <w:szCs w:val="20"/>
                <w:color w:val="auto"/>
              </w:rPr>
            </w:pPr>
            <w:r>
              <w:rPr>
                <w:rFonts w:ascii="Arial" w:cs="Arial" w:eastAsia="Arial" w:hAnsi="Arial"/>
                <w:sz w:val="18"/>
                <w:szCs w:val="18"/>
                <w:color w:val="auto"/>
              </w:rPr>
              <w:t>Mark A. Wallace</w:t>
            </w:r>
          </w:p>
        </w:tc>
        <w:tc>
          <w:tcPr>
            <w:tcW w:w="1980" w:type="dxa"/>
            <w:vAlign w:val="bottom"/>
            <w:vMerge w:val="restart"/>
          </w:tcPr>
          <w:p>
            <w:pPr>
              <w:jc w:val="center"/>
              <w:ind w:left="1030"/>
              <w:spacing w:after="0"/>
              <w:rPr>
                <w:sz w:val="20"/>
                <w:szCs w:val="20"/>
                <w:color w:val="auto"/>
              </w:rPr>
            </w:pPr>
            <w:r>
              <w:rPr>
                <w:rFonts w:ascii="Arial" w:cs="Arial" w:eastAsia="Arial" w:hAnsi="Arial"/>
                <w:sz w:val="18"/>
                <w:szCs w:val="18"/>
                <w:color w:val="auto"/>
                <w:w w:val="94"/>
              </w:rPr>
              <w:t>75%</w:t>
            </w:r>
          </w:p>
        </w:tc>
        <w:tc>
          <w:tcPr>
            <w:tcW w:w="2380" w:type="dxa"/>
            <w:vAlign w:val="bottom"/>
            <w:vMerge w:val="restart"/>
          </w:tcPr>
          <w:p>
            <w:pPr>
              <w:jc w:val="center"/>
              <w:spacing w:after="0"/>
              <w:rPr>
                <w:sz w:val="20"/>
                <w:szCs w:val="20"/>
                <w:color w:val="auto"/>
              </w:rPr>
            </w:pPr>
            <w:r>
              <w:rPr>
                <w:rFonts w:ascii="Arial" w:cs="Arial" w:eastAsia="Arial" w:hAnsi="Arial"/>
                <w:sz w:val="18"/>
                <w:szCs w:val="18"/>
                <w:color w:val="auto"/>
                <w:w w:val="91"/>
              </w:rPr>
              <w:t>125%</w:t>
            </w:r>
          </w:p>
        </w:tc>
        <w:tc>
          <w:tcPr>
            <w:tcW w:w="1040" w:type="dxa"/>
            <w:vAlign w:val="bottom"/>
            <w:vMerge w:val="restart"/>
          </w:tcPr>
          <w:p>
            <w:pPr>
              <w:jc w:val="center"/>
              <w:ind w:right="170"/>
              <w:spacing w:after="0"/>
              <w:rPr>
                <w:sz w:val="20"/>
                <w:szCs w:val="20"/>
                <w:color w:val="auto"/>
              </w:rPr>
            </w:pPr>
            <w:r>
              <w:rPr>
                <w:rFonts w:ascii="Arial" w:cs="Arial" w:eastAsia="Arial" w:hAnsi="Arial"/>
                <w:sz w:val="18"/>
                <w:szCs w:val="18"/>
                <w:color w:val="auto"/>
                <w:w w:val="91"/>
              </w:rPr>
              <w:t>175%</w:t>
            </w:r>
          </w:p>
        </w:tc>
        <w:tc>
          <w:tcPr>
            <w:tcW w:w="0" w:type="dxa"/>
            <w:vAlign w:val="bottom"/>
          </w:tcPr>
          <w:p>
            <w:pPr>
              <w:spacing w:after="0"/>
              <w:rPr>
                <w:sz w:val="1"/>
                <w:szCs w:val="1"/>
                <w:color w:val="auto"/>
              </w:rPr>
            </w:pPr>
          </w:p>
        </w:tc>
      </w:tr>
      <w:tr>
        <w:trPr>
          <w:trHeight w:val="122"/>
        </w:trPr>
        <w:tc>
          <w:tcPr>
            <w:tcW w:w="5840" w:type="dxa"/>
            <w:vAlign w:val="bottom"/>
            <w:vMerge w:val="restart"/>
          </w:tcPr>
          <w:p>
            <w:pPr>
              <w:spacing w:after="0"/>
              <w:rPr>
                <w:sz w:val="20"/>
                <w:szCs w:val="20"/>
                <w:color w:val="auto"/>
              </w:rPr>
            </w:pPr>
            <w:r>
              <w:rPr>
                <w:rFonts w:ascii="Arial" w:cs="Arial" w:eastAsia="Arial" w:hAnsi="Arial"/>
                <w:sz w:val="18"/>
                <w:szCs w:val="18"/>
                <w:color w:val="auto"/>
              </w:rPr>
              <w:t>Executive Vice President - Chief Financial Officer and Treasurer</w:t>
            </w:r>
          </w:p>
        </w:tc>
        <w:tc>
          <w:tcPr>
            <w:tcW w:w="198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40" w:type="dxa"/>
            <w:vAlign w:val="bottom"/>
            <w:vMerge w:val="continue"/>
          </w:tcPr>
          <w:p>
            <w:pPr>
              <w:spacing w:after="0"/>
              <w:rPr>
                <w:sz w:val="9"/>
                <w:szCs w:val="9"/>
                <w:color w:val="auto"/>
              </w:rPr>
            </w:pPr>
          </w:p>
        </w:tc>
        <w:tc>
          <w:tcPr>
            <w:tcW w:w="19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5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Daniel L. Heard</w:t>
            </w:r>
          </w:p>
        </w:tc>
        <w:tc>
          <w:tcPr>
            <w:tcW w:w="1980" w:type="dxa"/>
            <w:vAlign w:val="bottom"/>
            <w:vMerge w:val="restart"/>
            <w:shd w:val="clear" w:color="auto" w:fill="CCEEFF"/>
          </w:tcPr>
          <w:p>
            <w:pPr>
              <w:jc w:val="center"/>
              <w:ind w:left="1030"/>
              <w:spacing w:after="0"/>
              <w:rPr>
                <w:sz w:val="20"/>
                <w:szCs w:val="20"/>
                <w:color w:val="auto"/>
              </w:rPr>
            </w:pPr>
            <w:r>
              <w:rPr>
                <w:rFonts w:ascii="Arial" w:cs="Arial" w:eastAsia="Arial" w:hAnsi="Arial"/>
                <w:sz w:val="18"/>
                <w:szCs w:val="18"/>
                <w:color w:val="auto"/>
                <w:w w:val="94"/>
              </w:rPr>
              <w:t>50%</w:t>
            </w:r>
          </w:p>
        </w:tc>
        <w:tc>
          <w:tcPr>
            <w:tcW w:w="2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40" w:type="dxa"/>
            <w:vAlign w:val="bottom"/>
            <w:vMerge w:val="restart"/>
            <w:shd w:val="clear" w:color="auto" w:fill="CCEEFF"/>
          </w:tcPr>
          <w:p>
            <w:pPr>
              <w:jc w:val="center"/>
              <w:ind w:right="170"/>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122"/>
        </w:trPr>
        <w:tc>
          <w:tcPr>
            <w:tcW w:w="5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Executive Vice President - General Counsel and Secretary</w:t>
            </w:r>
          </w:p>
        </w:tc>
        <w:tc>
          <w:tcPr>
            <w:tcW w:w="1980" w:type="dxa"/>
            <w:vAlign w:val="bottom"/>
            <w:vMerge w:val="continue"/>
            <w:shd w:val="clear" w:color="auto" w:fill="CCEEFF"/>
          </w:tcPr>
          <w:p>
            <w:pPr>
              <w:spacing w:after="0"/>
              <w:rPr>
                <w:sz w:val="10"/>
                <w:szCs w:val="10"/>
                <w:color w:val="auto"/>
              </w:rPr>
            </w:pPr>
          </w:p>
        </w:tc>
        <w:tc>
          <w:tcPr>
            <w:tcW w:w="2380" w:type="dxa"/>
            <w:vAlign w:val="bottom"/>
            <w:vMerge w:val="continue"/>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40" w:type="dxa"/>
            <w:vAlign w:val="bottom"/>
            <w:vMerge w:val="continue"/>
            <w:shd w:val="clear" w:color="auto" w:fill="CCEEFF"/>
          </w:tcPr>
          <w:p>
            <w:pPr>
              <w:spacing w:after="0"/>
              <w:rPr>
                <w:sz w:val="9"/>
                <w:szCs w:val="9"/>
                <w:color w:val="auto"/>
              </w:rPr>
            </w:pPr>
          </w:p>
        </w:tc>
        <w:tc>
          <w:tcPr>
            <w:tcW w:w="1980" w:type="dxa"/>
            <w:vAlign w:val="bottom"/>
            <w:shd w:val="clear" w:color="auto" w:fill="CCEEFF"/>
          </w:tcPr>
          <w:p>
            <w:pPr>
              <w:spacing w:after="0"/>
              <w:rPr>
                <w:sz w:val="9"/>
                <w:szCs w:val="9"/>
                <w:color w:val="auto"/>
              </w:rPr>
            </w:pPr>
          </w:p>
        </w:tc>
        <w:tc>
          <w:tcPr>
            <w:tcW w:w="23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9"/>
        </w:trPr>
        <w:tc>
          <w:tcPr>
            <w:tcW w:w="58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 March 10, 2020</w:t>
      </w:r>
      <w:r>
        <w:rPr>
          <w:sz w:val="20"/>
          <w:szCs w:val="20"/>
          <w:color w:val="auto"/>
        </w:rPr>
        <w:tab/>
      </w:r>
      <w:r>
        <w:rPr>
          <w:rFonts w:ascii="Arial" w:cs="Arial" w:eastAsia="Arial" w:hAnsi="Arial"/>
          <w:sz w:val="17"/>
          <w:szCs w:val="17"/>
          <w:color w:val="auto"/>
        </w:rPr>
        <w:t>UNITI GROUP INC.</w:t>
      </w:r>
    </w:p>
    <w:p>
      <w:pPr>
        <w:spacing w:after="0" w:line="225" w:lineRule="exact"/>
        <w:rPr>
          <w:sz w:val="20"/>
          <w:szCs w:val="20"/>
          <w:color w:val="auto"/>
        </w:rPr>
      </w:pPr>
    </w:p>
    <w:tbl>
      <w:tblPr>
        <w:tblLayout w:type="fixed"/>
        <w:tblInd w:w="60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gridSpan w:val="3"/>
          </w:tcPr>
          <w:p>
            <w:pPr>
              <w:ind w:left="20"/>
              <w:spacing w:after="0"/>
              <w:rPr>
                <w:sz w:val="20"/>
                <w:szCs w:val="20"/>
                <w:color w:val="auto"/>
              </w:rPr>
            </w:pPr>
            <w:r>
              <w:rPr>
                <w:rFonts w:ascii="Arial" w:cs="Arial" w:eastAsia="Arial" w:hAnsi="Arial"/>
                <w:sz w:val="18"/>
                <w:szCs w:val="18"/>
                <w:color w:val="auto"/>
              </w:rPr>
              <w:t>/s/ Daniel L. Heard</w:t>
            </w:r>
          </w:p>
        </w:tc>
      </w:tr>
      <w:tr>
        <w:trPr>
          <w:trHeight w:val="195"/>
        </w:trPr>
        <w:tc>
          <w:tcPr>
            <w:tcW w:w="560" w:type="dxa"/>
            <w:vAlign w:val="bottom"/>
          </w:tcPr>
          <w:p>
            <w:pPr>
              <w:spacing w:after="0"/>
              <w:rPr>
                <w:sz w:val="16"/>
                <w:szCs w:val="16"/>
                <w:color w:val="auto"/>
              </w:rPr>
            </w:pPr>
          </w:p>
        </w:tc>
        <w:tc>
          <w:tcPr>
            <w:tcW w:w="5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w:t>
            </w:r>
          </w:p>
        </w:tc>
        <w:tc>
          <w:tcPr>
            <w:tcW w:w="40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Daniel L. Heard</w:t>
            </w:r>
          </w:p>
        </w:tc>
        <w:tc>
          <w:tcPr>
            <w:tcW w:w="2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100"/>
              <w:spacing w:after="0"/>
              <w:rPr>
                <w:sz w:val="20"/>
                <w:szCs w:val="20"/>
                <w:color w:val="auto"/>
              </w:rPr>
            </w:pPr>
            <w:r>
              <w:rPr>
                <w:rFonts w:ascii="Arial" w:cs="Arial" w:eastAsia="Arial" w:hAnsi="Arial"/>
                <w:sz w:val="18"/>
                <w:szCs w:val="18"/>
                <w:color w:val="auto"/>
                <w:w w:val="93"/>
              </w:rPr>
              <w:t>Executive  Vice  President  –  General  Counsel  and</w:t>
            </w:r>
          </w:p>
        </w:tc>
      </w:tr>
      <w:tr>
        <w:trPr>
          <w:trHeight w:val="230"/>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40" w:type="dxa"/>
            <w:vAlign w:val="bottom"/>
            <w:gridSpan w:val="2"/>
          </w:tcPr>
          <w:p>
            <w:pPr>
              <w:ind w:left="100"/>
              <w:spacing w:after="0"/>
              <w:rPr>
                <w:sz w:val="20"/>
                <w:szCs w:val="20"/>
                <w:color w:val="auto"/>
              </w:rPr>
            </w:pPr>
            <w:r>
              <w:rPr>
                <w:rFonts w:ascii="Arial" w:cs="Arial" w:eastAsia="Arial" w:hAnsi="Arial"/>
                <w:sz w:val="18"/>
                <w:szCs w:val="18"/>
                <w:color w:val="auto"/>
              </w:rPr>
              <w:t>Secretary</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2020-03-10T16:04:20Z</dcterms:created>
  <dcterms:modified xsi:type="dcterms:W3CDTF">2020-03-10T16:04:20Z</dcterms:modified>
</cp:coreProperties>
</file>