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80" w:right="240" w:hanging="454"/>
        <w:spacing w:after="0" w:line="262" w:lineRule="auto"/>
        <w:tabs>
          <w:tab w:leader="none" w:pos="48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right="220" w:hanging="454"/>
        <w:spacing w:after="0" w:line="275" w:lineRule="auto"/>
        <w:tabs>
          <w:tab w:leader="none" w:pos="48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spacing w:after="0" w:line="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001-36708</w:t>
      </w:r>
    </w:p>
    <w:p>
      <w:pPr>
        <w:spacing w:after="0" w:line="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Uniti Group Inc.</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ectPr>
          <w:pgSz w:w="11900" w:h="16838" w:orient="portrait"/>
          <w:cols w:equalWidth="0" w:num="1">
            <w:col w:w="11220"/>
          </w:cols>
          <w:pgMar w:left="320" w:top="229" w:right="359" w:bottom="1440" w:gutter="0" w:footer="0" w:header="0"/>
        </w:sectPr>
      </w:pPr>
    </w:p>
    <w:p>
      <w:pPr>
        <w:spacing w:after="0" w:line="28"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46-5230630</w:t>
      </w:r>
    </w:p>
    <w:p>
      <w:pPr>
        <w:spacing w:after="0" w:line="59" w:lineRule="exact"/>
        <w:rPr>
          <w:sz w:val="24"/>
          <w:szCs w:val="24"/>
          <w:color w:val="auto"/>
        </w:rPr>
      </w:pPr>
    </w:p>
    <w:p>
      <w:pPr>
        <w:sectPr>
          <w:pgSz w:w="11900" w:h="16838" w:orient="portrait"/>
          <w:cols w:equalWidth="0" w:num="2">
            <w:col w:w="7280" w:space="720"/>
            <w:col w:w="3220"/>
          </w:cols>
          <w:pgMar w:left="320" w:top="229" w:right="35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0" w:lineRule="exact"/>
        <w:rPr>
          <w:sz w:val="24"/>
          <w:szCs w:val="24"/>
          <w:color w:val="auto"/>
        </w:rPr>
      </w:pPr>
    </w:p>
    <w:p>
      <w:pPr>
        <w:sectPr>
          <w:pgSz w:w="11900" w:h="16838" w:orient="portrait"/>
          <w:cols w:equalWidth="0" w:num="2">
            <w:col w:w="7140" w:space="720"/>
            <w:col w:w="3360"/>
          </w:cols>
          <w:pgMar w:left="320" w:top="229" w:right="35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2101 Riverfront Drive, Suite A</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72202</w:t>
      </w:r>
    </w:p>
    <w:p>
      <w:pPr>
        <w:spacing w:after="0" w:line="46" w:lineRule="exact"/>
        <w:rPr>
          <w:sz w:val="24"/>
          <w:szCs w:val="24"/>
          <w:color w:val="auto"/>
        </w:rPr>
      </w:pPr>
    </w:p>
    <w:p>
      <w:pPr>
        <w:sectPr>
          <w:pgSz w:w="11900" w:h="16838" w:orient="portrait"/>
          <w:cols w:equalWidth="0" w:num="2">
            <w:col w:w="7480" w:space="720"/>
            <w:col w:w="3020"/>
          </w:cols>
          <w:pgMar w:left="320" w:top="229"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90" w:lineRule="exact"/>
        <w:rPr>
          <w:sz w:val="24"/>
          <w:szCs w:val="24"/>
          <w:color w:val="auto"/>
        </w:rPr>
      </w:pPr>
    </w:p>
    <w:p>
      <w:pPr>
        <w:sectPr>
          <w:pgSz w:w="11900" w:h="16838" w:orient="portrait"/>
          <w:cols w:equalWidth="0" w:num="2">
            <w:col w:w="7380" w:space="720"/>
            <w:col w:w="3120"/>
          </w:cols>
          <w:pgMar w:left="320" w:top="229"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(501) 850-0820</w:t>
      </w:r>
    </w:p>
    <w:p>
      <w:pPr>
        <w:spacing w:after="0" w:line="2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w:t>
      </w:r>
    </w:p>
    <w:p>
      <w:pPr>
        <w:spacing w:after="0" w:line="5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20"/>
          </w:cols>
          <w:pgMar w:left="320" w:top="229" w:right="359" w:bottom="1440" w:gutter="0" w:footer="0" w:header="0"/>
          <w:type w:val="continuous"/>
        </w:sectPr>
      </w:pPr>
    </w:p>
    <w:p>
      <w:pPr>
        <w:spacing w:after="0" w:line="7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50" w:lineRule="exact"/>
        <w:rPr>
          <w:sz w:val="24"/>
          <w:szCs w:val="24"/>
          <w:color w:val="auto"/>
        </w:rPr>
      </w:pPr>
    </w:p>
    <w:p>
      <w:pPr>
        <w:sectPr>
          <w:pgSz w:w="11900" w:h="16838" w:orient="portrait"/>
          <w:cols w:equalWidth="0" w:num="3">
            <w:col w:w="4220" w:space="720"/>
            <w:col w:w="2100" w:space="720"/>
            <w:col w:w="3460"/>
          </w:cols>
          <w:pgMar w:left="320" w:top="229"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96" w:lineRule="exact"/>
        <w:rPr>
          <w:sz w:val="24"/>
          <w:szCs w:val="24"/>
          <w:color w:val="auto"/>
        </w:rPr>
      </w:pPr>
    </w:p>
    <w:p>
      <w:pPr>
        <w:sectPr>
          <w:pgSz w:w="11900" w:h="16838" w:orient="portrait"/>
          <w:cols w:equalWidth="0" w:num="3">
            <w:col w:w="4680" w:space="720"/>
            <w:col w:w="1920" w:space="720"/>
            <w:col w:w="3180"/>
          </w:cols>
          <w:pgMar w:left="320" w:top="229" w:right="359" w:bottom="1440" w:gutter="0" w:footer="0" w:header="0"/>
          <w:type w:val="continuous"/>
        </w:sect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7" w:lineRule="exact"/>
        <w:rPr>
          <w:sz w:val="24"/>
          <w:szCs w:val="24"/>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60"/>
              <w:spacing w:after="0"/>
              <w:rPr>
                <w:sz w:val="20"/>
                <w:szCs w:val="20"/>
                <w:color w:val="auto"/>
              </w:rPr>
            </w:pPr>
            <w:r>
              <w:rPr>
                <w:rFonts w:ascii="Wingdings" w:cs="Wingdings" w:eastAsia="Wingdings" w:hAnsi="Wingdings"/>
                <w:sz w:val="18"/>
                <w:szCs w:val="18"/>
                <w:b w:val="1"/>
                <w:bCs w:val="1"/>
                <w:color w:val="auto"/>
              </w:rPr>
              <w:t>x</w:t>
            </w: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3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60"/>
              <w:spacing w:after="0"/>
              <w:rPr>
                <w:sz w:val="20"/>
                <w:szCs w:val="20"/>
                <w:color w:val="auto"/>
              </w:rPr>
            </w:pPr>
            <w:r>
              <w:rPr>
                <w:rFonts w:ascii="Wingdings" w:cs="Wingdings" w:eastAsia="Wingdings" w:hAnsi="Wingdings"/>
                <w:sz w:val="18"/>
                <w:szCs w:val="18"/>
                <w:b w:val="1"/>
                <w:bCs w:val="1"/>
                <w:color w:val="auto"/>
              </w:rPr>
              <w:t>o</w:t>
            </w: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2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7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80" w:type="dxa"/>
            <w:vAlign w:val="bottom"/>
          </w:tcPr>
          <w:p>
            <w:pPr>
              <w:ind w:left="6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57" w:lineRule="exact"/>
        <w:rPr>
          <w:sz w:val="24"/>
          <w:szCs w:val="24"/>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right="1540" w:firstLine="486"/>
        <w:spacing w:after="0" w:line="27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July 24, 2025, the registrant had 246,191,625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our expectations regarding our potential Merger (as defined herein) with Windstream; the future prospects and financial health of Windstream; our expectations about our ability to maintain our status as a real estate investment trust (a “REIT”); our expectations regarding the effect of tax-related legislation on our tax position; our expectations regarding the future growth and demand of the telecommunication industry, future financing plans, business strategies, growth prospects, operating and financial performance, and future liquidity needs and access to capital; our expectations regarding future deployment of fiber strand miles and small cell networks and recognition of revenue related thereto; our expectations regarding levels of capital expenditures; our expectations regarding the deductibility of goodwill for tax purposes; our expectations regarding the amortization of intangible assets; and our expectations regarding the payment of dividends.</w:t>
      </w:r>
    </w:p>
    <w:p>
      <w:pPr>
        <w:spacing w:after="0" w:line="20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9" w:lineRule="exact"/>
        <w:rPr>
          <w:sz w:val="20"/>
          <w:szCs w:val="20"/>
          <w:color w:val="auto"/>
        </w:rPr>
      </w:pPr>
    </w:p>
    <w:p>
      <w:pPr>
        <w:ind w:left="1300" w:right="1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Windstream’s ability to consummate our Merger (as defined herein) with Windstream on the expected terms or according to the anticipated timeline;</w:t>
      </w:r>
    </w:p>
    <w:p>
      <w:pPr>
        <w:spacing w:after="0" w:line="53"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Merger Agreement (as defined herein) may be modified or terminated prior to its expiration, or the occurrence of any event, change or other circumstances that could give rise to the termination of the Merger Agreement;</w:t>
      </w:r>
    </w:p>
    <w:p>
      <w:pPr>
        <w:spacing w:after="0" w:line="53" w:lineRule="exact"/>
        <w:rPr>
          <w:rFonts w:ascii="Times New Roman" w:cs="Times New Roman" w:eastAsia="Times New Roman" w:hAnsi="Times New Roman"/>
          <w:sz w:val="18"/>
          <w:szCs w:val="18"/>
          <w:color w:val="auto"/>
        </w:rPr>
      </w:pPr>
    </w:p>
    <w:p>
      <w:pPr>
        <w:ind w:left="1300" w:right="8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our Merger with Windstream may have on relationships with our customers, suppliers, vendors, employees and other stakeholders and our operating results and the operating results of Windstream;</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time on issues related to our Merger with Windstream;</w:t>
      </w:r>
    </w:p>
    <w:p>
      <w:pPr>
        <w:spacing w:after="0" w:line="117"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expected synergies, efficiencies and cost savings from our Merger with Windstream within the expected time period (if at all);</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that may be instituted against us or Windstream following the consummation of the Merger;</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prospects of our largest customer, Windstream;</w:t>
      </w:r>
    </w:p>
    <w:p>
      <w:pPr>
        <w:spacing w:after="0" w:line="117"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of inflation, higher interest rates, tariffs, trade restrictions and the potential for economic slowdown on our employees, our business, the business of our customers and other business partners and the global financial markets;</w:t>
      </w:r>
    </w:p>
    <w:p>
      <w:pPr>
        <w:spacing w:after="0" w:line="53"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meet and/or perform their obligations under any contractual arrangements entered into with us, including master lease arrangements;</w:t>
      </w:r>
    </w:p>
    <w:p>
      <w:pPr>
        <w:spacing w:after="0" w:line="53"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67" w:lineRule="exact"/>
        <w:rPr>
          <w:rFonts w:ascii="Times New Roman" w:cs="Times New Roman" w:eastAsia="Times New Roman" w:hAnsi="Times New Roman"/>
          <w:sz w:val="18"/>
          <w:szCs w:val="18"/>
          <w:color w:val="auto"/>
        </w:rPr>
      </w:pPr>
    </w:p>
    <w:p>
      <w:pPr>
        <w:ind w:left="1300" w:right="760" w:hanging="644"/>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to service our outstanding indebtedness and fund our capital funding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capital markets;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or the business of our customers as a result of credit rating downgrades and fluctuating interest rates;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key management personnel;</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status as a REIT;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tax law and other federal, state or local laws, whether or not specific to REITs;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our debt agreements that may limit our operational flexibility;</w:t>
      </w:r>
    </w:p>
    <w:p>
      <w:pPr>
        <w:spacing w:after="0" w:line="117" w:lineRule="exact"/>
        <w:rPr>
          <w:rFonts w:ascii="Times New Roman" w:cs="Times New Roman" w:eastAsia="Times New Roman" w:hAnsi="Times New Roman"/>
          <w:sz w:val="18"/>
          <w:szCs w:val="18"/>
          <w:color w:val="auto"/>
        </w:rPr>
      </w:pPr>
    </w:p>
    <w:p>
      <w:pPr>
        <w:ind w:left="1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experience equipment failures, natural disasters, cyber-attacks or terrorist attacks for which our insurance may not provide adequate coverage;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fail to fully realize the potential benefits of or have difficulty in integrating the companies we acquire;</w:t>
      </w:r>
    </w:p>
    <w:p>
      <w:pPr>
        <w:spacing w:after="0" w:line="117"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53" w:lineRule="exact"/>
        <w:rPr>
          <w:rFonts w:ascii="Times New Roman" w:cs="Times New Roman" w:eastAsia="Times New Roman" w:hAnsi="Times New Roman"/>
          <w:sz w:val="18"/>
          <w:szCs w:val="18"/>
          <w:color w:val="auto"/>
        </w:rPr>
      </w:pPr>
    </w:p>
    <w:p>
      <w:pPr>
        <w:ind w:left="1300" w:hanging="644"/>
        <w:spacing w:after="0" w:line="256"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factors discussed in Part I, Item 2 “Management’s Discussion and Analysis of Financial Condition and Results of Operations” and Part II, Item 1A “Risk Factors” of this Quarterly Report on Form 10-Q, in Part II, Item 1A "Risk Factors" of our Quarterly Report on Form 10-Q for the quarter ended March 31, 2025 filed with the SEC on May 6, 2025, and in Part I, Item 1A "Risk Factors" of our Annual Report on Form 10-K filed with the U.S. Securities and Exchange Commission (the "SEC") on February 21, 2025, as amended by Amendment No. 1 thereto filed on Form 10-K/A with the SEC on March 7, 2025 (the "Annual Report"), as well as those described from time to time in our future reports filed with the SEC.</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4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840" w:type="dxa"/>
            <w:vAlign w:val="bottom"/>
            <w:gridSpan w:val="36"/>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42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Condensed Consolidated Statements of (Loss)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tcBorders>
              <w:top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Deficit</w:t>
            </w:r>
          </w:p>
        </w:tc>
        <w:tc>
          <w:tcPr>
            <w:tcW w:w="3760" w:type="dxa"/>
            <w:vAlign w:val="bottom"/>
            <w:gridSpan w:val="3"/>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20" w:type="dxa"/>
            <w:vAlign w:val="bottom"/>
            <w:tcBorders>
              <w:top w:val="single" w:sz="8" w:color="0000FF"/>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680" w:type="dxa"/>
            <w:vAlign w:val="bottom"/>
            <w:tcBorders>
              <w:top w:val="single" w:sz="8" w:color="0000FF"/>
            </w:tcBorders>
            <w:gridSpan w:val="6"/>
          </w:tcPr>
          <w:p>
            <w:pPr>
              <w:spacing w:after="0"/>
              <w:rPr>
                <w:sz w:val="20"/>
                <w:szCs w:val="20"/>
                <w:color w:val="auto"/>
              </w:rPr>
            </w:pPr>
          </w:p>
        </w:tc>
        <w:tc>
          <w:tcPr>
            <w:tcW w:w="4440" w:type="dxa"/>
            <w:vAlign w:val="bottom"/>
            <w:gridSpan w:val="4"/>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Borders>
              <w:top w:val="single" w:sz="8" w:color="0000FF"/>
            </w:tcBorders>
            <w:gridSpan w:val="28"/>
          </w:tcPr>
          <w:p>
            <w:pPr>
              <w:ind w:left="220"/>
              <w:spacing w:after="0"/>
              <w:rPr>
                <w:sz w:val="20"/>
                <w:szCs w:val="20"/>
                <w:color w:val="auto"/>
              </w:rPr>
            </w:pPr>
            <w:r>
              <w:rPr>
                <w:rFonts w:ascii="Times New Roman" w:cs="Times New Roman" w:eastAsia="Times New Roman" w:hAnsi="Times New Roman"/>
                <w:sz w:val="18"/>
                <w:szCs w:val="18"/>
                <w:color w:val="0000FF"/>
              </w:rPr>
              <w:t>1.Organization and Description of Business</w:t>
            </w:r>
          </w:p>
        </w:tc>
        <w:tc>
          <w:tcPr>
            <w:tcW w:w="4860" w:type="dxa"/>
            <w:vAlign w:val="bottom"/>
            <w:gridSpan w:val="8"/>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2.Basis of Presentation and Summary of Significant Accounting Policies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3.Revenues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4.Leases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5.Fair Value of Financial Instruments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6.Property, Plant and Equipment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7.Goodwill and Intangible Assets and Liabilities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8.Notes and Other Debt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9.Earnings Per Share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10.Segment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11.Commitments and Contingencies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12.Accumulated Other Comprehensive (Loss)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000FF"/>
              </w:rPr>
              <w:t>13.Capital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220"/>
              <w:spacing w:after="0"/>
              <w:rPr>
                <w:sz w:val="20"/>
                <w:szCs w:val="20"/>
                <w:color w:val="auto"/>
              </w:rPr>
            </w:pPr>
            <w:r>
              <w:rPr>
                <w:rFonts w:ascii="Times New Roman" w:cs="Times New Roman" w:eastAsia="Times New Roman" w:hAnsi="Times New Roman"/>
                <w:sz w:val="18"/>
                <w:szCs w:val="18"/>
                <w:color w:val="0E32E1"/>
              </w:rPr>
              <w:t>14.</w:t>
            </w:r>
            <w:r>
              <w:rPr>
                <w:rFonts w:ascii="Times New Roman" w:cs="Times New Roman" w:eastAsia="Times New Roman" w:hAnsi="Times New Roman"/>
                <w:sz w:val="18"/>
                <w:szCs w:val="18"/>
                <w:color w:val="0000FF"/>
              </w:rPr>
              <w:t>Supplementary Unrestricted Subsidiary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160"/>
              <w:spacing w:after="0"/>
              <w:rPr>
                <w:sz w:val="20"/>
                <w:szCs w:val="20"/>
                <w:color w:val="auto"/>
              </w:rPr>
            </w:pPr>
            <w:r>
              <w:rPr>
                <w:rFonts w:ascii="Times New Roman" w:cs="Times New Roman" w:eastAsia="Times New Roman" w:hAnsi="Times New Roman"/>
                <w:sz w:val="18"/>
                <w:szCs w:val="18"/>
                <w:color w:val="0000FF"/>
              </w:rPr>
              <w:t>1.Overview</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160"/>
              <w:spacing w:after="0"/>
              <w:rPr>
                <w:sz w:val="20"/>
                <w:szCs w:val="20"/>
                <w:color w:val="auto"/>
              </w:rPr>
            </w:pPr>
            <w:r>
              <w:rPr>
                <w:rFonts w:ascii="Times New Roman" w:cs="Times New Roman" w:eastAsia="Times New Roman" w:hAnsi="Times New Roman"/>
                <w:sz w:val="18"/>
                <w:szCs w:val="18"/>
                <w:color w:val="0000FF"/>
              </w:rPr>
              <w:t>2.Results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160"/>
              <w:spacing w:after="0"/>
              <w:rPr>
                <w:sz w:val="20"/>
                <w:szCs w:val="20"/>
                <w:color w:val="auto"/>
              </w:rPr>
            </w:pPr>
            <w:r>
              <w:rPr>
                <w:rFonts w:ascii="Times New Roman" w:cs="Times New Roman" w:eastAsia="Times New Roman" w:hAnsi="Times New Roman"/>
                <w:sz w:val="18"/>
                <w:szCs w:val="18"/>
                <w:color w:val="0000FF"/>
              </w:rPr>
              <w:t>3.Non-GAAP Financial Measures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6"/>
          </w:tcPr>
          <w:p>
            <w:pPr>
              <w:ind w:left="160"/>
              <w:spacing w:after="0"/>
              <w:rPr>
                <w:sz w:val="20"/>
                <w:szCs w:val="20"/>
                <w:color w:val="auto"/>
              </w:rPr>
            </w:pPr>
            <w:r>
              <w:rPr>
                <w:rFonts w:ascii="Times New Roman" w:cs="Times New Roman" w:eastAsia="Times New Roman" w:hAnsi="Times New Roman"/>
                <w:sz w:val="18"/>
                <w:szCs w:val="18"/>
                <w:color w:val="0000FF"/>
              </w:rPr>
              <w:t>4.Liquidity and Capital Resources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80" w:type="dxa"/>
            <w:vAlign w:val="bottom"/>
            <w:gridSpan w:val="5"/>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6820" w:type="dxa"/>
            <w:vAlign w:val="bottom"/>
            <w:gridSpan w:val="2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520" w:type="dxa"/>
            <w:vAlign w:val="bottom"/>
            <w:gridSpan w:val="26"/>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8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960" w:type="dxa"/>
            <w:vAlign w:val="bottom"/>
            <w:tcBorders>
              <w:top w:val="single" w:sz="8" w:color="0000FF"/>
            </w:tcBorders>
            <w:gridSpan w:val="13"/>
          </w:tcPr>
          <w:p>
            <w:pPr>
              <w:spacing w:after="0"/>
              <w:rPr>
                <w:sz w:val="20"/>
                <w:szCs w:val="20"/>
                <w:color w:val="auto"/>
              </w:rPr>
            </w:pPr>
          </w:p>
        </w:tc>
        <w:tc>
          <w:tcPr>
            <w:tcW w:w="4500" w:type="dxa"/>
            <w:vAlign w:val="bottom"/>
            <w:gridSpan w:val="6"/>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080" w:type="dxa"/>
            <w:vAlign w:val="bottom"/>
            <w:gridSpan w:val="23"/>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40" w:type="dxa"/>
            <w:vAlign w:val="bottom"/>
            <w:gridSpan w:val="27"/>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93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4340" w:type="dxa"/>
            <w:vAlign w:val="bottom"/>
            <w:gridSpan w:val="30"/>
          </w:tcPr>
          <w:p>
            <w:pPr>
              <w:ind w:left="42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par value)</w:t>
            </w:r>
          </w:p>
        </w:tc>
        <w:tc>
          <w:tcPr>
            <w:tcW w:w="22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8"/>
                <w:szCs w:val="18"/>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4,366,790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4,209,747</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240,727</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155,593</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57,866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28,254</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40,677</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51,418</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157,380</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260,563</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275,414</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Straight-line revenue receivable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108,870</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127,938</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126,791</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136,585</w:t>
            </w: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w:t>
            </w: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5,543,531</w:t>
            </w:r>
          </w:p>
        </w:tc>
        <w:tc>
          <w:tcPr>
            <w:tcW w:w="2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5,282,145</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6"/>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5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88,302</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89,688</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 payable (Note 11)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71,785</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140,356</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145,703</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133,226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143,901</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1,430,722</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1,400,952</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82,601</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80,504</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17,190</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and other debt, net</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6,064,751</w:t>
            </w: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5,783,597</w:t>
            </w:r>
          </w:p>
        </w:tc>
      </w:tr>
      <w:tr>
        <w:trPr>
          <w:trHeight w:val="244"/>
        </w:trPr>
        <w:tc>
          <w:tcPr>
            <w:tcW w:w="79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7,987,519</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7,733,985</w:t>
            </w:r>
          </w:p>
        </w:tc>
      </w:tr>
      <w:tr>
        <w:trPr>
          <w:trHeight w:val="243"/>
        </w:trPr>
        <w:tc>
          <w:tcPr>
            <w:tcW w:w="7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5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7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and outstanding</w:t>
            </w:r>
          </w:p>
        </w:tc>
        <w:tc>
          <w:tcPr>
            <w:tcW w:w="2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500,000 shares authorized, issued and outstanding: 238,568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1"/>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June 30, 2025 and 237,513 shares at December 31, 2024</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1,241,569</w:t>
            </w: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1,236,045</w:t>
            </w:r>
          </w:p>
        </w:tc>
      </w:tr>
      <w:tr>
        <w:trPr>
          <w:trHeight w:val="250"/>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in excess of accumulated earnings</w:t>
            </w:r>
          </w:p>
        </w:tc>
        <w:tc>
          <w:tcPr>
            <w:tcW w:w="2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(3,685,664)</w:t>
            </w:r>
          </w:p>
        </w:tc>
        <w:tc>
          <w:tcPr>
            <w:tcW w:w="2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(3,687,808)</w:t>
            </w:r>
          </w:p>
        </w:tc>
      </w:tr>
      <w:tr>
        <w:trPr>
          <w:trHeight w:val="243"/>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Uniti shareholders' deficit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(2,444,238)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(2,452,373)</w:t>
            </w:r>
          </w:p>
        </w:tc>
      </w:tr>
      <w:tr>
        <w:trPr>
          <w:trHeight w:val="263"/>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7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partnership units</w:t>
            </w:r>
          </w:p>
        </w:tc>
        <w:tc>
          <w:tcPr>
            <w:tcW w:w="220" w:type="dxa"/>
            <w:vAlign w:val="bottom"/>
          </w:tcPr>
          <w:p>
            <w:pPr>
              <w:spacing w:after="0"/>
              <w:rPr>
                <w:sz w:val="21"/>
                <w:szCs w:val="21"/>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8"/>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Cumulative non-voting convertible preferred stock, $0.01 par value, 6 shares authorized, 3 issued and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8"/>
        </w:trPr>
        <w:tc>
          <w:tcPr>
            <w:tcW w:w="79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4"/>
        </w:trPr>
        <w:tc>
          <w:tcPr>
            <w:tcW w:w="79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(2,443,988)</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(2,451,840)</w:t>
            </w:r>
          </w:p>
        </w:tc>
      </w:tr>
      <w:tr>
        <w:trPr>
          <w:trHeight w:val="275"/>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5,543,531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5,282,145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 from rentals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Uniti Leasing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225,014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216,640</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432,633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Uniti Fiber</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229,303</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457,459</w:t>
            </w: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 revenues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Uniti Leasing</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Uniti Fiber</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61,213</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63,998</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120,632</w:t>
            </w:r>
          </w:p>
        </w:tc>
        <w:tc>
          <w:tcPr>
            <w:tcW w:w="0" w:type="dxa"/>
            <w:vAlign w:val="bottom"/>
          </w:tcPr>
          <w:p>
            <w:pPr>
              <w:spacing w:after="0"/>
              <w:rPr>
                <w:sz w:val="1"/>
                <w:szCs w:val="1"/>
                <w:color w:val="auto"/>
              </w:rPr>
            </w:pPr>
          </w:p>
        </w:tc>
      </w:tr>
      <w:tr>
        <w:trPr>
          <w:trHeight w:val="257"/>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service revenues</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1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581,365</w:t>
            </w:r>
          </w:p>
        </w:tc>
        <w:tc>
          <w:tcPr>
            <w:tcW w:w="0" w:type="dxa"/>
            <w:vAlign w:val="bottom"/>
          </w:tcPr>
          <w:p>
            <w:pPr>
              <w:spacing w:after="0"/>
              <w:rPr>
                <w:sz w:val="1"/>
                <w:szCs w:val="1"/>
                <w:color w:val="auto"/>
              </w:rPr>
            </w:pPr>
          </w:p>
        </w:tc>
      </w:tr>
      <w:tr>
        <w:trPr>
          <w:trHeight w:val="277"/>
        </w:trPr>
        <w:tc>
          <w:tcPr>
            <w:tcW w:w="5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250,686</w:t>
            </w: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155,537</w:t>
            </w: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0" w:type="dxa"/>
            <w:vAlign w:val="bottom"/>
          </w:tcPr>
          <w:p>
            <w:pPr>
              <w:spacing w:after="0"/>
              <w:rPr>
                <w:sz w:val="1"/>
                <w:szCs w:val="1"/>
                <w:color w:val="auto"/>
              </w:rPr>
            </w:pPr>
          </w:p>
        </w:tc>
      </w:tr>
      <w:tr>
        <w:trPr>
          <w:trHeight w:val="211"/>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 (exclusive of depreciation, accretion and</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72,234</w:t>
            </w: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317,639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279,237</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603,846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529,670</w:t>
            </w: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 from</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51,695</w:t>
            </w: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2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0" w:type="dxa"/>
            <w:vAlign w:val="bottom"/>
          </w:tcPr>
          <w:p>
            <w:pPr>
              <w:spacing w:after="0"/>
              <w:rPr>
                <w:sz w:val="1"/>
                <w:szCs w:val="1"/>
                <w:color w:val="auto"/>
              </w:rPr>
            </w:pPr>
          </w:p>
        </w:tc>
      </w:tr>
      <w:tr>
        <w:trPr>
          <w:trHeight w:val="263"/>
        </w:trPr>
        <w:tc>
          <w:tcPr>
            <w:tcW w:w="5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per common share:</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238,567</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237,347</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238,318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238,567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237,347</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0" w:type="dxa"/>
            <w:vAlign w:val="bottom"/>
          </w:tcPr>
          <w:p>
            <w:pPr>
              <w:spacing w:after="0"/>
              <w:rPr>
                <w:sz w:val="1"/>
                <w:szCs w:val="1"/>
                <w:color w:val="auto"/>
              </w:rPr>
            </w:pPr>
          </w:p>
        </w:tc>
      </w:tr>
      <w:tr>
        <w:trPr>
          <w:trHeight w:val="250"/>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valuation of interest rate cap</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realized interest on interest rate cap</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59,765</w:t>
            </w:r>
          </w:p>
        </w:tc>
        <w:tc>
          <w:tcPr>
            <w:tcW w:w="0" w:type="dxa"/>
            <w:vAlign w:val="bottom"/>
          </w:tcPr>
          <w:p>
            <w:pPr>
              <w:spacing w:after="0"/>
              <w:rPr>
                <w:sz w:val="1"/>
                <w:szCs w:val="1"/>
                <w:color w:val="auto"/>
              </w:rPr>
            </w:pPr>
          </w:p>
        </w:tc>
      </w:tr>
      <w:tr>
        <w:trPr>
          <w:trHeight w:val="263"/>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attributable to shareholders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0"/>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tcPr>
          <w:p>
            <w:pPr>
              <w:spacing w:after="0"/>
              <w:rPr>
                <w:sz w:val="13"/>
                <w:szCs w:val="13"/>
                <w:color w:val="auto"/>
              </w:rPr>
            </w:pP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Interest - Non-</w:t>
            </w:r>
          </w:p>
        </w:tc>
        <w:tc>
          <w:tcPr>
            <w:tcW w:w="82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Excess of</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voting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Paid-in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r>
      <w:tr>
        <w:trPr>
          <w:trHeight w:val="202"/>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Preferred Stock</w:t>
            </w: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Capital</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Loss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Deficit</w:t>
            </w:r>
          </w:p>
        </w:tc>
      </w:tr>
      <w:tr>
        <w:trPr>
          <w:trHeight w:val="23"/>
        </w:trPr>
        <w:tc>
          <w:tcPr>
            <w:tcW w:w="2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189"/>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237,308,699</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1,223,983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(3,703,597)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(2,477,483)</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18,281</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6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($0.15 per share)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(36,747)</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r>
      <w:tr>
        <w:trPr>
          <w:trHeight w:val="23"/>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237,353,110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1,228,527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(3,722,066)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(2,492,414)</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238,556,839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1,237,987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(3,675,200)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(2,437,454)</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Performance award dividend</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r>
      <w:tr>
        <w:trPr>
          <w:trHeight w:val="23"/>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238,567,669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(3,685,664)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(2,443,988)</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0"/>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color w:val="auto"/>
              </w:rPr>
              <w:t>Distributions</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color w:val="auto"/>
              </w:rPr>
              <w:t>Noncontrolling</w:t>
            </w:r>
          </w:p>
        </w:tc>
        <w:tc>
          <w:tcPr>
            <w:tcW w:w="820" w:type="dxa"/>
            <w:vAlign w:val="bottom"/>
          </w:tcPr>
          <w:p>
            <w:pPr>
              <w:spacing w:after="0"/>
              <w:rPr>
                <w:sz w:val="13"/>
                <w:szCs w:val="13"/>
                <w:color w:val="auto"/>
              </w:rPr>
            </w:pP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Interest - Non-</w:t>
            </w:r>
          </w:p>
        </w:tc>
        <w:tc>
          <w:tcPr>
            <w:tcW w:w="820" w:type="dxa"/>
            <w:vAlign w:val="bottom"/>
          </w:tcPr>
          <w:p>
            <w:pPr>
              <w:spacing w:after="0"/>
              <w:rPr>
                <w:sz w:val="14"/>
                <w:szCs w:val="14"/>
                <w:color w:val="auto"/>
              </w:rPr>
            </w:pP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Excess of</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voting</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w:t>
            </w:r>
          </w:p>
        </w:tc>
      </w:tr>
      <w:tr>
        <w:trPr>
          <w:trHeight w:val="162"/>
        </w:trPr>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Paid-in</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Comprehensive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r>
      <w:tr>
        <w:trPr>
          <w:trHeight w:val="202"/>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 except share data)</w:t>
            </w:r>
          </w:p>
        </w:tc>
        <w:tc>
          <w:tcPr>
            <w:tcW w:w="14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Preferred Stock</w:t>
            </w:r>
          </w:p>
        </w:tc>
        <w:tc>
          <w:tcPr>
            <w:tcW w:w="16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8"/>
              </w:rPr>
              <w:t>Loss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Earnings</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Units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Deficit</w:t>
            </w:r>
          </w:p>
        </w:tc>
      </w:tr>
      <w:tr>
        <w:trPr>
          <w:trHeight w:val="23"/>
        </w:trPr>
        <w:tc>
          <w:tcPr>
            <w:tcW w:w="2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2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19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236,558,601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1,221,824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(3,708,240)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(2,484,121)</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59,629</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6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dividends declared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8"/>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($0.30 per share)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(73,433)</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declared</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53,662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6,745</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83,047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20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237,353,110</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1,228,527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(3,722,066)</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(2,492,414)</w:t>
            </w: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2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237,513,495</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1,236,045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(3,687,808)</w:t>
            </w:r>
          </w:p>
        </w:tc>
        <w:tc>
          <w:tcPr>
            <w:tcW w:w="8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(2,451,840)</w:t>
            </w:r>
          </w:p>
        </w:tc>
      </w:tr>
      <w:tr>
        <w:trPr>
          <w:trHeight w:val="24"/>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24"/>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award dividend</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9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of noncontrolling interest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3"/>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w:t>
            </w:r>
          </w:p>
        </w:tc>
      </w:tr>
      <w:tr>
        <w:trPr>
          <w:trHeight w:val="192"/>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935,005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w:t>
            </w:r>
          </w:p>
        </w:tc>
      </w:tr>
      <w:tr>
        <w:trPr>
          <w:trHeight w:val="24"/>
        </w:trPr>
        <w:tc>
          <w:tcPr>
            <w:tcW w:w="2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66"/>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 employee</w:t>
            </w: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12"/>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purchase plan</w:t>
            </w:r>
          </w:p>
        </w:tc>
        <w:tc>
          <w:tcPr>
            <w:tcW w:w="7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119,169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20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238,567,669</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1,241,569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(3,685,664)</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(2,443,988)</w:t>
            </w:r>
          </w:p>
        </w:tc>
      </w:tr>
      <w:tr>
        <w:trPr>
          <w:trHeight w:val="21"/>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2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268"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11"/>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29"/>
        </w:trPr>
        <w:tc>
          <w:tcPr>
            <w:tcW w:w="818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36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9"/>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155,537</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cap amortization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 rate cap</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Straight-line revenues and amortization of below-market lease intangibles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(17,038)</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loss on asset disposals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Accretion of settlement obligation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w:t>
            </w: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r>
      <w:tr>
        <w:trPr>
          <w:trHeight w:val="263"/>
        </w:trPr>
        <w:tc>
          <w:tcPr>
            <w:tcW w:w="8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174,338</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(262,758)</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40,039</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(245,587)</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(182,284)</w:t>
            </w:r>
          </w:p>
        </w:tc>
      </w:tr>
      <w:tr>
        <w:trPr>
          <w:trHeight w:val="26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Repayment of debt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(122,942)</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(108,445)</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settlement obligation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(49,011)</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(333,000)</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ABS Loan Facility and Notes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payments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for noncontrolling interest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r>
      <w:tr>
        <w:trPr>
          <w:trHeight w:val="24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77,173</w:t>
            </w:r>
          </w:p>
        </w:tc>
      </w:tr>
      <w:tr>
        <w:trPr>
          <w:trHeight w:val="256"/>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69,227</w:t>
            </w:r>
          </w:p>
        </w:tc>
      </w:tr>
      <w:tr>
        <w:trPr>
          <w:trHeight w:val="25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beginning of period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183,847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62,264</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79"/>
        </w:trPr>
        <w:tc>
          <w:tcPr>
            <w:tcW w:w="1280" w:type="dxa"/>
            <w:vAlign w:val="bottom"/>
            <w:tcBorders>
              <w:top w:val="single" w:sz="8" w:color="0000FF"/>
              <w:bottom w:val="single" w:sz="8" w:color="CCEEFF"/>
            </w:tcBorders>
          </w:tcPr>
          <w:p>
            <w:pPr>
              <w:spacing w:after="0"/>
              <w:rPr>
                <w:sz w:val="24"/>
                <w:szCs w:val="24"/>
                <w:color w:val="auto"/>
              </w:rPr>
            </w:pPr>
          </w:p>
        </w:tc>
        <w:tc>
          <w:tcPr>
            <w:tcW w:w="69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6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298,593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131,491</w:t>
            </w:r>
          </w:p>
        </w:tc>
      </w:tr>
      <w:tr>
        <w:trPr>
          <w:trHeight w:val="20"/>
        </w:trPr>
        <w:tc>
          <w:tcPr>
            <w:tcW w:w="820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12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7"/>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50"/>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acquired but not yet paid</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r>
      <w:tr>
        <w:trPr>
          <w:trHeight w:val="263"/>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Tenant capital improvements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94,049</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Uniti Group Inc. (the “Company,” “Uniti,” “we,” “us,” or “our”) was incorporated in the state of Maryland on September 4, 2014. On July 29, 2025, pursuant to the transactions contemplated by the Merger Agreement (defined below), Uniti converted to a Delaware corporation.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June 30, 2025, we are the sole general partner of the Operating Partnership and own 100.00% of the partnership interests in the Operating Partnership.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Proposed Merger with Windstream</w:t>
      </w:r>
    </w:p>
    <w:p>
      <w:pPr>
        <w:spacing w:after="0" w:line="21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On May 3, 2024, Uniti entered into an Agreement and Plan of Merger, by and between Uniti and Windstream, as amended by Amendment No. 1 to the Agreement and Plan of Merger, dated as of July 17, 2024 (as it may be further amended and/or restated from time to time, the "Merger Agreement"). Upon the terms and subject to the conditions set forth in the Merger Agreement and following a pre-closing reorganization of Windstream, an affiliate of Windstream identified as "Merger Sub" in the Merger Agreement will merge with and into Uniti (the "Merger"), with Uniti surviving the Merger, with the result that both of Uniti and Windstream's successor by merger will be indirect wholly owned subsidiaries of Windstream Parent Inc., a Delaware corporation that is currently an indirect wholly owned subsidiary of Windstream (“New Uniti”). In connection with the Merger, Windstream Parent, Inc. will be renamed Uniti Group Inc. Following the Merger, the common stock of New Uniti (“New Uniti Common Stock”) is expected to be listed on the Nasdaq Global Market under the proposed symbol “UNIT.” Our Merger with Windstream is subject to customary closing conditions, including, among others, approval by our stockholders, which was obtained April 2, 2025, and receipt of required regulatory approvals, the last of which was received on July 24, 2025. As of the date of this Quarterly Report on Form 10-Q, Uniti and Windstream intend to close the Merger after market-close on August 1, 2025.</w:t>
      </w:r>
    </w:p>
    <w:p>
      <w:pPr>
        <w:spacing w:after="0" w:line="20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Merger is expected to be a taxable transaction to the Company's stockholders. In addition, during the current quarter, the Company received a favorable private letter ruling from the Internal Revenue Service regarding certain U.S. federal income tax consequences of a post-closing restructuring, which is expected to result in a step-up in the tax basis of certain of the Company's assets following the closing of the Merger.</w:t>
      </w:r>
    </w:p>
    <w:p>
      <w:pPr>
        <w:spacing w:after="0" w:line="16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spacing w:after="0" w:line="22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the Merger Cash Consideration with cash on hand and borrowings under the Revolving Credit Facility (as defined herein).</w:t>
      </w:r>
    </w:p>
    <w:p>
      <w:pPr>
        <w:spacing w:after="0" w:line="25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(as defined herein) and the settlement agreement with 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In April 2025, we amended our Credit Agreement (as defined herein) to modify its lien covenant to facilitate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Notes, as defined herein) would become an obligor under Windstream's outstanding debt, and each obligor under Windstream's outstanding debt would become an obligor under Uniti's outstanding debt (other than the ABS Notes, as defined herein). We presently intend to consummate the Post-Closing Reorganization shortly after the closing of the Merger.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it is expected that, following consummation of the Merger, Uniti will cease to be a REIT and New Uniti would not qualify as a REIT.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all accounts of the Company and its wholly owned and/or controlled subsidiaries, including the Operating Partnership. Under the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5"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for interim financial information set forth in the ASC, as published by the Financial Accounting Standards Board (“FASB”), and with the applicable rules and regulations of the U.S.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21, 2025, as amended by Amendment No. 1 thereto filed on Form 10-K/A with the SEC on March 7, 2025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 of Credit Risks</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Prior to September 2020, we were party to a long-term exclusive triple-net lease (the “Master Lease”) with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68.2% and 68.1% of our revenue for the six months ended June 30, 2025 and 2024,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service debt if Windstream were to default under the Windstream Leases or otherwise experience operating or liquidity difficulties and become unable to generate sufficient cash to make payments to us.</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Quarterly Report on Form 10-Q, Windstream is current on all lease payments.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 and Cash Equivalents</w:t>
      </w:r>
    </w:p>
    <w:p>
      <w:pPr>
        <w:spacing w:after="0" w:line="21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Restricted cash and cash equivalents represent funds that are restricted for an obligation under the ABS Loan Facility (as defined in Note 11) to maintain three months of interest and other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12"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18"/>
          <w:szCs w:val="18"/>
          <w:color w:val="auto"/>
        </w:rPr>
        <w:t>On July 4, 2025, H.R.1, also known as the One Big Beautiful Bill Act, was signed into law in the U.S. and contains a broad range of tax reform provisions affecting businesses. We are evaluating the full effects of the legislation on our estimated annual effective tax rate and cash tax position. As the legislation was signed into law after the close of our second quarter, the impacts are not included in our operating results for the three and six months ended June 30,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 Not Yet Adopted</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the disclosure requirements for income taxes and enhances the transparency and decision-usefulness of income tax disclosures. The standard requires disclosure of additional specified categories in the rate reconciliation in both percentage and dollar amounts as well as greater disaggregation of income taxes paid. ASU 2023-09 is effective for fiscal years beginning after December 15, 2024, with early adoption permitted. The Company is currently evaluating the impact of this guidance on its disclosures in the consolidated financial statements.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("ASU 2024-03"), which requires additional disclosure about specific types of expenses included in the expense captions presented on the face of the income statement, as well as disclosures about selling expenses. ASU 2024-03 is effective for fiscal years beginning after December 15, 2026, and interim periods in fiscal years beginning after December 15, 2027, with early adoption permitted. The Company is currently evaluating the impact of this guidance on its disclosures in the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revenue stream.</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 disaggregated by revenue stream</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Lit backhaul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w:t>
            </w:r>
          </w:p>
        </w:tc>
        <w:tc>
          <w:tcPr>
            <w:tcW w:w="0" w:type="dxa"/>
            <w:vAlign w:val="bottom"/>
          </w:tcPr>
          <w:p>
            <w:pPr>
              <w:spacing w:after="0"/>
              <w:rPr>
                <w:sz w:val="1"/>
                <w:szCs w:val="1"/>
                <w:color w:val="auto"/>
              </w:rPr>
            </w:pPr>
          </w:p>
        </w:tc>
      </w:tr>
      <w:tr>
        <w:trPr>
          <w:trHeight w:val="250"/>
        </w:trPr>
        <w:tc>
          <w:tcPr>
            <w:tcW w:w="5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E-Rate and government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120,632</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123,906</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accounted for under leasing guidance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Uniti Leasing</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445,927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432,633</w:t>
            </w:r>
          </w:p>
        </w:tc>
        <w:tc>
          <w:tcPr>
            <w:tcW w:w="0" w:type="dxa"/>
            <w:vAlign w:val="bottom"/>
          </w:tcPr>
          <w:p>
            <w:pPr>
              <w:spacing w:after="0"/>
              <w:rPr>
                <w:sz w:val="1"/>
                <w:szCs w:val="1"/>
                <w:color w:val="auto"/>
              </w:rPr>
            </w:pPr>
          </w:p>
        </w:tc>
      </w:tr>
      <w:tr>
        <w:trPr>
          <w:trHeight w:val="263"/>
        </w:trPr>
        <w:tc>
          <w:tcPr>
            <w:tcW w:w="5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Uniti Fiber</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 accounted for under leasing guidance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238,055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475,078</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457,459</w:t>
            </w: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594,641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 June 30, 2025 and December 31, 2024, lease receivables were $17.5 million and $28.8 million, respectively, and receivables from contracts with customers were $20.1 million and $19.1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six months ended June 30, 2025, we recognized revenues of $1.2 million and $2.8 million, respectively, which were included in the December 31, 2024 contract liabilities balance.</w:t>
      </w:r>
    </w:p>
    <w:p>
      <w:pPr>
        <w:spacing w:after="0" w:line="186" w:lineRule="exact"/>
        <w:rPr>
          <w:sz w:val="20"/>
          <w:szCs w:val="20"/>
          <w:color w:val="auto"/>
        </w:rPr>
      </w:pPr>
    </w:p>
    <w:p>
      <w:pPr>
        <w:ind w:right="700"/>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provides information about contract assets and contract liabilities accounted for under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120" w:type="dxa"/>
            <w:vAlign w:val="bottom"/>
          </w:tcPr>
          <w:p>
            <w:pPr>
              <w:spacing w:after="0"/>
              <w:rPr>
                <w:sz w:val="16"/>
                <w:szCs w:val="16"/>
                <w:color w:val="auto"/>
              </w:rPr>
            </w:pPr>
          </w:p>
        </w:tc>
        <w:tc>
          <w:tcPr>
            <w:tcW w:w="13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300" w:type="dxa"/>
            <w:vAlign w:val="bottom"/>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w:t>
            </w:r>
          </w:p>
        </w:tc>
        <w:tc>
          <w:tcPr>
            <w:tcW w:w="0" w:type="dxa"/>
            <w:vAlign w:val="bottom"/>
          </w:tcPr>
          <w:p>
            <w:pPr>
              <w:spacing w:after="0"/>
              <w:rPr>
                <w:sz w:val="1"/>
                <w:szCs w:val="1"/>
                <w:color w:val="auto"/>
              </w:rPr>
            </w:pPr>
          </w:p>
        </w:tc>
      </w:tr>
      <w:tr>
        <w:trPr>
          <w:trHeight w:val="24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2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8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Remaining Performance Obligations</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2025, our future revenues (i.e., transaction price related to remaining performance obligations) under contract accounted for under ASC 606 totaled $573.8 million, of which $510.4 million is related to contracts that are currently being invoiced and have an average remaining contract term of 2.9 years, while $63.4 million represents our backlog for sales bookings which</w:t>
      </w:r>
    </w:p>
    <w:p>
      <w:pPr>
        <w:spacing w:after="0" w:line="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have yet to be installed and have an average contract term of 5.4 years. We do not disclose the value of unsatisfied performance obligations for contracts that have an original expected duration of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Accounting</w:t>
      </w:r>
    </w:p>
    <w:p>
      <w:pPr>
        <w:spacing w:after="0" w:line="227"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w:t>
      </w:r>
    </w:p>
    <w:p>
      <w:pPr>
        <w:spacing w:after="0" w:line="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months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income for the three and six months ended June 30, 2025 and 2024 respectively,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6"/>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 operating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center"/>
              <w:ind w:left="299"/>
              <w:spacing w:after="0"/>
              <w:rPr>
                <w:sz w:val="20"/>
                <w:szCs w:val="20"/>
                <w:color w:val="auto"/>
              </w:rPr>
            </w:pPr>
            <w:r>
              <w:rPr>
                <w:rFonts w:ascii="Times New Roman" w:cs="Times New Roman" w:eastAsia="Times New Roman" w:hAnsi="Times New Roman"/>
                <w:sz w:val="18"/>
                <w:szCs w:val="18"/>
                <w:color w:val="auto"/>
                <w:w w:val="99"/>
              </w:rPr>
              <w:t>475,078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457,459</w:t>
            </w:r>
          </w:p>
        </w:tc>
        <w:tc>
          <w:tcPr>
            <w:tcW w:w="0" w:type="dxa"/>
            <w:vAlign w:val="bottom"/>
          </w:tcPr>
          <w:p>
            <w:pPr>
              <w:spacing w:after="0"/>
              <w:rPr>
                <w:sz w:val="1"/>
                <w:szCs w:val="1"/>
                <w:color w:val="auto"/>
              </w:rPr>
            </w:pPr>
          </w:p>
        </w:tc>
      </w:tr>
      <w:tr>
        <w:trPr>
          <w:trHeight w:val="527"/>
        </w:trPr>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Lease payments to be received under non-cancellable operating leases as of June 30, 2025 are as follows: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5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32"/>
              <w:spacing w:after="0" w:line="161" w:lineRule="exact"/>
              <w:rPr>
                <w:sz w:val="20"/>
                <w:szCs w:val="20"/>
                <w:color w:val="auto"/>
              </w:rPr>
            </w:pPr>
            <w:r>
              <w:rPr>
                <w:rFonts w:ascii="Times New Roman" w:cs="Times New Roman" w:eastAsia="Times New Roman" w:hAnsi="Times New Roman"/>
                <w:sz w:val="14"/>
                <w:szCs w:val="14"/>
                <w:b w:val="1"/>
                <w:bCs w:val="1"/>
                <w:color w:val="auto"/>
              </w:rPr>
              <w:t>June 30, 2025</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¹</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center"/>
              <w:ind w:left="279"/>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421,710</w:t>
            </w:r>
          </w:p>
        </w:tc>
        <w:tc>
          <w:tcPr>
            <w:tcW w:w="0" w:type="dxa"/>
            <w:vAlign w:val="bottom"/>
          </w:tcPr>
          <w:p>
            <w:pPr>
              <w:spacing w:after="0"/>
              <w:rPr>
                <w:sz w:val="1"/>
                <w:szCs w:val="1"/>
                <w:color w:val="auto"/>
              </w:rPr>
            </w:pPr>
          </w:p>
        </w:tc>
      </w:tr>
      <w:tr>
        <w:trPr>
          <w:trHeight w:val="250"/>
        </w:trPr>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862,269</w:t>
            </w:r>
          </w:p>
        </w:tc>
        <w:tc>
          <w:tcPr>
            <w:tcW w:w="0" w:type="dxa"/>
            <w:vAlign w:val="bottom"/>
          </w:tcPr>
          <w:p>
            <w:pPr>
              <w:spacing w:after="0"/>
              <w:rPr>
                <w:sz w:val="1"/>
                <w:szCs w:val="1"/>
                <w:color w:val="auto"/>
              </w:rPr>
            </w:pPr>
          </w:p>
        </w:tc>
      </w:tr>
      <w:tr>
        <w:trPr>
          <w:trHeight w:val="250"/>
        </w:trPr>
        <w:tc>
          <w:tcPr>
            <w:tcW w:w="4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862,057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5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784,511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receivables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6708140</wp:posOffset>
            </wp:positionH>
            <wp:positionV relativeFrom="paragraph">
              <wp:posOffset>-1301750</wp:posOffset>
            </wp:positionV>
            <wp:extent cx="94615" cy="74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ind w:left="220" w:hanging="181"/>
        <w:spacing w:after="0" w:line="220" w:lineRule="auto"/>
        <w:tabs>
          <w:tab w:leader="none" w:pos="2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future minimum lease payments to be received include $3.8 billion relating to the Windstream Leases.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-710565</wp:posOffset>
            </wp:positionV>
            <wp:extent cx="1277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underlying assets under operating leases where we are the lessor are summarized as follows: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26,711</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352,176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350,829</w:t>
            </w:r>
          </w:p>
        </w:tc>
      </w:tr>
      <w:tr>
        <w:trPr>
          <w:trHeight w:val="26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341,548</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4,430,631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4,222,895</w:t>
            </w:r>
          </w:p>
        </w:tc>
      </w:tr>
      <w:tr>
        <w:trPr>
          <w:trHeight w:val="26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3,973,498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3,972,806</w:t>
            </w:r>
          </w:p>
        </w:tc>
      </w:tr>
      <w:tr>
        <w:trPr>
          <w:trHeight w:val="26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90,193</w:t>
            </w: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6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50"/>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w:t>
            </w:r>
          </w:p>
        </w:tc>
      </w:tr>
      <w:tr>
        <w:trPr>
          <w:trHeight w:val="257"/>
        </w:trPr>
        <w:tc>
          <w:tcPr>
            <w:tcW w:w="7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9,237,646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9,017,798</w:t>
            </w:r>
          </w:p>
        </w:tc>
      </w:tr>
      <w:tr>
        <w:trPr>
          <w:trHeight w:val="250"/>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(5,941,191)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(5,852,579)</w:t>
            </w:r>
          </w:p>
        </w:tc>
      </w:tr>
      <w:tr>
        <w:trPr>
          <w:trHeight w:val="275"/>
        </w:trPr>
        <w:tc>
          <w:tcPr>
            <w:tcW w:w="7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Underlying assets under operating leases,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3,296,455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3,165,219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expense for the underlying assets under operating leases where we are the lessor for the three and six months ended June 30, 2025 and 2024, respectively, is summarized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for underlying assets under operating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48,621</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45,643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96,481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91,648</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Accounting</w:t>
      </w:r>
    </w:p>
    <w:p>
      <w:pPr>
        <w:spacing w:after="0" w:line="227"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We have commitments under operating leases for communications towers, ground space, colocation space, dark fiber and buildings. We also have finance leases for dark fiber, equipment, and automobiles. Our leases have initial lease terms ranging from less than one year to 30 years, most of which include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extend or renew the leases for less than one year to 20 years</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some of which may include options to terminate the leases within one to six</w:t>
      </w:r>
    </w:p>
    <w:p>
      <w:pPr>
        <w:spacing w:after="0" w:line="2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months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have short-term lease commitments amounting to approximately $3.0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payments to be made under non-cancellable leases as of June 30, 2025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r>
      <w:tr>
        <w:trPr>
          <w:trHeight w:val="26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5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103,774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12,522</w:t>
            </w:r>
          </w:p>
        </w:tc>
      </w:tr>
      <w:tr>
        <w:trPr>
          <w:trHeight w:val="25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162,645</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32,424</w:t>
            </w:r>
          </w:p>
        </w:tc>
      </w:tr>
      <w:tr>
        <w:trPr>
          <w:trHeight w:val="250"/>
        </w:trPr>
        <w:tc>
          <w:tcPr>
            <w:tcW w:w="7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(80,044)</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r>
      <w:tr>
        <w:trPr>
          <w:trHeight w:val="275"/>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82,601</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23,344</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of Financial Instruments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63" w:lineRule="exact"/>
        <w:rPr>
          <w:sz w:val="20"/>
          <w:szCs w:val="20"/>
          <w:color w:val="auto"/>
        </w:rPr>
      </w:pPr>
    </w:p>
    <w:p>
      <w:pPr>
        <w:ind w:right="760"/>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1 </w:t>
      </w:r>
      <w:r>
        <w:rPr>
          <w:rFonts w:ascii="Times New Roman" w:cs="Times New Roman" w:eastAsia="Times New Roman" w:hAnsi="Times New Roman"/>
          <w:sz w:val="18"/>
          <w:szCs w:val="18"/>
          <w:color w:val="auto"/>
        </w:rPr>
        <w:t>– Quoted prices (unadjusted) in active markets for identical assets or liabilities that the reporting entity can access at the assessment date;</w:t>
      </w:r>
      <w:r>
        <w:rPr>
          <w:rFonts w:ascii="Times New Roman" w:cs="Times New Roman" w:eastAsia="Times New Roman" w:hAnsi="Times New Roman"/>
          <w:sz w:val="18"/>
          <w:szCs w:val="18"/>
          <w:b w:val="1"/>
          <w:bCs w:val="1"/>
          <w:i w:val="1"/>
          <w:iCs w:val="1"/>
          <w:color w:val="auto"/>
        </w:rPr>
        <w:t xml:space="preserve"> Level 2 </w:t>
      </w:r>
      <w:r>
        <w:rPr>
          <w:rFonts w:ascii="Times New Roman" w:cs="Times New Roman" w:eastAsia="Times New Roman" w:hAnsi="Times New Roman"/>
          <w:sz w:val="18"/>
          <w:szCs w:val="18"/>
          <w:color w:val="auto"/>
        </w:rPr>
        <w:t>– Inputs other than quoted prices included within Level 1 that are observable for the asset or liability, either directly or indirectly; and</w:t>
      </w:r>
      <w:r>
        <w:rPr>
          <w:rFonts w:ascii="Times New Roman" w:cs="Times New Roman" w:eastAsia="Times New Roman" w:hAnsi="Times New Roman"/>
          <w:sz w:val="18"/>
          <w:szCs w:val="18"/>
          <w:b w:val="1"/>
          <w:bCs w:val="1"/>
          <w:i w:val="1"/>
          <w:iCs w:val="1"/>
          <w:color w:val="auto"/>
        </w:rPr>
        <w:t xml:space="preserve"> Level 3 </w:t>
      </w:r>
      <w:r>
        <w:rPr>
          <w:rFonts w:ascii="Times New Roman" w:cs="Times New Roman" w:eastAsia="Times New Roman" w:hAnsi="Times New Roman"/>
          <w:sz w:val="18"/>
          <w:szCs w:val="18"/>
          <w:color w:val="auto"/>
        </w:rPr>
        <w:t>– Unobservable inputs for the asset or liability.</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financial instruments consist of cash and cash equivalents, accounts and other receivables, our outstanding notes and other debt, settlement payable, interest and dividends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our financial instruments at June 30, 2025 and December 31, 2024:</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6"/>
                <w:szCs w:val="16"/>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Prices with</w:t>
            </w:r>
          </w:p>
        </w:tc>
      </w:tr>
      <w:tr>
        <w:trPr>
          <w:trHeight w:val="176"/>
        </w:trPr>
        <w:tc>
          <w:tcPr>
            <w:tcW w:w="5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9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3"/>
        </w:trPr>
        <w:tc>
          <w:tcPr>
            <w:tcW w:w="5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June 30, 2025</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2,412,852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558,042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unsecured notes - 6.50% , due February 15, 2029</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1,067,811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654,593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unsecured notes - 8.625% due June 15, 2032</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605,272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339,860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 Notes (Class A-2) - 5.877% due April 1, 2030</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430,857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ABS Notes (Class B) - 6.369% due April 1, 2030</w:t>
            </w:r>
          </w:p>
        </w:tc>
        <w:tc>
          <w:tcPr>
            <w:tcW w:w="2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 Notes (Class C) - 9.018% due April 1, 2030</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99,568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Settlement payable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6,259,829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6,259,829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Prices with Other</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9"/>
        </w:trPr>
        <w:tc>
          <w:tcPr>
            <w:tcW w:w="5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6"/>
                <w:szCs w:val="16"/>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Prices with</w:t>
            </w:r>
          </w:p>
        </w:tc>
      </w:tr>
      <w:tr>
        <w:trPr>
          <w:trHeight w:val="175"/>
        </w:trPr>
        <w:tc>
          <w:tcPr>
            <w:tcW w:w="5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5"/>
                <w:szCs w:val="15"/>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9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Inputs (Level 3)</w:t>
            </w:r>
          </w:p>
        </w:tc>
      </w:tr>
      <w:tr>
        <w:trPr>
          <w:trHeight w:val="23"/>
        </w:trPr>
        <w:tc>
          <w:tcPr>
            <w:tcW w:w="5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Derivative asset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 December 31, 2024</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3,098,766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Senior unsecured notes - 6.50% , due February 15, 2029</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ABS Loan Facility, variable rate, due September 1, 2025</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Settlement payable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5,950,861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total principal balance of our outstanding notes and other debt was $6.15 billion at June 30, 2025, with a fair value of $6.24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Uniti is required to make $490.1 million of cash payments to Windstream in equal installments over 20 consecutive quarters beginning October 2020 (the “Settlement Payable”). </w:t>
      </w:r>
      <w:r>
        <w:rPr>
          <w:rFonts w:ascii="Times New Roman" w:cs="Times New Roman" w:eastAsia="Times New Roman" w:hAnsi="Times New Roman"/>
          <w:sz w:val="18"/>
          <w:szCs w:val="18"/>
          <w:u w:val="single" w:color="auto"/>
          <w:color w:val="0000FF"/>
        </w:rPr>
        <w:t>See Note 11</w:t>
      </w:r>
      <w:r>
        <w:rPr>
          <w:rFonts w:ascii="Times New Roman" w:cs="Times New Roman" w:eastAsia="Times New Roman" w:hAnsi="Times New Roman"/>
          <w:sz w:val="18"/>
          <w:szCs w:val="18"/>
          <w:color w:val="auto"/>
          <w:highlight w:val="white"/>
        </w:rPr>
        <w:t>. The Settlement Payable was initially recorded at fair value, using the present value of future cash flows. The future</w:t>
      </w:r>
      <w:r>
        <w:rPr>
          <w:rFonts w:ascii="Times New Roman" w:cs="Times New Roman" w:eastAsia="Times New Roman" w:hAnsi="Times New Roman"/>
          <w:sz w:val="18"/>
          <w:szCs w:val="18"/>
          <w:color w:val="auto"/>
        </w:rPr>
        <w:t xml:space="preserve"> cash flows are discounted using discount rate input based on observable market data. Accordingly, we classify inputs used as Level 2 in the fair value hierarchy. As of June 30, 2025, the remaining Settlement Payable is $24.2 million. There have been no changes in the valuation methodologies used since the initial recording.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property, plant and equipment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5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Indefinite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3 - 40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374,668</w:t>
            </w:r>
          </w:p>
        </w:tc>
      </w:tr>
      <w:tr>
        <w:trPr>
          <w:trHeight w:val="26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Poles</w:t>
            </w:r>
          </w:p>
        </w:tc>
        <w:tc>
          <w:tcPr>
            <w:tcW w:w="2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341,548</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Fiber</w:t>
            </w: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30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5,488,069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5,253,959</w:t>
            </w:r>
          </w:p>
        </w:tc>
      </w:tr>
      <w:tr>
        <w:trPr>
          <w:trHeight w:val="26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5 - 7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499,678</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3,973,498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3,972,806</w:t>
            </w:r>
          </w:p>
        </w:tc>
      </w:tr>
      <w:tr>
        <w:trPr>
          <w:trHeight w:val="26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Conduit</w:t>
            </w:r>
          </w:p>
        </w:tc>
        <w:tc>
          <w:tcPr>
            <w:tcW w:w="2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 Years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90,193</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Tower assets</w:t>
            </w: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20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6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See Note 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52,789</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15 - 20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r>
      <w:tr>
        <w:trPr>
          <w:trHeight w:val="26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See Note 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r>
      <w:tr>
        <w:trPr>
          <w:trHeight w:val="25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assets</w:t>
            </w:r>
          </w:p>
        </w:tc>
        <w:tc>
          <w:tcPr>
            <w:tcW w:w="2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3 - 7 years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w:t>
            </w:r>
          </w:p>
        </w:tc>
      </w:tr>
      <w:tr>
        <w:trPr>
          <w:trHeight w:val="257"/>
        </w:trPr>
        <w:tc>
          <w:tcPr>
            <w:tcW w:w="58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10,952,437</w:t>
            </w:r>
          </w:p>
        </w:tc>
        <w:tc>
          <w:tcPr>
            <w:tcW w:w="1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10,681,162</w:t>
            </w:r>
          </w:p>
        </w:tc>
      </w:tr>
      <w:tr>
        <w:trPr>
          <w:trHeight w:val="250"/>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(6,585,647)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(6,471,415)</w:t>
            </w:r>
          </w:p>
        </w:tc>
      </w:tr>
      <w:tr>
        <w:trPr>
          <w:trHeight w:val="27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4,366,790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4,209,747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our Annual Report for property, plant and equipment accounting policies.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and six months ended June 30, 2025 was $72.2 million and $144.5 million, respectively. Depreciation expense for the three and six months ended June 30, 2024 was $70.6 million and $140.7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CableSouth Transaction</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2018, we acquired certain fiber assets from CableSouth Media, LLC (“CableSouth”) and leased back certain of those acquired assets to CableSouth pursuant to a triple-net lease.</w:t>
      </w:r>
    </w:p>
    <w:p>
      <w:pPr>
        <w:spacing w:after="0" w:line="189"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During the fourth quarter of 2023, the Company entered into an agreement with a fund managed by Macquarie Asset Management ("MAM") pursuant to which MAM would make a structured equity investment into CableSouth in order to assist CableSouth in the acquisition of all of our previously acquired CableSouth fiber assets and the buyout of their triple-net lease for cash consideration of $40.0 million (the "CableSouth Transaction"). The Company completed the CableSouth Transaction on January 31, 2024 and recorded a $19 million gain on sale of real estate in our Condensed Consolidated Statements of Income during the six months ended June 30, 2024.</w:t>
      </w:r>
    </w:p>
    <w:p>
      <w:pPr>
        <w:spacing w:after="0" w:line="2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CableSouth Transaction is included in the results of the Uniti Leasing segment, and because the sale does not represent a strategic shift that will have a major effect on operations and financial results, it does not qualify for presentation as a discontinued operation.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occurring during the six months ended June 30, 2025 are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December 31, 2024</w:t>
            </w:r>
          </w:p>
        </w:tc>
        <w:tc>
          <w:tcPr>
            <w:tcW w:w="10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672,878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672,878</w:t>
            </w:r>
          </w:p>
        </w:tc>
        <w:tc>
          <w:tcPr>
            <w:tcW w:w="2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 December 31, 2024</w:t>
            </w:r>
          </w:p>
        </w:tc>
        <w:tc>
          <w:tcPr>
            <w:tcW w:w="10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(515,498)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(515,498)</w:t>
            </w:r>
          </w:p>
        </w:tc>
        <w:tc>
          <w:tcPr>
            <w:tcW w:w="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157,380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at June 30, 2025</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672,878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672,878</w:t>
            </w:r>
          </w:p>
        </w:tc>
        <w:tc>
          <w:tcPr>
            <w:tcW w:w="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impairment charges as of June 30, 2025</w:t>
            </w:r>
          </w:p>
        </w:tc>
        <w:tc>
          <w:tcPr>
            <w:tcW w:w="10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(515,498)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(515,498)</w:t>
            </w:r>
          </w:p>
        </w:tc>
        <w:tc>
          <w:tcPr>
            <w:tcW w:w="20" w:type="dxa"/>
            <w:vAlign w:val="bottom"/>
          </w:tcPr>
          <w:p>
            <w:pPr>
              <w:spacing w:after="0"/>
              <w:rPr>
                <w:sz w:val="22"/>
                <w:szCs w:val="22"/>
                <w:color w:val="auto"/>
              </w:rPr>
            </w:pPr>
          </w:p>
        </w:tc>
      </w:tr>
      <w:tr>
        <w:trPr>
          <w:trHeight w:val="248"/>
        </w:trPr>
        <w:tc>
          <w:tcPr>
            <w:tcW w:w="20" w:type="dxa"/>
            <w:vAlign w:val="bottom"/>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157,380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4"/>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0"/>
        </w:trPr>
        <w:tc>
          <w:tcPr>
            <w:tcW w:w="8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Carrying value of intangible assets and liabilities at June 30, 2025 and December 31, 2024 are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6"/>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24"/>
                <w:szCs w:val="24"/>
                <w:color w:val="auto"/>
              </w:rPr>
            </w:pPr>
          </w:p>
        </w:tc>
      </w:tr>
      <w:tr>
        <w:trPr>
          <w:trHeight w:val="23"/>
        </w:trPr>
        <w:tc>
          <w:tcPr>
            <w:tcW w:w="2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Cost</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r>
      <w:tr>
        <w:trPr>
          <w:trHeight w:val="243"/>
        </w:trPr>
        <w:tc>
          <w:tcPr>
            <w:tcW w:w="20" w:type="dxa"/>
            <w:vAlign w:val="bottom"/>
            <w:tcBorders>
              <w:top w:val="single" w:sz="8" w:color="CCEEFF"/>
            </w:tcBorders>
            <w:shd w:val="clear" w:color="auto" w:fill="CCEEFF"/>
          </w:tcPr>
          <w:p>
            <w:pPr>
              <w:spacing w:after="0"/>
              <w:rPr>
                <w:sz w:val="21"/>
                <w:szCs w:val="21"/>
                <w:color w:val="auto"/>
              </w:rPr>
            </w:pPr>
          </w:p>
        </w:tc>
        <w:tc>
          <w:tcPr>
            <w:tcW w:w="4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10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416,104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(185,718)</w:t>
            </w: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416,104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(174,326)</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(27,910)</w:t>
            </w: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Underlying Rights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center"/>
              <w:ind w:left="514"/>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479,137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479,137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(203,723)</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0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260,563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275,414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Below-market leases</w:t>
            </w:r>
          </w:p>
        </w:tc>
        <w:tc>
          <w:tcPr>
            <w:tcW w:w="102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191,154</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20" w:type="dxa"/>
            <w:vAlign w:val="bottom"/>
            <w:shd w:val="clear" w:color="auto" w:fill="CCEEFF"/>
          </w:tcPr>
          <w:p>
            <w:pPr>
              <w:spacing w:after="0"/>
              <w:rPr>
                <w:sz w:val="22"/>
                <w:szCs w:val="22"/>
                <w:color w:val="auto"/>
              </w:rPr>
            </w:pPr>
          </w:p>
        </w:tc>
      </w:tr>
      <w:tr>
        <w:trPr>
          <w:trHeight w:val="256"/>
        </w:trPr>
        <w:tc>
          <w:tcPr>
            <w:tcW w:w="2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r>
      <w:tr>
        <w:trPr>
          <w:trHeight w:val="257"/>
        </w:trPr>
        <w:tc>
          <w:tcPr>
            <w:tcW w:w="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 life intangible liabilities:</w:t>
            </w:r>
          </w:p>
        </w:tc>
        <w:tc>
          <w:tcPr>
            <w:tcW w:w="10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Below-market leases</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191,154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shd w:val="clear" w:color="auto" w:fill="CCEEFF"/>
          </w:tcPr>
          <w:p>
            <w:pPr>
              <w:spacing w:after="0"/>
              <w:rPr>
                <w:sz w:val="22"/>
                <w:szCs w:val="22"/>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(50,798)</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intangible liabilities, net</w:t>
            </w:r>
          </w:p>
        </w:tc>
        <w:tc>
          <w:tcPr>
            <w:tcW w:w="102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140,356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145,703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June 30, 2025, the remaining weighted average amortization period of the Company’s intangible assets was 12.9 years, 3.3 years, and 25.3 years for customer lists, contracts, and underlying rights, respectively. As of June 30, 2025, the total remaining weighted average amortization period for total intangible assets was 12.5 years.</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six months ended June 30, 2025 was $7.4 million and $14.9 million, respectively. Amortization expense for the three and six months ended June 30, 2024 was $7.4 million and $14.9 million, respectively. Amortization expense is estimated to be $29.7 million for the full year of 2025, $29.7 million in 2026, $29.7 million in 2027, $28.1 million in 2028, and $23.1 million in 2029.</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recognize the amortization of below-market leases in revenue. Revenue related to the amortization of the below-market leases for the three and six months ended June 30, 2025 was $2.7 million and $5.3 million, respectively. Revenue related to the amortization of the below-market leases for the three and six months ended June 30, 2024 was $2.7 million and $5.3 million, respectively. As of June 30, 2025, the remaining weighted average amortization period of the Company’s intangible liabilities was 14.7 years. Revenue due to the amortization of the below-market leases is estimated to be $10.7 million for the full year of 2025, $10.7 million in 2026, $10.7 million in 2027, $10.2 million in 2028, and $8.8 million in 2029.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Notes and Other Debt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debt, other than our Convertible 2027 Notes (as defined below), are obligations of the Operating Partnership and/or certain of its subsidiaries as discussed below. The Company is a guarantor of our senior notes and borrowings under our Revolving Credit Facility. The Company is the primary obligor of our Convertible 2027 Notes, which are guaranteed by the Operating Partnership and other obligors under our senior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other debt are as follows:</w:t>
      </w:r>
    </w:p>
    <w:p>
      <w:pPr>
        <w:spacing w:after="0" w:line="273" w:lineRule="exact"/>
        <w:rPr>
          <w:sz w:val="20"/>
          <w:szCs w:val="20"/>
          <w:color w:val="auto"/>
        </w:rPr>
      </w:pPr>
    </w:p>
    <w:p>
      <w:pPr>
        <w:ind w:left="40"/>
        <w:spacing w:after="0"/>
        <w:tabs>
          <w:tab w:leader="none" w:pos="8140" w:val="left"/>
          <w:tab w:leader="none" w:pos="9780" w:val="left"/>
        </w:tabs>
        <w:rPr>
          <w:sz w:val="20"/>
          <w:szCs w:val="20"/>
          <w:color w:val="auto"/>
        </w:rPr>
      </w:pPr>
      <w:r>
        <w:rPr>
          <w:rFonts w:ascii="Times New Roman" w:cs="Times New Roman" w:eastAsia="Times New Roman" w:hAnsi="Times New Roman"/>
          <w:sz w:val="14"/>
          <w:szCs w:val="14"/>
          <w:color w:val="auto"/>
        </w:rPr>
        <w:t>(Thousands)</w:t>
      </w:r>
      <w:r>
        <w:rPr>
          <w:sz w:val="20"/>
          <w:szCs w:val="20"/>
          <w:color w:val="auto"/>
        </w:rPr>
        <w:tab/>
      </w:r>
      <w:r>
        <w:rPr>
          <w:rFonts w:ascii="Times New Roman" w:cs="Times New Roman" w:eastAsia="Times New Roman" w:hAnsi="Times New Roman"/>
          <w:sz w:val="14"/>
          <w:szCs w:val="14"/>
          <w:b w:val="1"/>
          <w:bCs w:val="1"/>
          <w:color w:val="auto"/>
        </w:rPr>
        <w:t>June 30,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6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2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6,150,500</w:t>
            </w: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discount, premium and debt issuance costs</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(85,749)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other debt less unamortized discount, premium and debt issuance costs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6,064,751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5,783,597</w:t>
            </w:r>
          </w:p>
        </w:tc>
        <w:tc>
          <w:tcPr>
            <w:tcW w:w="0" w:type="dxa"/>
            <w:vAlign w:val="bottom"/>
          </w:tcPr>
          <w:p>
            <w:pPr>
              <w:spacing w:after="0"/>
              <w:rPr>
                <w:sz w:val="1"/>
                <w:szCs w:val="1"/>
                <w:color w:val="auto"/>
              </w:rPr>
            </w:pPr>
          </w:p>
        </w:tc>
      </w:tr>
      <w:tr>
        <w:trPr>
          <w:trHeight w:val="20"/>
        </w:trPr>
        <w:tc>
          <w:tcPr>
            <w:tcW w:w="7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Notes and other debt at June 30, 2025 and December 31, 2024 consisted of the following:</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400" w:type="dxa"/>
            <w:vAlign w:val="bottom"/>
            <w:gridSpan w:val="6"/>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6"/>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Discount,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Premium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Premium and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Debt Issuance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6"/>
                <w:szCs w:val="16"/>
                <w:color w:val="auto"/>
              </w:rPr>
            </w:pPr>
          </w:p>
        </w:tc>
        <w:tc>
          <w:tcPr>
            <w:tcW w:w="10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Senior secured notes - 10.50%, due February 15, 2028</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10.99%)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- 4.75%, due April 15, 2028</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5.04%)</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- 6.50%, due February 15, 2029</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6.83%)</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notes - 6.00% due January 15, 2030</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6.27%)</w:t>
            </w: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Senior unsecured notes - 8.625% due June 15, 2032</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9.16%)</w:t>
            </w:r>
          </w:p>
        </w:tc>
        <w:tc>
          <w:tcPr>
            <w:tcW w:w="22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Convertible senior notes - 7.50%, due December 1, 2027</w:t>
            </w: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306,500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8.29%)</w:t>
            </w: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 Bridge Loan Facility variable rate, due September 1, 2025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10.33%)</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ABS Notes (Class A-2) - 5.877%, due April 1, 2030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6.36%)</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 Notes (Class B) - 6.369%, due April 1, 2030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6.86%)</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ABS Notes (Class C) - 9.018%, due April 1, 2030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is based on imputed interest rate of 9.54%)</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revolving credit facility, variable rate, due September 24, 2027</w:t>
            </w: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(85,749)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5,861,500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320"/>
        <w:spacing w:after="0" w:line="228" w:lineRule="auto"/>
        <w:rPr>
          <w:sz w:val="20"/>
          <w:szCs w:val="20"/>
          <w:color w:val="auto"/>
        </w:rPr>
      </w:pPr>
      <w:r>
        <w:rPr>
          <w:rFonts w:ascii="Times New Roman" w:cs="Times New Roman" w:eastAsia="Times New Roman" w:hAnsi="Times New Roman"/>
          <w:sz w:val="18"/>
          <w:szCs w:val="18"/>
          <w:color w:val="auto"/>
        </w:rPr>
        <w:t>At June 30, 2025, notes and other debt included the following: (i) the Revolving Credit Facility (as defined below) pursuant to that certain credit agreement, dated as of April 24, 2015, by and among the Operating Partnership, Uniti Group Finance 2019 Inc. and CSL Capital, LLC (hereinafter, the “Borrowers”), the guarantors party thereto, Bank of America, N.A., as administrative agent, collateral agent, swing line lender and an L/C issuer and certain other lenders named therein, as amended (the “Credit Agreement”), of which no borrowings were outstanding as of June 30, 2025; (ii)</w:t>
      </w:r>
    </w:p>
    <w:p>
      <w:pPr>
        <w:spacing w:after="0" w:line="3"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8"/>
          <w:szCs w:val="18"/>
          <w:color w:val="auto"/>
        </w:rPr>
        <w:t>$589.0 million aggregate principal amount of secured fiber network revenue term notes (the "ABS Notes") due April 1, 2030, consisting of $426.0 million 5.877% Series 2025-1, Class A-2 term notes, $65.0 million 6.369% Series 2025-1, Class B term notes, and $98.0 million 9.018% Series 2025-1, Class C term notes, entered into by Uniti Fiber ABS Issuer LLC and Uniti Fiber TRS Issuer LLC (collectively, the "ABS Notes Issuers"), each an indirect, bankruptcy-remote subsidiary of the Company, (iii) $2.3 billion aggregate principal amount of 10.50% Senior Secured Notes due February 15, 2028 (the “February 2028</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Secured Notes”); (iv) $570.0 million aggregate principal amount of 4.75% Senior Secured Notes due April 15, 2028 (the “April 2028 Secured Notes”); (v) $1.1 billion aggregate principal amount of 6.50% Senior Unsecured Notes due February 15, 2029 (the “2029 Notes”); (vi) $700.0 million aggregate principal amount of 6.00% Senior Unsecured Notes due January 15, 2030 (the “2030 Notes”); (vii) $600.0 million aggregate principal amount of 8.625% Senior Unsecured Notes due June 15, 2032 (the “2032 Notes”), and (viii) $306.5 million aggregate principal amount of 7.50% Convertible Senior Notes due December 1, 2027 (the "Convertible 2027 Notes" and collectively with the ABS Notes, February 2028 Secured Notes, April 2028 Secured Notes, 2029 Notes, 2030 Notes, and 2032 Notes, the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3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Borrowers are party to the Credit Agreement, which provides for a $500 million revolving credit facility that will mature on September 24, 2027 (the “Revolving Credit Facility”) and provides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9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2025, the Borrowers were in compliance with all of the covenants under the Credit Agreement.</w:t>
      </w:r>
    </w:p>
    <w:p>
      <w:pPr>
        <w:spacing w:after="0" w:line="1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Asset-Backed Notes &amp; Bridge Loan Facility</w:t>
      </w:r>
    </w:p>
    <w:p>
      <w:pPr>
        <w:spacing w:after="0" w:line="22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February 23, 2024, Uniti Fiber Bridge Borrower LLC (the “ABS Bridge Borrower”), Uniti Fiber Bridge HoldCo LLC and Uniti Fiber GulfCo LLC (together, the “ABS Bridge Loan Parties”), each an indirect, bankruptcy-remote subsidiary of the Company, entered into a bridge loan and security agreement, dated as of February 23, 2024 (the “ABS Loan Agreement”).</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ABS Loan Agreement provided for a secured, multi-draw term loan facility of up to $350 million (the “ABS Loan Facility”). As of December 31, 2024, an aggregate of $275 million principal amount of loans under the ABS Loan Facility had been drawn.</w:t>
      </w:r>
    </w:p>
    <w:p>
      <w:pPr>
        <w:spacing w:after="0" w:line="17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3, 2025, the ABS Notes Issuers issued $589.0 million aggregate principal amount of the ABS Notes, consisting of $426.0 million 5.877% Series 2025-1, Class A-2 term notes, $65.0 million 6.369% Series 2025-1, Class B term notes and $98.0 million 9.018% Series 2025-1, Class C term notes, each with an anticipated repayment date in April 2030. The ABS Notes were issued as part of a securitization transaction, pursuant to which certain of the Company’s fiber network assets and related customer contracts in the State of Florida and the Gulf Coast region of Louisiana, Mississippi</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and Alabama, including the assets of the ABS Bridge Loan Parties that secured the ABS Loan Facility, were contributed to the ABS Notes Issuers, Uniti Fiber GulfCo LLC and Uniti Fiber TRS AssetCo LLC (collectively, the “ABS Notes Obligors”). The cash flow from these contributed assets will be used to service the obligations under the ABS Notes.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ABS Notes were issued pursuant to an indenture, dated as of February 3, 2025, as supplemented by a Series 2025-1 Supplement thereto, dated as of February 3, 2025, in each case by and among the ABS Notes Obligors and Wilmington Trust, National Association, as indenture trustee.</w:t>
      </w:r>
    </w:p>
    <w:p>
      <w:pPr>
        <w:spacing w:after="0" w:line="20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ABS Notes are secured by a security interest in substantially all of the assets (subject to customary limited exceptions) of the ABS Notes Obligors and are guaranteed by each ABS Notes Issuer’s respective parent entity (each an “ABS Guarantor” and, together with the ABS Notes Obligors, the "ABS Notes Parties"). The guarantee of each ABS Guarantor is secured by a security interest in the equity interests of the applicable ABS Notes Issuer. Neither the Company nor any subsidiary of the Company, other than the ABS Notes Parties, will guarantee or in any way be liable for the obligations under the ABS Notes. Each ABS Notes Party is a special purpose, bankruptcy remote subsidiary of the Company and is an unrestricted subsidiary under the Credit Agreement and the applicable indentures governing the Company’s outstanding senior notes.</w:t>
      </w:r>
    </w:p>
    <w:p>
      <w:pPr>
        <w:spacing w:after="0" w:line="22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February 3, 2025, Uniti used a portion of the net proceeds from the offering of the ABS Notes to repay and terminate the ABS Loan Facility and issued a notice of redemption to redeem $125.0 million aggregate principal amount of our February 2028 Secured Notes. Uniti redeemed the February 2028 Secured Notes called for redemption on February 14, 2025, at a redemption price of 103% of the redeemed principal amount plus accrued interest to, but excluding, the redemption date.</w:t>
      </w:r>
    </w:p>
    <w:p>
      <w:pPr>
        <w:spacing w:after="0" w:line="164"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During the six months ended June 30, 2025, we recognized a $3.2 million loss on the extinguishment of the ABS Loan Facility and a $5.3 million loss on the partial extinguishment of the February 2028 Secured Notes within interest expense, net on the Condensed Consolidated Statements of (Loss) Income, which includes $4.8 million of non-cash interest expense for the write off of the unamortized premium and deferred financing costs and $3.7 million of cash interest expense for the redemption premium.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Unsecured Notes</w:t>
      </w:r>
    </w:p>
    <w:p>
      <w:pPr>
        <w:spacing w:after="0" w:line="21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June 24, 2025, Uniti Group LP, Uniti Group Finance 2019 Inc., Uniti Fiber Holdings Inc. and CSL Capital, LLC (together, the “Issuers”), each a subsidiary of the Company, completed a private offering of $600.0 million aggregate principal amount of the 2032 Notes.</w:t>
      </w:r>
    </w:p>
    <w:p>
      <w:pPr>
        <w:spacing w:after="0" w:line="20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2032 Notes were issued at an issue price of 100% of their principal amount pursuant to an Indenture, dated as of June 24, 2025 (the “Indenture”), among the Issuers, the guarantors named therein (collectively, the “Guarantors”) and Deutsche Bank Trust Company Americas, as trustee. The 2032 Notes mature on June 15, 2032 and bear interest at a rate of 8.625% per year. Interest on the 2032 Notes is payable on June 15 and December 15 of each year, beginning on December 15, 2025.</w:t>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Issuers may redeem the 2032 Notes, in whole or in part, at any time prior to June 15, 2028 at a redemption price equal to 100% of the principal amount of the 2032 Notes redeemed plus accrued and unpaid interest on the 2032 Notes, if any, to, but not including, the redemption date, plus an applicable “make whole” premium described in the Indenture. Thereafter, the Issuers may redeem the 2032 Notes in whole or in part, at the redemption prices set forth in the Indenture. In addition, at any time on or prior to June 15, 2028, up to 40% of the aggregate principal amount of the 2032 Notes may be redeemed with the net cash proceeds of certain equity offerings at a redemption price of 108.625% of the principal amount plus accrued and unpaid interest, if any, to, but not including, the applicable redemption date; provided that at least 60% of aggregate principal amount of the originally issued 2032 Notes remains outstanding. If certain changes of control of Uniti Group LP occur, holders of the 2032 Notes will have the right to require the Issuers to offer to repurchase their 2032 Notes at 101% of their principal amount plus accrued and unpaid interest, if any, to, but not including, the repurchase date.</w:t>
      </w:r>
    </w:p>
    <w:p>
      <w:pPr>
        <w:spacing w:after="0" w:line="22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The 2032 Notes are fully and unconditionally guaranteed, jointly and severally, on a senior unsecured basis by the Company and by each of Uniti Group LP’s existing and future domestic restricted subsidiaries (other than the Issuers) that guarantees indebtedness under the Company’s senior secured credit facility and existing senior notes (except initially certain regulated subsidiaries for which the Company will seek regulatory approval to enable them to guarantee the 2032 Notes). The guarantees are subject to release under specified circumstances, including certain circumstances in which such guarantees may be automatically released without the consent of the holders of the 2032 Notes.</w:t>
      </w:r>
    </w:p>
    <w:p>
      <w:pPr>
        <w:spacing w:after="0" w:line="2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2032 Notes and the related guarantees are the Issuers’ and the Guarantors’ senior unsecured obligations and rank equal in right of payment with all of the Issuers’ and the Guarantors’ existing and future senior unsecured indebtedness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senior in right of payment to any of the Issuers’ and the Guarantors’ subordinated indebtedness. The 2032 Notes and the related guarantees are effectively subordinated to all of the Issuers’ and the Guarantors’ secured indebtedness (including the senior secured credit facility and outstanding senior secured notes) to the extent of the value of the assets securing such indebtedness and are structurally subordinated to all existing and future liabilities (including trade payables) of the Issuers’ subsidiaries that do not guarantee the 2032 Notes.</w:t>
      </w:r>
    </w:p>
    <w:p>
      <w:pPr>
        <w:spacing w:after="0" w:line="2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Indenture also contains customary events of default.</w:t>
      </w:r>
    </w:p>
    <w:p>
      <w:pPr>
        <w:spacing w:after="0" w:line="166"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On June 24, 2025, the Issuers used the net proceeds from the offering of the 2032 Notes to fund the partial redemption of $500.0 million aggregate principal amount of the February 2028 Secured Notes, including related premiums, fees and expenses in connection with the foregoing, and used or will use the remaining net proceeds for general corporate purposes.</w:t>
      </w:r>
    </w:p>
    <w:p>
      <w:pPr>
        <w:spacing w:after="0" w:line="15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2025, we recognized a $31.9 million loss on the partial extinguishment of the February 2028 Secured Notes within interest expense, net on the Condensed Consolidated Statements of (Loss) Income, which includes $4.7 million of non-cash interest expense for the write off of the unamortized premium and deferred financing costs and $27.2 million of cash interest expense for the redemption premium.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Financing Cost</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Deferred financing costs were incurred in connection with the issuance of the Notes and our entry into the Revolving Credit Facility and the ABS Loan Facility. These costs are amortized using the effective interest method over the term of the related indebtedness and are included in interest expense in our Condensed Consolidated Statements of (Loss) Income. For the three and six months ended June 30, 2025, we recognized $5.7 million and $11.7 million, respectively, of non-cash interest expense related to the amortization of deferred financing costs. For the three and six months ended June 30, 2024, we recognized $6.1 million and $11.1 million, respectively, of non-cash interest expense related to the amortization of deferred financing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6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dilutive effect of the 4.00% exchangeable notes that matured and were repaid on June 15, 2024 (the "Exchange Notes")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previously issued in connection with the issuance of the Exchange Notes that terminated in June 2024 is calculated using the treasury-stock method. During the three and six months ended June 30, 2025 and 2024, the warrants were excluded from diluted shares outstanding because the exercise price exceeded the average market price of our common stock for the reporting period.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 under the two-class method: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shareholders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0" w:type="dxa"/>
            <w:vAlign w:val="bottom"/>
          </w:tcPr>
          <w:p>
            <w:pPr>
              <w:spacing w:after="0"/>
              <w:rPr>
                <w:sz w:val="1"/>
                <w:szCs w:val="1"/>
                <w:color w:val="auto"/>
              </w:rPr>
            </w:pPr>
          </w:p>
        </w:tc>
      </w:tr>
      <w:tr>
        <w:trPr>
          <w:trHeight w:val="250"/>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common shares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237,347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238,318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0" w:type="dxa"/>
            <w:vAlign w:val="bottom"/>
          </w:tcPr>
          <w:p>
            <w:pPr>
              <w:spacing w:after="0"/>
              <w:rPr>
                <w:sz w:val="1"/>
                <w:szCs w:val="1"/>
                <w:color w:val="auto"/>
              </w:rPr>
            </w:pPr>
          </w:p>
        </w:tc>
      </w:tr>
      <w:tr>
        <w:trPr>
          <w:trHeight w:val="27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24"/>
                <w:szCs w:val="24"/>
                <w:color w:val="auto"/>
              </w:rPr>
            </w:pPr>
          </w:p>
        </w:tc>
        <w:tc>
          <w:tcPr>
            <w:tcW w:w="268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shareholders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0" w:type="dxa"/>
            <w:vAlign w:val="bottom"/>
          </w:tcPr>
          <w:p>
            <w:pPr>
              <w:spacing w:after="0"/>
              <w:rPr>
                <w:sz w:val="1"/>
                <w:szCs w:val="1"/>
                <w:color w:val="auto"/>
              </w:rPr>
            </w:pPr>
          </w:p>
        </w:tc>
      </w:tr>
      <w:tr>
        <w:trPr>
          <w:trHeight w:val="250"/>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5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8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common shares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0" w:type="dxa"/>
            <w:vAlign w:val="bottom"/>
          </w:tcPr>
          <w:p>
            <w:pPr>
              <w:spacing w:after="0"/>
              <w:rPr>
                <w:sz w:val="1"/>
                <w:szCs w:val="1"/>
                <w:color w:val="auto"/>
              </w:rPr>
            </w:pPr>
          </w:p>
        </w:tc>
      </w:tr>
      <w:tr>
        <w:trPr>
          <w:trHeight w:val="250"/>
        </w:trPr>
        <w:tc>
          <w:tcPr>
            <w:tcW w:w="5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on if-converted dilutive securities</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shares for dilutive earnings per common share</w:t>
            </w: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238,567</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237,347</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238,318</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0" w:type="dxa"/>
            <w:vAlign w:val="bottom"/>
          </w:tcPr>
          <w:p>
            <w:pPr>
              <w:spacing w:after="0"/>
              <w:rPr>
                <w:sz w:val="1"/>
                <w:szCs w:val="1"/>
                <w:color w:val="auto"/>
              </w:rPr>
            </w:pPr>
          </w:p>
        </w:tc>
      </w:tr>
      <w:tr>
        <w:trPr>
          <w:trHeight w:val="27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7"/>
          <w:szCs w:val="17"/>
          <w:color w:val="auto"/>
        </w:rPr>
        <w:t>For the three and six months ended June 30, 2025, 2,023,995 non-participating securities were excluded from the computation of earnings per share, as their performance conditions have not been met. For the three and six months ended June 30, 2025, we excluded 42,043,892 potential common shares related to the Convertible 2027 Notes from the computation of earnings per share, as their effect would have been anti-dilutive. For the three and six months ended June 30, 2024, 1,412,563 non-participating securities were excluded from the computation of earnings per share, as their performance</w:t>
      </w:r>
    </w:p>
    <w:p>
      <w:pPr>
        <w:spacing w:after="0" w:line="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conditions have not been met. For the three and six months ended June 30, 2024, we excluded 52,910,874 and 54,070,019 potential common shares related to the Exchange Notes and the Convertible 2027 Notes, respectively, from the computation of earnings per share, as their effect would have been anti-dilutive.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6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color w:val="auto"/>
        </w:rPr>
        <w:t>: Represents the operations of our leasing business which is engaged in the acquisition and construction of mission-critical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color w:val="auto"/>
        </w:rPr>
        <w:t>: Represents the operations of our fiber business which is a leading provider of infrastructure solutions, including cell site backhaul and dark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to the telecommunications industry.</w:t>
      </w:r>
    </w:p>
    <w:p>
      <w:pPr>
        <w:spacing w:after="0" w:line="15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our corporate office and shared service functions. Certain costs and expenses, primarily related to headcount,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systems, insurance, professional fees and similar charges, that are directly attributable to operations of our business segments are allocated to the respective segments.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9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who is our chief operating decision maker, reviews Adjusted EBITDA for the purpose of making operating decisions, assessing financial performance, and deciding how to allocate resources (including employees, property, and financial or capital resources) for each segment predominantly in the annual budget and forecasting process. The chief operating decision maker considers budget-to-actual variances monthly when making decisions about allocating capital and personnel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data related to our segments is presented below for the three and six months ended June 30, 2025 and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74,254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300,732</w:t>
            </w:r>
          </w:p>
        </w:tc>
      </w:tr>
      <w:tr>
        <w:trPr>
          <w:trHeight w:val="257"/>
        </w:trPr>
        <w:tc>
          <w:tcPr>
            <w:tcW w:w="4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28,763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242,563</w:t>
            </w: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13,405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160,784</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31,992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79,663</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(3,668)</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34,149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38,138</w:t>
            </w:r>
          </w:p>
        </w:tc>
      </w:tr>
      <w:tr>
        <w:trPr>
          <w:trHeight w:val="43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76,661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294,947</w:t>
            </w:r>
          </w:p>
        </w:tc>
      </w:tr>
      <w:tr>
        <w:trPr>
          <w:trHeight w:val="256"/>
        </w:trPr>
        <w:tc>
          <w:tcPr>
            <w:tcW w:w="506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31,091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236,659</w:t>
            </w: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11,817</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33,425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78,052</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(2,942)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r>
      <w:tr>
        <w:trPr>
          <w:trHeight w:val="20"/>
        </w:trPr>
        <w:tc>
          <w:tcPr>
            <w:tcW w:w="50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25,222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594,641</w:t>
            </w: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480,393</w:t>
            </w: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298,771</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159,346</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r>
      <w:tr>
        <w:trPr>
          <w:trHeight w:val="250"/>
        </w:trPr>
        <w:tc>
          <w:tcPr>
            <w:tcW w:w="50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7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246,198</w:t>
            </w:r>
          </w:p>
        </w:tc>
      </w:tr>
      <w:tr>
        <w:trPr>
          <w:trHeight w:val="43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158"/>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r>
      <w:tr>
        <w:trPr>
          <w:trHeight w:val="19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Segments</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581,365</w:t>
            </w:r>
          </w:p>
        </w:tc>
      </w:tr>
      <w:tr>
        <w:trPr>
          <w:trHeight w:val="270"/>
        </w:trPr>
        <w:tc>
          <w:tcPr>
            <w:tcW w:w="506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465,287</w:t>
            </w: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250,686</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155,537</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r>
      <w:tr>
        <w:trPr>
          <w:trHeight w:val="263"/>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50"/>
        </w:trPr>
        <w:tc>
          <w:tcPr>
            <w:tcW w:w="50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r>
      <w:tr>
        <w:trPr>
          <w:trHeight w:val="25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4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262,758</w:t>
            </w: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segment expenses for our reportable segments are presented below for the periods indicated: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26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145,458</w:t>
            </w: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Employee-related (excluding stock-based compensation):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r>
      <w:tr>
        <w:trPr>
          <w:trHeight w:val="230"/>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17,678</w:t>
            </w:r>
          </w:p>
        </w:tc>
      </w:tr>
      <w:tr>
        <w:trPr>
          <w:trHeight w:val="229"/>
        </w:trPr>
        <w:tc>
          <w:tcPr>
            <w:tcW w:w="5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Network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37,661</w:t>
            </w:r>
          </w:p>
        </w:tc>
      </w:tr>
      <w:tr>
        <w:trPr>
          <w:trHeight w:val="229"/>
        </w:trPr>
        <w:tc>
          <w:tcPr>
            <w:tcW w:w="5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Installation, Equipment, &amp; Other Non-recurring Charges </w:t>
            </w:r>
            <w:r>
              <w:rPr>
                <w:rFonts w:ascii="Times New Roman" w:cs="Times New Roman" w:eastAsia="Times New Roman" w:hAnsi="Times New Roman"/>
                <w:sz w:val="23"/>
                <w:szCs w:val="23"/>
                <w:color w:val="auto"/>
                <w:vertAlign w:val="superscript"/>
              </w:rPr>
              <w:t>(a)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w:t>
            </w:r>
          </w:p>
        </w:tc>
      </w:tr>
      <w:tr>
        <w:trPr>
          <w:trHeight w:val="230"/>
        </w:trPr>
        <w:tc>
          <w:tcPr>
            <w:tcW w:w="50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Insurance </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29"/>
        </w:trPr>
        <w:tc>
          <w:tcPr>
            <w:tcW w:w="50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Professional Fees </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29"/>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r>
      <w:tr>
        <w:trPr>
          <w:trHeight w:val="22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54,929</w:t>
            </w: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8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Operating expense (exclusive of depreciation, accretion and amortization) line item in our Condensed Consolidated Statements of (Loss) Income.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General and administration expense line item in our Condensed Consolidated Statements of (Loss) Income.</w:t>
      </w:r>
    </w:p>
    <w:p>
      <w:pPr>
        <w:spacing w:after="0" w:line="23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Employee-related expenses include employee salaries, related taxes and benefits, short-term cash incentive compensation and travel and entertainment expenses. Other includes office rent, IT costs, taxes and fees, advertising, and other overhead expenses.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5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435,907</w:t>
            </w:r>
          </w:p>
        </w:tc>
      </w:tr>
      <w:tr>
        <w:trPr>
          <w:trHeight w:val="270"/>
        </w:trPr>
        <w:tc>
          <w:tcPr>
            <w:tcW w:w="5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Employee-related (excluding stock-based compensation):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30"/>
        </w:trPr>
        <w:tc>
          <w:tcPr>
            <w:tcW w:w="50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Network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w:t>
            </w:r>
          </w:p>
        </w:tc>
      </w:tr>
      <w:tr>
        <w:trPr>
          <w:trHeight w:val="229"/>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421,530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
        <w:spacing w:after="0" w:line="28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Operating expense (exclusive of depreciation, accretion and amortization) line item in our Condensed Consolidated Statements of (Loss) Income.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Employee-related expenses include employee salaries, related taxes and benefits, short-term cash incentive compensation and travel and entertainment expenses. Other includes insurance, professional fees, taxes and fees, and other overhead expenses.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by business segment as of June 30, 2025 and December 31, 2024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Uniti Leasing</w:t>
            </w:r>
          </w:p>
        </w:tc>
        <w:tc>
          <w:tcPr>
            <w:tcW w:w="4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Uniti Fiber</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4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of reportable segments</w:t>
            </w:r>
          </w:p>
        </w:tc>
        <w:tc>
          <w:tcPr>
            <w:tcW w:w="4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5,543,531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5,282,145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00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jc w:val="both"/>
        <w:ind w:right="620"/>
        <w:spacing w:after="0" w:line="312" w:lineRule="auto"/>
        <w:rPr>
          <w:sz w:val="20"/>
          <w:szCs w:val="20"/>
          <w:color w:val="auto"/>
        </w:rPr>
      </w:pPr>
      <w:r>
        <w:rPr>
          <w:rFonts w:ascii="Times New Roman" w:cs="Times New Roman" w:eastAsia="Times New Roman" w:hAnsi="Times New Roman"/>
          <w:sz w:val="17"/>
          <w:szCs w:val="17"/>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Commitments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As of June 30, 2025, the Company has made payments totaling $460.4 million.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CLEC MLA,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2024, and are limited to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six months ended June 30, 2025, Uniti reimbursed $175.0 million of Growth Capital Improvements, of which $175.0 million represented the reimbursement of capital improvements completed in 2024 that were previously classified as tenant funded capital improvements. As of the date of this Quarterly Report on Form 10-Q, we have reimbursed a total of $1.2 billion of Growth Capital Improvements.</w:t>
      </w:r>
    </w:p>
    <w:p>
      <w:pPr>
        <w:spacing w:after="0" w:line="1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June 30, 2025.</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(Loss)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is as follows for the three and six months ended June 30, 2025 and 2024:</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 attributable to shareholders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asset</w:t>
            </w: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1"/>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6"/>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1"/>
        </w:trPr>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7"/>
        </w:trPr>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at end of period attributable to shareholders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5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Capital Stock</w:t>
      </w:r>
    </w:p>
    <w:p>
      <w:pPr>
        <w:spacing w:after="0" w:line="24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limited partnership interests in our operating partnership (commonly called “OP Units”), are exchangeable on a one-for-one basis for shares of our common stock or, at our election, cash of equivalent value. No OP Units held by third parties were exchanged during the three months ended June 30,</w:t>
      </w:r>
    </w:p>
    <w:p>
      <w:pPr>
        <w:ind w:right="220"/>
        <w:spacing w:after="0" w:line="282" w:lineRule="auto"/>
        <w:rPr>
          <w:sz w:val="20"/>
          <w:szCs w:val="20"/>
          <w:color w:val="auto"/>
        </w:rPr>
      </w:pPr>
      <w:r>
        <w:rPr>
          <w:rFonts w:ascii="Times New Roman" w:cs="Times New Roman" w:eastAsia="Times New Roman" w:hAnsi="Times New Roman"/>
          <w:sz w:val="18"/>
          <w:szCs w:val="18"/>
          <w:color w:val="auto"/>
        </w:rPr>
        <w:t>2025. During the six months ended June 30, 2025, the Company exchanged 14,722 OP Units held by third parties for cash consideration of $0.1 million, representing 100% of the OP Units held by third parties with a carrying value of $0.3 million as of the exchange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Supplementary Unrestricted Subsidiary Information</w:t>
      </w:r>
    </w:p>
    <w:p>
      <w:pPr>
        <w:spacing w:after="0" w:line="22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 xml:space="preserve">During 2024, we formed the Uniti Fiber ABS Parent LLC ("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 See </w:t>
      </w:r>
      <w:r>
        <w:rPr>
          <w:rFonts w:ascii="Times New Roman" w:cs="Times New Roman" w:eastAsia="Times New Roman" w:hAnsi="Times New Roman"/>
          <w:sz w:val="17"/>
          <w:szCs w:val="17"/>
          <w:u w:val="single" w:color="auto"/>
          <w:color w:val="0000FF"/>
        </w:rPr>
        <w:t>Note 8</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Condensed Consolidated Balance Sheets as of June 30, 2025 and December 31, 2024, and the Condensed Consolidated Statements of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three and six months ended June 30, 2025 and 2024, respectively, of such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1"/>
                <w:szCs w:val="11"/>
                <w:color w:val="auto"/>
              </w:rPr>
            </w:pPr>
          </w:p>
        </w:tc>
        <w:tc>
          <w:tcPr>
            <w:tcW w:w="13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442,969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3,923,821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4,366,790</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240,727</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57,866</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(23,072)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40,677</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260,563</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Straight-line revenue receivable</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114,609</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127,938</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assets, net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(31,520)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40,396</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136,585</w:t>
            </w:r>
          </w:p>
        </w:tc>
        <w:tc>
          <w:tcPr>
            <w:tcW w:w="0" w:type="dxa"/>
            <w:vAlign w:val="bottom"/>
          </w:tcPr>
          <w:p>
            <w:pPr>
              <w:spacing w:after="0"/>
              <w:rPr>
                <w:sz w:val="1"/>
                <w:szCs w:val="1"/>
                <w:color w:val="auto"/>
              </w:rPr>
            </w:pPr>
          </w:p>
        </w:tc>
      </w:tr>
      <w:tr>
        <w:trPr>
          <w:trHeight w:val="20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5,062,298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(54,592)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5,543,531</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 net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19,935</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(23,072)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88,302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Settlement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24,215</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140,356</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133,226</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(10,269)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1,430,722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82,601</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23,344</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Notes and other debt, net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577,379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5,508,623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(21,251)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6,064,751</w:t>
            </w:r>
          </w:p>
        </w:tc>
        <w:tc>
          <w:tcPr>
            <w:tcW w:w="0" w:type="dxa"/>
            <w:vAlign w:val="bottom"/>
          </w:tcPr>
          <w:p>
            <w:pPr>
              <w:spacing w:after="0"/>
              <w:rPr>
                <w:sz w:val="1"/>
                <w:szCs w:val="1"/>
                <w:color w:val="auto"/>
              </w:rPr>
            </w:pPr>
          </w:p>
        </w:tc>
      </w:tr>
      <w:tr>
        <w:trPr>
          <w:trHeight w:val="196"/>
        </w:trPr>
        <w:tc>
          <w:tcPr>
            <w:tcW w:w="53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662,518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7,379,593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(54,592)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7,987,519</w:t>
            </w:r>
          </w:p>
        </w:tc>
        <w:tc>
          <w:tcPr>
            <w:tcW w:w="0" w:type="dxa"/>
            <w:vAlign w:val="bottom"/>
          </w:tcPr>
          <w:p>
            <w:pPr>
              <w:spacing w:after="0"/>
              <w:rPr>
                <w:sz w:val="1"/>
                <w:szCs w:val="1"/>
                <w:color w:val="auto"/>
              </w:rPr>
            </w:pPr>
          </w:p>
        </w:tc>
      </w:tr>
      <w:tr>
        <w:trPr>
          <w:trHeight w:val="256"/>
        </w:trPr>
        <w:tc>
          <w:tcPr>
            <w:tcW w:w="5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(126,693)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(2,317,295)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(2,443,988)</w:t>
            </w:r>
          </w:p>
        </w:tc>
        <w:tc>
          <w:tcPr>
            <w:tcW w:w="0" w:type="dxa"/>
            <w:vAlign w:val="bottom"/>
          </w:tcPr>
          <w:p>
            <w:pPr>
              <w:spacing w:after="0"/>
              <w:rPr>
                <w:sz w:val="1"/>
                <w:szCs w:val="1"/>
                <w:color w:val="auto"/>
              </w:rPr>
            </w:pPr>
          </w:p>
        </w:tc>
      </w:tr>
      <w:tr>
        <w:trPr>
          <w:trHeight w:val="22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Deficit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535,825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5,062,298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(54,592)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5,543,531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1"/>
                <w:szCs w:val="11"/>
                <w:color w:val="auto"/>
              </w:rPr>
            </w:pPr>
          </w:p>
        </w:tc>
        <w:tc>
          <w:tcPr>
            <w:tcW w:w="13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3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446,498</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3,763,249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4,209,747</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155,593</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28,254</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51,418</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157,380</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275,414</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Straight-line revenue receivable</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108,870</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126,791</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Other assets, net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income tax assets, net</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128,045</w:t>
            </w:r>
          </w:p>
        </w:tc>
        <w:tc>
          <w:tcPr>
            <w:tcW w:w="0" w:type="dxa"/>
            <w:vAlign w:val="bottom"/>
          </w:tcPr>
          <w:p>
            <w:pPr>
              <w:spacing w:after="0"/>
              <w:rPr>
                <w:sz w:val="1"/>
                <w:szCs w:val="1"/>
                <w:color w:val="auto"/>
              </w:rPr>
            </w:pP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4,970,246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(174,398)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5,282,145</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 net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89,688</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Settlement payable</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71,785</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145,703</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143,901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1,400,952</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Dividends payable</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80,504</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17,190</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Notes and other debt, net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271,329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5,512,268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5,783,597</w:t>
            </w: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gridSpan w:val="3"/>
          </w:tcPr>
          <w:p>
            <w:pPr>
              <w:ind w:left="60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319,157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7,418,751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7,733,985</w:t>
            </w:r>
          </w:p>
        </w:tc>
        <w:tc>
          <w:tcPr>
            <w:tcW w:w="0" w:type="dxa"/>
            <w:vAlign w:val="bottom"/>
          </w:tcPr>
          <w:p>
            <w:pPr>
              <w:spacing w:after="0"/>
              <w:rPr>
                <w:sz w:val="1"/>
                <w:szCs w:val="1"/>
                <w:color w:val="auto"/>
              </w:rPr>
            </w:pPr>
          </w:p>
        </w:tc>
      </w:tr>
      <w:tr>
        <w:trPr>
          <w:trHeight w:val="256"/>
        </w:trPr>
        <w:tc>
          <w:tcPr>
            <w:tcW w:w="5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Deficit:</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(2,448,505)</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(170,475)</w:t>
            </w: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(2,451,840)</w:t>
            </w:r>
          </w:p>
        </w:tc>
        <w:tc>
          <w:tcPr>
            <w:tcW w:w="0" w:type="dxa"/>
            <w:vAlign w:val="bottom"/>
          </w:tcPr>
          <w:p>
            <w:pPr>
              <w:spacing w:after="0"/>
              <w:rPr>
                <w:sz w:val="1"/>
                <w:szCs w:val="1"/>
                <w:color w:val="auto"/>
              </w:rPr>
            </w:pPr>
          </w:p>
        </w:tc>
      </w:tr>
      <w:tr>
        <w:trPr>
          <w:trHeight w:val="203"/>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Deficit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486,297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4,970,246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(174,398)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5,282,145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53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556,448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594,641</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298,771</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159,346</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56,147</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expense (exclusive of depreciation, accretion and amortization)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67,146</w:t>
            </w:r>
          </w:p>
        </w:tc>
        <w:tc>
          <w:tcPr>
            <w:tcW w:w="0" w:type="dxa"/>
            <w:vAlign w:val="bottom"/>
          </w:tcPr>
          <w:p>
            <w:pPr>
              <w:spacing w:after="0"/>
              <w:rPr>
                <w:sz w:val="1"/>
                <w:szCs w:val="1"/>
                <w:color w:val="auto"/>
              </w:rPr>
            </w:pPr>
          </w:p>
        </w:tc>
      </w:tr>
      <w:tr>
        <w:trPr>
          <w:trHeight w:val="195"/>
        </w:trPr>
        <w:tc>
          <w:tcPr>
            <w:tcW w:w="53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Transaction related and other costs</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21,309</w:t>
            </w:r>
          </w:p>
        </w:tc>
        <w:tc>
          <w:tcPr>
            <w:tcW w:w="0" w:type="dxa"/>
            <w:vAlign w:val="bottom"/>
          </w:tcPr>
          <w:p>
            <w:pPr>
              <w:spacing w:after="0"/>
              <w:rPr>
                <w:sz w:val="1"/>
                <w:szCs w:val="1"/>
                <w:color w:val="auto"/>
              </w:rPr>
            </w:pPr>
          </w:p>
        </w:tc>
      </w:tr>
      <w:tr>
        <w:trPr>
          <w:trHeight w:val="210"/>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0" w:type="dxa"/>
            <w:vAlign w:val="bottom"/>
          </w:tcPr>
          <w:p>
            <w:pPr>
              <w:spacing w:after="0"/>
              <w:rPr>
                <w:sz w:val="1"/>
                <w:szCs w:val="1"/>
                <w:color w:val="auto"/>
              </w:rPr>
            </w:pPr>
          </w:p>
        </w:tc>
      </w:tr>
      <w:tr>
        <w:trPr>
          <w:trHeight w:val="190"/>
        </w:trPr>
        <w:tc>
          <w:tcPr>
            <w:tcW w:w="532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568,572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(30,352)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603,846</w:t>
            </w:r>
          </w:p>
        </w:tc>
        <w:tc>
          <w:tcPr>
            <w:tcW w:w="0" w:type="dxa"/>
            <w:vAlign w:val="bottom"/>
          </w:tcPr>
          <w:p>
            <w:pPr>
              <w:spacing w:after="0"/>
              <w:rPr>
                <w:sz w:val="1"/>
                <w:szCs w:val="1"/>
                <w:color w:val="auto"/>
              </w:rPr>
            </w:pPr>
          </w:p>
        </w:tc>
      </w:tr>
      <w:tr>
        <w:trPr>
          <w:trHeight w:val="256"/>
        </w:trPr>
        <w:tc>
          <w:tcPr>
            <w:tcW w:w="5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3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Income (loss) before income taxes and equity in earnings from unconsolidated</w:t>
            </w: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(12,124)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(9,205)</w:t>
            </w:r>
          </w:p>
        </w:tc>
        <w:tc>
          <w:tcPr>
            <w:tcW w:w="0" w:type="dxa"/>
            <w:vAlign w:val="bottom"/>
          </w:tcPr>
          <w:p>
            <w:pPr>
              <w:spacing w:after="0"/>
              <w:rPr>
                <w:sz w:val="1"/>
                <w:szCs w:val="1"/>
                <w:color w:val="auto"/>
              </w:rPr>
            </w:pPr>
          </w:p>
        </w:tc>
      </w:tr>
      <w:tr>
        <w:trPr>
          <w:trHeight w:val="196"/>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w:t>
            </w:r>
          </w:p>
        </w:tc>
        <w:tc>
          <w:tcPr>
            <w:tcW w:w="0" w:type="dxa"/>
            <w:vAlign w:val="bottom"/>
          </w:tcPr>
          <w:p>
            <w:pPr>
              <w:spacing w:after="0"/>
              <w:rPr>
                <w:sz w:val="1"/>
                <w:szCs w:val="1"/>
                <w:color w:val="auto"/>
              </w:rPr>
            </w:pPr>
          </w:p>
        </w:tc>
      </w:tr>
      <w:tr>
        <w:trPr>
          <w:trHeight w:val="196"/>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1"/>
                <w:szCs w:val="11"/>
                <w:color w:val="auto"/>
              </w:rPr>
            </w:pPr>
          </w:p>
        </w:tc>
        <w:tc>
          <w:tcPr>
            <w:tcW w:w="130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Unrestricted</w:t>
            </w:r>
          </w:p>
        </w:tc>
        <w:tc>
          <w:tcPr>
            <w:tcW w:w="20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00" w:type="dxa"/>
            <w:vAlign w:val="bottom"/>
          </w:tcPr>
          <w:p>
            <w:pPr>
              <w:spacing w:after="0"/>
              <w:rPr>
                <w:sz w:val="11"/>
                <w:szCs w:val="11"/>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1"/>
                <w:szCs w:val="11"/>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562,792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581,365</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250,686</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155,537</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53,849</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expense (exclusive of depreciation, accretion and amortization)</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72,234</w:t>
            </w:r>
          </w:p>
        </w:tc>
        <w:tc>
          <w:tcPr>
            <w:tcW w:w="0" w:type="dxa"/>
            <w:vAlign w:val="bottom"/>
          </w:tcPr>
          <w:p>
            <w:pPr>
              <w:spacing w:after="0"/>
              <w:rPr>
                <w:sz w:val="1"/>
                <w:szCs w:val="1"/>
                <w:color w:val="auto"/>
              </w:rPr>
            </w:pPr>
          </w:p>
        </w:tc>
      </w:tr>
      <w:tr>
        <w:trPr>
          <w:trHeight w:val="195"/>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Transaction related and other costs</w:t>
            </w:r>
          </w:p>
        </w:tc>
        <w:tc>
          <w:tcPr>
            <w:tcW w:w="20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16,664</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Gain on sale of real estate</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(18,999)</w:t>
            </w:r>
          </w:p>
        </w:tc>
        <w:tc>
          <w:tcPr>
            <w:tcW w:w="0" w:type="dxa"/>
            <w:vAlign w:val="bottom"/>
          </w:tcPr>
          <w:p>
            <w:pPr>
              <w:spacing w:after="0"/>
              <w:rPr>
                <w:sz w:val="1"/>
                <w:szCs w:val="1"/>
                <w:color w:val="auto"/>
              </w:rPr>
            </w:pPr>
          </w:p>
        </w:tc>
      </w:tr>
      <w:tr>
        <w:trPr>
          <w:trHeight w:val="196"/>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505,408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(5,676)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529,670</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532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(loss) before income taxes and equity in earnings from unconsolidated</w:t>
            </w: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51,695</w:t>
            </w:r>
          </w:p>
        </w:tc>
        <w:tc>
          <w:tcPr>
            <w:tcW w:w="0" w:type="dxa"/>
            <w:vAlign w:val="bottom"/>
          </w:tcPr>
          <w:p>
            <w:pPr>
              <w:spacing w:after="0"/>
              <w:rPr>
                <w:sz w:val="1"/>
                <w:szCs w:val="1"/>
                <w:color w:val="auto"/>
              </w:rPr>
            </w:pPr>
          </w:p>
        </w:tc>
      </w:tr>
      <w:tr>
        <w:trPr>
          <w:trHeight w:val="20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Income tax benefit</w:t>
            </w:r>
          </w:p>
        </w:tc>
        <w:tc>
          <w:tcPr>
            <w:tcW w:w="20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2025. This discussion should be read in conjunction with the accompanying Condensed Consolidated Financial Statements, and the notes thereto set forth in Part I, Item 1 "Financial Statements" of this Quarterly Report on Form 10-Q and our Annual Report on Form 10-K filed with the SEC on February 21, 2025, as amended by Amendment No. 1 thereto filed on Form 10-K/A with the SEC on March 7, 2025 (the "Annual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Description</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Uniti Group Inc. (the “Company”, “Uniti”, “we”, “us” or “our”) is an independent, internally managed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On April 24, 2015, we were separated and spun-off (the “Spin-Off”) from Windstream Holdings, Inc.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Uniti currently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and certain aspects of our leasing business, Uniti Leasing, as taxable REIT subsidiaries (“TRSs”). TRSs enable us to engage in activities that result in income that does not constitute qualifying income for a REIT. Our TRSs are subject to U.S. federal, state and local corporate income taxes.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June 30, 2025, we are the sole general partner of the Operating Partnership and own 100.00% of the partnership interests in the Operating Partnership. In addition, we have undertaken a series of transactions to permit us to hold certain assets through subsidiaries that are taxed as REITs, which may also facilitate future acquisition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Merger (as defined herein) is completed, we expect to cease to qualify as a REIT and New Uniti (as defined herein) would not qualify as a REIT.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as two reportable business segments, in addition to our corporate operations, which include:</w:t>
      </w:r>
    </w:p>
    <w:p>
      <w:pPr>
        <w:spacing w:after="0" w:line="22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color w:val="auto"/>
        </w:rPr>
        <w:t>: Represents the operations of our leasing business, which is engaged in the acquisition and construction of mission-critical communications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TRSs.</w:t>
      </w:r>
    </w:p>
    <w:p>
      <w:pPr>
        <w:spacing w:after="0" w:line="180"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color w:val="auto"/>
        </w:rPr>
        <w:t>: Represents the operations of our fiber business which is a leading provider of infrastructure solutions, including cell site backhaul and dark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to the telecommunications industry.</w:t>
      </w:r>
    </w:p>
    <w:p>
      <w:pPr>
        <w:spacing w:after="0" w:line="158"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color w:val="auto"/>
        </w:rPr>
        <w:t>: Represents our corporate office and shared service functions. Certain costs and expenses, primarily related to headcount,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systems, insurance, professional fees and similar charges, that are directly attributable to operations of our business segments are allocated to the respective segments.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goodwill impairment charges,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our accompanying Condensed Consolidated Financial Statements contained in Part I, Item 1 "Financial Statements" of this Quarterly Report on Form 10-Q.</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Business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Proposed Merger with Windstream</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May 3, 2024, Uniti entered into an Agreement and Plan of Merger, by and between Uniti and Windstream, as amended by Amendment No. 1 to the Agreement and Plan of Merger, dated as of July 17, 2024 (as it may be further amended and/or restated from time to time, the “Merger Agreement”). Upon the terms and subject to the conditions set forth in the Merger Agreement and following a pre-closing reorganization of Windstream, an affiliate of Windstream identified as “Merger Sub” in the Merger Agreement will merge with and into Uniti (the “Merger”), with Uniti surviving the Merger, with the result that both of Uniti and Windstream’s successor by merger will be indirect wholly owned subsidiaries of Windstream Parent, Inc., a Delaware corporation that is currently an indirect wholly owned subsidiary of Windstream (“New Uniti”). In connection with the Merger, Windstream Parent, Inc. will be renamed Uniti Group Inc. Following the Merger, the common stock of New Uniti ("New Uniti Common Stock") is expected to be listed on the Nasdaq Global Market under the proposed symbol “UNIT.” Our Merger with Windstream is subject to customary closing conditions, including, among others, approval by our stockholders, which was obtained April 2, 2025, and receipt of required regulatory approvals, the last of</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which was received on July 24, 2025. As of the date of this Quarterly Report on Form 10-Q, we and Windstream intend to close the Merger after market-close on August 1, 2025.</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Merger is expected to be a taxable transaction to the Company's stockholders. In addition, during the current quarter, the Company received a favorable private letter ruling from the Internal Revenue Service regarding certain U.S. federal income tax consequences of a post-closing restructuring, which is expected to result in a step-up in the tax basis of certain of the Company's assets following the closing of the Merger.</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Merger intends to reunite Windstream’s business with the underlying fiber infrastructure owned by the Company to create a premier digital infrastructure company with a strong platform for value creation. Upon consummation of the Merger, the board of directors of New Uniti will initially comprise nine members, including five directors to be appointed by Uniti. It is expected that Uniti’s existing officers will serve as initial officers of New Uniti.</w:t>
      </w:r>
    </w:p>
    <w:p>
      <w:pPr>
        <w:spacing w:after="0" w:line="20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At the effective time of the Merger, each share of Uniti’s common stock that is issued and outstanding will automatically be cancelled and retired and converted into the right to a number of shares of New Uniti Common Stock pursuant to an exchange ratio set forth in the Merger Agreement such that the Company's and Windstream's stockholders are expected to hold approximately 62% and 38%, respectively, of the combined company before giving effect to the conversion of any outstanding convertible securities or the issuance of warrants to purchase New Uniti Common Stock referenced below.</w:t>
      </w:r>
    </w:p>
    <w:p>
      <w:pPr>
        <w:spacing w:after="0" w:line="2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In addition, at the closing of the Merger, we will fund an aggregate cash payment of $425 million (less certain transaction expenses) that will be distributed to Windstream equityholders on a pro-rata basis (the “Merger Cash Consideration”). Windstream equityholders will also be entitled to pro rata distributions of (i) new shares of non-voting preferred stock of New Uniti with a dividend rate of 11% per year for the first six years, subject to an additional 0.5% per year during each of the seventh and eighth year after the initial issuance and further increased by an additional 1% per year during each subsequent year, subject to a cap of 16% per year and with an aggregate liquidation preference of $575 million, and (ii) warrants to purchase New Uniti Common Stock, with an exercise price of $0.01 per share, subject to customary adjustments, representing in the aggregate approximately 6.9% of the pro forma share total of New Uniti. We intend to fund the Merger Cash Consideration with cash on hand and borrowings under the Revolving Credit Facility (as defined herein).</w:t>
      </w:r>
    </w:p>
    <w:p>
      <w:pPr>
        <w:spacing w:after="0" w:line="20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Upon consummation of the Merger, New Uniti will become an integrated telecommunications company. Initially, the legacy Uniti and Windstream organizational structures will remain separate, and the existing agreements and arrangements presently in effect between Uniti and Windstream, such as the Windstream Leases and the settlement agreement with Windstream, which requires Uniti to fund periodic settlement payments and reimburse Windstream for certain Growth Capital Improvements, will remain in place. All Windstream debt obligations would remain obligations of Windstream and our debt obligations would remain as ours, with no cross-guarantees or credit support between the Company and Windstream. For a description of the Windstream Leases and the settlement agreement with Windstream, refer to “Liquidity and Capital Resources—Windstream Leases” within Part I, Item 2 "Management’s Discussion and Analysis of Financial Condition and Results of Operations" in this Quarterly Report on Form 10-Q. In September and October 2024, Windstream undertook a series of transactions through which it amended the terms of its outstanding debt to, among other things, allow for the consolidation of Uniti's and Windstream's debt following the completion of the Merger into a single silo under a common parent entity (the "Post-Closing Reorganization"). In April of 2025, we amended our Credit Agreement (as defined herein) to modify its lien covenant to facilitate the Post-Closing Reorganization. As a result, following the completion of the Merger, Uniti may, but is not required to, consummate the Post-Closing Reorganization. If the Post-Closing Reorganization is completed, certain existing agreements and arrangements presently in effect between Uniti and Windstream, including the Windstream Leases and the settlement agreement described above, could be (but are not required to be) terminated. In addition, if the Post-Closing Reorganization is completed, each obligor under Uniti's outstanding debt (other than the ABS Notes, as defined herein) would become an obligor under Windstream's outstanding debt, and each obligor under Windstream's outstanding debt would become an obligor under Uniti's outstanding debt (other than the ABS Notes, as defined herein). We presently intend to consummate the Post-Closing Reorganization shortly after the closing of the Merger.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it is expected that, following consummation of the Merger, Uniti will cease to be a REIT and New Uniti would not qualify as a REIT.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Unsecured Notes Transaction</w:t>
      </w:r>
    </w:p>
    <w:p>
      <w:pPr>
        <w:spacing w:after="0" w:line="252"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On June 24, 2025, Uniti Group LP, Uniti Group Finance 2019 Inc., Uniti Fiber Holdings Inc. and CSL Capital, LLC (together, the “Issuers”), each a subsidiary of the Company, completed a private offering of $600 million aggregate principal amount of the Issuers’ 8.625% Senior Notes due 2032 (the “2032 Notes”).</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2032 Notes were issued at an issue price of 100% of their principal amount pursuant to an Indenture, dated as of June 24, 2025 (the “Indenture”), among the Issuers, the guarantors named therein (collectively, the “Guarantors”) and Deutsche Bank Trust Company Americas, as trustee. The 2032 Notes mature on June 15, 2032 and bear interest at a rate of 8.625% per year. Interest on the 2032 Notes is payable on June 15 and December 15 of each year, beginning on December 15, 2025.</w:t>
      </w:r>
    </w:p>
    <w:p>
      <w:pPr>
        <w:spacing w:after="0" w:line="20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The Issuers may redeem the 2032 Notes, in whole or in part, at any time prior to June 15, 2028 at a redemption price equal to 100% of the principal amount of the 2032 Notes redeemed plus accrued and unpaid interest on the 2032 Notes, if any, to, but not including, the redemption date, plus an applicable “make whole” premium described in the Indenture. Thereafter, the Issuers may redeem the 2032 Notes in whole or in part, at the redemption prices set forth in the Indenture. In addition, at any time on or prior to June 15, 2028, up to 40% of the aggregate principal amount of the 2032 Notes may be redeemed with the net cash proceeds of certain equity offerings at a redemption price of 108.625% of the principal amount plus accrued and unpaid interest, if any, to, but not including, the applicable redemption date; provided that at least 60% of aggregate principal amount of the originally issued 2032 Notes remains outstanding. If certain changes of control of Uniti Group LP occur, holders of the 2032 Notes will have the right to require the Issuers to offer to repurchase their 2032 Notes at 101% of their principal amount plus accrued and unpaid interest, if any, to, but not including, the repurchase date.</w:t>
      </w:r>
    </w:p>
    <w:p>
      <w:pPr>
        <w:spacing w:after="0" w:line="206"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color w:val="auto"/>
        </w:rPr>
        <w:t>The 2032 Notes are fully and unconditionally guaranteed, jointly and severally, on a senior unsecured basis by the Company and by each of Uniti Group LP’s existing and future domestic restricted subsidiaries (other than the Issuers) that guarantees indebtedness under the Company’s senior secured credit facility and existing senior notes (except initially certain regulated subsidiaries for which the Company will seek regulatory approval to enable them to guarantee the 2032 Notes). The guarantees are subject to release under specified circumstances, including certain circumstances in which such guarantees may be automatically released without the consent of the holders of the 2032 Notes.</w:t>
      </w:r>
    </w:p>
    <w:p>
      <w:pPr>
        <w:spacing w:after="0" w:line="22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2032 Notes and the related guarantees are the Issuers’ and the Guarantors’ senior unsecured obligations and rank equal in right of payment with all of the Issuers’ and the Guarantors’ existing and future senior unsecured indebtedness and senior in right of payment to any of the Issuers’ and the Guarantors’ subordinated indebtedness. The 2032 Notes and the related guarantees are effectively subordinated to all of the Issuers’ and the Guarantors’ secured indebtedness (including the senior secured credit facility and outstanding senior secured notes) to the extent of the value of the assets securing such indebtedness and are structurally subordinated to all existing and future liabilities (including trade payables) of the Issuers’ subsidiaries that do not guarantee the 2032 Notes.</w:t>
      </w:r>
    </w:p>
    <w:p>
      <w:pPr>
        <w:spacing w:after="0" w:line="22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Indenture also contains customary events of default.</w:t>
      </w:r>
    </w:p>
    <w:p>
      <w:pPr>
        <w:spacing w:after="0" w:line="22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The Issuers used the net proceeds from the offering of the 2032 Notes to fund the partial redemption of $500.0 million aggregate principal amount of their outstanding 10.50% Senior Secured Notes due February 15, 2028 (the "February 2028 Secured Notes"), including related premiums, fees and expenses in connection with the foregoing, and will use the remaining net proceeds for general corporate purposes. During the three and six months ended June 30, 2025, we recognized a $31.9 million loss on the partial extinguishment of the February 2028 Secured Notes within interest expense, net on the Condensed Consolidated Statements of (Loss) Income, which includes $4.7 million of non-cash interest expense for the write off of the unamortized premium and deferred financing costs and $27.2 million of cash interest expense for the redemption premium.</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3"/>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 from rentals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216,640</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63,998</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service revenues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08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accretion and</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5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279,237</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w:t>
            </w:r>
          </w:p>
        </w:tc>
        <w:tc>
          <w:tcPr>
            <w:tcW w:w="2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from unconsolidated entities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shareholders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18,278</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5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revenues, Adjusted EBITDA and net income of our reportable segments for the three months ended June 30, 2025 and 2024:</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9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172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20" w:type="dxa"/>
            <w:vAlign w:val="bottom"/>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r>
      <w:tr>
        <w:trPr>
          <w:trHeight w:val="19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5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5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13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7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Segments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Revenues</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Transaction related and other costs</w:t>
      </w:r>
    </w:p>
    <w:p>
      <w:pPr>
        <w:spacing w:after="0" w:line="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net</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226,478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74,254</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300,732</w:t>
            </w:r>
          </w:p>
        </w:tc>
        <w:tc>
          <w:tcPr>
            <w:tcW w:w="0" w:type="dxa"/>
            <w:vAlign w:val="bottom"/>
          </w:tcPr>
          <w:p>
            <w:pPr>
              <w:spacing w:after="0"/>
              <w:rPr>
                <w:sz w:val="1"/>
                <w:szCs w:val="1"/>
                <w:color w:val="auto"/>
              </w:rPr>
            </w:pPr>
          </w:p>
        </w:tc>
      </w:tr>
      <w:tr>
        <w:trPr>
          <w:trHeight w:val="513"/>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220,111</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28,763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(6,311)</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242,563</w:t>
            </w:r>
          </w:p>
        </w:tc>
        <w:tc>
          <w:tcPr>
            <w:tcW w:w="0" w:type="dxa"/>
            <w:vAlign w:val="bottom"/>
          </w:tcPr>
          <w:p>
            <w:pPr>
              <w:spacing w:after="0"/>
              <w:rPr>
                <w:sz w:val="1"/>
                <w:szCs w:val="1"/>
                <w:color w:val="auto"/>
              </w:rPr>
            </w:pPr>
          </w:p>
        </w:tc>
      </w:tr>
      <w:tr>
        <w:trPr>
          <w:trHeight w:val="513"/>
        </w:trPr>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24"/>
                <w:szCs w:val="24"/>
                <w:color w:val="auto"/>
              </w:rPr>
            </w:pP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13,405</w:t>
            </w:r>
          </w:p>
        </w:tc>
        <w:tc>
          <w:tcPr>
            <w:tcW w:w="32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147,425</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160,784</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47,607</w:t>
            </w:r>
          </w:p>
        </w:tc>
        <w:tc>
          <w:tcPr>
            <w:tcW w:w="300" w:type="dxa"/>
            <w:vAlign w:val="bottom"/>
          </w:tcPr>
          <w:p>
            <w:pPr>
              <w:spacing w:after="0"/>
              <w:rPr>
                <w:sz w:val="22"/>
                <w:szCs w:val="22"/>
                <w:color w:val="auto"/>
              </w:rPr>
            </w:pP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31,992</w:t>
            </w:r>
          </w:p>
        </w:tc>
        <w:tc>
          <w:tcPr>
            <w:tcW w:w="320" w:type="dxa"/>
            <w:vAlign w:val="bottom"/>
          </w:tcPr>
          <w:p>
            <w:pPr>
              <w:spacing w:after="0"/>
              <w:rPr>
                <w:sz w:val="22"/>
                <w:szCs w:val="22"/>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79,663</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300" w:type="dxa"/>
            <w:vAlign w:val="bottom"/>
          </w:tcPr>
          <w:p>
            <w:pPr>
              <w:spacing w:after="0"/>
              <w:rPr>
                <w:sz w:val="22"/>
                <w:szCs w:val="22"/>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(3,668)</w:t>
            </w:r>
          </w:p>
        </w:tc>
        <w:tc>
          <w:tcPr>
            <w:tcW w:w="320" w:type="dxa"/>
            <w:vAlign w:val="bottom"/>
          </w:tcPr>
          <w:p>
            <w:pPr>
              <w:spacing w:after="0"/>
              <w:rPr>
                <w:sz w:val="22"/>
                <w:szCs w:val="22"/>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3"/>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3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300" w:type="dxa"/>
            <w:vAlign w:val="bottom"/>
          </w:tcPr>
          <w:p>
            <w:pPr>
              <w:spacing w:after="0"/>
              <w:rPr>
                <w:sz w:val="16"/>
                <w:szCs w:val="16"/>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320" w:type="dxa"/>
            <w:vAlign w:val="bottom"/>
          </w:tcPr>
          <w:p>
            <w:pPr>
              <w:spacing w:after="0"/>
              <w:rPr>
                <w:sz w:val="16"/>
                <w:szCs w:val="16"/>
                <w:color w:val="auto"/>
              </w:rPr>
            </w:pPr>
          </w:p>
        </w:tc>
        <w:tc>
          <w:tcPr>
            <w:tcW w:w="13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-2058670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-1732915</wp:posOffset>
            </wp:positionV>
            <wp:extent cx="713232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-1407795</wp:posOffset>
            </wp:positionV>
            <wp:extent cx="7132320"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-1081405</wp:posOffset>
            </wp:positionV>
            <wp:extent cx="713232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-756285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sectPr>
          <w:pgSz w:w="11900" w:h="16838" w:orient="portrait"/>
          <w:cols w:equalWidth="0" w:num="2">
            <w:col w:w="4340" w:space="720"/>
            <w:col w:w="61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218,286</w:t>
            </w:r>
          </w:p>
        </w:tc>
        <w:tc>
          <w:tcPr>
            <w:tcW w:w="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c>
          <w:tcPr>
            <w:tcW w:w="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236,659</w:t>
            </w:r>
          </w:p>
        </w:tc>
        <w:tc>
          <w:tcPr>
            <w:tcW w:w="0" w:type="dxa"/>
            <w:vAlign w:val="bottom"/>
          </w:tcPr>
          <w:p>
            <w:pPr>
              <w:spacing w:after="0"/>
              <w:rPr>
                <w:sz w:val="1"/>
                <w:szCs w:val="1"/>
                <w:color w:val="auto"/>
              </w:rPr>
            </w:pPr>
          </w:p>
        </w:tc>
      </w:tr>
      <w:tr>
        <w:trPr>
          <w:trHeight w:val="25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0" w:type="dxa"/>
            <w:vAlign w:val="bottom"/>
          </w:tcPr>
          <w:p>
            <w:pPr>
              <w:spacing w:after="0"/>
              <w:rPr>
                <w:sz w:val="1"/>
                <w:szCs w:val="1"/>
                <w:color w:val="auto"/>
              </w:rPr>
            </w:pPr>
          </w:p>
        </w:tc>
      </w:tr>
      <w:tr>
        <w:trPr>
          <w:trHeight w:val="256"/>
        </w:trPr>
        <w:tc>
          <w:tcPr>
            <w:tcW w:w="50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Operating Metrics</w:t>
            </w: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 Metrics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 Increase /</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5"/>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Fiber strand miles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5"/>
              </w:rPr>
              <w:t>5.2%</w:t>
            </w:r>
          </w:p>
        </w:tc>
        <w:tc>
          <w:tcPr>
            <w:tcW w:w="0" w:type="dxa"/>
            <w:vAlign w:val="bottom"/>
          </w:tcPr>
          <w:p>
            <w:pPr>
              <w:spacing w:after="0"/>
              <w:rPr>
                <w:sz w:val="1"/>
                <w:szCs w:val="1"/>
                <w:color w:val="auto"/>
              </w:rPr>
            </w:pPr>
          </w:p>
        </w:tc>
      </w:tr>
      <w:tr>
        <w:trPr>
          <w:trHeight w:val="230"/>
        </w:trPr>
        <w:tc>
          <w:tcPr>
            <w:tcW w:w="5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Copper strand miles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Fiber strand miles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Customer connections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5"/>
              </w:rPr>
              <w:t>4.1%</w:t>
            </w:r>
          </w:p>
        </w:tc>
        <w:tc>
          <w:tcPr>
            <w:tcW w:w="0" w:type="dxa"/>
            <w:vAlign w:val="bottom"/>
          </w:tcPr>
          <w:p>
            <w:pPr>
              <w:spacing w:after="0"/>
              <w:rPr>
                <w:sz w:val="1"/>
                <w:szCs w:val="1"/>
                <w:color w:val="auto"/>
              </w:rPr>
            </w:pPr>
          </w:p>
        </w:tc>
      </w:tr>
      <w:tr>
        <w:trPr>
          <w:trHeight w:val="91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3"/>
          </w:tcPr>
          <w:p>
            <w:pPr>
              <w:jc w:val="right"/>
              <w:ind w:right="1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3"/>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48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226,478</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75.3 %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74,254</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300,732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revenues are primarily attributable to rental revenue from leasing our Distribution Systems to Windstream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Windstream Leases.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2025 is $679.0 million and is subject to annual escalation at a rate of 0.5%. For a description of the Windstream Leases, see “Liquidity and Capital Resources— Windstream Leases” below.</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rent for the first year of each renewal term under the Windstream Leases will be an amount agreed to by us and Windstream. While the agreements require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$20.0 million per year. If Uniti fails to reimburse any Growth Capital Improvement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21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property, plant, and equipment and deferred revenue. We depreciate the property, plant, and equipment over their estimated useful lives and amortize the deferred revenue as additional leasing revenues over the same depreciable life of the TCI assets. TCIs exclude Growth Capital Improvements as and when reimbursed by Uniti.</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40" w:type="dxa"/>
            <w:vAlign w:val="bottom"/>
            <w:gridSpan w:val="3"/>
          </w:tcPr>
          <w:p>
            <w:pPr>
              <w:jc w:val="right"/>
              <w:ind w:right="1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3"/>
          </w:tcPr>
          <w:p>
            <w:pPr>
              <w:jc w:val="right"/>
              <w:ind w:right="1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00" w:type="dxa"/>
            <w:vAlign w:val="bottom"/>
            <w:gridSpan w:val="2"/>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Segment Revenues</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Segment Revenues</w:t>
            </w:r>
          </w:p>
        </w:tc>
        <w:tc>
          <w:tcPr>
            <w:tcW w:w="0" w:type="dxa"/>
            <w:vAlign w:val="bottom"/>
          </w:tcPr>
          <w:p>
            <w:pPr>
              <w:spacing w:after="0"/>
              <w:rPr>
                <w:sz w:val="1"/>
                <w:szCs w:val="1"/>
                <w:color w:val="auto"/>
              </w:rPr>
            </w:pPr>
          </w:p>
        </w:tc>
      </w:tr>
      <w:tr>
        <w:trPr>
          <w:trHeight w:val="229"/>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Windstream Leases: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rent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77.4 %</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GCI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3"/>
        </w:trPr>
        <w:tc>
          <w:tcPr>
            <w:tcW w:w="49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cash revenue</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188,903</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181,866</w:t>
            </w:r>
          </w:p>
        </w:tc>
        <w:tc>
          <w:tcPr>
            <w:tcW w:w="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TCI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GCI revenue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non-cash revenue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3"/>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Windstream revenue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198,649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50"/>
        </w:trPr>
        <w:tc>
          <w:tcPr>
            <w:tcW w:w="4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Uniti Leasing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226,477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218,286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 in TCI revenue is attributable to the continued investment by Windstream. The total amount invested in TCIs by Windstream since the inception of the Windstream Leases (including the Master Lease) was $1.4 billion as of June 30, 2025 and $1.2 billion as of June 30, 2024.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GCI revenue is attributable to Uniti’s continued reimbursement of Growth Capital Improvements. As of the date of this Quarterly Report on Form 10-Q, we have reimbursed a total of $1.2 billion of Growth Capital Improvements.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recognized $21.9 million and $19.6 million of revenues from other services including non-Windstream triple-net leasing and dark fiber indefeasible rights of use arrangements for the three months ended June 30, 2025 and 2024, respectively. The increase is primarily driven by revenues from new customer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Quarterly Report on Form 10-Q, Windstream is current on all lease payments.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revenues for the three months ended June 30, 2025 and 2024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gridSpan w:val="2"/>
          </w:tcPr>
          <w:p>
            <w:pPr>
              <w:jc w:val="right"/>
              <w:ind w:right="112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3"/>
          </w:tcPr>
          <w:p>
            <w:pPr>
              <w:jc w:val="right"/>
              <w:ind w:right="133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gridSpan w:val="2"/>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of Segment Revenues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Segment Revenues</w:t>
            </w:r>
          </w:p>
        </w:tc>
        <w:tc>
          <w:tcPr>
            <w:tcW w:w="0" w:type="dxa"/>
            <w:vAlign w:val="bottom"/>
          </w:tcPr>
          <w:p>
            <w:pPr>
              <w:spacing w:after="0"/>
              <w:rPr>
                <w:sz w:val="1"/>
                <w:szCs w:val="1"/>
                <w:color w:val="auto"/>
              </w:rPr>
            </w:pPr>
          </w:p>
        </w:tc>
      </w:tr>
      <w:tr>
        <w:trPr>
          <w:trHeight w:val="229"/>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Fiber revenues:</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24,327</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Uniti Fiber 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74,254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76,661</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For the three months ended June 30, 2025, Uniti Fiber revenues totaled $74.3 million as compared to $76.7 million for the three months ended June 30, 2024. Uniti Fiber revenues decreased $2.4 million, primarily attributable to a $5.0 million decrease in non-recurring cancellation fees within lit backhaul services, partially offset by a $1.8 million increase within enterprise and wholesale, driven primarily by increased customer connections and internet services.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27,188</w:t>
            </w:r>
          </w:p>
        </w:tc>
        <w:tc>
          <w:tcPr>
            <w:tcW w:w="0" w:type="dxa"/>
            <w:vAlign w:val="bottom"/>
          </w:tcPr>
          <w:p>
            <w:pPr>
              <w:spacing w:after="0"/>
              <w:rPr>
                <w:sz w:val="1"/>
                <w:szCs w:val="1"/>
                <w:color w:val="auto"/>
              </w:rPr>
            </w:pPr>
          </w:p>
        </w:tc>
      </w:tr>
      <w:tr>
        <w:trPr>
          <w:trHeight w:val="230"/>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30"/>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ABS Notes &amp; Loan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deferred financing costs and debt premium/discount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9"/>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Write off of deferred financing costs and debt premium/discount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0" w:type="dxa"/>
            <w:vAlign w:val="bottom"/>
          </w:tcPr>
          <w:p>
            <w:pPr>
              <w:spacing w:after="0"/>
              <w:rPr>
                <w:sz w:val="1"/>
                <w:szCs w:val="1"/>
                <w:color w:val="auto"/>
              </w:rPr>
            </w:pPr>
          </w:p>
        </w:tc>
      </w:tr>
      <w:tr>
        <w:trPr>
          <w:trHeight w:val="275"/>
        </w:trPr>
        <w:tc>
          <w:tcPr>
            <w:tcW w:w="6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Interest expense for the three months ended June 30, 2025 increased $33.3 million compared to the three months ended June 30, 2024. The increase is primarily attributable to a loss on extinguishment of debt of $31.9 million associated with the June 24, 2025 partial redemptions of the February 2028 Secured Notes, which included $27.2 million of cash interest expense for the redemption premium and $4.7 million of non-cash interest expense for the write-off of the unamortized debt premium and deferred financing costs, along with a $3.8 million increase in cash interest related to the March 1, 2024 draw on the ABS Loan Facility and the February 3, 2025 issuance of the ABS Notes, partially offset by a $1.1 million decrease in non-cash interest related to the accretion on the settlement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2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30"/>
        </w:trPr>
        <w:tc>
          <w:tcPr>
            <w:tcW w:w="4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2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depreciation expense increased $3.0 million for the three months ended June 30, 2025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primarily attributable to asset additions since June 30, 2024.</w:t>
      </w:r>
    </w:p>
    <w:p>
      <w:pPr>
        <w:spacing w:after="0" w:line="15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depreciation expense decreased $1.4 million for the three months ended June 30, 2025 compared to the three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3"/>
          </w:tcPr>
          <w:p>
            <w:pPr>
              <w:jc w:val="right"/>
              <w:ind w:right="1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3"/>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ind w:right="162"/>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48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16,144</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general and administrative expense increased $0.2 million for the three months ended June 30, 2025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primarily attributable to an increase in personnel expenses and professional fees of $0.2 million.</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general and administrative expense increased $0.6 million for the three months ended June 30, 2025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primarily attributable to an increase in personnel expenses and regulatory fees of $0.2 million.</w:t>
      </w:r>
    </w:p>
    <w:p>
      <w:pPr>
        <w:spacing w:after="0" w:line="15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increased $1.3 million for the three months ended June 30, 2025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primarily attributable to an increase in personnel expenses of $1.8 million, partially offset by decreases in insurance and professional fees of $0.5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expenses consist of network related costs, such as dark fiber and tower rents, lit service and maintenance expense and costs associated with our construction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3"/>
          </w:tcPr>
          <w:p>
            <w:pPr>
              <w:jc w:val="right"/>
              <w:ind w:right="1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3"/>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right"/>
              <w:ind w:right="162"/>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48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780" w:type="dxa"/>
            <w:vAlign w:val="bottom"/>
            <w:tcBorders>
              <w:top w:val="single" w:sz="8" w:color="auto"/>
            </w:tcBorders>
            <w:shd w:val="clear" w:color="auto" w:fill="CCEEFF"/>
          </w:tcPr>
          <w:p>
            <w:pPr>
              <w:jc w:val="center"/>
              <w:ind w:right="2174"/>
              <w:spacing w:after="0"/>
              <w:rPr>
                <w:sz w:val="20"/>
                <w:szCs w:val="20"/>
                <w:color w:val="auto"/>
              </w:rPr>
            </w:pPr>
            <w:r>
              <w:rPr>
                <w:rFonts w:ascii="Times New Roman" w:cs="Times New Roman" w:eastAsia="Times New Roman" w:hAnsi="Times New Roman"/>
                <w:sz w:val="18"/>
                <w:szCs w:val="18"/>
                <w:b w:val="1"/>
                <w:bCs w:val="1"/>
                <w:color w:val="auto"/>
                <w:w w:val="99"/>
              </w:rPr>
              <w:t>Operating expense by segment: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50"/>
        </w:trPr>
        <w:tc>
          <w:tcPr>
            <w:tcW w:w="4860" w:type="dxa"/>
            <w:vAlign w:val="bottom"/>
            <w:gridSpan w:val="2"/>
          </w:tcPr>
          <w:p>
            <w:pPr>
              <w:jc w:val="center"/>
              <w:ind w:right="2320"/>
              <w:spacing w:after="0"/>
              <w:rPr>
                <w:sz w:val="20"/>
                <w:szCs w:val="20"/>
                <w:color w:val="auto"/>
              </w:rPr>
            </w:pPr>
            <w:r>
              <w:rPr>
                <w:rFonts w:ascii="Times New Roman" w:cs="Times New Roman" w:eastAsia="Times New Roman" w:hAnsi="Times New Roman"/>
                <w:sz w:val="18"/>
                <w:szCs w:val="18"/>
                <w:color w:val="auto"/>
                <w:w w:val="98"/>
              </w:rPr>
              <w:t>Total operating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37,036</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operating expense decreased $1.4 million for the three months ended June 30, 2025 as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primarily attributable to a non-recurring credit to network repairs and maintenance expense of $1.1 million.</w:t>
      </w:r>
    </w:p>
    <w:p>
      <w:pPr>
        <w:spacing w:after="0" w:line="16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Uniti Fiber operating expense decreased $0.8 million for the three months ended June 30, 2025 compared to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attributable to a decrease in off-net expenses of $1.1 million, partially offset by an increase in repair and maintenance expense of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-453390</wp:posOffset>
            </wp:positionV>
            <wp:extent cx="13716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Transaction related and other costs include incremental acquisition, pursuit, transaction and integration costs (including unsuccessful acquisition pursuit costs). For the three months ended June 30, 2025, we incurred $13.5 million of transaction related and other costs, compared to $11.0 million of such costs during the three months ended June 30, 2024. The increase is primarily attributable to costs associated with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recorded for the three months ended June 30, 2025 and 2024, respectively, is related to the tax impact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Pre-tax loss (Uniti Fiber)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REIT state and local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Reversal of unrecognized tax benefit related to expiration of statute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40" w:type="dxa"/>
            <w:vAlign w:val="bottom"/>
            <w:gridSpan w:val="3"/>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60" w:type="dxa"/>
            <w:vAlign w:val="bottom"/>
          </w:tcPr>
          <w:p>
            <w:pPr>
              <w:spacing w:after="0"/>
              <w:rPr>
                <w:sz w:val="18"/>
                <w:szCs w:val="18"/>
                <w:color w:val="auto"/>
              </w:rPr>
            </w:pPr>
          </w:p>
        </w:tc>
        <w:tc>
          <w:tcPr>
            <w:tcW w:w="146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 of Revenues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 from rentals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445,927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432,633</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 from rentals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457,459</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116,644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120,632</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service revenues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123,906</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594,641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581,365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298,771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250,686</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155,537</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1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accretion and</w:t>
            </w: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72,234</w:t>
            </w:r>
          </w:p>
        </w:tc>
        <w:tc>
          <w:tcPr>
            <w:tcW w:w="14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440" w:type="dxa"/>
            <w:vAlign w:val="bottom"/>
            <w:gridSpan w:val="3"/>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6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6"/>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Pr>
          <w:p>
            <w:pPr>
              <w:spacing w:after="0"/>
              <w:rPr>
                <w:sz w:val="22"/>
                <w:szCs w:val="22"/>
                <w:color w:val="auto"/>
              </w:rPr>
            </w:pPr>
          </w:p>
        </w:tc>
        <w:tc>
          <w:tcPr>
            <w:tcW w:w="14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603,846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529,670</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10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Income before income taxes and equity in earnings from</w:t>
            </w:r>
          </w:p>
        </w:tc>
        <w:tc>
          <w:tcPr>
            <w:tcW w:w="2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51,695</w:t>
            </w:r>
          </w:p>
        </w:tc>
        <w:tc>
          <w:tcPr>
            <w:tcW w:w="16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3"/>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unconsolidated entities</w:t>
            </w:r>
          </w:p>
        </w:tc>
        <w:tc>
          <w:tcPr>
            <w:tcW w:w="26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660" w:type="dxa"/>
            <w:vAlign w:val="bottom"/>
            <w:gridSpan w:val="4"/>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in earnings from unconsolidated entities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56"/>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shareholders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57"/>
        </w:trPr>
        <w:tc>
          <w:tcPr>
            <w:tcW w:w="5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Dividends declared on convertible preferred stock</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7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revenues, Adjusted EBITDA and net income of our reportable segments for the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448,846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594,641</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435,237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480,393</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298,771</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94,458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159,346</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(8,586)</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0" w:type="dxa"/>
            <w:vAlign w:val="bottom"/>
          </w:tcPr>
          <w:p>
            <w:pPr>
              <w:spacing w:after="0"/>
              <w:rPr>
                <w:sz w:val="1"/>
                <w:szCs w:val="1"/>
                <w:color w:val="auto"/>
              </w:rPr>
            </w:pPr>
          </w:p>
        </w:tc>
      </w:tr>
      <w:tr>
        <w:trPr>
          <w:trHeight w:val="275"/>
        </w:trPr>
        <w:tc>
          <w:tcPr>
            <w:tcW w:w="50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gridSpan w:val="5"/>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Subtotal of Reportable</w:t>
            </w:r>
          </w:p>
        </w:tc>
        <w:tc>
          <w:tcPr>
            <w:tcW w:w="0" w:type="dxa"/>
            <w:vAlign w:val="bottom"/>
          </w:tcPr>
          <w:p>
            <w:pPr>
              <w:spacing w:after="0"/>
              <w:rPr>
                <w:sz w:val="1"/>
                <w:szCs w:val="1"/>
                <w:color w:val="auto"/>
              </w:rPr>
            </w:pPr>
          </w:p>
        </w:tc>
      </w:tr>
      <w:tr>
        <w:trPr>
          <w:trHeight w:val="19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6"/>
                <w:szCs w:val="16"/>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Uniti Leasing</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Uniti Fiber</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435,907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581,365</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421,530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465,287</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250,686</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155,537</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63"/>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50"/>
        </w:trPr>
        <w:tc>
          <w:tcPr>
            <w:tcW w:w="5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57"/>
        </w:trPr>
        <w:tc>
          <w:tcPr>
            <w:tcW w:w="50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50"/>
        </w:trPr>
        <w:tc>
          <w:tcPr>
            <w:tcW w:w="5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0" w:type="dxa"/>
            <w:vAlign w:val="bottom"/>
          </w:tcPr>
          <w:p>
            <w:pPr>
              <w:spacing w:after="0"/>
              <w:rPr>
                <w:sz w:val="1"/>
                <w:szCs w:val="1"/>
                <w:color w:val="auto"/>
              </w:rPr>
            </w:pPr>
          </w:p>
        </w:tc>
      </w:tr>
      <w:tr>
        <w:trPr>
          <w:trHeight w:val="27"/>
        </w:trPr>
        <w:tc>
          <w:tcPr>
            <w:tcW w:w="5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5060" w:type="dxa"/>
            <w:vAlign w:val="bottom"/>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4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1"/>
                <w:szCs w:val="11"/>
                <w:color w:val="auto"/>
              </w:rPr>
            </w:pPr>
          </w:p>
        </w:tc>
        <w:tc>
          <w:tcPr>
            <w:tcW w:w="13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340" w:type="dxa"/>
            <w:vAlign w:val="bottom"/>
          </w:tcPr>
          <w:p>
            <w:pPr>
              <w:jc w:val="center"/>
              <w:ind w:right="76"/>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340" w:type="dxa"/>
            <w:vAlign w:val="bottom"/>
          </w:tcPr>
          <w:p>
            <w:pPr>
              <w:jc w:val="center"/>
              <w:ind w:right="73"/>
              <w:spacing w:after="0" w:line="131"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5"/>
        </w:trPr>
        <w:tc>
          <w:tcPr>
            <w:tcW w:w="50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448,846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8"/>
              </w:rPr>
              <w:t>75.5%</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center"/>
              <w:ind w:right="73"/>
              <w:spacing w:after="0"/>
              <w:rPr>
                <w:sz w:val="20"/>
                <w:szCs w:val="20"/>
                <w:color w:val="auto"/>
              </w:rPr>
            </w:pPr>
            <w:r>
              <w:rPr>
                <w:rFonts w:ascii="Times New Roman" w:cs="Times New Roman" w:eastAsia="Times New Roman" w:hAnsi="Times New Roman"/>
                <w:sz w:val="18"/>
                <w:szCs w:val="18"/>
                <w:color w:val="auto"/>
                <w:w w:val="98"/>
              </w:rPr>
              <w:t>75.0%</w:t>
            </w:r>
          </w:p>
        </w:tc>
        <w:tc>
          <w:tcPr>
            <w:tcW w:w="0" w:type="dxa"/>
            <w:vAlign w:val="bottom"/>
          </w:tcPr>
          <w:p>
            <w:pPr>
              <w:spacing w:after="0"/>
              <w:rPr>
                <w:sz w:val="1"/>
                <w:szCs w:val="1"/>
                <w:color w:val="auto"/>
              </w:rPr>
            </w:pPr>
          </w:p>
        </w:tc>
      </w:tr>
      <w:tr>
        <w:trPr>
          <w:trHeight w:val="257"/>
        </w:trPr>
        <w:tc>
          <w:tcPr>
            <w:tcW w:w="50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center"/>
              <w:ind w:right="76"/>
              <w:spacing w:after="0"/>
              <w:rPr>
                <w:sz w:val="20"/>
                <w:szCs w:val="20"/>
                <w:color w:val="auto"/>
              </w:rPr>
            </w:pPr>
            <w:r>
              <w:rPr>
                <w:rFonts w:ascii="Times New Roman" w:cs="Times New Roman" w:eastAsia="Times New Roman" w:hAnsi="Times New Roman"/>
                <w:sz w:val="18"/>
                <w:szCs w:val="18"/>
                <w:color w:val="auto"/>
                <w:w w:val="98"/>
              </w:rPr>
              <w:t>24.5%</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8"/>
                <w:szCs w:val="18"/>
                <w:color w:val="auto"/>
                <w:w w:val="98"/>
              </w:rPr>
              <w:t>25.0%</w:t>
            </w:r>
          </w:p>
        </w:tc>
        <w:tc>
          <w:tcPr>
            <w:tcW w:w="0" w:type="dxa"/>
            <w:vAlign w:val="bottom"/>
          </w:tcPr>
          <w:p>
            <w:pPr>
              <w:spacing w:after="0"/>
              <w:rPr>
                <w:sz w:val="1"/>
                <w:szCs w:val="1"/>
                <w:color w:val="auto"/>
              </w:rPr>
            </w:pPr>
          </w:p>
        </w:tc>
      </w:tr>
      <w:tr>
        <w:trPr>
          <w:trHeight w:val="223"/>
        </w:trPr>
        <w:tc>
          <w:tcPr>
            <w:tcW w:w="50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7"/>
              </w:rPr>
              <w:t>100.0%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revenues for the six months ended June 30, 2025 and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5"/>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jc w:val="center"/>
              <w:ind w:right="3011"/>
              <w:spacing w:after="0"/>
              <w:rPr>
                <w:sz w:val="20"/>
                <w:szCs w:val="20"/>
                <w:color w:val="auto"/>
              </w:rPr>
            </w:pPr>
            <w:r>
              <w:rPr>
                <w:rFonts w:ascii="Times New Roman" w:cs="Times New Roman" w:eastAsia="Times New Roman" w:hAnsi="Times New Roman"/>
                <w:sz w:val="18"/>
                <w:szCs w:val="18"/>
                <w:b w:val="1"/>
                <w:bCs w:val="1"/>
                <w:color w:val="auto"/>
                <w:w w:val="99"/>
              </w:rPr>
              <w:t>Uniti 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jc w:val="center"/>
              <w:ind w:right="3240"/>
              <w:spacing w:after="0"/>
              <w:rPr>
                <w:sz w:val="20"/>
                <w:szCs w:val="20"/>
                <w:color w:val="auto"/>
              </w:rPr>
            </w:pPr>
            <w:r>
              <w:rPr>
                <w:rFonts w:ascii="Times New Roman" w:cs="Times New Roman" w:eastAsia="Times New Roman" w:hAnsi="Times New Roman"/>
                <w:sz w:val="18"/>
                <w:szCs w:val="18"/>
                <w:color w:val="auto"/>
                <w:w w:val="99"/>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Cash rent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77.4%</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GCI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8.1%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5.6%</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cash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83.6%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83.0%</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jc w:val="center"/>
              <w:ind w:right="3200"/>
              <w:spacing w:after="0"/>
              <w:rPr>
                <w:sz w:val="20"/>
                <w:szCs w:val="20"/>
                <w:color w:val="auto"/>
              </w:rPr>
            </w:pPr>
            <w:r>
              <w:rPr>
                <w:rFonts w:ascii="Times New Roman" w:cs="Times New Roman" w:eastAsia="Times New Roman" w:hAnsi="Times New Roman"/>
                <w:sz w:val="18"/>
                <w:szCs w:val="18"/>
                <w:color w:val="auto"/>
                <w:w w:val="99"/>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w w:val="95"/>
              </w:rPr>
              <w:t>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w w:val="95"/>
              </w:rPr>
              <w:t>5.6%</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jc w:val="center"/>
              <w:ind w:right="3180"/>
              <w:spacing w:after="0"/>
              <w:rPr>
                <w:sz w:val="20"/>
                <w:szCs w:val="20"/>
                <w:color w:val="auto"/>
              </w:rPr>
            </w:pPr>
            <w:r>
              <w:rPr>
                <w:rFonts w:ascii="Times New Roman" w:cs="Times New Roman" w:eastAsia="Times New Roman" w:hAnsi="Times New Roman"/>
                <w:sz w:val="18"/>
                <w:szCs w:val="18"/>
                <w:color w:val="auto"/>
                <w:w w:val="99"/>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0.9%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1.7%</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w w:val="95"/>
              </w:rPr>
              <w:t>0.1%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5"/>
              </w:rPr>
              <w:t>0.5%</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6.7%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7.8%</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8"/>
              </w:rPr>
              <w:t>90.8%</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8"/>
                <w:szCs w:val="18"/>
                <w:color w:val="auto"/>
                <w:w w:val="95"/>
              </w:rPr>
              <w:t>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3"/>
              <w:spacing w:after="0"/>
              <w:rPr>
                <w:sz w:val="20"/>
                <w:szCs w:val="20"/>
                <w:color w:val="auto"/>
              </w:rPr>
            </w:pPr>
            <w:r>
              <w:rPr>
                <w:rFonts w:ascii="Times New Roman" w:cs="Times New Roman" w:eastAsia="Times New Roman" w:hAnsi="Times New Roman"/>
                <w:sz w:val="18"/>
                <w:szCs w:val="18"/>
                <w:color w:val="auto"/>
                <w:w w:val="95"/>
              </w:rPr>
              <w:t>9.2%</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Uniti Leasing revenues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448,846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435,907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increase in TCI revenue is attributable to the continued investment by Windstream. The total amount invested in TCIs by Windstream since the inception of the Windstream Leases (including the Master Lease) was $1.4 billion as of June 30, 2025 and $1.2 billion as of June 30, 2024.</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GCI revenue is attributable to Uniti’s continued reimbursement of Growth Capital Improvements. During the six months ended June 30, 2025, Uniti reimbursed $175.0 million of Growth Capital Improvements. As of the date of this Quarterly Report on Form 10-Q, we have reimbursed a total of $1.2 billion of Growth Capital Improvements.</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recognized $43.3 million and $40.2 million of revenues from non-Windstream triple-net leasing, dark fiber IRU arrangements, and other services for the six months ended June 30, 2025 and 2024, respectively. The increase is primarily attributable to revenues from new customer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revenues for the six months ended June 30, 2025 and 2024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116"/>
              <w:spacing w:after="0" w:line="129"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top w:val="single" w:sz="8" w:color="auto"/>
            </w:tcBorders>
          </w:tcPr>
          <w:p>
            <w:pPr>
              <w:jc w:val="center"/>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 of Segment</w:t>
            </w:r>
          </w:p>
        </w:tc>
        <w:tc>
          <w:tcPr>
            <w:tcW w:w="0" w:type="dxa"/>
            <w:vAlign w:val="bottom"/>
          </w:tcPr>
          <w:p>
            <w:pPr>
              <w:spacing w:after="0"/>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Uniti Fiber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Lit backhaul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8"/>
              </w:rPr>
              <w:t>27.7%</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Enterprise and wholesale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8"/>
              </w:rPr>
              <w:t>35.2%</w:t>
            </w:r>
          </w:p>
        </w:tc>
        <w:tc>
          <w:tcPr>
            <w:tcW w:w="0" w:type="dxa"/>
            <w:vAlign w:val="bottom"/>
          </w:tcPr>
          <w:p>
            <w:pPr>
              <w:spacing w:after="0"/>
              <w:rPr>
                <w:sz w:val="1"/>
                <w:szCs w:val="1"/>
                <w:color w:val="auto"/>
              </w:rPr>
            </w:pPr>
          </w:p>
        </w:tc>
      </w:tr>
      <w:tr>
        <w:trPr>
          <w:trHeight w:val="230"/>
        </w:trPr>
        <w:tc>
          <w:tcPr>
            <w:tcW w:w="5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E-Rate and government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8"/>
              </w:rPr>
              <w:t>18.8%</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Dark fiber and small cells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35"/>
              <w:spacing w:after="0"/>
              <w:rPr>
                <w:sz w:val="20"/>
                <w:szCs w:val="20"/>
                <w:color w:val="auto"/>
              </w:rPr>
            </w:pPr>
            <w:r>
              <w:rPr>
                <w:rFonts w:ascii="Times New Roman" w:cs="Times New Roman" w:eastAsia="Times New Roman" w:hAnsi="Times New Roman"/>
                <w:sz w:val="18"/>
                <w:szCs w:val="18"/>
                <w:color w:val="auto"/>
                <w:w w:val="98"/>
              </w:rPr>
              <w:t>17.1%</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services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8"/>
                <w:szCs w:val="18"/>
                <w:color w:val="auto"/>
                <w:w w:val="96"/>
              </w:rPr>
              <w:t>(0.1%)</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8"/>
                <w:szCs w:val="18"/>
                <w:color w:val="auto"/>
                <w:w w:val="95"/>
              </w:rPr>
              <w:t>1.2%</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Uniti Fiber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For the six months ended June 30, 2025, Uniti Fiber revenues totaled $145.8 million as compared to $145.5 million for the six months ended June 30, 2024. Uniti Fiber revenues increased by $0.3 million, primarily attributable to a $3.8 million increase within enterprise and wholesale, driven primarily by increased customer connections and internet services, and a $1.6 million increase in dark fiber and small cell, driven primarily by net customer additions, partially offset by a $5.0 million decrease in non-recurring cancellation fees within lit backhaul services.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190,936</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153,800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37,136</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Senior unsecured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70,858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(1,283)</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(4,450)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ABS Notes &amp; Loan Facility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10,144</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236,819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40,963</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debt premium/discount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Write off of deferred financing costs and debt premium/discount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9,477</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settlement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cap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non-cash interest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13,867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7,122</w:t>
            </w:r>
          </w:p>
        </w:tc>
        <w:tc>
          <w:tcPr>
            <w:tcW w:w="0" w:type="dxa"/>
            <w:vAlign w:val="bottom"/>
          </w:tcPr>
          <w:p>
            <w:pPr>
              <w:spacing w:after="0"/>
              <w:rPr>
                <w:sz w:val="1"/>
                <w:szCs w:val="1"/>
                <w:color w:val="auto"/>
              </w:rPr>
            </w:pPr>
          </w:p>
        </w:tc>
      </w:tr>
      <w:tr>
        <w:trPr>
          <w:trHeight w:val="223"/>
        </w:trPr>
        <w:tc>
          <w:tcPr>
            <w:tcW w:w="6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298,771</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250,686</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Interest expense for the six months ended June 30, 2025 increased $48.1 million compared to the six months ended June 30, 2024. The increase is primarily attributable to a loss on extinguishment of debt of $40.5 million associated with the February 24, 2025 and June 24, 2025 partial redemptions of the February 2028 Secured Notes, which included $31.0 million of cash interest expense for the redemption premiums and $9.5 million of non-cash interest expense for the write-offs of the unamortized debt premium and deferred financing costs, along with a $10.1 million increase in cash interest related to the March 1, 2024 draw on the ABS Loan Facility and the February 3, 2025 issuance of the ABS Notes, partially offset by a $2.2 million decrease in non-cash interest related to the accretion on the settlement payable.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23"/>
        </w:trPr>
        <w:tc>
          <w:tcPr>
            <w:tcW w:w="47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 expense by segment:</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21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90,999</w:t>
            </w:r>
          </w:p>
        </w:tc>
        <w:tc>
          <w:tcPr>
            <w:tcW w:w="4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Corporate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3"/>
        </w:trPr>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expense</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Uniti Leasing</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Uniti Fiber</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depreciation and amortization expense</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7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6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depreciation expense increased $4.9 million for the six months ended June 30, 2025 compared to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primarily attributable to asset additions since June 30, 2024.</w:t>
      </w:r>
    </w:p>
    <w:p>
      <w:pPr>
        <w:spacing w:after="0" w:line="15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depreciation expense decreased $1.1 million for the six months ended June 30, 2025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6"/>
        </w:trPr>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3"/>
          </w:tcPr>
          <w:p>
            <w:pPr>
              <w:jc w:val="right"/>
              <w:ind w:right="13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3"/>
          </w:tcPr>
          <w:p>
            <w:pPr>
              <w:jc w:val="right"/>
              <w:ind w:right="134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58"/>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162"/>
              <w:spacing w:after="0" w:line="158" w:lineRule="exact"/>
              <w:rPr>
                <w:sz w:val="20"/>
                <w:szCs w:val="20"/>
                <w:color w:val="auto"/>
              </w:rPr>
            </w:pPr>
            <w:r>
              <w:rPr>
                <w:rFonts w:ascii="Times New Roman" w:cs="Times New Roman" w:eastAsia="Times New Roman" w:hAnsi="Times New Roman"/>
                <w:sz w:val="14"/>
                <w:szCs w:val="14"/>
                <w:b w:val="1"/>
                <w:bCs w:val="1"/>
                <w:color w:val="auto"/>
              </w:rPr>
              <w:t>% of Consolidated</w:t>
            </w:r>
          </w:p>
        </w:tc>
      </w:tr>
      <w:tr>
        <w:trPr>
          <w:trHeight w:val="19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Pr>
          <w:p>
            <w:pPr>
              <w:spacing w:after="0"/>
              <w:rPr>
                <w:sz w:val="16"/>
                <w:szCs w:val="16"/>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Pr>
          <w:p>
            <w:pPr>
              <w:spacing w:after="0"/>
              <w:rPr>
                <w:sz w:val="16"/>
                <w:szCs w:val="16"/>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3"/>
        </w:trPr>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 by segment: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4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9"/>
        </w:trPr>
        <w:tc>
          <w:tcPr>
            <w:tcW w:w="4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8"/>
        </w:trPr>
        <w:tc>
          <w:tcPr>
            <w:tcW w:w="486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general and administrative expense increased $0.5 million for the six months ended June 30, 2025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2024, primarily attributable to an increase in personnel expenses and professional fees of $0.3 million.</w:t>
      </w:r>
    </w:p>
    <w:p>
      <w:pPr>
        <w:spacing w:after="0" w:line="15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Fiber general and administrative expense increased $0.8 million for the six months ended June 30, 2025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which is primarily attributable to an increase in personnel expenses and regulatory fees of $0.8 million.</w:t>
      </w:r>
    </w:p>
    <w:p>
      <w:pPr>
        <w:spacing w:after="0" w:line="158"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Corporate general and administrative expense increased $1.1 million for the six months ended June 30, 2025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which is primarily attributable to an increase in personnel expenses and professional fees of $1.5 million, partially offset by a decrease in insurance expenses of $0.4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expense consists of network related costs, such as dark fiber and tower rents, lit service and maintenance expense and costs associated with our construction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tcBorders>
              <w:top w:val="single" w:sz="8" w:color="auto"/>
            </w:tcBorders>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 of 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Uniti Leasing</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5"/>
              </w:rPr>
              <w:t>2.0%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Uniti Fiber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98"/>
              </w:rPr>
              <w:t>10.4%</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8"/>
                <w:szCs w:val="18"/>
                <w:color w:val="auto"/>
                <w:w w:val="98"/>
              </w:rPr>
              <w:t>11.3%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color w:val="auto"/>
                <w:w w:val="98"/>
              </w:rPr>
              <w:t>12.4%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Uniti Leasing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Uniti Leasing operating expense decreased $2.0 million for the six months ended June 30, 2025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is primarily attributable to decreases in personnel expense of $0.3 million and leased asset cost of $0.2 million, along with a $1.4 million decrease in network repairs and maintenance expense, which includes a non-recurring credit of $1.1 million.</w:t>
      </w:r>
    </w:p>
    <w:p>
      <w:pPr>
        <w:spacing w:after="0" w:line="180"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8"/>
          <w:szCs w:val="18"/>
          <w:i w:val="1"/>
          <w:iCs w:val="1"/>
          <w:u w:val="single" w:color="auto"/>
          <w:color w:val="auto"/>
        </w:rPr>
        <w:t>Uniti Fiber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Uniti Fiber operating expenses decreased $3.1 million for the six months ended June 30, 2025 compared to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which is primarily attributable to a decrease in non-recurring equipment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-336550</wp:posOffset>
            </wp:positionV>
            <wp:extent cx="13716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installation expenses of $1.7 million and a decrease in off-net expenses of $2.6 million, partially offset by an increase in repair and maintenance expense of $1.1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Related and Other Costs</w:t>
      </w:r>
    </w:p>
    <w:p>
      <w:pPr>
        <w:spacing w:after="0" w:line="22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Transaction related and other costs during the six months ended June 30, 2025 and 2024 included acquisition, pursuit, transaction and integration costs (including unsuccessful acquisition pursuit costs). For the six months ended June 30, 2025, we incurred $21.3 million of transaction related and other costs, compared to $16.7 million of such costs during the six months ended June 30, 2024. The increase relates primarily to costs associated with the Merger.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recorded for the six months ended June 30, 2025 and 2024, respectively, is related to the tax impact of the following: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Pre-tax loss (Uniti Fiber)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(8,586)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REIT state and local taxes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50"/>
        </w:trPr>
        <w:tc>
          <w:tcPr>
            <w:tcW w:w="8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income tax benefit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24"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by GAAP and should not be considered an alternative to those measures in evaluating our liquidity or operating performance</w:t>
      </w:r>
      <w:r>
        <w:rPr>
          <w:rFonts w:ascii="Times New Roman" w:cs="Times New Roman" w:eastAsia="Times New Roman" w:hAnsi="Times New Roman"/>
          <w:sz w:val="21"/>
          <w:szCs w:val="21"/>
          <w:color w:val="auto"/>
        </w:rPr>
        <w:t>.</w:t>
      </w:r>
    </w:p>
    <w:p>
      <w:pPr>
        <w:spacing w:after="0" w:line="21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our net (loss) income to EBITDA and Adjusted EBITDA for the three and six months ended June 30, 2025 and 2024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3"/>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1,491</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59,629</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159,346</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155,537</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160,784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298,771</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250,686</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448,912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457,918</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7,345</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21,309</w:t>
            </w:r>
          </w:p>
        </w:tc>
        <w:tc>
          <w:tcPr>
            <w:tcW w:w="4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Other, net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2,827</w:t>
            </w:r>
          </w:p>
        </w:tc>
        <w:tc>
          <w:tcPr>
            <w:tcW w:w="4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242,563</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480,393</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465,287</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reconciliation of Other expense (income), net as reported in our Condensed Consolidated Statements of (Loss) Income to Other, net is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non-cash rights-of-use assets </w:t>
            </w:r>
            <w:r>
              <w:rPr>
                <w:rFonts w:ascii="Times New Roman" w:cs="Times New Roman" w:eastAsia="Times New Roman" w:hAnsi="Times New Roman"/>
                <w:sz w:val="23"/>
                <w:szCs w:val="23"/>
                <w:color w:val="auto"/>
                <w:vertAlign w:val="superscript"/>
              </w:rPr>
              <w:t>(a)</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Severance costs </w:t>
            </w:r>
            <w:r>
              <w:rPr>
                <w:rFonts w:ascii="Times New Roman" w:cs="Times New Roman" w:eastAsia="Times New Roman" w:hAnsi="Times New Roman"/>
                <w:sz w:val="23"/>
                <w:szCs w:val="23"/>
                <w:color w:val="auto"/>
                <w:vertAlign w:val="superscript"/>
              </w:rPr>
              <w:t>(b)</w:t>
            </w: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Operating expense (exclusive of depreciation and amortization) in our Condensed Consolidated Statements of (Loss) Income.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the General and administrative expense line item in our Condensed Consolidated Statements of (Loss) Income.</w:t>
      </w:r>
    </w:p>
    <w:p>
      <w:pPr>
        <w:spacing w:after="0" w:line="21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reconciliation of our net (loss) income attributable to common shareholders to FFO and AFFO for the three and six months ended June 30, 2025 and 2024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5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58,438</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111,545</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real estate, net of tax</w:t>
            </w:r>
          </w:p>
        </w:tc>
        <w:tc>
          <w:tcPr>
            <w:tcW w:w="3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(18,951)</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earnings</w:t>
            </w: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Participating securities share in FFO</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FFO attributable to common shareholders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46,301</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114,571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149,871</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related and other costs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0" w:type="dxa"/>
            <w:vAlign w:val="bottom"/>
          </w:tcPr>
          <w:p>
            <w:pPr>
              <w:spacing w:after="0"/>
              <w:rPr>
                <w:sz w:val="1"/>
                <w:szCs w:val="1"/>
                <w:color w:val="auto"/>
              </w:rPr>
            </w:pPr>
          </w:p>
        </w:tc>
      </w:tr>
      <w:tr>
        <w:trPr>
          <w:trHeight w:val="256"/>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Write off of deferred financing costs and debt discount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Non-real estate depreciation and amortization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43,992</w:t>
            </w:r>
          </w:p>
        </w:tc>
        <w:tc>
          <w:tcPr>
            <w:tcW w:w="0" w:type="dxa"/>
            <w:vAlign w:val="bottom"/>
          </w:tcPr>
          <w:p>
            <w:pPr>
              <w:spacing w:after="0"/>
              <w:rPr>
                <w:sz w:val="1"/>
                <w:szCs w:val="1"/>
                <w:color w:val="auto"/>
              </w:rPr>
            </w:pPr>
          </w:p>
        </w:tc>
      </w:tr>
      <w:tr>
        <w:trPr>
          <w:trHeight w:val="175"/>
        </w:trPr>
        <w:tc>
          <w:tcPr>
            <w:tcW w:w="50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Straight-line revenues and amortization of below-market lease</w:t>
            </w: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0" w:type="dxa"/>
            <w:vAlign w:val="bottom"/>
          </w:tcPr>
          <w:p>
            <w:pPr>
              <w:spacing w:after="0"/>
              <w:rPr>
                <w:sz w:val="1"/>
                <w:szCs w:val="1"/>
                <w:color w:val="auto"/>
              </w:rPr>
            </w:pPr>
          </w:p>
        </w:tc>
      </w:tr>
      <w:tr>
        <w:trPr>
          <w:trHeight w:val="23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TCI revenue amortization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(24,458)</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0" w:type="dxa"/>
            <w:vAlign w:val="bottom"/>
          </w:tcPr>
          <w:p>
            <w:pPr>
              <w:spacing w:after="0"/>
              <w:rPr>
                <w:sz w:val="1"/>
                <w:szCs w:val="1"/>
                <w:color w:val="auto"/>
              </w:rPr>
            </w:pPr>
          </w:p>
        </w:tc>
      </w:tr>
      <w:tr>
        <w:trPr>
          <w:trHeight w:val="257"/>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for noncontrolling interests</w:t>
            </w:r>
          </w:p>
        </w:tc>
        <w:tc>
          <w:tcPr>
            <w:tcW w:w="3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AFFO attributable to common shareholders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96,483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179,880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fund investment activities, including capital expenditures, and to fund the Merger Cash Consideration.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As of the date of this Quarterly Report on Form 10-Q, we have paid all amounts due to Windstream under the settlement agreement. Uniti’s reimbursement commitment for Growth Capital Improvements does not require Uniti to reimburse Windstream for maintenance or repair expenditures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2024, and are limited to $175 million per year in 2025 and 2026; and $125 million per year in 2027 through 2029.</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 See “—Outlook” for additional information concerning our near-term and long-term liquidity requirements.</w:t>
      </w:r>
    </w:p>
    <w:p>
      <w:pPr>
        <w:spacing w:after="0" w:line="17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As of June 30, 2025, we had total cash and cash equivalents of $298.6 million, including $57.9 million of restricted cash and cash equivalents, and $500.0 million of borrowing availability under our revolving credit facility maturing on September 24, 2027 under the Credit Agreement (the “Revolving Credit Facility”). Subsequent to June 30, 2025, there have been no material outlays of funds outside of our scheduled interest payments and the final payment on the Windstream settlement obligation.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183,495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174,338</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$183.5 million and $174.3 million for the six months ended June 30, 2025 and 2024, respectively. The increase in net cash provided by operating activities during the six months ended June 30, 2025 is primarily attributable to an increase in Growth Capital Improvement related cash rent of $12.1 million, partially offset by an increase in cash interest of $3.1 million.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(246,198)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(262,758)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other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sale of unconsolidated entity</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(245,587)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(182,284)</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$63.3 million for the six months ended June 30, 2025 compared to the six months ended June 30, 2024, primarily driven by the proceeds received in 2024 from the sales of our investment in BB Fiber Holdings LLC of $40.0 million and the CableSouth network of $40.0 million, partially offset by a decrease in Uniti Leasing Growth Capital Improvements of $21.7 million during the six months ended June 30, 2025. Capital expenditures are primarily related to our Uniti Fiber and Uniti Leasing businesses for deployment of network assets, as described below under “—Capital Expenditures.”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(122,942)</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issuance of notes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(108,445)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of settlement obligation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(49,011)</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Proceeds from ABS Loan Facility and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(15,778)</w:t>
            </w: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 related to the early repayment of debt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for noncontrolling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Employee stock purchase program</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50"/>
        </w:trPr>
        <w:tc>
          <w:tcPr>
            <w:tcW w:w="8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176,838</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77,173</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was $176.8 million for the six months ended June 30, 2025, which was primarily related to $600.0 million of proceeds from issuance of the 2032 Notes and $589.0 million of proceeds from issuance of the ABS Notes, partially offset by $900.0 million related to the repayment of the ABS Loan Facility of $275.0 million and the partial redemptions of the February 2028 Secured Notes of $625.0 million, repayments of the Settlement Payable of $49.0 million, payments for financing costs of $28.1 million, and costs related to the early repayment of debt of $31.0 million. </w:t>
      </w:r>
      <w:r>
        <w:rPr>
          <w:rFonts w:ascii="Times New Roman" w:cs="Times New Roman" w:eastAsia="Times New Roman" w:hAnsi="Times New Roman"/>
          <w:sz w:val="18"/>
          <w:szCs w:val="18"/>
          <w:color w:val="212529"/>
        </w:rPr>
        <w:t>Net c</w:t>
      </w:r>
      <w:r>
        <w:rPr>
          <w:rFonts w:ascii="Times New Roman" w:cs="Times New Roman" w:eastAsia="Times New Roman" w:hAnsi="Times New Roman"/>
          <w:sz w:val="18"/>
          <w:szCs w:val="18"/>
          <w:color w:val="000000"/>
        </w:rPr>
        <w:t>ash provided by financing activities was $77.2 million for the six months ended June 30, 2024, which was primarily related to proceeds from issuance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the additional February 2028 Secured Notes of $309.0 million and the ABS Loan Facility of $275.0 million</w:t>
      </w:r>
      <w:r>
        <w:rPr>
          <w:rFonts w:ascii="Times New Roman" w:cs="Times New Roman" w:eastAsia="Times New Roman" w:hAnsi="Times New Roman"/>
          <w:sz w:val="18"/>
          <w:szCs w:val="18"/>
          <w:color w:val="212529"/>
        </w:rPr>
        <w:t>, partially offset by</w:t>
      </w:r>
      <w:r>
        <w:rPr>
          <w:rFonts w:ascii="Times New Roman" w:cs="Times New Roman" w:eastAsia="Times New Roman" w:hAnsi="Times New Roman"/>
          <w:sz w:val="18"/>
          <w:szCs w:val="18"/>
          <w:color w:val="000000"/>
        </w:rPr>
        <w:t xml:space="preserve"> net payments under the</w:t>
      </w:r>
    </w:p>
    <w:p>
      <w:pPr>
        <w:spacing w:after="0" w:line="1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 xml:space="preserve">Revolving Credit Facility of $208.0 million, $122.9 million of debt repayments, </w:t>
      </w:r>
      <w:r>
        <w:rPr>
          <w:rFonts w:ascii="Times New Roman" w:cs="Times New Roman" w:eastAsia="Times New Roman" w:hAnsi="Times New Roman"/>
          <w:sz w:val="18"/>
          <w:szCs w:val="18"/>
          <w:color w:val="212529"/>
        </w:rPr>
        <w:t>dividend payments of</w:t>
      </w:r>
      <w:r>
        <w:rPr>
          <w:rFonts w:ascii="Times New Roman" w:cs="Times New Roman" w:eastAsia="Times New Roman" w:hAnsi="Times New Roman"/>
          <w:sz w:val="18"/>
          <w:szCs w:val="18"/>
          <w:color w:val="auto"/>
        </w:rPr>
        <w:t xml:space="preserve"> $108.4 million, r</w:t>
      </w:r>
      <w:r>
        <w:rPr>
          <w:rFonts w:ascii="Times New Roman" w:cs="Times New Roman" w:eastAsia="Times New Roman" w:hAnsi="Times New Roman"/>
          <w:sz w:val="18"/>
          <w:szCs w:val="18"/>
          <w:color w:val="212529"/>
        </w:rPr>
        <w:t>epayments of the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Payable of $49.0 million, and payments for financing costs of $15.8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Windstream Leases</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2024, and are limited to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carry-over and may be added to the annual limits for subsequent calendar years, subject to an annual limit of $250 million in any calendar year.</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Uniti and Windstream have entered into separate ILEC and CLEC Equipment Loan and Security Agreements (collectively the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June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Up-REIT Operating Partnership Units</w:t>
      </w:r>
    </w:p>
    <w:p>
      <w:pPr>
        <w:spacing w:after="0" w:line="225" w:lineRule="exact"/>
        <w:rPr>
          <w:sz w:val="20"/>
          <w:szCs w:val="20"/>
          <w:color w:val="auto"/>
        </w:rPr>
      </w:pPr>
    </w:p>
    <w:p>
      <w:pPr>
        <w:jc w:val="both"/>
        <w:ind w:right="540"/>
        <w:spacing w:after="0" w:line="261" w:lineRule="auto"/>
        <w:rPr>
          <w:sz w:val="20"/>
          <w:szCs w:val="20"/>
          <w:color w:val="auto"/>
        </w:rPr>
      </w:pPr>
      <w:r>
        <w:rPr>
          <w:rFonts w:ascii="Times New Roman" w:cs="Times New Roman" w:eastAsia="Times New Roman" w:hAnsi="Times New Roman"/>
          <w:sz w:val="18"/>
          <w:szCs w:val="18"/>
          <w:color w:val="auto"/>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 We would expect to eliminate this structure when we complete the Windstream combination.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Outlook</w:t>
      </w:r>
    </w:p>
    <w:p>
      <w:pPr>
        <w:spacing w:after="0" w:line="21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anticipate closing the Merger with Windstream on August 1, 2025 and we expect to fund the $425 million (less certain transaction expenses) closing cash consideration from our cash on hand and borrowings under our Revolving Credit Facility. Following closing, we anticipate we will finance our operating expenses (including our debt service obligations), from our cash on hand, borrowings under our Revolving Credit Facility and cash flows provided by operating activities. As of June 30, 2025, we had $500.0 million in borrowing availability under our Revolving Credit Facility. In addition, we anticipate our cash on hand and borrowing availability under the Revolving Credit Facility, combined with the combined company's cash flows provided by operating activities, will be sufficient to fund our business operations and debt service. However, we may need to access the capital markets to generate additional funds to fund such expenditures. On a longer-term basis, we believe the same sources of liquidity and capital will be sufficient to satisfy these liquidity needs and anticipated capital expenditures of the combined company. See “Liquidity and Capital Resources” and “—Capital Expenditures” for additional information. A significant portion of the Company's indebtedness matures within the next three years, and the Company expects that it will need to refinance or repay its indebtedness at maturity by raising additional capital (which could include a combination of equity offerings and/or debt offerings) or instead seek to extend the applicable maturity dates of its indebtedness. We closely monitor the equity and debt markets and may seek to access them promptly if and when we determine market conditions are appropriate.</w:t>
      </w:r>
    </w:p>
    <w:p>
      <w:pPr>
        <w:spacing w:after="0" w:line="20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several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Success Based</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Non-Network</w:t>
            </w:r>
          </w:p>
        </w:tc>
        <w:tc>
          <w:tcPr>
            <w:tcW w:w="40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Leasing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 capital improvements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57"/>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Uniti Fiber</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65,411</w:t>
            </w: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50"/>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241,222</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246,198</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categorize our capital expenditures as either (i) success-based, (ii) maintenance, or (iii) non-network. We define success-based capital expenditures as those related to installing existing or anticipated contractual customer service orders. Maintenance capital expenditures are those necessary to keep existing network elements fully operational.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8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If circumstances warrant, we may need to take measures to conserve cash, which may include a suspension, delay or reduction in success-based capital expenditures.</w:t>
      </w:r>
    </w:p>
    <w:p>
      <w:pPr>
        <w:spacing w:after="0"/>
        <w:rPr>
          <w:sz w:val="20"/>
          <w:szCs w:val="20"/>
          <w:color w:val="auto"/>
        </w:rPr>
      </w:pPr>
      <w:r>
        <w:rPr>
          <w:rFonts w:ascii="Times New Roman" w:cs="Times New Roman" w:eastAsia="Times New Roman" w:hAnsi="Times New Roman"/>
          <w:sz w:val="18"/>
          <w:szCs w:val="18"/>
          <w:b w:val="1"/>
          <w:bCs w:val="1"/>
          <w:color w:val="auto"/>
        </w:rPr>
        <w:t>ABS Entities</w:t>
      </w:r>
    </w:p>
    <w:p>
      <w:pPr>
        <w:spacing w:after="0" w:line="2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2024, we formed the ABS Parent and the ABS Bridge Loan Parties, each an indirect, bankruptcy-remote subsidiary of the Company, and we designated ABS Parent and the ABS Bridge Loan Parties as unrestricted subsidiaries under the Credit Agreement and the applicable indentures governing the Company’s outstanding senior notes. During 2025, we formed the ABS Notes Obligors (other than Uniti Fiber GulfCo LLC, which was formed in 2024), each a subsidiary of ABS Parent and an indirect, bankruptcy-remote subsidiary of the Company. Each ABS Notes Obligor is an unrestricted subsidiary under the Credit Agreement and the applicable indentures governing the Company’s senior notes.</w:t>
      </w:r>
    </w:p>
    <w:p>
      <w:pPr>
        <w:spacing w:after="0" w:line="197"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 xml:space="preserve">For additional information concerning the financial position and results of operations of ABS Parent and its subsidiaries (all unrestricted subsidiaries as of June 30, 2025), please </w:t>
      </w:r>
      <w:r>
        <w:rPr>
          <w:rFonts w:ascii="Times New Roman" w:cs="Times New Roman" w:eastAsia="Times New Roman" w:hAnsi="Times New Roman"/>
          <w:sz w:val="18"/>
          <w:szCs w:val="18"/>
          <w:u w:val="single" w:color="auto"/>
          <w:color w:val="0000FF"/>
        </w:rPr>
        <w:t>see Note 14</w:t>
      </w:r>
      <w:r>
        <w:rPr>
          <w:rFonts w:ascii="Times New Roman" w:cs="Times New Roman" w:eastAsia="Times New Roman" w:hAnsi="Times New Roman"/>
          <w:sz w:val="18"/>
          <w:szCs w:val="18"/>
          <w:color w:val="auto"/>
        </w:rPr>
        <w:t xml:space="preserve"> to our accompanying Condensed Consolidated Financial Statements contained in Part I, Item 1 “Financial Statements" of this Quarterly Report on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Merger Agreement with Windstream, we have agreed to suspend dividend payments or other distributions until the consummation of the Merger, except for the dividend paid on June 28, 2024 and those dividends reasonably required for us or our subsidiaries to maintain its status as a REIT or to avoid the payment or imposition of income or excise tax,</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among other customary exceptions. 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June 30, 2025, there has been no material change to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New accounting rules and disclosures can impact our reported results and comparability of our financial statements. </w:t>
      </w:r>
      <w:r>
        <w:rPr>
          <w:rFonts w:ascii="Times New Roman" w:cs="Times New Roman" w:eastAsia="Times New Roman" w:hAnsi="Times New Roman"/>
          <w:sz w:val="18"/>
          <w:szCs w:val="18"/>
          <w:u w:val="single" w:color="auto"/>
          <w:color w:val="0000FF"/>
        </w:rPr>
        <w:t>See Note 2</w:t>
      </w:r>
      <w:r>
        <w:rPr>
          <w:rFonts w:ascii="Times New Roman" w:cs="Times New Roman" w:eastAsia="Times New Roman" w:hAnsi="Times New Roman"/>
          <w:sz w:val="18"/>
          <w:szCs w:val="18"/>
          <w:color w:val="auto"/>
        </w:rPr>
        <w:t xml:space="preserve"> to our accompanying Condensed Consolidated Financial Statements contained in Part I, Item 1 "Financial Statements"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from the information reported under Part II, Item 7A "Quantitative and Qualitative Disclosures About Market Risk" of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June 30, 2025, and based on this evaluation, our principal executive officer and principal financial officer concluded that our disclosure controls and procedures were effective as of June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 13a-15(f) under the Exchange Act, that occurred during the quarter ended June 30, 2025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 xml:space="preserve">A description of legal proceedings can be found in </w:t>
      </w:r>
      <w:r>
        <w:rPr>
          <w:rFonts w:ascii="Times New Roman" w:cs="Times New Roman" w:eastAsia="Times New Roman" w:hAnsi="Times New Roman"/>
          <w:sz w:val="17"/>
          <w:szCs w:val="17"/>
          <w:u w:val="single" w:color="auto"/>
          <w:color w:val="0000FF"/>
        </w:rPr>
        <w:t>Note 11</w:t>
      </w:r>
      <w:r>
        <w:rPr>
          <w:rFonts w:ascii="Times New Roman" w:cs="Times New Roman" w:eastAsia="Times New Roman" w:hAnsi="Times New Roman"/>
          <w:sz w:val="17"/>
          <w:szCs w:val="17"/>
          <w:color w:val="auto"/>
        </w:rPr>
        <w:t xml:space="preserve"> - Commitments and Contingencies to our Condensed Consolidated Financial Statements, included in Part I, Item 1 "Financial Statements" of this Quarterly Report on Form 10-Q, and is incorporated by reference into this Item 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discussed in Part I, Item 1A "Risk Factors” in our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5040" w:type="dxa"/>
            <w:vAlign w:val="bottom"/>
            <w:gridSpan w:val="2"/>
            <w:vMerge w:val="continue"/>
          </w:tcPr>
          <w:p>
            <w:pPr>
              <w:spacing w:after="0"/>
              <w:rPr>
                <w:sz w:val="17"/>
                <w:szCs w:val="17"/>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8"/>
                <w:szCs w:val="18"/>
                <w:b w:val="1"/>
                <w:bCs w:val="1"/>
                <w:color w:val="auto"/>
                <w:vertAlign w:val="superscript"/>
              </w:rPr>
              <w:t>(1)</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to April 30, 2025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2025 to May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2025 to June 30,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360" w:firstLine="8"/>
        <w:spacing w:after="0" w:line="229" w:lineRule="auto"/>
        <w:tabs>
          <w:tab w:leader="none" w:pos="208"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average price paid per share is the weighted average of the fair market prices at which we calculated the number of shares withheld to cover tax withholdings for the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right="100" w:firstLine="8"/>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2025,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40" w:type="dxa"/>
            <w:vAlign w:val="bottom"/>
            <w:gridSpan w:val="21"/>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Agreement and Plan of Merger, dated as of May 3, 2024, by and between Uniti Group Inc. and Windstream Holdings II, LLC</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(incorporated by reference to Exhibit 2.1 to the Company’s Current Report on Form 8-K dated and filed with the SEC as of May 3,</w:t>
              </w:r>
            </w:hyperlink>
          </w:p>
        </w:tc>
        <w:tc>
          <w:tcPr>
            <w:tcW w:w="340" w:type="dxa"/>
            <w:vAlign w:val="bottom"/>
            <w:gridSpan w:val="13"/>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2024 (File No. 001-36708)).</w:t>
              </w:r>
            </w:hyperlink>
          </w:p>
        </w:tc>
        <w:tc>
          <w:tcPr>
            <w:tcW w:w="7720" w:type="dxa"/>
            <w:vAlign w:val="bottom"/>
            <w:gridSpan w:val="26"/>
          </w:tcPr>
          <w:p>
            <w:pPr>
              <w:spacing w:after="0"/>
              <w:rPr>
                <w:sz w:val="17"/>
                <w:szCs w:val="17"/>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Amendment No. 1 to Agreement and Plan of Merger, dated July 17, 2024, by and between Uniti Group Inc. and Windstream Holdings</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II, LLC (incorporated by reference to Exhibit 2.2 to the Company's Quarterly Report on Form 10-Q dated and filed with the SEC as of</w:t>
              </w:r>
            </w:hyperlink>
          </w:p>
        </w:tc>
        <w:tc>
          <w:tcPr>
            <w:tcW w:w="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90">
              <w:r>
                <w:rPr>
                  <w:rFonts w:ascii="Times New Roman" w:cs="Times New Roman" w:eastAsia="Times New Roman" w:hAnsi="Times New Roman"/>
                  <w:sz w:val="18"/>
                  <w:szCs w:val="18"/>
                  <w:color w:val="0000FF"/>
                  <w:w w:val="98"/>
                </w:rPr>
                <w:t>August 1, 2024 (File No. 001-36708)).</w:t>
              </w:r>
            </w:hyperlink>
          </w:p>
        </w:tc>
        <w:tc>
          <w:tcPr>
            <w:tcW w:w="6980" w:type="dxa"/>
            <w:vAlign w:val="bottom"/>
            <w:gridSpan w:val="25"/>
          </w:tcPr>
          <w:p>
            <w:pPr>
              <w:spacing w:after="0"/>
              <w:rPr>
                <w:sz w:val="17"/>
                <w:szCs w:val="17"/>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Certificate of Incorporation of Uniti Group Inc. (incorporated by reference to Exhibit 3.2 to the Company's Current Report on Form 8-</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K filed with the SEC on July 29, 2025 (File No. 001-36708)).</w:t>
              </w:r>
            </w:hyperlink>
          </w:p>
        </w:tc>
        <w:tc>
          <w:tcPr>
            <w:tcW w:w="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Bylaws of Uniti Group Inc. (incorporated by reference to Exhibit 3.3 to the Company's Current Report on Form 8-K filed with the SEC</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on July 29, 2025 (File No. 001-36708)).</w:t>
              </w:r>
            </w:hyperlink>
          </w:p>
        </w:tc>
        <w:tc>
          <w:tcPr>
            <w:tcW w:w="6840" w:type="dxa"/>
            <w:vAlign w:val="bottom"/>
            <w:tcBorders>
              <w:top w:val="single" w:sz="8" w:color="0000FF"/>
            </w:tcBorders>
            <w:gridSpan w:val="22"/>
          </w:tcPr>
          <w:p>
            <w:pPr>
              <w:spacing w:after="0"/>
              <w:rPr>
                <w:sz w:val="15"/>
                <w:szCs w:val="15"/>
                <w:color w:val="auto"/>
              </w:rPr>
            </w:pPr>
          </w:p>
        </w:tc>
        <w:tc>
          <w:tcPr>
            <w:tcW w:w="20" w:type="dxa"/>
            <w:vAlign w:val="bottom"/>
          </w:tcPr>
          <w:p>
            <w:pPr>
              <w:spacing w:after="0"/>
              <w:rPr>
                <w:sz w:val="15"/>
                <w:szCs w:val="15"/>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Indenture, dated June 24, 2024, by and among Uniti Group LP, Uniti Group Finance 2019 Inc., Uniti Fiber Holdings Inc. and CSL</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bottom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Capital, LLC, as Issuers, the guarantors party thereto and Deutsche Bank Trust Company Americas, as trustee, governing the 8.625%</w:t>
              </w:r>
            </w:hyperlink>
          </w:p>
        </w:tc>
        <w:tc>
          <w:tcPr>
            <w:tcW w:w="140" w:type="dxa"/>
            <w:vAlign w:val="bottom"/>
            <w:gridSpan w:val="8"/>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Senior Notes due 2032 (incorporated by reference to Exhibit 4.1 to the Company’s Current Report on Form 8-K filed with the SEC as</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of June 24, 2025 (File No. 001-36708)).</w:t>
              </w:r>
            </w:hyperlink>
          </w:p>
        </w:tc>
        <w:tc>
          <w:tcPr>
            <w:tcW w:w="680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4"/>
          </w:tcPr>
          <w:p>
            <w:pPr>
              <w:spacing w:after="0"/>
              <w:rPr>
                <w:sz w:val="15"/>
                <w:szCs w:val="15"/>
                <w:color w:val="auto"/>
              </w:rPr>
            </w:pPr>
          </w:p>
        </w:tc>
      </w:tr>
      <w:tr>
        <w:trPr>
          <w:trHeight w:val="50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8.625% Senior Notes due 2032 (included in Exhibit 4.1) (incorporated by reference to Exhibit 4.2 to the Company’s Current</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tcBorders>
              <w:top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Report on Form 8-K filed with the SEC as of June 24, 2025 (File No. 001-36708)).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4"/>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Form of Restricted Shares Agreement for executive officers (incorporated by reference to Exhibit 10.1 to the Company’s Current</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Report on Form 8-K filed with the SEC as of April 17, 2025 (File No. 001-36708)).</w:t>
              </w:r>
            </w:hyperlink>
          </w:p>
        </w:tc>
        <w:tc>
          <w:tcPr>
            <w:tcW w:w="3260" w:type="dxa"/>
            <w:vAlign w:val="bottom"/>
            <w:tcBorders>
              <w:top w:val="single" w:sz="8" w:color="0000FF"/>
            </w:tcBorders>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4"/>
          </w:tcPr>
          <w:p>
            <w:pPr>
              <w:spacing w:after="0"/>
              <w:rPr>
                <w:sz w:val="15"/>
                <w:szCs w:val="15"/>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Form of Performance-Based Restricted Stock Unit Agreement for executive officers (incorporated by reference to Exhibit 10.2 to the</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8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Company’s Current Report on Form 8-K filed with the SEC as of April 17, 2025 (File No. 001-36708)).</w:t>
              </w:r>
            </w:hyperlink>
          </w:p>
        </w:tc>
        <w:tc>
          <w:tcPr>
            <w:tcW w:w="212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4"/>
          </w:tcPr>
          <w:p>
            <w:pPr>
              <w:spacing w:after="0"/>
              <w:rPr>
                <w:sz w:val="15"/>
                <w:szCs w:val="15"/>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Amendment No. 10 to the Credit Agreement, dated as of April 22, 2025, among Uniti Group LP, Uniti Group Finance Inc. and CSL</w:t>
              </w:r>
            </w:hyperlink>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450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bottom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Capital, LLC, as borrowers, the guarantor party thereto, the lenders party thereto, and Bank of America, N. A., as administrative agent</w:t>
              </w:r>
            </w:hyperlink>
          </w:p>
        </w:tc>
        <w:tc>
          <w:tcPr>
            <w:tcW w:w="60" w:type="dxa"/>
            <w:vAlign w:val="bottom"/>
            <w:gridSpan w:val="4"/>
          </w:tcPr>
          <w:p>
            <w:pPr>
              <w:spacing w:after="0"/>
              <w:rPr>
                <w:sz w:val="15"/>
                <w:szCs w:val="15"/>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28"/>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and collateral agent (incorporated by reference to Exhibit 10.3 to the Company’s Quarterly Report on Form 10-Q dated and filed with</w:t>
              </w:r>
            </w:hyperlink>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the SEC as of May 6, 2025 (File No. 001-36708)).</w:t>
              </w:r>
            </w:hyperlink>
          </w:p>
        </w:tc>
        <w:tc>
          <w:tcPr>
            <w:tcW w:w="6040" w:type="dxa"/>
            <w:vAlign w:val="bottom"/>
            <w:tcBorders>
              <w:top w:val="single" w:sz="8" w:color="0000FF"/>
            </w:tcBorders>
            <w:gridSpan w:val="16"/>
          </w:tcPr>
          <w:p>
            <w:pPr>
              <w:spacing w:after="0"/>
              <w:rPr>
                <w:sz w:val="15"/>
                <w:szCs w:val="15"/>
                <w:color w:val="auto"/>
              </w:rPr>
            </w:pPr>
          </w:p>
        </w:tc>
        <w:tc>
          <w:tcPr>
            <w:tcW w:w="100" w:type="dxa"/>
            <w:vAlign w:val="bottom"/>
            <w:gridSpan w:val="6"/>
          </w:tcPr>
          <w:p>
            <w:pPr>
              <w:spacing w:after="0"/>
              <w:rPr>
                <w:sz w:val="15"/>
                <w:szCs w:val="15"/>
                <w:color w:val="auto"/>
              </w:rPr>
            </w:pPr>
          </w:p>
        </w:tc>
      </w:tr>
      <w:tr>
        <w:trPr>
          <w:trHeight w:val="507"/>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660" w:type="dxa"/>
            <w:vAlign w:val="bottom"/>
            <w:tcBorders>
              <w:top w:val="single" w:sz="8" w:color="0000EE"/>
            </w:tcBorders>
            <w:gridSpan w:val="13"/>
          </w:tcPr>
          <w:p>
            <w:pPr>
              <w:spacing w:after="0"/>
              <w:rPr>
                <w:sz w:val="15"/>
                <w:szCs w:val="15"/>
                <w:color w:val="auto"/>
              </w:rPr>
            </w:pPr>
          </w:p>
        </w:tc>
        <w:tc>
          <w:tcPr>
            <w:tcW w:w="120" w:type="dxa"/>
            <w:vAlign w:val="bottom"/>
            <w:gridSpan w:val="7"/>
          </w:tcPr>
          <w:p>
            <w:pPr>
              <w:spacing w:after="0"/>
              <w:rPr>
                <w:sz w:val="15"/>
                <w:szCs w:val="15"/>
                <w:color w:val="auto"/>
              </w:rPr>
            </w:pPr>
          </w:p>
        </w:tc>
      </w:tr>
      <w:tr>
        <w:trPr>
          <w:trHeight w:val="520"/>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580" w:type="dxa"/>
            <w:vAlign w:val="bottom"/>
            <w:tcBorders>
              <w:top w:val="single" w:sz="8" w:color="0000EE"/>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c>
          <w:tcPr>
            <w:tcW w:w="140" w:type="dxa"/>
            <w:vAlign w:val="bottom"/>
            <w:gridSpan w:val="8"/>
          </w:tcPr>
          <w:p>
            <w:pPr>
              <w:spacing w:after="0"/>
              <w:rPr>
                <w:sz w:val="15"/>
                <w:szCs w:val="15"/>
                <w:color w:val="auto"/>
              </w:rPr>
            </w:pPr>
          </w:p>
        </w:tc>
      </w:tr>
      <w:tr>
        <w:trPr>
          <w:trHeight w:val="45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240" w:type="dxa"/>
            <w:vAlign w:val="bottom"/>
            <w:tcBorders>
              <w:top w:val="single" w:sz="8" w:color="0000EE"/>
            </w:tcBorders>
            <w:gridSpan w:val="19"/>
          </w:tcPr>
          <w:p>
            <w:pPr>
              <w:spacing w:after="0"/>
              <w:rPr>
                <w:sz w:val="15"/>
                <w:szCs w:val="15"/>
                <w:color w:val="auto"/>
              </w:rPr>
            </w:pPr>
          </w:p>
        </w:tc>
        <w:tc>
          <w:tcPr>
            <w:tcW w:w="140" w:type="dxa"/>
            <w:vAlign w:val="bottom"/>
            <w:gridSpan w:val="8"/>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Oxley Act of 2002.</w:t>
            </w:r>
          </w:p>
        </w:tc>
        <w:tc>
          <w:tcPr>
            <w:tcW w:w="81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5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w:t>
      </w:r>
    </w:p>
    <w:p>
      <w:pPr>
        <w:spacing w:after="0" w:line="31" w:lineRule="exact"/>
        <w:rPr>
          <w:sz w:val="20"/>
          <w:szCs w:val="20"/>
          <w:color w:val="auto"/>
        </w:rPr>
      </w:pPr>
    </w:p>
    <w:p>
      <w:pPr>
        <w:ind w:left="380" w:hanging="354"/>
        <w:spacing w:after="0"/>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54"/>
        <w:spacing w:after="0" w:line="245"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from this filing pursuant to Item 601(a)(5) of Regulation S-K. A copy of any omitted schedule or similar attachment will be furnished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UNITI GROUP INC.</w:t>
      </w:r>
    </w:p>
    <w:p>
      <w:pPr>
        <w:spacing w:after="0" w:line="297" w:lineRule="exact"/>
        <w:rPr>
          <w:sz w:val="20"/>
          <w:szCs w:val="20"/>
          <w:color w:val="auto"/>
        </w:rPr>
      </w:pPr>
    </w:p>
    <w:p>
      <w:pPr>
        <w:ind w:left="20"/>
        <w:spacing w:after="0"/>
        <w:tabs>
          <w:tab w:leader="none" w:pos="90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2025</w:t>
      </w:r>
      <w:r>
        <w:rPr>
          <w:sz w:val="20"/>
          <w:szCs w:val="20"/>
          <w:color w:val="auto"/>
        </w:rPr>
        <w:tab/>
      </w:r>
      <w:r>
        <w:rPr>
          <w:rFonts w:ascii="Times New Roman" w:cs="Times New Roman" w:eastAsia="Times New Roman" w:hAnsi="Times New Roman"/>
          <w:sz w:val="18"/>
          <w:szCs w:val="18"/>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40716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ind w:left="4840"/>
        <w:spacing w:after="0" w:line="219" w:lineRule="auto"/>
        <w:rPr>
          <w:sz w:val="20"/>
          <w:szCs w:val="20"/>
          <w:color w:val="auto"/>
        </w:rPr>
      </w:pPr>
      <w:r>
        <w:rPr>
          <w:rFonts w:ascii="Times New Roman" w:cs="Times New Roman" w:eastAsia="Times New Roman" w:hAnsi="Times New Roman"/>
          <w:sz w:val="18"/>
          <w:szCs w:val="18"/>
          <w:b w:val="1"/>
          <w:bCs w:val="1"/>
          <w:color w:val="auto"/>
        </w:rPr>
        <w:t>Senior Vice President – Chief Financial Officer and Treasurer</w:t>
      </w:r>
    </w:p>
    <w:p>
      <w:pPr>
        <w:ind w:left="4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73" w:lineRule="exact"/>
        <w:rPr>
          <w:sz w:val="20"/>
          <w:szCs w:val="20"/>
          <w:color w:val="auto"/>
        </w:rPr>
      </w:pPr>
    </w:p>
    <w:p>
      <w:pPr>
        <w:ind w:left="20"/>
        <w:spacing w:after="0"/>
        <w:tabs>
          <w:tab w:leader="none" w:pos="90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31, 2025</w:t>
      </w:r>
      <w:r>
        <w:rPr>
          <w:sz w:val="20"/>
          <w:szCs w:val="20"/>
          <w:color w:val="auto"/>
        </w:rPr>
        <w:tab/>
      </w:r>
      <w:r>
        <w:rPr>
          <w:rFonts w:ascii="Times New Roman" w:cs="Times New Roman" w:eastAsia="Times New Roman" w:hAnsi="Times New Roman"/>
          <w:sz w:val="17"/>
          <w:szCs w:val="17"/>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17145</wp:posOffset>
            </wp:positionV>
            <wp:extent cx="4071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Travis T. Black</w:t>
      </w:r>
    </w:p>
    <w:p>
      <w:pPr>
        <w:ind w:left="4840"/>
        <w:spacing w:after="0" w:line="219" w:lineRule="auto"/>
        <w:rPr>
          <w:sz w:val="20"/>
          <w:szCs w:val="20"/>
          <w:color w:val="auto"/>
        </w:rPr>
      </w:pPr>
      <w:r>
        <w:rPr>
          <w:rFonts w:ascii="Times New Roman" w:cs="Times New Roman" w:eastAsia="Times New Roman" w:hAnsi="Times New Roman"/>
          <w:sz w:val="18"/>
          <w:szCs w:val="18"/>
          <w:b w:val="1"/>
          <w:bCs w:val="1"/>
          <w:color w:val="auto"/>
        </w:rPr>
        <w:t>Senior Vice President – Chief Accounting Officer</w:t>
      </w:r>
    </w:p>
    <w:p>
      <w:pPr>
        <w:ind w:left="484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337" w:right="37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400" w:val="left"/>
          <w:tab w:leader="none" w:pos="750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Uniti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Senior Vice President –Chief Financial Officer</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and Treasurer</w:t>
      </w:r>
    </w:p>
    <w:p>
      <w:pPr>
        <w:sectPr>
          <w:pgSz w:w="11900" w:h="16838" w:orient="portrait"/>
          <w:cols w:equalWidth="0" w:num="1">
            <w:col w:w="11240"/>
          </w:cols>
          <w:pgMar w:left="320" w:top="119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June 30, 2025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460" w:hanging="966"/>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460" w:right="120" w:hanging="966"/>
        <w:spacing w:after="0" w:line="282" w:lineRule="auto"/>
        <w:tabs>
          <w:tab w:leader="none" w:pos="14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360" w:val="left"/>
          <w:tab w:leader="none" w:pos="746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Uniti Group Inc. (the “Company”) for the period ending June 30, 2025 as filed with the Securities and Exchange Commission on the date hereof (the “Report”), I certify, pursuant to 18 U.S.C. § 1350, as adopted pursuant to § 906 of the Sarbanes-Oxley Act of 2002, to my knowledge, that:</w:t>
      </w:r>
    </w:p>
    <w:p>
      <w:pPr>
        <w:spacing w:after="0" w:line="176" w:lineRule="exact"/>
        <w:rPr>
          <w:sz w:val="20"/>
          <w:szCs w:val="20"/>
          <w:color w:val="auto"/>
        </w:rPr>
      </w:pPr>
    </w:p>
    <w:p>
      <w:pPr>
        <w:ind w:left="1620" w:hanging="964"/>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20" w:right="220" w:hanging="964"/>
        <w:spacing w:after="0" w:line="282" w:lineRule="auto"/>
        <w:tabs>
          <w:tab w:leader="none" w:pos="16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5" w:lineRule="exact"/>
        <w:rPr>
          <w:sz w:val="20"/>
          <w:szCs w:val="20"/>
          <w:color w:val="auto"/>
        </w:rPr>
      </w:pPr>
    </w:p>
    <w:p>
      <w:pPr>
        <w:ind w:left="20"/>
        <w:spacing w:after="0"/>
        <w:tabs>
          <w:tab w:leader="none" w:pos="5360" w:val="left"/>
          <w:tab w:leader="none" w:pos="7660" w:val="left"/>
        </w:tabs>
        <w:rPr>
          <w:sz w:val="20"/>
          <w:szCs w:val="20"/>
          <w:color w:val="auto"/>
        </w:rPr>
      </w:pPr>
      <w:r>
        <w:rPr>
          <w:rFonts w:ascii="Times New Roman" w:cs="Times New Roman" w:eastAsia="Times New Roman" w:hAnsi="Times New Roman"/>
          <w:sz w:val="18"/>
          <w:szCs w:val="18"/>
          <w:color w:val="auto"/>
        </w:rPr>
        <w:t>Date: July 31, 2025</w:t>
      </w:r>
      <w:r>
        <w:rPr>
          <w:sz w:val="20"/>
          <w:szCs w:val="20"/>
          <w:color w:val="auto"/>
        </w:rPr>
        <w:tab/>
      </w:r>
      <w:r>
        <w:rPr>
          <w:rFonts w:ascii="Times New Roman" w:cs="Times New Roman" w:eastAsia="Times New Roman" w:hAnsi="Times New Roman"/>
          <w:sz w:val="18"/>
          <w:szCs w:val="18"/>
          <w:color w:val="auto"/>
        </w:rPr>
        <w:t>By</w:t>
      </w:r>
      <w:r>
        <w:rPr>
          <w:rFonts w:ascii="Arial" w:cs="Arial" w:eastAsia="Arial" w:hAnsi="Arial"/>
          <w:sz w:val="18"/>
          <w:szCs w:val="18"/>
          <w:color w:val="222222"/>
        </w:rPr>
        <w:t>:</w:t>
      </w:r>
      <w:r>
        <w:rPr>
          <w:sz w:val="20"/>
          <w:szCs w:val="20"/>
          <w:color w:val="auto"/>
        </w:rPr>
        <w:tab/>
      </w:r>
      <w:r>
        <w:rPr>
          <w:rFonts w:ascii="Times New Roman" w:cs="Times New Roman" w:eastAsia="Times New Roman" w:hAnsi="Times New Roman"/>
          <w:sz w:val="17"/>
          <w:szCs w:val="17"/>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Paul E. Bullington</w:t>
      </w:r>
    </w:p>
    <w:p>
      <w:pPr>
        <w:spacing w:after="0" w:line="50"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Senior Vice President – Chief Financial Officer</w:t>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and Treasurer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89" Type="http://schemas.openxmlformats.org/officeDocument/2006/relationships/hyperlink" Target="https://www.sec.gov/Archives/edgar/data/1620280/000095010324006323/dp210423_ex0201.htm" TargetMode="External"/><Relationship Id="rId90" Type="http://schemas.openxmlformats.org/officeDocument/2006/relationships/hyperlink" Target="https://www.sec.gov/Archives/edgar/data/1620280/000162828024034151/unit-ex22.htm" TargetMode="External"/><Relationship Id="rId91" Type="http://schemas.openxmlformats.org/officeDocument/2006/relationships/hyperlink" Target="https://www.sec.gov/Archives/edgar/data/1620280/000095010325009446/dp232226_ex0302.htm" TargetMode="External"/><Relationship Id="rId92" Type="http://schemas.openxmlformats.org/officeDocument/2006/relationships/hyperlink" Target="https://www.sec.gov/Archives/edgar/data/1620280/000095010325009446/dp232226_ex0303.htm" TargetMode="External"/><Relationship Id="rId93" Type="http://schemas.openxmlformats.org/officeDocument/2006/relationships/hyperlink" Target="https://www.sec.gov/Archives/edgar/data/1620280/000095010325007764/dp230497_ex0401.htm" TargetMode="External"/><Relationship Id="rId94" Type="http://schemas.openxmlformats.org/officeDocument/2006/relationships/hyperlink" Target="https://www.sec.gov/Archives/edgar/data/1620280/000110465925035791/tm2512510d1_ex10-1.htm" TargetMode="External"/><Relationship Id="rId95" Type="http://schemas.openxmlformats.org/officeDocument/2006/relationships/hyperlink" Target="https://www.sec.gov/Archives/edgar/data/1620280/000110465925035791/tm2512510d1_ex10-2.htm" TargetMode="External"/><Relationship Id="rId96" Type="http://schemas.openxmlformats.org/officeDocument/2006/relationships/hyperlink" Target="https://www.sec.gov/Archives/edgar/data/1620280/000162828025022663/unit-ex1031q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2025-07-31T15:28:45Z</dcterms:created>
  <dcterms:modified xsi:type="dcterms:W3CDTF">2025-07-31T15:28:45Z</dcterms:modified>
</cp:coreProperties>
</file>