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400"/>
        <w:spacing w:after="0"/>
        <w:rPr>
          <w:sz w:val="20"/>
          <w:szCs w:val="20"/>
          <w:color w:val="auto"/>
        </w:rPr>
      </w:pPr>
      <w:r>
        <w:rPr>
          <w:rFonts w:ascii="Times New Roman" w:cs="Times New Roman" w:eastAsia="Times New Roman" w:hAnsi="Times New Roman"/>
          <w:sz w:val="18"/>
          <w:szCs w:val="18"/>
          <w:color w:val="auto"/>
        </w:rPr>
        <w:t>Filed by Uniti Group Inc.</w:t>
      </w:r>
    </w:p>
    <w:p>
      <w:pPr>
        <w:spacing w:after="0" w:line="27" w:lineRule="exact"/>
        <w:rPr>
          <w:sz w:val="24"/>
          <w:szCs w:val="24"/>
          <w:color w:val="auto"/>
        </w:rPr>
      </w:pPr>
    </w:p>
    <w:p>
      <w:pPr>
        <w:ind w:left="8700"/>
        <w:spacing w:after="0"/>
        <w:rPr>
          <w:sz w:val="20"/>
          <w:szCs w:val="20"/>
          <w:color w:val="auto"/>
        </w:rPr>
      </w:pPr>
      <w:r>
        <w:rPr>
          <w:rFonts w:ascii="Times New Roman" w:cs="Times New Roman" w:eastAsia="Times New Roman" w:hAnsi="Times New Roman"/>
          <w:sz w:val="17"/>
          <w:szCs w:val="17"/>
          <w:color w:val="auto"/>
        </w:rPr>
        <w:t>(Commission File No.: 001-36708)</w:t>
      </w:r>
    </w:p>
    <w:p>
      <w:pPr>
        <w:spacing w:after="0" w:line="2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Pursuant to Rule 425 of the Securities Act of 1933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of the Securities Exchange Act of 1934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Uniti Group Inc.</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001-36708)</w:t>
      </w:r>
    </w:p>
    <w:p>
      <w:pPr>
        <w:spacing w:after="0" w:line="207" w:lineRule="exact"/>
        <w:rPr>
          <w:sz w:val="24"/>
          <w:szCs w:val="24"/>
          <w:color w:val="auto"/>
        </w:rPr>
      </w:pPr>
    </w:p>
    <w:p>
      <w:pPr>
        <w:ind w:right="840"/>
        <w:spacing w:after="0" w:line="282" w:lineRule="auto"/>
        <w:rPr>
          <w:sz w:val="20"/>
          <w:szCs w:val="20"/>
          <w:color w:val="auto"/>
        </w:rPr>
      </w:pPr>
      <w:r>
        <w:rPr>
          <w:rFonts w:ascii="Times New Roman" w:cs="Times New Roman" w:eastAsia="Times New Roman" w:hAnsi="Times New Roman"/>
          <w:sz w:val="18"/>
          <w:szCs w:val="18"/>
          <w:color w:val="auto"/>
        </w:rPr>
        <w:t>Uniti Group Inc. ("Uniti") sent a letter to stockholders regarding Uniti's contemplated merger (the "Merger") with Windstream Holdings II, LLC ("Windstream") and the upcoming special meeting of Uniti's stockholders to be held on April 2, 2025. The letter is available below.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2559685</wp:posOffset>
            </wp:positionH>
            <wp:positionV relativeFrom="paragraph">
              <wp:posOffset>422910</wp:posOffset>
            </wp:positionV>
            <wp:extent cx="2031365" cy="5746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31365" cy="5746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February 18, 2025</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231F20"/>
        </w:rPr>
        <w:t>Dear Fellow Stockholder:</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previously sent you proxy materials for the important special meeting of stockholders of Uniti Group Inc. to be held on April 2, 2025, in connection with the proposed merger with Windstream Holdings II, LLC (the “Merger”).</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Your Board of Directors unanimously recommends that you vote FOR the Merger and related proposals.</w:t>
      </w:r>
    </w:p>
    <w:p>
      <w:pPr>
        <w:spacing w:after="0" w:line="225"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Your vote is very important. Please note that failing to vote will have the same effect as a vote </w:t>
      </w:r>
      <w:r>
        <w:rPr>
          <w:rFonts w:ascii="Times New Roman" w:cs="Times New Roman" w:eastAsia="Times New Roman" w:hAnsi="Times New Roman"/>
          <w:sz w:val="18"/>
          <w:szCs w:val="18"/>
          <w:b w:val="1"/>
          <w:bCs w:val="1"/>
          <w:i w:val="1"/>
          <w:iCs w:val="1"/>
          <w:color w:val="auto"/>
        </w:rPr>
        <w:t>against</w:t>
      </w:r>
      <w:r>
        <w:rPr>
          <w:rFonts w:ascii="Times New Roman" w:cs="Times New Roman" w:eastAsia="Times New Roman" w:hAnsi="Times New Roman"/>
          <w:sz w:val="18"/>
          <w:szCs w:val="18"/>
          <w:color w:val="auto"/>
        </w:rPr>
        <w:t xml:space="preserve"> the Merger. </w:t>
      </w:r>
      <w:r>
        <w:rPr>
          <w:rFonts w:ascii="Times New Roman" w:cs="Times New Roman" w:eastAsia="Times New Roman" w:hAnsi="Times New Roman"/>
          <w:sz w:val="18"/>
          <w:szCs w:val="18"/>
          <w:b w:val="1"/>
          <w:bCs w:val="1"/>
          <w:color w:val="auto"/>
        </w:rPr>
        <w:t>If you have not already done so, please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vote TODAY </w:t>
      </w:r>
      <w:r>
        <w:rPr>
          <w:rFonts w:ascii="Times New Roman" w:cs="Times New Roman" w:eastAsia="Times New Roman" w:hAnsi="Times New Roman"/>
          <w:sz w:val="18"/>
          <w:szCs w:val="18"/>
          <w:b w:val="1"/>
          <w:bCs w:val="1"/>
          <w:i w:val="1"/>
          <w:iCs w:val="1"/>
          <w:color w:val="auto"/>
        </w:rPr>
        <w:t>via</w:t>
      </w:r>
      <w:r>
        <w:rPr>
          <w:rFonts w:ascii="Times New Roman" w:cs="Times New Roman" w:eastAsia="Times New Roman" w:hAnsi="Times New Roman"/>
          <w:sz w:val="18"/>
          <w:szCs w:val="18"/>
          <w:b w:val="1"/>
          <w:bCs w:val="1"/>
          <w:color w:val="auto"/>
        </w:rPr>
        <w:t xml:space="preserve"> the Internet, telephone, or by signing, dating, and returning the enclosed proxy card or voting instruction form in the envelope provided. If you received this letter by email, you may simply click on the “VOTE NOW” link provided in the email.</w:t>
      </w:r>
    </w:p>
    <w:p>
      <w:pPr>
        <w:spacing w:after="0" w:line="17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On behalf of Uniti Group Inc., thank you for your support.</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 Kenny A. Gunderman</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Kenny A. Gunderman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Uniti Group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2397760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1290955</wp:posOffset>
            </wp:positionH>
            <wp:positionV relativeFrom="paragraph">
              <wp:posOffset>142875</wp:posOffset>
            </wp:positionV>
            <wp:extent cx="4534535" cy="18427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534535" cy="184277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communication and the information contained in it are provided for information purposes only and are not intended to be and shall not constitute a solicitation of any vote or approval, or an offer to sell or solicitation of an offer to buy, or an invitation or recommendation to subscribe for, acquire or buy securities of Uniti, Windstream or Windstream Parent, Inc., the proposed combined company following the closing of the Merger (as defined below) (“New Uniti”) or any other financial products or securities, in any place or jurisdiction, nor shall there be any offer, solicitation or sale of securities in any jurisdiction in which such offer, solicitation or sale would be unlawful prior to registration or qualification under the securities laws of any such jurisdiction. No offer of securities shall be made in the United States absent registration under the U.S. Securities Act of 1933, as amended (the “Securities Act”). or pursuant to an exemption from, or in a transaction not subject to, such registration requirements.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the Merger, New Uniti has filed a registration statement on Form S-4 with the SEC, as amended (No. 333-281068), which was declared effective by the SEC on February 12, 2025 and contains a definitive proxy statement/prospectus and other documents. The definitive proxy statement/prospectus was mailed to stockholders of Uniti seeking their approval of the transaction-related proposals. This communication is not a substitute for any registration statement, proxy statement/prospectus or other documents that have been or may be filed with the SEC in connection with the Merger.</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DEFINITIVE PROXY STATEMENT/PROSPECTUS AND OTHER DOCUMENTS FILED WITH THE SEC IN CONNECTION WITH THE MERGER CONTAIN IMPORTANT INFORMATION ABOUT UNITI, WINDSTREAM, NEW UNITI, THE MERGER AND RELATED MATTERS. INVESTORS SHOULD READ THE DEFINITIVE PROXY STATEMENT/PROSPECTUS AND SUCH OTHER DOCUMENTS FILED WITH THE SEC, AS WELL AS ANY SUPPLEMENTS THERETO, CAREFULLY AND IN THEIR ENTIRETY, BEFORE THEY MAKE ANY DECISION WITH RESPECT TO THE MERGER. The definitive proxy statement/prospectus, any supplements thereto and all other documents filed with the SEC in connection with the Merger are available free of charge on the SEC’s website (at www.sec.gov). Copies of documents filed with the SEC by Uniti have been and will continue to be made available free of charge on Uniti's investor relations website (at https://investor.uniti.com/financial-information/sec-filings).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Solicitation</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Uniti, Windstream and their respective directors and certain of their executive officers and other employees may be deemed to be participants in the solicitation of proxies from Uniti’s stockholders in connection with the Merger. Information about Uniti’s directors and executive officers is set forth in the sections titled “</w:t>
      </w:r>
      <w:r>
        <w:rPr>
          <w:rFonts w:ascii="Times New Roman" w:cs="Times New Roman" w:eastAsia="Times New Roman" w:hAnsi="Times New Roman"/>
          <w:sz w:val="18"/>
          <w:szCs w:val="18"/>
          <w:i w:val="1"/>
          <w:iCs w:val="1"/>
          <w:color w:val="auto"/>
        </w:rPr>
        <w:t>Proposal No. 1 Election of Directors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Security Ownership of Certain Beneficial Owners and Management</w:t>
      </w:r>
      <w:r>
        <w:rPr>
          <w:rFonts w:ascii="Times New Roman" w:cs="Times New Roman" w:eastAsia="Times New Roman" w:hAnsi="Times New Roman"/>
          <w:sz w:val="18"/>
          <w:szCs w:val="18"/>
          <w:color w:val="auto"/>
        </w:rPr>
        <w:t>” included in Uniti’s proxy statement for its 2024 annual meeting of stockholders, which was filed with the SEC on April 11, 2024 (and which is available at https://www.sec.gov/Archives/edgar/data/1620280/000110465924046100/0001104659-24-046100-index.htm), the section titled “</w:t>
      </w:r>
      <w:r>
        <w:rPr>
          <w:rFonts w:ascii="Times New Roman" w:cs="Times New Roman" w:eastAsia="Times New Roman" w:hAnsi="Times New Roman"/>
          <w:sz w:val="18"/>
          <w:szCs w:val="18"/>
          <w:i w:val="1"/>
          <w:iCs w:val="1"/>
          <w:color w:val="auto"/>
        </w:rPr>
        <w:t>Directors, 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Officers and Corporate Governance</w:t>
      </w:r>
      <w:r>
        <w:rPr>
          <w:rFonts w:ascii="Times New Roman" w:cs="Times New Roman" w:eastAsia="Times New Roman" w:hAnsi="Times New Roman"/>
          <w:sz w:val="18"/>
          <w:szCs w:val="18"/>
          <w:color w:val="auto"/>
        </w:rPr>
        <w:t>” included in its Annual Report on Form 10-K for the fiscal year ended December 31, 2023, which was filed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 on February 29, 2024 (and which is available at https://www.sec.gov/ix?doc=/Archives/edgar/data/1620280/000162828024008054/unit-20231231.htm), and subsequent statements of beneficial ownership on file with the SEC and other filings made from time to time with the SEC. Additional information regarding the persons who may, under the rules of the SEC, be deemed participants in the solicitation of Uniti stockholders in connection with the Merger, including a description of their direct or indirect interests, by security holdings or otherwise, is set forth in the definitive proxy</w:t>
      </w:r>
    </w:p>
    <w:p>
      <w:pPr>
        <w:spacing w:after="0" w:line="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statement/prospectus filed by Uniti with the SEC (and which is available at https://www.sec.gov/Archives/edgar/data/1620280/000110465925012218/tm2412846-31_defm14a.htm). These documents can be obtained free of charge from the sources indicated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352425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communication contains forward-looking statements, including within the meaning of the Private Securities Litigation Reform Act of 1995. Forward-looking statements can often be identified by terms such as “may,” “will,” “appears,” “should,” “expects,” “plans,” “anticipates,” “could,” “intends,” “target,” “projects,” “contemplates,” “believes,” “estimates,” “predicts,” “potential,” or “continue,” or the negative of these words or other similar terms or expressions that concern expectations, strategy, plans, or intentions. However, the absence of these words or similar terms does not mean that a statement is not forward-looking. All forward-looking statements are based on information and estimates available to Uniti and Windstream at the time of this communication and are not guarantees of future performance.</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Examples of forward-looking statements in this communication (made at the date of this communication unless otherwise indicated) include, among others, statements regarding the Merger and the future performance of Uniti, Windstream and New Uniti (the “</w:t>
      </w:r>
      <w:r>
        <w:rPr>
          <w:rFonts w:ascii="Times New Roman" w:cs="Times New Roman" w:eastAsia="Times New Roman" w:hAnsi="Times New Roman"/>
          <w:sz w:val="18"/>
          <w:szCs w:val="18"/>
          <w:u w:val="single" w:color="auto"/>
          <w:color w:val="auto"/>
        </w:rPr>
        <w:t>Merged Group</w:t>
      </w:r>
      <w:r>
        <w:rPr>
          <w:rFonts w:ascii="Times New Roman" w:cs="Times New Roman" w:eastAsia="Times New Roman" w:hAnsi="Times New Roman"/>
          <w:sz w:val="18"/>
          <w:szCs w:val="18"/>
          <w:color w:val="auto"/>
        </w:rPr>
        <w:t>”), the perceived and potential synergies and other benefits of the Merger, and expectations around the financial impact of the Merger on the Merged Group’s financials. In addition, this communication contains statements concerning the intentions, beliefs and expectations, plans, strategies and objectives of the directors and management of Uniti and Windstream for Uniti and Windstream, respectively, and the Merged Group, the anticipated timing for and outcome and effects of the Merger (including expected benefits to shareholders of Uniti), expectations for the ongoing development and growth potential of the Merged Group and the future operation of Uniti, Windstream and the Merged Group.</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These statements involve known and unknown risks, uncertainties and other factors that may cause actual results to be materially different from any results, levels of activity, performance or achievements expressed or implied by any forward-looking statement and may include statements regarding the expected timing and structure of the Merger; the ability of the parties to complete the Merger considering the various closing conditions; the expected benefits of the Merger, such as improved operations, enhanced revenues and cash flow, synergies, growth potential, market profile, business plans, expanded portfolio and financial strength; the competitive ability and position of New Uniti following completion of the Merger; and anticipated growth strategies and anticipated trends in Uniti’s, Windstream’s and, following the expected completion of the Merger, New Uniti’s business.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other factors related to the Merger that contribute to the uncertain nature of the forward-looking statements and that could cause actual results and financial condition to differ materially from those expressed or implied include, but are not limited to: the satisfaction of the conditions precedent to the consummation of the Merger, including, without limitation, the receipt of shareholder and regulatory approvals on the terms desired or anticipated; unanticipated difficulties or expenditures relating to the Merger, including, without limitation, difficulties that result in the failure to realize expected synergies, efficiencies and cost savings from the Merger within the expected time period (if at all); potential difficulties in Uniti’s and Windstream’s ability to retain employees as a result of the announcement and pendency of the Merger; risks relating to the value of New Uniti’s securities to be issued in the Merger; disruptions of Uniti’s and Windstream’s current plans, operations and relationships with customers caused by the announcement and pendency of the Merger; legal proceedings that may be instituted against Uniti or Windstream following announcement of the Merger; funding requirements; regulatory restrictions (including changes in regulatory restrictions or regulatory policy) and risks associated with general economic conditions.</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 factors that could cause actual results, level of activity, performance or achievements to differ materially from the results, level of activity, performance or achievements expressed or implied by the forward-looking statements are detailed in the filings with the SEC, including Uniti’s annual report on Form 10-K, periodic quarterly reports on Form 10-Q, periodic current reports on Form 8-K and other documents filed with the SEC.</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There can be no assurance that the Merger will be implemented or that plans of the respective directors and management of Uniti and Windstream for the Merged Group will proceed as currently expected or will ultimately be successful. Investors are strongly cautioned not to place undue reliance on forward-looking statements, including in respect of the financial or operating outlook for Uniti, Windstream or the Merged Group (including the realization of any expected synergies).</w:t>
      </w:r>
    </w:p>
    <w:p>
      <w:pPr>
        <w:spacing w:after="0" w:line="27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 w:name="page4"/>
    <w:bookmarkEnd w:id="3"/>
    <w:p>
      <w:pPr>
        <w:jc w:val="both"/>
        <w:spacing w:after="0" w:line="258" w:lineRule="auto"/>
        <w:rPr>
          <w:sz w:val="20"/>
          <w:szCs w:val="20"/>
          <w:color w:val="auto"/>
        </w:rPr>
      </w:pPr>
      <w:r>
        <w:rPr>
          <w:rFonts w:ascii="Times New Roman" w:cs="Times New Roman" w:eastAsia="Times New Roman" w:hAnsi="Times New Roman"/>
          <w:sz w:val="18"/>
          <w:szCs w:val="18"/>
          <w:color w:val="auto"/>
        </w:rPr>
        <w:t>Except as required by applicable law, Uniti does not assume any obligation to, and expressly disclaims any duty to, provide any additional or updated information or to update any forward-looking statements, whether as a result of new information, future events or results, or otherwise. Nothing in this communication will, under any circumstances (including by reason of this communication remaining available and not being superseded or replaced by any other presentation or publication with respect to Uniti, Windstream or the Merged Group, or the subject matter of this communication), create an implication that there has been no change in the affairs of Uniti or Windstream since the date of this communication.</w:t>
      </w:r>
    </w:p>
    <w:p>
      <w:pPr>
        <w:spacing w:after="0" w:line="2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2025-02-19T16:37:54Z</dcterms:created>
  <dcterms:modified xsi:type="dcterms:W3CDTF">2025-02-19T16:37:54Z</dcterms:modified>
</cp:coreProperties>
</file>