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8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6"/>
              </w:rPr>
              <w:t>Maryland</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3960" w:type="dxa"/>
            <w:vAlign w:val="bottom"/>
          </w:tcPr>
          <w:p>
            <w:pPr>
              <w:jc w:val="right"/>
              <w:ind w:right="1758"/>
              <w:spacing w:after="0"/>
              <w:rPr>
                <w:sz w:val="20"/>
                <w:szCs w:val="20"/>
                <w:color w:val="auto"/>
              </w:rPr>
            </w:pPr>
            <w:r>
              <w:rPr>
                <w:rFonts w:ascii="Arial" w:cs="Arial" w:eastAsia="Arial" w:hAnsi="Arial"/>
                <w:sz w:val="18"/>
                <w:szCs w:val="18"/>
                <w:b w:val="1"/>
                <w:bCs w:val="1"/>
                <w:color w:val="auto"/>
              </w:rPr>
              <w:t>46-5230630</w:t>
            </w:r>
          </w:p>
        </w:tc>
      </w:tr>
      <w:tr>
        <w:trPr>
          <w:trHeight w:val="148"/>
        </w:trPr>
        <w:tc>
          <w:tcPr>
            <w:tcW w:w="30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9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incorporation or organization)</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20" w:type="dxa"/>
            <w:vAlign w:val="bottom"/>
          </w:tcPr>
          <w:p>
            <w:pPr>
              <w:jc w:val="center"/>
              <w:ind w:right="277"/>
              <w:spacing w:after="0"/>
              <w:rPr>
                <w:sz w:val="20"/>
                <w:szCs w:val="20"/>
                <w:color w:val="auto"/>
              </w:rPr>
            </w:pPr>
            <w:r>
              <w:rPr>
                <w:rFonts w:ascii="Arial" w:cs="Arial" w:eastAsia="Arial" w:hAnsi="Arial"/>
                <w:sz w:val="18"/>
                <w:szCs w:val="18"/>
                <w:b w:val="1"/>
                <w:bCs w:val="1"/>
                <w:color w:val="auto"/>
                <w:w w:val="91"/>
              </w:rPr>
              <w:t>10802 Executive Center Drive</w:t>
            </w: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6"/>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89"/>
              </w:rPr>
              <w:t>Benton Building Suite 300</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2"/>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Little Rock, Arkansas</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jc w:val="right"/>
              <w:ind w:right="1958"/>
              <w:spacing w:after="0"/>
              <w:rPr>
                <w:sz w:val="20"/>
                <w:szCs w:val="20"/>
                <w:color w:val="auto"/>
              </w:rPr>
            </w:pPr>
            <w:r>
              <w:rPr>
                <w:rFonts w:ascii="Arial" w:cs="Arial" w:eastAsia="Arial" w:hAnsi="Arial"/>
                <w:sz w:val="18"/>
                <w:szCs w:val="18"/>
                <w:b w:val="1"/>
                <w:bCs w:val="1"/>
                <w:color w:val="auto"/>
              </w:rPr>
              <w:t>72211</w:t>
            </w:r>
          </w:p>
        </w:tc>
      </w:tr>
      <w:tr>
        <w:trPr>
          <w:trHeight w:val="186"/>
        </w:trPr>
        <w:tc>
          <w:tcPr>
            <w:tcW w:w="3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9220" w:type="dxa"/>
            <w:vAlign w:val="bottom"/>
            <w:gridSpan w:val="4"/>
          </w:tcPr>
          <w:p>
            <w:pPr>
              <w:jc w:val="center"/>
              <w:ind w:right="83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80"/>
        </w:trPr>
        <w:tc>
          <w:tcPr>
            <w:tcW w:w="3040" w:type="dxa"/>
            <w:vAlign w:val="bottom"/>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63"/>
        </w:trPr>
        <w:tc>
          <w:tcPr>
            <w:tcW w:w="9220" w:type="dxa"/>
            <w:vAlign w:val="bottom"/>
            <w:gridSpan w:val="4"/>
          </w:tcPr>
          <w:p>
            <w:pPr>
              <w:ind w:left="23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88"/>
              </w:rPr>
              <w:t>Title of each class</w:t>
            </w:r>
          </w:p>
        </w:tc>
        <w:tc>
          <w:tcPr>
            <w:tcW w:w="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89"/>
              </w:rPr>
              <w:t>Name of each exchange on which registered</w:t>
            </w:r>
          </w:p>
        </w:tc>
      </w:tr>
      <w:tr>
        <w:trPr>
          <w:trHeight w:val="257"/>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93"/>
              </w:rPr>
              <w:t>The NASDAQ Global Select Market</w:t>
            </w:r>
          </w:p>
        </w:tc>
      </w:tr>
    </w:tbl>
    <w:p>
      <w:pPr>
        <w:spacing w:after="0" w:line="10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8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60" w:firstLine="51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31, 2021, the registrant had 236,070,969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subsidiaries, “Windstream”); the future prospects and financial health of Windstream;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the Consolidated Appropriations Act of 2021 (the “2021 Appropriations Act”) and other tax related legislation on our tax position; our expectations regarding the future growth and demand of the telecommunication industry, future financing plans, business strategies, growth prospects, operating and financial performance, and our future liquidity needs and access to capital; our expectations regarding levels of capital expenditures; expectations regarding the deductibility of goodwill for tax purposes; our expectations regarding reclassification of accumulated other comprehensive income (loss) related to derivatives to interest expense; our expectations regarding the amortization of intangible assets; our expectations regarding remediation of the material weakness in our internal control over financial reporting as discussed in Part II, Item 9A of our Annual Report on Form 10-K filed with the U.S. Securities and Exchange Commission (“SEC”) on March 5, 2021, as amended by Amendment No. 1 thereto filed on Form 10-K/A with the SEC on March 30, 2021 (the “Annual Report”); and our expectations regarding the payment of dividends.</w:t>
      </w:r>
    </w:p>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3"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2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U.S. tax law and other federal, state or local laws, whether or not specific to REITs, including the impact of the 2017 U.S. tax reform legislation, the CARES Act, the Families First Coronavirus Response Act and the 2021 Appropriations Act;</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as well as those described from time to time in our future reports filed with the SEC.</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34"/>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760" w:type="dxa"/>
            <w:vAlign w:val="bottom"/>
            <w:gridSpan w:val="34"/>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34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760" w:type="dxa"/>
            <w:vAlign w:val="bottom"/>
            <w:gridSpan w:val="34"/>
          </w:tcPr>
          <w:p>
            <w:pPr>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60" w:type="dxa"/>
            <w:vAlign w:val="bottom"/>
            <w:gridSpan w:val="34"/>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68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tcBorders>
              <w:top w:val="single" w:sz="8" w:color="0000EE"/>
            </w:tcBorders>
            <w:gridSpan w:val="3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Condensed Consolidated Statements of Cash Flows</w:t>
              </w:r>
            </w:hyperlink>
          </w:p>
        </w:tc>
        <w:tc>
          <w:tcPr>
            <w:tcW w:w="53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tcBorders>
              <w:top w:val="single" w:sz="8" w:color="0000EE"/>
            </w:tcBorders>
            <w:gridSpan w:val="26"/>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12">
              <w:r>
                <w:rPr>
                  <w:rFonts w:ascii="Arial" w:cs="Arial" w:eastAsia="Arial" w:hAnsi="Arial"/>
                  <w:sz w:val="18"/>
                  <w:szCs w:val="18"/>
                  <w:color w:val="auto"/>
                </w:rPr>
                <w:t>Organization and Description of Business</w:t>
              </w:r>
            </w:hyperlink>
          </w:p>
        </w:tc>
        <w:tc>
          <w:tcPr>
            <w:tcW w:w="57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12">
              <w:r>
                <w:rPr>
                  <w:rFonts w:ascii="Arial" w:cs="Arial" w:eastAsia="Arial" w:hAnsi="Arial"/>
                  <w:sz w:val="18"/>
                  <w:szCs w:val="18"/>
                  <w:color w:val="auto"/>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14">
              <w:r>
                <w:rPr>
                  <w:rFonts w:ascii="Arial" w:cs="Arial" w:eastAsia="Arial" w:hAnsi="Arial"/>
                  <w:sz w:val="18"/>
                  <w:szCs w:val="18"/>
                  <w:color w:val="auto"/>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16">
              <w:r>
                <w:rPr>
                  <w:rFonts w:ascii="Arial" w:cs="Arial" w:eastAsia="Arial" w:hAnsi="Arial"/>
                  <w:sz w:val="18"/>
                  <w:szCs w:val="18"/>
                  <w:color w:val="auto"/>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5.</w:t>
            </w:r>
            <w:hyperlink w:anchor="page19">
              <w:r>
                <w:rPr>
                  <w:rFonts w:ascii="Arial" w:cs="Arial" w:eastAsia="Arial" w:hAnsi="Arial"/>
                  <w:sz w:val="18"/>
                  <w:szCs w:val="18"/>
                  <w:color w:val="auto"/>
                </w:rPr>
                <w:t>Assets Acquisitions and Dispositions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6.</w:t>
            </w:r>
            <w:hyperlink w:anchor="page20">
              <w:r>
                <w:rPr>
                  <w:rFonts w:ascii="Arial" w:cs="Arial" w:eastAsia="Arial" w:hAnsi="Arial"/>
                  <w:sz w:val="18"/>
                  <w:szCs w:val="18"/>
                  <w:color w:val="auto"/>
                </w:rPr>
                <w:t>Investments in Unconsolidated Entities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7.</w:t>
            </w:r>
            <w:hyperlink w:anchor="page21">
              <w:r>
                <w:rPr>
                  <w:rFonts w:ascii="Arial" w:cs="Arial" w:eastAsia="Arial" w:hAnsi="Arial"/>
                  <w:sz w:val="18"/>
                  <w:szCs w:val="18"/>
                  <w:color w:val="auto"/>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8.</w:t>
            </w:r>
            <w:hyperlink w:anchor="page23">
              <w:r>
                <w:rPr>
                  <w:rFonts w:ascii="Arial" w:cs="Arial" w:eastAsia="Arial" w:hAnsi="Arial"/>
                  <w:sz w:val="18"/>
                  <w:szCs w:val="18"/>
                  <w:color w:val="auto"/>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9.</w:t>
            </w:r>
            <w:hyperlink w:anchor="page23">
              <w:r>
                <w:rPr>
                  <w:rFonts w:ascii="Arial" w:cs="Arial" w:eastAsia="Arial" w:hAnsi="Arial"/>
                  <w:sz w:val="18"/>
                  <w:szCs w:val="18"/>
                  <w:color w:val="auto"/>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5"/>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10.</w:t>
            </w:r>
            <w:hyperlink w:anchor="page25">
              <w:r>
                <w:rPr>
                  <w:rFonts w:ascii="Arial" w:cs="Arial" w:eastAsia="Arial" w:hAnsi="Arial"/>
                  <w:sz w:val="18"/>
                  <w:szCs w:val="18"/>
                  <w:color w:val="auto"/>
                </w:rPr>
                <w:t>Goodwill and Intangible Assets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11.</w:t>
            </w:r>
            <w:hyperlink w:anchor="page26">
              <w:r>
                <w:rPr>
                  <w:rFonts w:ascii="Arial" w:cs="Arial" w:eastAsia="Arial" w:hAnsi="Arial"/>
                  <w:sz w:val="18"/>
                  <w:szCs w:val="18"/>
                  <w:color w:val="auto"/>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12.</w:t>
            </w:r>
            <w:hyperlink w:anchor="page28">
              <w:r>
                <w:rPr>
                  <w:rFonts w:ascii="Arial" w:cs="Arial" w:eastAsia="Arial" w:hAnsi="Arial"/>
                  <w:sz w:val="18"/>
                  <w:szCs w:val="18"/>
                  <w:color w:val="auto"/>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13.</w:t>
            </w:r>
            <w:hyperlink w:anchor="page29">
              <w:r>
                <w:rPr>
                  <w:rFonts w:ascii="Arial" w:cs="Arial" w:eastAsia="Arial" w:hAnsi="Arial"/>
                  <w:sz w:val="18"/>
                  <w:szCs w:val="18"/>
                  <w:color w:val="auto"/>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14.</w:t>
            </w:r>
            <w:hyperlink w:anchor="page33">
              <w:r>
                <w:rPr>
                  <w:rFonts w:ascii="Arial" w:cs="Arial" w:eastAsia="Arial" w:hAnsi="Arial"/>
                  <w:sz w:val="18"/>
                  <w:szCs w:val="18"/>
                  <w:color w:val="auto"/>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15.</w:t>
            </w:r>
            <w:hyperlink w:anchor="page35">
              <w:r>
                <w:rPr>
                  <w:rFonts w:ascii="Arial" w:cs="Arial" w:eastAsia="Arial" w:hAnsi="Arial"/>
                  <w:sz w:val="18"/>
                  <w:szCs w:val="18"/>
                  <w:color w:val="auto"/>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gridSpan w:val="10"/>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16.</w:t>
            </w:r>
            <w:hyperlink w:anchor="page35">
              <w:r>
                <w:rPr>
                  <w:rFonts w:ascii="Arial" w:cs="Arial" w:eastAsia="Arial" w:hAnsi="Arial"/>
                  <w:sz w:val="18"/>
                  <w:szCs w:val="18"/>
                  <w:color w:val="auto"/>
                </w:rPr>
                <w:t>Capital Stock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17.</w:t>
            </w:r>
            <w:hyperlink w:anchor="page35">
              <w:r>
                <w:rPr>
                  <w:rFonts w:ascii="Arial" w:cs="Arial" w:eastAsia="Arial" w:hAnsi="Arial"/>
                  <w:sz w:val="18"/>
                  <w:szCs w:val="18"/>
                  <w:color w:val="auto"/>
                </w:rPr>
                <w:t>Subsequent Events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3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tcBorders>
              <w:top w:val="single" w:sz="8" w:color="0000EE"/>
            </w:tcBorders>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36">
              <w:r>
                <w:rPr>
                  <w:rFonts w:ascii="Arial" w:cs="Arial" w:eastAsia="Arial" w:hAnsi="Arial"/>
                  <w:sz w:val="18"/>
                  <w:szCs w:val="18"/>
                  <w:color w:val="auto"/>
                </w:rPr>
                <w:t>Overview</w:t>
              </w:r>
            </w:hyperlink>
          </w:p>
        </w:tc>
        <w:tc>
          <w:tcPr>
            <w:tcW w:w="3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39">
              <w:r>
                <w:rPr>
                  <w:rFonts w:ascii="Arial" w:cs="Arial" w:eastAsia="Arial" w:hAnsi="Arial"/>
                  <w:sz w:val="18"/>
                  <w:szCs w:val="18"/>
                  <w:color w:val="auto"/>
                </w:rPr>
                <w:t>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53">
              <w:r>
                <w:rPr>
                  <w:rFonts w:ascii="Arial" w:cs="Arial" w:eastAsia="Arial" w:hAnsi="Arial"/>
                  <w:sz w:val="18"/>
                  <w:szCs w:val="18"/>
                  <w:color w:val="auto"/>
                </w:rPr>
                <w:t>Non-GAAP 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56">
              <w:r>
                <w:rPr>
                  <w:rFonts w:ascii="Arial" w:cs="Arial" w:eastAsia="Arial" w:hAnsi="Arial"/>
                  <w:sz w:val="18"/>
                  <w:szCs w:val="18"/>
                  <w:color w:val="auto"/>
                </w:rPr>
                <w:t>Liquidity and Capital Resources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29"/>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540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15"/>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OTHER INFORMATION</w:t>
              </w:r>
            </w:hyperlink>
          </w:p>
        </w:tc>
        <w:tc>
          <w:tcPr>
            <w:tcW w:w="7740" w:type="dxa"/>
            <w:vAlign w:val="bottom"/>
            <w:gridSpan w:val="2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3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Risk Factors</w:t>
              </w:r>
            </w:hyperlink>
          </w:p>
        </w:tc>
        <w:tc>
          <w:tcPr>
            <w:tcW w:w="360" w:type="dxa"/>
            <w:vAlign w:val="bottom"/>
            <w:tcBorders>
              <w:top w:val="single" w:sz="8" w:color="0000EE"/>
            </w:tcBorders>
          </w:tcPr>
          <w:p>
            <w:pPr>
              <w:spacing w:after="0"/>
              <w:rPr>
                <w:sz w:val="18"/>
                <w:szCs w:val="18"/>
                <w:color w:val="auto"/>
              </w:rPr>
            </w:pPr>
          </w:p>
        </w:tc>
        <w:tc>
          <w:tcPr>
            <w:tcW w:w="8440" w:type="dxa"/>
            <w:vAlign w:val="bottom"/>
            <w:gridSpan w:val="2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Unregistered Sales of Equity Securities and Use of Proceeds</w:t>
              </w:r>
            </w:hyperlink>
          </w:p>
        </w:tc>
        <w:tc>
          <w:tcPr>
            <w:tcW w:w="542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Defaults Upon Senior Securities</w:t>
              </w:r>
            </w:hyperlink>
          </w:p>
        </w:tc>
        <w:tc>
          <w:tcPr>
            <w:tcW w:w="7380" w:type="dxa"/>
            <w:vAlign w:val="bottom"/>
            <w:gridSpan w:val="2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8000" w:type="dxa"/>
            <w:vAlign w:val="bottom"/>
            <w:gridSpan w:val="2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440" w:type="dxa"/>
            <w:vAlign w:val="bottom"/>
            <w:gridSpan w:val="2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EE"/>
            </w:tcBorders>
          </w:tcPr>
          <w:p>
            <w:pPr>
              <w:spacing w:after="0"/>
              <w:rPr>
                <w:sz w:val="24"/>
                <w:szCs w:val="24"/>
                <w:color w:val="auto"/>
              </w:rPr>
            </w:pPr>
          </w:p>
        </w:tc>
        <w:tc>
          <w:tcPr>
            <w:tcW w:w="5980" w:type="dxa"/>
            <w:vAlign w:val="bottom"/>
            <w:gridSpan w:val="3"/>
          </w:tcPr>
          <w:p>
            <w:pPr>
              <w:jc w:val="center"/>
              <w:ind w:left="2610"/>
              <w:spacing w:after="0"/>
              <w:rPr>
                <w:sz w:val="20"/>
                <w:szCs w:val="20"/>
                <w:color w:val="auto"/>
              </w:rPr>
            </w:pPr>
            <w:r>
              <w:rPr>
                <w:rFonts w:ascii="Arial" w:cs="Arial" w:eastAsia="Arial" w:hAnsi="Arial"/>
                <w:sz w:val="18"/>
                <w:szCs w:val="18"/>
                <w:b w:val="1"/>
                <w:bCs w:val="1"/>
                <w:color w:val="auto"/>
              </w:rPr>
              <w:t>PART I—FINANCIAL INFORMATION</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5320" w:type="dxa"/>
            <w:vAlign w:val="bottom"/>
          </w:tcPr>
          <w:p>
            <w:pPr>
              <w:jc w:val="center"/>
              <w:ind w:left="3270"/>
              <w:spacing w:after="0"/>
              <w:rPr>
                <w:sz w:val="20"/>
                <w:szCs w:val="20"/>
                <w:color w:val="auto"/>
              </w:rPr>
            </w:pPr>
            <w:r>
              <w:rPr>
                <w:rFonts w:ascii="Arial" w:cs="Arial" w:eastAsia="Arial" w:hAnsi="Arial"/>
                <w:sz w:val="18"/>
                <w:szCs w:val="18"/>
                <w:b w:val="1"/>
                <w:bCs w:val="1"/>
                <w:color w:val="auto"/>
                <w:w w:val="94"/>
              </w:rPr>
              <w:t>Uniti Group Inc.</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980" w:type="dxa"/>
            <w:vAlign w:val="bottom"/>
            <w:gridSpan w:val="3"/>
          </w:tcPr>
          <w:p>
            <w:pPr>
              <w:jc w:val="center"/>
              <w:ind w:left="26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0" w:type="dxa"/>
            <w:vAlign w:val="bottom"/>
            <w:gridSpan w:val="2"/>
            <w:vMerge w:val="restart"/>
          </w:tcPr>
          <w:p>
            <w:pPr>
              <w:jc w:val="right"/>
              <w:ind w:right="84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Arial" w:cs="Arial" w:eastAsia="Arial" w:hAnsi="Arial"/>
                <w:sz w:val="18"/>
                <w:szCs w:val="18"/>
                <w:color w:val="auto"/>
              </w:rPr>
              <w:t>(Thousands, except par value)</w:t>
            </w:r>
          </w:p>
        </w:tc>
        <w:tc>
          <w:tcPr>
            <w:tcW w:w="140" w:type="dxa"/>
            <w:vAlign w:val="bottom"/>
          </w:tcPr>
          <w:p>
            <w:pPr>
              <w:spacing w:after="0"/>
              <w:rPr>
                <w:sz w:val="20"/>
                <w:szCs w:val="20"/>
                <w:color w:val="auto"/>
              </w:rPr>
            </w:pPr>
          </w:p>
        </w:tc>
        <w:tc>
          <w:tcPr>
            <w:tcW w:w="23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3,472,642</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3,273,353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39,014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372,076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390,725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122,901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152,883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Investment in unconsolidated entities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64,659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Deferred income tax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4,784,284</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4,731,818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accrued expenses and other liabilities, net</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156,428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Settlement payable (Note 14)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358,329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418,840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liabilities, net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180,459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60,726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1,143,301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Derivative liability,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Deferred income tax liabilities,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Notes and other debt, net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4,973,174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Liabilities held for sale</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6,902,525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260"/>
              <w:spacing w:after="0"/>
              <w:rPr>
                <w:sz w:val="20"/>
                <w:szCs w:val="20"/>
                <w:color w:val="auto"/>
              </w:rPr>
            </w:pPr>
            <w:r>
              <w:rPr>
                <w:rFonts w:ascii="Arial" w:cs="Arial" w:eastAsia="Arial" w:hAnsi="Arial"/>
                <w:sz w:val="18"/>
                <w:szCs w:val="18"/>
                <w:color w:val="auto"/>
                <w:w w:val="94"/>
              </w:rPr>
              <w:t>Preferred stock, $0.0001 par value, 50,000 shares authorized, no shares issued and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500,000 shares authorized, issued and outstanding:</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234,495 shares at September 30, 2021 and 231,262 at December 31, 2020</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1,208,611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1,209,141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(11,984)</w:t>
            </w: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(3,333,686)</w:t>
            </w:r>
          </w:p>
        </w:tc>
        <w:tc>
          <w:tcPr>
            <w:tcW w:w="180" w:type="dxa"/>
            <w:vAlign w:val="bottom"/>
          </w:tcPr>
          <w:p>
            <w:pPr>
              <w:spacing w:after="0"/>
              <w:rPr>
                <w:sz w:val="19"/>
                <w:szCs w:val="19"/>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(3,330,455)</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Uniti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(2,137,036)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(2,141,658)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Operating partnership units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Cumulative non-voting convertible preferred stock, $0.01 par value, 3 shares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authorized, 1 issued and outstanding</w:t>
            </w:r>
          </w:p>
        </w:tc>
        <w:tc>
          <w:tcPr>
            <w:tcW w:w="1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shareholders' deficit</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(2,118,241)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4,784,284</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4,731,818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0</wp:posOffset>
            </wp:positionV>
            <wp:extent cx="2777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-130175</wp:posOffset>
            </wp:positionV>
            <wp:extent cx="27774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36"/>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Leasing</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199,485</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182,370</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590,478</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552,042</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Tower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266,747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258,765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807,513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791,747</w:t>
            </w:r>
          </w:p>
        </w:tc>
        <w:tc>
          <w:tcPr>
            <w:tcW w:w="100" w:type="dxa"/>
            <w:vAlign w:val="bottom"/>
          </w:tcPr>
          <w:p>
            <w:pPr>
              <w:spacing w:after="0"/>
              <w:rPr>
                <w:sz w:val="19"/>
                <w:szCs w:val="19"/>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341,762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388,427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250,970</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26,659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81,686</w:t>
            </w: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105,436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118,308</w:t>
            </w:r>
          </w:p>
        </w:tc>
        <w:tc>
          <w:tcPr>
            <w:tcW w:w="100" w:type="dxa"/>
            <w:vAlign w:val="bottom"/>
            <w:shd w:val="clear" w:color="auto" w:fill="CFF0FC"/>
          </w:tcPr>
          <w:p>
            <w:pPr>
              <w:spacing w:after="0"/>
              <w:rPr>
                <w:sz w:val="20"/>
                <w:szCs w:val="20"/>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(22,908)</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(86,726)</w:t>
            </w: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 (Note 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12,186</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225,913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248,167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719,960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1,470,195</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Income (loss) before income taxes and equity in earnings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from unconsolidated entities</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(678,448)</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(2,244)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(7,650)</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(1,549)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43,682</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88,819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(671,140)</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(11,808)</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43,366</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87,835</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(659,332)</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(853)</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(660,191)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per common share: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4780" w:type="dxa"/>
            <w:vAlign w:val="bottom"/>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23"/>
                <w:szCs w:val="23"/>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3"/>
                <w:szCs w:val="23"/>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23"/>
                <w:szCs w:val="23"/>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r>
      <w:tr>
        <w:trPr>
          <w:trHeight w:val="210"/>
        </w:trPr>
        <w:tc>
          <w:tcPr>
            <w:tcW w:w="4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4"/>
              </w:rPr>
              <w:t>Weighted-average number of common shares outstanding:</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233,513</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198,054</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232,269</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194,278</w:t>
            </w:r>
          </w:p>
        </w:tc>
        <w:tc>
          <w:tcPr>
            <w:tcW w:w="100" w:type="dxa"/>
            <w:vAlign w:val="bottom"/>
            <w:tcBorders>
              <w:bottom w:val="single" w:sz="8" w:color="CFF0FC"/>
            </w:tcBorders>
          </w:tcPr>
          <w:p>
            <w:pPr>
              <w:spacing w:after="0"/>
              <w:rPr>
                <w:sz w:val="23"/>
                <w:szCs w:val="23"/>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264,421</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198,373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232,540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(671,140)</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(7,036)</w:t>
            </w:r>
          </w:p>
        </w:tc>
      </w:tr>
      <w:tr>
        <w:trPr>
          <w:trHeight w:val="229"/>
        </w:trPr>
        <w:tc>
          <w:tcPr>
            <w:tcW w:w="4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rate swap termination</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46,512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97,307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(670,851)</w:t>
            </w:r>
          </w:p>
        </w:tc>
        <w:tc>
          <w:tcPr>
            <w:tcW w:w="120" w:type="dxa"/>
            <w:vAlign w:val="bottom"/>
          </w:tcPr>
          <w:p>
            <w:pPr>
              <w:spacing w:after="0"/>
              <w:rPr>
                <w:sz w:val="19"/>
                <w:szCs w:val="19"/>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Comprehensive income (loss) attributable to noncontrolling</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(11,806)</w:t>
            </w:r>
          </w:p>
        </w:tc>
      </w:tr>
      <w:tr>
        <w:trPr>
          <w:trHeight w:val="205"/>
        </w:trPr>
        <w:tc>
          <w:tcPr>
            <w:tcW w:w="47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46,174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10,047</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96,218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(659,045)</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For the 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60"/>
              <w:spacing w:after="0" w:line="143" w:lineRule="exact"/>
              <w:rPr>
                <w:sz w:val="20"/>
                <w:szCs w:val="20"/>
                <w:color w:val="auto"/>
              </w:rPr>
            </w:pPr>
            <w:r>
              <w:rPr>
                <w:rFonts w:ascii="Arial" w:cs="Arial" w:eastAsia="Arial" w:hAnsi="Arial"/>
                <w:sz w:val="14"/>
                <w:szCs w:val="14"/>
                <w:color w:val="auto"/>
              </w:rPr>
              <w:t>Noncontrolling</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Distributions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Interest - Non-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in Excess of</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voting</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Comprehensive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Interest - OP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67"/>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(Thousands, except share data)</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Preferred Stock</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color w:val="auto"/>
              </w:rPr>
              <w:t>Common Stock</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70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1060" w:type="dxa"/>
            <w:vAlign w:val="bottom"/>
            <w:gridSpan w:val="4"/>
          </w:tcPr>
          <w:p>
            <w:pPr>
              <w:ind w:left="240"/>
              <w:spacing w:after="0" w:line="18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70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8"/>
              </w:rPr>
              <w:t>192,523,083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957,656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(25,937)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(3,219,623)</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70,622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 (2,217,138)</w:t>
            </w: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7,265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(35,731)</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(35,731)</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(521)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declared</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withholding for stock-based</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34,830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52,939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Settlement Common Stock</w:t>
            </w:r>
          </w:p>
        </w:tc>
        <w:tc>
          <w:tcPr>
            <w:tcW w:w="5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38,633,470</w:t>
            </w: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244,546</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80" w:type="dxa"/>
            <w:vAlign w:val="bottom"/>
            <w:gridSpan w:val="2"/>
          </w:tcPr>
          <w:p>
            <w:pPr>
              <w:spacing w:after="0"/>
              <w:rPr>
                <w:sz w:val="20"/>
                <w:szCs w:val="20"/>
                <w:color w:val="auto"/>
              </w:rPr>
            </w:pPr>
            <w:r>
              <w:rPr>
                <w:rFonts w:ascii="Arial" w:cs="Arial" w:eastAsia="Arial" w:hAnsi="Arial"/>
                <w:sz w:val="14"/>
                <w:szCs w:val="14"/>
                <w:color w:val="auto"/>
                <w:w w:val="99"/>
              </w:rPr>
              <w:t>Balance at September 30, 2020</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40" w:type="dxa"/>
            <w:vAlign w:val="bottom"/>
            <w:gridSpan w:val="2"/>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231,244,322</w:t>
            </w:r>
          </w:p>
        </w:tc>
        <w:tc>
          <w:tcPr>
            <w:tcW w:w="160" w:type="dxa"/>
            <w:vAlign w:val="bottom"/>
          </w:tcPr>
          <w:p>
            <w:pPr>
              <w:spacing w:after="0"/>
              <w:rPr>
                <w:sz w:val="22"/>
                <w:szCs w:val="22"/>
                <w:color w:val="auto"/>
              </w:rPr>
            </w:pPr>
          </w:p>
        </w:tc>
        <w:tc>
          <w:tcPr>
            <w:tcW w:w="300" w:type="dxa"/>
            <w:vAlign w:val="bottom"/>
            <w:gridSpan w:val="2"/>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1,205,631</w:t>
            </w:r>
          </w:p>
        </w:tc>
        <w:tc>
          <w:tcPr>
            <w:tcW w:w="16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(23,155)</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(3,248,089)</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70,338</w:t>
            </w:r>
          </w:p>
        </w:tc>
        <w:tc>
          <w:tcPr>
            <w:tcW w:w="120" w:type="dxa"/>
            <w:vAlign w:val="bottom"/>
          </w:tcPr>
          <w:p>
            <w:pPr>
              <w:spacing w:after="0"/>
              <w:rPr>
                <w:sz w:val="22"/>
                <w:szCs w:val="22"/>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 (1,995,127)</w:t>
            </w:r>
          </w:p>
        </w:tc>
        <w:tc>
          <w:tcPr>
            <w:tcW w:w="0" w:type="dxa"/>
            <w:vAlign w:val="bottom"/>
          </w:tcPr>
          <w:p>
            <w:pPr>
              <w:spacing w:after="0"/>
              <w:rPr>
                <w:sz w:val="1"/>
                <w:szCs w:val="1"/>
                <w:color w:val="auto"/>
              </w:rPr>
            </w:pPr>
          </w:p>
        </w:tc>
      </w:tr>
      <w:tr>
        <w:trPr>
          <w:trHeight w:val="197"/>
        </w:trPr>
        <w:tc>
          <w:tcPr>
            <w:tcW w:w="19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4"/>
                <w:szCs w:val="14"/>
                <w:color w:val="auto"/>
              </w:rPr>
              <w:t>Balance at June 30, 2021</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gridSpan w:val="2"/>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231,804,921</w:t>
            </w:r>
          </w:p>
        </w:tc>
        <w:tc>
          <w:tcPr>
            <w:tcW w:w="160" w:type="dxa"/>
            <w:vAlign w:val="bottom"/>
          </w:tcPr>
          <w:p>
            <w:pPr>
              <w:spacing w:after="0"/>
              <w:rPr>
                <w:sz w:val="19"/>
                <w:szCs w:val="19"/>
                <w:color w:val="auto"/>
              </w:rPr>
            </w:pPr>
          </w:p>
        </w:tc>
        <w:tc>
          <w:tcPr>
            <w:tcW w:w="300" w:type="dxa"/>
            <w:vAlign w:val="bottom"/>
            <w:gridSpan w:val="2"/>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1,153,707</w:t>
            </w:r>
          </w:p>
        </w:tc>
        <w:tc>
          <w:tcPr>
            <w:tcW w:w="1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(14,792)</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(3,341,371)</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68,868</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 (2,133,440)</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43,366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2,808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(35,681)</w:t>
            </w: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(35,681)</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interest declared</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Exchange of noncontrolling</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2,528,199</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50,395</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(50,395)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withholding for stock-based</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123,050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39,186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353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9"/>
              </w:rPr>
              <w:t>Balance at September 30, 2021</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8"/>
              </w:rPr>
              <w:t>234,495,356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1,208,611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(11,984)</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(3,333,686)</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18,670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 (2,118,241)</w:t>
            </w: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60"/>
        <w:spacing w:after="0" w:line="290" w:lineRule="auto"/>
        <w:rPr>
          <w:sz w:val="20"/>
          <w:szCs w:val="20"/>
          <w:color w:val="auto"/>
        </w:rPr>
      </w:pPr>
      <w:r>
        <w:rPr>
          <w:rFonts w:ascii="Arial" w:cs="Arial" w:eastAsia="Arial" w:hAnsi="Arial"/>
          <w:sz w:val="13"/>
          <w:szCs w:val="13"/>
          <w:color w:val="auto"/>
        </w:rPr>
        <w:t>(Thousands,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925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72"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Balance at December 31, 2019</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13" w:lineRule="exact"/>
        <w:rPr>
          <w:sz w:val="20"/>
          <w:szCs w:val="20"/>
          <w:color w:val="auto"/>
        </w:rPr>
      </w:pPr>
    </w:p>
    <w:p>
      <w:pPr>
        <w:ind w:right="140"/>
        <w:spacing w:after="0" w:line="270" w:lineRule="auto"/>
        <w:rPr>
          <w:sz w:val="20"/>
          <w:szCs w:val="20"/>
          <w:color w:val="auto"/>
        </w:rPr>
      </w:pPr>
      <w:r>
        <w:rPr>
          <w:rFonts w:ascii="Arial" w:cs="Arial" w:eastAsia="Arial" w:hAnsi="Arial"/>
          <w:sz w:val="12"/>
          <w:szCs w:val="12"/>
          <w:color w:val="auto"/>
        </w:rPr>
        <w:t>Other comprehensive income</w:t>
      </w:r>
    </w:p>
    <w:p>
      <w:pPr>
        <w:ind w:right="280"/>
        <w:spacing w:after="0" w:line="245" w:lineRule="auto"/>
        <w:rPr>
          <w:sz w:val="20"/>
          <w:szCs w:val="20"/>
          <w:color w:val="auto"/>
        </w:rPr>
      </w:pPr>
      <w:r>
        <w:rPr>
          <w:rFonts w:ascii="Arial" w:cs="Arial" w:eastAsia="Arial" w:hAnsi="Arial"/>
          <w:sz w:val="13"/>
          <w:szCs w:val="13"/>
          <w:color w:val="auto"/>
        </w:rPr>
        <w:t>Common stock dividends declared ($0.15 per share)</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Distributions to noncontrolling interest declared</w:t>
      </w:r>
    </w:p>
    <w:p>
      <w:pPr>
        <w:ind w:right="40"/>
        <w:spacing w:after="0" w:line="228" w:lineRule="auto"/>
        <w:rPr>
          <w:sz w:val="20"/>
          <w:szCs w:val="20"/>
          <w:color w:val="auto"/>
        </w:rPr>
      </w:pPr>
      <w:r>
        <w:rPr>
          <w:rFonts w:ascii="Arial" w:cs="Arial" w:eastAsia="Arial" w:hAnsi="Arial"/>
          <w:sz w:val="14"/>
          <w:szCs w:val="14"/>
          <w:color w:val="auto"/>
        </w:rPr>
        <w:t>Cumulative non-voting convertible preferred stock</w:t>
      </w:r>
    </w:p>
    <w:p>
      <w:pPr>
        <w:jc w:val="both"/>
        <w:ind w:right="20"/>
        <w:spacing w:after="0" w:line="266" w:lineRule="auto"/>
        <w:rPr>
          <w:sz w:val="20"/>
          <w:szCs w:val="20"/>
          <w:color w:val="auto"/>
        </w:rPr>
      </w:pPr>
      <w:r>
        <w:rPr>
          <w:rFonts w:ascii="Arial" w:cs="Arial" w:eastAsia="Arial" w:hAnsi="Arial"/>
          <w:sz w:val="12"/>
          <w:szCs w:val="12"/>
          <w:color w:val="auto"/>
        </w:rPr>
        <w:t>Payments related to tax withholding for stock-based compensation</w:t>
      </w:r>
    </w:p>
    <w:p>
      <w:pPr>
        <w:ind w:right="580"/>
        <w:spacing w:after="0" w:line="270" w:lineRule="auto"/>
        <w:rPr>
          <w:sz w:val="20"/>
          <w:szCs w:val="20"/>
          <w:color w:val="auto"/>
        </w:rPr>
      </w:pPr>
      <w:r>
        <w:rPr>
          <w:rFonts w:ascii="Arial" w:cs="Arial" w:eastAsia="Arial" w:hAnsi="Arial"/>
          <w:sz w:val="12"/>
          <w:szCs w:val="12"/>
          <w:color w:val="auto"/>
        </w:rPr>
        <w:t>Stock-based compensation</w:t>
      </w:r>
    </w:p>
    <w:p>
      <w:pPr>
        <w:ind w:right="40"/>
        <w:spacing w:after="0" w:line="228" w:lineRule="auto"/>
        <w:rPr>
          <w:sz w:val="20"/>
          <w:szCs w:val="20"/>
          <w:color w:val="auto"/>
        </w:rPr>
      </w:pPr>
      <w:r>
        <w:rPr>
          <w:rFonts w:ascii="Arial" w:cs="Arial" w:eastAsia="Arial" w:hAnsi="Arial"/>
          <w:sz w:val="14"/>
          <w:szCs w:val="14"/>
          <w:color w:val="auto"/>
        </w:rPr>
        <w:t>Issuance of common stock - employee stock purchase plan</w:t>
      </w:r>
    </w:p>
    <w:p>
      <w:pPr>
        <w:ind w:right="180"/>
        <w:spacing w:after="0" w:line="237" w:lineRule="auto"/>
        <w:rPr>
          <w:sz w:val="20"/>
          <w:szCs w:val="20"/>
          <w:color w:val="auto"/>
        </w:rPr>
      </w:pPr>
      <w:r>
        <w:rPr>
          <w:rFonts w:ascii="Arial" w:cs="Arial" w:eastAsia="Arial" w:hAnsi="Arial"/>
          <w:sz w:val="14"/>
          <w:szCs w:val="14"/>
          <w:color w:val="auto"/>
        </w:rPr>
        <w:t>Settlement Common Stock</w:t>
      </w:r>
    </w:p>
    <w:p>
      <w:pPr>
        <w:spacing w:after="0" w:line="1" w:lineRule="exact"/>
        <w:rPr>
          <w:sz w:val="20"/>
          <w:szCs w:val="20"/>
          <w:color w:val="auto"/>
        </w:rPr>
      </w:pPr>
    </w:p>
    <w:p>
      <w:pPr>
        <w:ind w:right="120"/>
        <w:spacing w:after="0" w:line="280" w:lineRule="auto"/>
        <w:rPr>
          <w:sz w:val="20"/>
          <w:szCs w:val="20"/>
          <w:color w:val="auto"/>
        </w:rPr>
      </w:pPr>
      <w:r>
        <w:rPr>
          <w:rFonts w:ascii="Arial" w:cs="Arial" w:eastAsia="Arial" w:hAnsi="Arial"/>
          <w:sz w:val="13"/>
          <w:szCs w:val="13"/>
          <w:color w:val="auto"/>
        </w:rPr>
        <w:t>Balance at September 30, 2020</w:t>
      </w:r>
    </w:p>
    <w:p>
      <w:pPr>
        <w:spacing w:after="0" w:line="211" w:lineRule="exact"/>
        <w:rPr>
          <w:sz w:val="20"/>
          <w:szCs w:val="20"/>
          <w:color w:val="auto"/>
        </w:rPr>
      </w:pPr>
    </w:p>
    <w:p>
      <w:pPr>
        <w:ind w:right="140"/>
        <w:spacing w:after="0"/>
        <w:rPr>
          <w:sz w:val="20"/>
          <w:szCs w:val="20"/>
          <w:color w:val="auto"/>
        </w:rPr>
      </w:pPr>
      <w:r>
        <w:rPr>
          <w:rFonts w:ascii="Arial" w:cs="Arial" w:eastAsia="Arial" w:hAnsi="Arial"/>
          <w:sz w:val="14"/>
          <w:szCs w:val="14"/>
          <w:color w:val="auto"/>
        </w:rPr>
        <w:t>Balance at December 31, 2020</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Cumulative effect adjustment for adoption of new accounting standard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3" w:lineRule="exact"/>
        <w:rPr>
          <w:sz w:val="20"/>
          <w:szCs w:val="20"/>
          <w:color w:val="auto"/>
        </w:rPr>
      </w:pPr>
    </w:p>
    <w:p>
      <w:pPr>
        <w:ind w:right="140"/>
        <w:spacing w:after="0" w:line="270" w:lineRule="auto"/>
        <w:rPr>
          <w:sz w:val="20"/>
          <w:szCs w:val="20"/>
          <w:color w:val="auto"/>
        </w:rPr>
      </w:pPr>
      <w:r>
        <w:rPr>
          <w:rFonts w:ascii="Arial" w:cs="Arial" w:eastAsia="Arial" w:hAnsi="Arial"/>
          <w:sz w:val="12"/>
          <w:szCs w:val="12"/>
          <w:color w:val="auto"/>
        </w:rPr>
        <w:t>Other comprehensive income</w:t>
      </w:r>
    </w:p>
    <w:p>
      <w:pPr>
        <w:ind w:right="280"/>
        <w:spacing w:after="0" w:line="245" w:lineRule="auto"/>
        <w:rPr>
          <w:sz w:val="20"/>
          <w:szCs w:val="20"/>
          <w:color w:val="auto"/>
        </w:rPr>
      </w:pPr>
      <w:r>
        <w:rPr>
          <w:rFonts w:ascii="Arial" w:cs="Arial" w:eastAsia="Arial" w:hAnsi="Arial"/>
          <w:sz w:val="13"/>
          <w:szCs w:val="13"/>
          <w:color w:val="auto"/>
        </w:rPr>
        <w:t>Common stock dividends declared ($0.15 per share)</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Distributions to noncontrolling interest declared</w:t>
      </w:r>
    </w:p>
    <w:p>
      <w:pPr>
        <w:ind w:right="60"/>
        <w:spacing w:after="0" w:line="249" w:lineRule="auto"/>
        <w:rPr>
          <w:sz w:val="20"/>
          <w:szCs w:val="20"/>
          <w:color w:val="auto"/>
        </w:rPr>
      </w:pPr>
      <w:r>
        <w:rPr>
          <w:rFonts w:ascii="Arial" w:cs="Arial" w:eastAsia="Arial" w:hAnsi="Arial"/>
          <w:sz w:val="13"/>
          <w:szCs w:val="13"/>
          <w:color w:val="auto"/>
        </w:rPr>
        <w:t>Exchange of noncontrolling interest</w:t>
      </w:r>
    </w:p>
    <w:p>
      <w:pPr>
        <w:jc w:val="both"/>
        <w:ind w:right="20"/>
        <w:spacing w:after="0" w:line="266" w:lineRule="auto"/>
        <w:rPr>
          <w:sz w:val="20"/>
          <w:szCs w:val="20"/>
          <w:color w:val="auto"/>
        </w:rPr>
      </w:pPr>
      <w:r>
        <w:rPr>
          <w:rFonts w:ascii="Arial" w:cs="Arial" w:eastAsia="Arial" w:hAnsi="Arial"/>
          <w:sz w:val="12"/>
          <w:szCs w:val="12"/>
          <w:color w:val="auto"/>
        </w:rPr>
        <w:t>Payments related to tax withholding for stock-based compensation</w:t>
      </w:r>
    </w:p>
    <w:p>
      <w:pPr>
        <w:ind w:right="580"/>
        <w:spacing w:after="0" w:line="314" w:lineRule="auto"/>
        <w:rPr>
          <w:sz w:val="20"/>
          <w:szCs w:val="20"/>
          <w:color w:val="auto"/>
        </w:rPr>
      </w:pPr>
      <w:r>
        <w:rPr>
          <w:rFonts w:ascii="Arial" w:cs="Arial" w:eastAsia="Arial" w:hAnsi="Arial"/>
          <w:sz w:val="12"/>
          <w:szCs w:val="12"/>
          <w:color w:val="auto"/>
        </w:rPr>
        <w:t>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For the 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Noncontrolling</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Distributions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color w:val="auto"/>
              </w:rPr>
              <w:t>Interest - Non-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Additional</w:t>
            </w:r>
          </w:p>
        </w:tc>
        <w:tc>
          <w:tcPr>
            <w:tcW w:w="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in Excess of</w:t>
            </w:r>
          </w:p>
        </w:tc>
        <w:tc>
          <w:tcPr>
            <w:tcW w:w="1240" w:type="dxa"/>
            <w:vAlign w:val="bottom"/>
            <w:gridSpan w:val="4"/>
          </w:tcPr>
          <w:p>
            <w:pPr>
              <w:ind w:left="60"/>
              <w:spacing w:after="0"/>
              <w:rPr>
                <w:sz w:val="20"/>
                <w:szCs w:val="20"/>
                <w:color w:val="auto"/>
              </w:rPr>
            </w:pPr>
            <w:r>
              <w:rPr>
                <w:rFonts w:ascii="Arial" w:cs="Arial" w:eastAsia="Arial" w:hAnsi="Arial"/>
                <w:sz w:val="16"/>
                <w:szCs w:val="16"/>
                <w:color w:val="auto"/>
              </w:rPr>
              <w:t>Noncontrolling</w:t>
            </w:r>
          </w:p>
        </w:tc>
        <w:tc>
          <w:tcPr>
            <w:tcW w:w="1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voting</w:t>
            </w:r>
          </w:p>
        </w:tc>
        <w:tc>
          <w:tcPr>
            <w:tcW w:w="12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r>
      <w:tr>
        <w:trPr>
          <w:trHeight w:val="203"/>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Paid-in</w:t>
            </w:r>
          </w:p>
        </w:tc>
        <w:tc>
          <w:tcPr>
            <w:tcW w:w="1200" w:type="dxa"/>
            <w:vAlign w:val="bottom"/>
            <w:gridSpan w:val="3"/>
          </w:tcPr>
          <w:p>
            <w:pPr>
              <w:spacing w:after="0"/>
              <w:rPr>
                <w:sz w:val="20"/>
                <w:szCs w:val="20"/>
                <w:color w:val="auto"/>
              </w:rPr>
            </w:pPr>
            <w:r>
              <w:rPr>
                <w:rFonts w:ascii="Arial" w:cs="Arial" w:eastAsia="Arial" w:hAnsi="Arial"/>
                <w:sz w:val="16"/>
                <w:szCs w:val="16"/>
                <w:color w:val="auto"/>
              </w:rPr>
              <w:t>Comprehensive</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Accumulated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Interest - OP</w:t>
            </w: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Preferred</w:t>
            </w:r>
          </w:p>
        </w:tc>
        <w:tc>
          <w:tcPr>
            <w:tcW w:w="940" w:type="dxa"/>
            <w:vAlign w:val="bottom"/>
            <w:gridSpan w:val="3"/>
          </w:tcPr>
          <w:p>
            <w:pPr>
              <w:spacing w:after="0"/>
              <w:rPr>
                <w:sz w:val="20"/>
                <w:szCs w:val="20"/>
                <w:color w:val="auto"/>
              </w:rPr>
            </w:pPr>
            <w:r>
              <w:rPr>
                <w:rFonts w:ascii="Arial" w:cs="Arial" w:eastAsia="Arial" w:hAnsi="Arial"/>
                <w:sz w:val="16"/>
                <w:szCs w:val="16"/>
                <w:color w:val="auto"/>
                <w:w w:val="93"/>
              </w:rPr>
              <w:t>Shareholders'</w:t>
            </w:r>
          </w:p>
        </w:tc>
      </w:tr>
      <w:tr>
        <w:trPr>
          <w:trHeight w:val="209"/>
        </w:trPr>
        <w:tc>
          <w:tcPr>
            <w:tcW w:w="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color w:val="auto"/>
                <w:w w:val="89"/>
              </w:rPr>
              <w:t>Preferred Stock</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color w:val="auto"/>
                <w:w w:val="98"/>
              </w:rPr>
              <w:t>Common Stock</w:t>
            </w: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Income (Loss)</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Earnings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Deficit</w:t>
            </w:r>
          </w:p>
        </w:tc>
        <w:tc>
          <w:tcPr>
            <w:tcW w:w="60" w:type="dxa"/>
            <w:vAlign w:val="bottom"/>
          </w:tcPr>
          <w:p>
            <w:pPr>
              <w:spacing w:after="0"/>
              <w:rPr>
                <w:sz w:val="18"/>
                <w:szCs w:val="18"/>
                <w:color w:val="auto"/>
              </w:rPr>
            </w:pPr>
          </w:p>
        </w:tc>
      </w:tr>
      <w:tr>
        <w:trPr>
          <w:trHeight w:val="185"/>
        </w:trPr>
        <w:tc>
          <w:tcPr>
            <w:tcW w:w="40" w:type="dxa"/>
            <w:vAlign w:val="bottom"/>
          </w:tcPr>
          <w:p>
            <w:pPr>
              <w:spacing w:after="0"/>
              <w:rPr>
                <w:sz w:val="16"/>
                <w:szCs w:val="16"/>
                <w:color w:val="auto"/>
              </w:rPr>
            </w:pPr>
          </w:p>
        </w:tc>
        <w:tc>
          <w:tcPr>
            <w:tcW w:w="620" w:type="dxa"/>
            <w:vAlign w:val="bottom"/>
            <w:gridSpan w:val="3"/>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6"/>
                <w:szCs w:val="16"/>
                <w:color w:val="auto"/>
              </w:rPr>
              <w:t>Amount</w:t>
            </w:r>
          </w:p>
        </w:tc>
        <w:tc>
          <w:tcPr>
            <w:tcW w:w="1060" w:type="dxa"/>
            <w:vAlign w:val="bottom"/>
            <w:gridSpan w:val="4"/>
          </w:tcPr>
          <w:p>
            <w:pPr>
              <w:ind w:left="240"/>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auto"/>
                <w:w w:val="97"/>
              </w:rPr>
              <w:t>Amount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325"/>
        </w:trPr>
        <w:tc>
          <w:tcPr>
            <w:tcW w:w="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192,141,634</w:t>
            </w:r>
          </w:p>
        </w:tc>
        <w:tc>
          <w:tcPr>
            <w:tcW w:w="16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951,295</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(23,442)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(2,494,740)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83,704</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(1,483,164)</w:t>
            </w:r>
          </w:p>
        </w:tc>
      </w:tr>
      <w:tr>
        <w:trPr>
          <w:trHeight w:val="230"/>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(659,332)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(11,808)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(671,140)</w:t>
            </w:r>
          </w:p>
        </w:tc>
      </w:tr>
      <w:tr>
        <w:trPr>
          <w:trHeight w:val="310"/>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w:t>
            </w:r>
          </w:p>
        </w:tc>
        <w:tc>
          <w:tcPr>
            <w:tcW w:w="60" w:type="dxa"/>
            <w:vAlign w:val="bottom"/>
          </w:tcPr>
          <w:p>
            <w:pPr>
              <w:spacing w:after="0"/>
              <w:rPr>
                <w:sz w:val="24"/>
                <w:szCs w:val="24"/>
                <w:color w:val="auto"/>
              </w:rPr>
            </w:pP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(94,017)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(94,017)</w:t>
            </w: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(1,560)</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(1,560)</w:t>
            </w: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24"/>
                <w:szCs w:val="24"/>
                <w:color w:val="auto"/>
              </w:rPr>
            </w:pP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(962)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(962)</w:t>
            </w:r>
          </w:p>
        </w:tc>
      </w:tr>
      <w:tr>
        <w:trPr>
          <w:trHeight w:val="311"/>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372,430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10,446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10,446</w:t>
            </w:r>
          </w:p>
        </w:tc>
        <w:tc>
          <w:tcPr>
            <w:tcW w:w="60" w:type="dxa"/>
            <w:vAlign w:val="bottom"/>
          </w:tcPr>
          <w:p>
            <w:pPr>
              <w:spacing w:after="0"/>
              <w:rPr>
                <w:sz w:val="24"/>
                <w:szCs w:val="24"/>
                <w:color w:val="auto"/>
              </w:rPr>
            </w:pP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96,788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306</w:t>
            </w:r>
          </w:p>
        </w:tc>
        <w:tc>
          <w:tcPr>
            <w:tcW w:w="60" w:type="dxa"/>
            <w:vAlign w:val="bottom"/>
          </w:tcPr>
          <w:p>
            <w:pPr>
              <w:spacing w:after="0"/>
              <w:rPr>
                <w:sz w:val="24"/>
                <w:szCs w:val="24"/>
                <w:color w:val="auto"/>
              </w:rPr>
            </w:pPr>
          </w:p>
        </w:tc>
      </w:tr>
      <w:tr>
        <w:trPr>
          <w:trHeight w:val="314"/>
        </w:trPr>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38,633,470</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244,546</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244,550</w:t>
            </w:r>
          </w:p>
        </w:tc>
        <w:tc>
          <w:tcPr>
            <w:tcW w:w="60" w:type="dxa"/>
            <w:vAlign w:val="bottom"/>
          </w:tcPr>
          <w:p>
            <w:pPr>
              <w:spacing w:after="0"/>
              <w:rPr>
                <w:sz w:val="24"/>
                <w:szCs w:val="24"/>
                <w:color w:val="auto"/>
              </w:rPr>
            </w:pPr>
          </w:p>
        </w:tc>
      </w:tr>
      <w:tr>
        <w:trPr>
          <w:trHeight w:val="304"/>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231,244,322</w:t>
            </w:r>
          </w:p>
        </w:tc>
        <w:tc>
          <w:tcPr>
            <w:tcW w:w="16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1,205,631</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(23,155)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(3,248,089)</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70,338</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(1,995,127)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4"/>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231,261,958</w:t>
            </w:r>
          </w:p>
        </w:tc>
        <w:tc>
          <w:tcPr>
            <w:tcW w:w="16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1,209,141</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(20,367)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(3,330,455)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69,157</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(2,072,376)</w:t>
            </w:r>
          </w:p>
        </w:tc>
      </w:tr>
      <w:tr>
        <w:trPr>
          <w:trHeight w:val="608"/>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(59,908)</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14,598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(45,310)</w:t>
            </w:r>
          </w:p>
        </w:tc>
      </w:tr>
      <w:tr>
        <w:trPr>
          <w:trHeight w:val="230"/>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87,835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88,819</w:t>
            </w:r>
          </w:p>
        </w:tc>
        <w:tc>
          <w:tcPr>
            <w:tcW w:w="60" w:type="dxa"/>
            <w:vAlign w:val="bottom"/>
          </w:tcPr>
          <w:p>
            <w:pPr>
              <w:spacing w:after="0"/>
              <w:rPr>
                <w:sz w:val="19"/>
                <w:szCs w:val="19"/>
                <w:color w:val="auto"/>
              </w:rPr>
            </w:pPr>
          </w:p>
        </w:tc>
      </w:tr>
      <w:tr>
        <w:trPr>
          <w:trHeight w:val="310"/>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8,383</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8,488</w:t>
            </w:r>
          </w:p>
        </w:tc>
        <w:tc>
          <w:tcPr>
            <w:tcW w:w="60" w:type="dxa"/>
            <w:vAlign w:val="bottom"/>
          </w:tcPr>
          <w:p>
            <w:pPr>
              <w:spacing w:after="0"/>
              <w:rPr>
                <w:sz w:val="24"/>
                <w:szCs w:val="24"/>
                <w:color w:val="auto"/>
              </w:rPr>
            </w:pP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(105,664)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(105,664)</w:t>
            </w: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(1,181)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(1,181)</w:t>
            </w:r>
          </w:p>
        </w:tc>
      </w:tr>
      <w:tr>
        <w:trPr>
          <w:trHeight w:val="310"/>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2,528,199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50,395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(50,395)</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r>
        <w:trPr>
          <w:trHeight w:val="459"/>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(2,652)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(2,652)</w:t>
            </w:r>
          </w:p>
        </w:tc>
      </w:tr>
      <w:tr>
        <w:trPr>
          <w:trHeight w:val="310"/>
        </w:trPr>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630,249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10,963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10,963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-4950460</wp:posOffset>
            </wp:positionV>
            <wp:extent cx="71323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-4607560</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-4118610</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-3535680</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-3047365</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-2558415</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-2190115</wp:posOffset>
            </wp:positionV>
            <wp:extent cx="713232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-1607185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-1264285</wp:posOffset>
            </wp:positionV>
            <wp:extent cx="71323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-681355</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-193040</wp:posOffset>
            </wp:positionV>
            <wp:extent cx="713232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380" w:space="160"/>
            <w:col w:w="9660"/>
          </w:cols>
          <w:pgMar w:left="320" w:top="125" w:right="37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Arial" w:cs="Arial" w:eastAsia="Arial" w:hAnsi="Arial"/>
                <w:sz w:val="14"/>
                <w:szCs w:val="14"/>
                <w:color w:val="auto"/>
              </w:rPr>
              <w:t>Issuance of common stock - employee</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74,950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 purchase plan</w:t>
            </w: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2021</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234,495,356</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$ 1,208,611</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(11,984)</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0"/>
              </w:rPr>
              <w:t>$ (3,333,686)</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$ 18,670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 (2,118,241)</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3"/>
                <w:szCs w:val="13"/>
                <w:b w:val="1"/>
                <w:bCs w:val="1"/>
                <w:color w:val="auto"/>
              </w:rPr>
              <w:t>Nine Months Ended September 30,</w:t>
            </w: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9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(Thousands)</w:t>
            </w:r>
          </w:p>
        </w:tc>
        <w:tc>
          <w:tcPr>
            <w:tcW w:w="3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957"/>
              <w:spacing w:after="0" w:line="14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 from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rPr>
                <w:sz w:val="20"/>
                <w:szCs w:val="20"/>
                <w:color w:val="auto"/>
              </w:rPr>
            </w:pPr>
            <w:r>
              <w:rPr>
                <w:rFonts w:ascii="Arial" w:cs="Arial" w:eastAsia="Arial" w:hAnsi="Arial"/>
                <w:sz w:val="13"/>
                <w:szCs w:val="13"/>
                <w:color w:val="auto"/>
              </w:rPr>
              <w:t>Net income (loss)</w:t>
            </w:r>
          </w:p>
        </w:tc>
        <w:tc>
          <w:tcPr>
            <w:tcW w:w="84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88,819</w:t>
            </w:r>
          </w:p>
        </w:tc>
        <w:tc>
          <w:tcPr>
            <w:tcW w:w="300" w:type="dxa"/>
            <w:vAlign w:val="bottom"/>
          </w:tcPr>
          <w:p>
            <w:pPr>
              <w:spacing w:after="0"/>
              <w:rPr>
                <w:sz w:val="12"/>
                <w:szCs w:val="12"/>
                <w:color w:val="auto"/>
              </w:rPr>
            </w:pP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(671,140)</w:t>
            </w:r>
          </w:p>
        </w:tc>
      </w:tr>
      <w:tr>
        <w:trPr>
          <w:trHeight w:val="148"/>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211,165</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250,970</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 and debt discount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13,723</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27,703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Loss on debt extinguishment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43,369</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73,952</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 termination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8,488</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7,325</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(2,270)</w:t>
            </w:r>
          </w:p>
        </w:tc>
        <w:tc>
          <w:tcPr>
            <w:tcW w:w="90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(8,506)</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in earnings of unconsolidated entities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(1,549)</w:t>
            </w: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Distributions of cumulative earnings from unconsolidated entities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2,933</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interest rate swap settlement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(9,291)</w:t>
            </w: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(4,886)</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Straight-line revenues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(22,455)</w:t>
            </w:r>
          </w:p>
        </w:tc>
        <w:tc>
          <w:tcPr>
            <w:tcW w:w="90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(1,036)</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10,963</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10,446</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Change in fair value of contingent consideration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21</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8,086</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on sale of real estate</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(442)</w:t>
            </w: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(86,726)</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Gain on sale of operations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(28,143)</w:t>
            </w: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loss on asset disposals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(232)</w:t>
            </w: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Accretion of settlement obligation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13,006</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w:t>
            </w: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Changes in assets and liabilities, net of acquisitions: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23,938</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17,699</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38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(150)</w:t>
            </w: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4,331</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 accrued expenses and other liabilities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1,363</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43,535</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Borders>
              <w:bottom w:val="single" w:sz="8" w:color="CFF0FC"/>
            </w:tcBorders>
          </w:tcPr>
          <w:p>
            <w:pPr>
              <w:ind w:left="380"/>
              <w:spacing w:after="0"/>
              <w:rPr>
                <w:sz w:val="20"/>
                <w:szCs w:val="20"/>
                <w:color w:val="auto"/>
              </w:rPr>
            </w:pPr>
            <w:r>
              <w:rPr>
                <w:rFonts w:ascii="Arial" w:cs="Arial" w:eastAsia="Arial" w:hAnsi="Arial"/>
                <w:sz w:val="13"/>
                <w:szCs w:val="13"/>
                <w:color w:val="auto"/>
              </w:rPr>
              <w:t>Settlement payable (Note 15)</w:t>
            </w:r>
          </w:p>
        </w:tc>
        <w:tc>
          <w:tcPr>
            <w:tcW w:w="3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438,577</w:t>
            </w:r>
          </w:p>
        </w:tc>
        <w:tc>
          <w:tcPr>
            <w:tcW w:w="100" w:type="dxa"/>
            <w:vAlign w:val="bottom"/>
            <w:tcBorders>
              <w:bottom w:val="single" w:sz="8" w:color="CFF0FC"/>
            </w:tcBorders>
          </w:tcPr>
          <w:p>
            <w:pPr>
              <w:spacing w:after="0"/>
              <w:rPr>
                <w:sz w:val="12"/>
                <w:szCs w:val="12"/>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353,353</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112,815</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capital expenditures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(276,010)</w:t>
            </w: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(214,150)</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sale of real estate, net of cash</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1,034</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392,011</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operations (Note 5)</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62,113</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sale of other equipment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1,143</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Windstream asset acquisition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(73,127)</w:t>
            </w: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cash (used in) provided by investing activities</w:t>
            </w: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(211,720)</w:t>
            </w:r>
          </w:p>
        </w:tc>
        <w:tc>
          <w:tcPr>
            <w:tcW w:w="3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104,734</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Repayment of debt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(1,660,000)</w:t>
            </w:r>
          </w:p>
        </w:tc>
        <w:tc>
          <w:tcPr>
            <w:tcW w:w="90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(2,044,728)</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notes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1,680,000</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2,250,000</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Dividends paid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(105,941)</w:t>
            </w:r>
          </w:p>
        </w:tc>
        <w:tc>
          <w:tcPr>
            <w:tcW w:w="90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(100,759)</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settlement obligation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(73,516)</w:t>
            </w: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Payments of contingent consideration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(2,979)</w:t>
            </w:r>
          </w:p>
        </w:tc>
        <w:tc>
          <w:tcPr>
            <w:tcW w:w="90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(15,713)</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Distributions paid to noncontrolling interest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(1,700)</w:t>
            </w: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(1,802)</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290,000</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140,000</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(220,000)</w:t>
            </w: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(585,019)</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Finance lease payments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(1,745)</w:t>
            </w:r>
          </w:p>
        </w:tc>
        <w:tc>
          <w:tcPr>
            <w:tcW w:w="90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(2,890)</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for financing costs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(25,755)</w:t>
            </w: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(47,775)</w:t>
            </w: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Settlement Common Stock issuance</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244,550</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Costs related to the early repayment of debt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(25,800)</w:t>
            </w:r>
          </w:p>
        </w:tc>
        <w:tc>
          <w:tcPr>
            <w:tcW w:w="9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Employee stock purchase program</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672</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related to tax withholding for stock-based compensation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(2,652)</w:t>
            </w:r>
          </w:p>
        </w:tc>
        <w:tc>
          <w:tcPr>
            <w:tcW w:w="9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(962)</w:t>
            </w: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cash used in financing activities</w:t>
            </w: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(149,416)</w:t>
            </w:r>
          </w:p>
        </w:tc>
        <w:tc>
          <w:tcPr>
            <w:tcW w:w="3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(164,792)</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(decrease) increase in cash and cash equivalents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(7,783)</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52,757</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beginning of period</w:t>
            </w:r>
          </w:p>
        </w:tc>
        <w:tc>
          <w:tcPr>
            <w:tcW w:w="3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77,534</w:t>
            </w:r>
          </w:p>
        </w:tc>
        <w:tc>
          <w:tcPr>
            <w:tcW w:w="30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142,813</w:t>
            </w:r>
          </w:p>
        </w:tc>
        <w:tc>
          <w:tcPr>
            <w:tcW w:w="100" w:type="dxa"/>
            <w:vAlign w:val="bottom"/>
            <w:shd w:val="clear" w:color="auto" w:fill="CFF0FC"/>
          </w:tcPr>
          <w:p>
            <w:pPr>
              <w:spacing w:after="0"/>
              <w:rPr>
                <w:sz w:val="12"/>
                <w:szCs w:val="12"/>
                <w:color w:val="auto"/>
              </w:rPr>
            </w:pPr>
          </w:p>
        </w:tc>
      </w:tr>
      <w:tr>
        <w:trPr>
          <w:trHeight w:val="182"/>
        </w:trPr>
        <w:tc>
          <w:tcPr>
            <w:tcW w:w="59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cash equivalents at end of period</w:t>
            </w:r>
          </w:p>
        </w:tc>
        <w:tc>
          <w:tcPr>
            <w:tcW w:w="30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69,751</w:t>
            </w:r>
          </w:p>
        </w:tc>
        <w:tc>
          <w:tcPr>
            <w:tcW w:w="3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195,570</w:t>
            </w:r>
          </w:p>
        </w:tc>
        <w:tc>
          <w:tcPr>
            <w:tcW w:w="100" w:type="dxa"/>
            <w:vAlign w:val="bottom"/>
            <w:tcBorders>
              <w:bottom w:val="single" w:sz="8" w:color="CFF0FC"/>
            </w:tcBorders>
          </w:tcPr>
          <w:p>
            <w:pPr>
              <w:spacing w:after="0"/>
              <w:rPr>
                <w:sz w:val="15"/>
                <w:szCs w:val="15"/>
                <w:color w:val="auto"/>
              </w:rPr>
            </w:pPr>
          </w:p>
        </w:tc>
      </w:tr>
      <w:tr>
        <w:trPr>
          <w:trHeight w:val="129"/>
        </w:trPr>
        <w:tc>
          <w:tcPr>
            <w:tcW w:w="5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98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Property and equipment acquired but not yet paid</w:t>
            </w:r>
          </w:p>
        </w:tc>
        <w:tc>
          <w:tcPr>
            <w:tcW w:w="840" w:type="dxa"/>
            <w:vAlign w:val="bottom"/>
            <w:gridSpan w:val="2"/>
            <w:shd w:val="clear" w:color="auto" w:fill="CFF0FC"/>
          </w:tcPr>
          <w:p>
            <w:pPr>
              <w:jc w:val="right"/>
              <w:ind w:right="428"/>
              <w:spacing w:after="0"/>
              <w:rPr>
                <w:sz w:val="20"/>
                <w:szCs w:val="20"/>
                <w:color w:val="auto"/>
              </w:rPr>
            </w:pPr>
            <w:r>
              <w:rPr>
                <w:rFonts w:ascii="Arial" w:cs="Arial" w:eastAsia="Arial" w:hAnsi="Arial"/>
                <w:sz w:val="13"/>
                <w:szCs w:val="13"/>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22,586</w:t>
            </w: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88"/>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15,242</w:t>
            </w:r>
          </w:p>
        </w:tc>
        <w:tc>
          <w:tcPr>
            <w:tcW w:w="100" w:type="dxa"/>
            <w:vAlign w:val="bottom"/>
            <w:shd w:val="clear" w:color="auto" w:fill="CFF0FC"/>
          </w:tcPr>
          <w:p>
            <w:pPr>
              <w:spacing w:after="0"/>
              <w:rPr>
                <w:sz w:val="12"/>
                <w:szCs w:val="12"/>
                <w:color w:val="auto"/>
              </w:rPr>
            </w:pPr>
          </w:p>
        </w:tc>
      </w:tr>
      <w:tr>
        <w:trPr>
          <w:trHeight w:val="160"/>
        </w:trPr>
        <w:tc>
          <w:tcPr>
            <w:tcW w:w="5980" w:type="dxa"/>
            <w:vAlign w:val="bottom"/>
          </w:tcPr>
          <w:p>
            <w:pPr>
              <w:ind w:left="260"/>
              <w:spacing w:after="0"/>
              <w:rPr>
                <w:sz w:val="20"/>
                <w:szCs w:val="20"/>
                <w:color w:val="auto"/>
              </w:rPr>
            </w:pPr>
            <w:r>
              <w:rPr>
                <w:rFonts w:ascii="Arial" w:cs="Arial" w:eastAsia="Arial" w:hAnsi="Arial"/>
                <w:sz w:val="13"/>
                <w:szCs w:val="13"/>
                <w:color w:val="auto"/>
              </w:rPr>
              <w:t>Tenant capital improvements</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140,996</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101,877</w:t>
            </w:r>
          </w:p>
        </w:tc>
        <w:tc>
          <w:tcPr>
            <w:tcW w:w="1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internally managed real estate investment trust (“REIT”) engaged in the acquisition, construction and leasing of mission critical infrastructure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industry. We are principally focused on acquiring and constructing fiber optic, copper and coaxial broadband networks and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centers. We have historically managed our operations in four separate lines of business: Uniti Fiber, Uniti Towers, Uniti Leasing, and the Consumer CLEC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On June 1, 2020, the Company completed the sale of its Uniti Towers business, and as of the end of the second quarter of 2020,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substantially completed the wind down of its Consumer CLEC business. As a result, effective January 1, 2021, we manage our operations focused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two primary lines of business: Uniti Fiber and Uniti Leasing.</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(“Talk America”), which we substantially completed the wind down of the business as of the end of the second quarter of 2020. The up-REIT structure is intended to facilitate future acquisition opportunities by providing the Company with the ability to use common units of the Operating Partnership as a tax-efficient acquisition currency. As of September 30, 2021, we are the sole general partner of the Operating Partnership and own approximately 99.6% of the partnership interests in the Operating Partnership.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March 5, 2021, as amended by Amendment No. 1 thereto filed on Form 10-K/A with the SEC on March 30, 2021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u w:val="single" w:color="auto"/>
          <w:color w:val="auto"/>
        </w:rPr>
        <w:t>Concentration of Credit Risks</w:t>
      </w:r>
      <w:r>
        <w:rPr>
          <w:rFonts w:ascii="Arial" w:cs="Arial" w:eastAsia="Arial" w:hAnsi="Arial"/>
          <w:sz w:val="16"/>
          <w:szCs w:val="16"/>
          <w:color w:val="auto"/>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Revenue under the Windstream Leases and the Master Lease provided 67.6% and 66.1% of our revenue for the nine months ended September 30, 2021 and 2020,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September 30, 2020 can be found at www.sec.gov. Additionally, the Windstream audited financial statements as of December 31, 2020 and for the period from September 22, 2020 to December 31, 2020 and as of December 31, 2019 and for the period from January 1, 2020 to September 21, 2020 and for each of the two years in the period ended December 31, 2019 are included as an exhibit to our Annual Report. On September 22, 2020, Windstream filed a Form 15 to terminate all filing obligations under Sections 12(g) and 15(d) under the Exchange Act. Windstream filings are not incorporated by reference in this Quarterly Report on Form 10-Q.</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In order to assist us in our continuing assessment of Windstream’s creditworthiness, we periodically receive certain confidential financial information and metrics from Windstream.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470- 20)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ASU 2020-06 (1)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(“EPS”) for convertible instruments by using the if-converted method.</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The Company elected to early adopt the guidance ASU 2020-06 as of January 1, 2021 using the modified retrospective transition method. Pursuant to the transition guidance, the Company is required to apply the guidance to all impacted financial instruments that were outstanding as of January 1, 2021 with the cumulative effect recognized as an adjustment to the opening balance of retained earnings.</w:t>
      </w:r>
    </w:p>
    <w:p>
      <w:pPr>
        <w:spacing w:after="0" w:line="1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 4.8%. Additional paid-in-capital was reduced by $59.9</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million and deferred tax liabilities were reduced by $15.8 million. Approximately $14.6 million of cumulative effect of adoption was recognized to the opening balance of retained earnings as of January 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following is a description of principal activities, separated by reportable segments </w:t>
      </w:r>
      <w:hyperlink w:anchor="page29">
        <w:r>
          <w:rPr>
            <w:rFonts w:ascii="Arial" w:cs="Arial" w:eastAsia="Arial" w:hAnsi="Arial"/>
            <w:sz w:val="16"/>
            <w:szCs w:val="16"/>
            <w:u w:val="single" w:color="auto"/>
            <w:color w:val="0000EE"/>
          </w:rPr>
          <w:t>(see 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from which the Company generates its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right="3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program, Uniti Leasing, which is engaged in the acquisition of mission-critical communications assets and leasing them to anchor customers on either an exclusive or shared-tenant basis. </w:t>
      </w:r>
      <w:hyperlink w:anchor="page16">
        <w:r>
          <w:rPr>
            <w:rFonts w:ascii="Arial" w:cs="Arial" w:eastAsia="Arial" w:hAnsi="Arial"/>
            <w:sz w:val="18"/>
            <w:szCs w:val="18"/>
            <w:u w:val="single" w:color="auto"/>
            <w:color w:val="auto"/>
          </w:rPr>
          <w:t>See Note 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-45085</wp:posOffset>
            </wp:positionV>
            <wp:extent cx="529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38" w:lineRule="exact"/>
        <w:rPr>
          <w:sz w:val="20"/>
          <w:szCs w:val="20"/>
          <w:color w:val="auto"/>
        </w:rPr>
      </w:pPr>
    </w:p>
    <w:p>
      <w:pPr>
        <w:ind w:left="880" w:right="14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Consumer, enterprise, wholesale, and backhaul lit fiber fall under the guidance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78" w:lineRule="exact"/>
        <w:rPr>
          <w:rFonts w:ascii="Arial" w:cs="Arial" w:eastAsia="Arial" w:hAnsi="Arial"/>
          <w:sz w:val="18"/>
          <w:szCs w:val="18"/>
          <w:color w:val="auto"/>
        </w:rPr>
      </w:pPr>
    </w:p>
    <w:p>
      <w:pPr>
        <w:ind w:left="88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ASC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78" w:lineRule="exact"/>
        <w:rPr>
          <w:rFonts w:ascii="Arial" w:cs="Arial" w:eastAsia="Arial" w:hAnsi="Arial"/>
          <w:sz w:val="18"/>
          <w:szCs w:val="18"/>
          <w:color w:val="auto"/>
        </w:rPr>
      </w:pPr>
    </w:p>
    <w:p>
      <w:pPr>
        <w:ind w:left="880" w:right="160" w:hanging="508"/>
        <w:spacing w:after="0" w:line="25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ASC 606. Dark fiber and associated maintenance services constitute a lease, and as such, they are outside the scope of ASC 606 and are governed by other applicable guidance.</w:t>
      </w:r>
    </w:p>
    <w:p>
      <w:pPr>
        <w:spacing w:after="0" w:line="79" w:lineRule="exact"/>
        <w:rPr>
          <w:rFonts w:ascii="Arial" w:cs="Arial" w:eastAsia="Arial" w:hAnsi="Arial"/>
          <w:sz w:val="18"/>
          <w:szCs w:val="18"/>
          <w:color w:val="auto"/>
        </w:rPr>
      </w:pPr>
    </w:p>
    <w:p>
      <w:pPr>
        <w:ind w:left="880" w:right="340" w:hanging="508"/>
        <w:spacing w:after="0" w:line="301"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49" w:lineRule="exact"/>
        <w:rPr>
          <w:rFonts w:ascii="Arial" w:cs="Arial" w:eastAsia="Arial" w:hAnsi="Arial"/>
          <w:sz w:val="16"/>
          <w:szCs w:val="16"/>
          <w:color w:val="auto"/>
        </w:rPr>
      </w:pPr>
    </w:p>
    <w:p>
      <w:pPr>
        <w:ind w:left="880" w:right="8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Dark fiber arrangements represent operating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are outside the scope of ASC 606. When (a) a customer makes an advance payment or (b)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78" w:lineRule="exact"/>
        <w:rPr>
          <w:rFonts w:ascii="Arial" w:cs="Arial" w:eastAsia="Arial" w:hAnsi="Arial"/>
          <w:sz w:val="18"/>
          <w:szCs w:val="18"/>
          <w:color w:val="auto"/>
        </w:rPr>
      </w:pPr>
    </w:p>
    <w:p>
      <w:pPr>
        <w:ind w:left="880" w:right="180" w:hanging="508"/>
        <w:spacing w:after="0" w:line="296"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Towers segment represents the operations of our former towers business, Uniti Towers, through which we acquired and constructed tower and tower-related real estate, which we then leased to our customers in the United States and Latin America. Revenue from our towers business qualifies as a lease under ASC 842 and is outside the scope of ASC 606. Starting in 2019, the Company completed a series of transactions to largely divest of its towers business and on April 2, 2019, May 23, 2019 and June 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2020, the Company completed the sales of its Latin American business, substantially all of its U.S. ground lease business, and its U.S. tower business,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Consumer CLEC segment represents the operations of Talk America through which we operated the Consumer CLEC Business, which provided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 As of the end of the second quarter of 2020, we substantially completed a wind down of our Consumer CLEC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5"/>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380"/>
              <w:spacing w:after="0"/>
              <w:rPr>
                <w:sz w:val="20"/>
                <w:szCs w:val="20"/>
                <w:color w:val="auto"/>
              </w:rPr>
            </w:pPr>
            <w:r>
              <w:rPr>
                <w:rFonts w:ascii="Arial" w:cs="Arial" w:eastAsia="Arial" w:hAnsi="Arial"/>
                <w:sz w:val="18"/>
                <w:szCs w:val="18"/>
                <w:color w:val="auto"/>
              </w:rPr>
              <w:t>Lit backhaul</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19,381</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25,160</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67,404</w:t>
            </w:r>
          </w:p>
        </w:tc>
        <w:tc>
          <w:tcPr>
            <w:tcW w:w="7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80,568</w:t>
            </w:r>
          </w:p>
        </w:tc>
        <w:tc>
          <w:tcPr>
            <w:tcW w:w="120" w:type="dxa"/>
            <w:vAlign w:val="bottom"/>
          </w:tcPr>
          <w:p>
            <w:pPr>
              <w:spacing w:after="0"/>
              <w:rPr>
                <w:sz w:val="19"/>
                <w:szCs w:val="19"/>
                <w:color w:val="auto"/>
              </w:rPr>
            </w:pPr>
          </w:p>
        </w:tc>
      </w:tr>
      <w:tr>
        <w:trPr>
          <w:trHeight w:val="229"/>
        </w:trPr>
        <w:tc>
          <w:tcPr>
            <w:tcW w:w="4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63,190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58,761</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380"/>
              <w:spacing w:after="0"/>
              <w:rPr>
                <w:sz w:val="20"/>
                <w:szCs w:val="20"/>
                <w:color w:val="auto"/>
              </w:rPr>
            </w:pPr>
            <w:r>
              <w:rPr>
                <w:rFonts w:ascii="Arial" w:cs="Arial" w:eastAsia="Arial" w:hAnsi="Arial"/>
                <w:sz w:val="18"/>
                <w:szCs w:val="18"/>
                <w:color w:val="auto"/>
              </w:rPr>
              <w:t>E-Rate and government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17,375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48,795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60,133</w:t>
            </w:r>
          </w:p>
        </w:tc>
        <w:tc>
          <w:tcPr>
            <w:tcW w:w="120" w:type="dxa"/>
            <w:vAlign w:val="bottom"/>
          </w:tcPr>
          <w:p>
            <w:pPr>
              <w:spacing w:after="0"/>
              <w:rPr>
                <w:sz w:val="19"/>
                <w:szCs w:val="19"/>
                <w:color w:val="auto"/>
              </w:rPr>
            </w:pPr>
          </w:p>
        </w:tc>
      </w:tr>
      <w:tr>
        <w:trPr>
          <w:trHeight w:val="229"/>
        </w:trPr>
        <w:tc>
          <w:tcPr>
            <w:tcW w:w="4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54,588</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64,755</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181,868</w:t>
            </w:r>
          </w:p>
        </w:tc>
        <w:tc>
          <w:tcPr>
            <w:tcW w:w="28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203,110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Total revenue from contracts with customers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55,658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185,105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203,938</w:t>
            </w:r>
          </w:p>
        </w:tc>
        <w:tc>
          <w:tcPr>
            <w:tcW w:w="120" w:type="dxa"/>
            <w:vAlign w:val="bottom"/>
            <w:shd w:val="clear" w:color="auto" w:fill="CFF0FC"/>
          </w:tcPr>
          <w:p>
            <w:pPr>
              <w:spacing w:after="0"/>
              <w:rPr>
                <w:sz w:val="19"/>
                <w:szCs w:val="19"/>
                <w:color w:val="auto"/>
              </w:rPr>
            </w:pPr>
          </w:p>
        </w:tc>
      </w:tr>
      <w:tr>
        <w:trPr>
          <w:trHeight w:val="229"/>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211,089</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622,408</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587,809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266,747</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258,765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807,513</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At September 30, 2021, and December 31, 2020, lease receivables were $15.1 million and $17.5 million, respectively, and receivables from contracts with customers were $16.9 million and $45.1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nine months ended September 30, 2021, we recognized revenues of $1.3 million and $9.4 million, respectively, which was included in the December 31, 2020 contract liabilities balance.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ASC 606.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(Thousands)</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920" w:type="dxa"/>
            <w:vAlign w:val="bottom"/>
            <w:vMerge w:val="restart"/>
          </w:tcPr>
          <w:p>
            <w:pPr>
              <w:jc w:val="right"/>
              <w:ind w:right="10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39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September 30, 2021, our future revenues (i.e., transaction price related to remaining performance obligations) under contract accounted for under ASC 606 totaled $451.7 million, of which $353.1 million is related to contracts that are currently being invoiced and have an average remaining contract term of 1.8 years, while $98.6 million represents our backlog for sales bookings which have yet to be installed and have an average remaining contract term of 6.0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exclude from the transaction price any amounts collected from customers for sales taxes and therefore, such amounts are not included in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lease communications towers, ground, colocation,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nine months ended September 30, 2021 and 2020, respectively,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211,089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622,408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587,809</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September 30, 2021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4"/>
                <w:szCs w:val="14"/>
                <w:color w:val="auto"/>
              </w:rPr>
            </w:pPr>
          </w:p>
        </w:tc>
        <w:tc>
          <w:tcPr>
            <w:tcW w:w="2260" w:type="dxa"/>
            <w:vAlign w:val="bottom"/>
            <w:gridSpan w:val="2"/>
          </w:tcPr>
          <w:p>
            <w:pPr>
              <w:ind w:left="220"/>
              <w:spacing w:after="0"/>
              <w:rPr>
                <w:sz w:val="20"/>
                <w:szCs w:val="20"/>
                <w:color w:val="auto"/>
              </w:rPr>
            </w:pPr>
            <w:r>
              <w:rPr>
                <w:rFonts w:ascii="Arial" w:cs="Arial" w:eastAsia="Arial" w:hAnsi="Arial"/>
                <w:sz w:val="14"/>
                <w:szCs w:val="14"/>
                <w:b w:val="1"/>
                <w:bCs w:val="1"/>
                <w:color w:val="auto"/>
              </w:rPr>
              <w:t xml:space="preserve">September 30, 2021 </w:t>
            </w:r>
            <w:r>
              <w:rPr>
                <w:rFonts w:ascii="Arial" w:cs="Arial" w:eastAsia="Arial" w:hAnsi="Arial"/>
                <w:sz w:val="12"/>
                <w:szCs w:val="12"/>
                <w:b w:val="1"/>
                <w:bCs w:val="1"/>
                <w:color w:val="auto"/>
              </w:rPr>
              <w:t>(1)</w:t>
            </w:r>
          </w:p>
        </w:tc>
      </w:tr>
      <w:tr>
        <w:trPr>
          <w:trHeight w:val="223"/>
        </w:trPr>
        <w:tc>
          <w:tcPr>
            <w:tcW w:w="8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753,180</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760,567</w:t>
            </w:r>
          </w:p>
        </w:tc>
        <w:tc>
          <w:tcPr>
            <w:tcW w:w="12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762,163</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763,786</w:t>
            </w:r>
          </w:p>
        </w:tc>
        <w:tc>
          <w:tcPr>
            <w:tcW w:w="120" w:type="dxa"/>
            <w:vAlign w:val="bottom"/>
            <w:shd w:val="clear" w:color="auto" w:fill="CFF0FC"/>
          </w:tcPr>
          <w:p>
            <w:pPr>
              <w:spacing w:after="0"/>
              <w:rPr>
                <w:sz w:val="19"/>
                <w:szCs w:val="19"/>
                <w:color w:val="auto"/>
              </w:rPr>
            </w:pPr>
          </w:p>
        </w:tc>
      </w:tr>
      <w:tr>
        <w:trPr>
          <w:trHeight w:val="230"/>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3,749,758</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6,974,521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5"/>
          <w:szCs w:val="15"/>
          <w:color w:val="auto"/>
        </w:rPr>
      </w:pPr>
      <w:r>
        <w:rPr>
          <w:rFonts w:ascii="Arial" w:cs="Arial" w:eastAsia="Arial" w:hAnsi="Arial"/>
          <w:sz w:val="18"/>
          <w:szCs w:val="18"/>
          <w:color w:val="auto"/>
        </w:rPr>
        <w:t>Total future minimum lease payments to be received include $6.0 billion relating to the Windstream Leases.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11"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are summarized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342,907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335,495</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Poles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266,758</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Fiber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3,224,832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2,994,465</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Copper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3,919,421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3,850,988</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Conduit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89,773</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Tower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7,922,750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7,608,978</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(5,364,117)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(5,222,731)</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Underlying assets under operating leases, net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2,558,633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2,386,247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nine months ended September 30, 2021 and 2020, respectively, is summarized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w w:val="99"/>
              </w:rPr>
              <w:t>Nine Months Ended September 30,</w:t>
            </w:r>
          </w:p>
        </w:tc>
        <w:tc>
          <w:tcPr>
            <w:tcW w:w="120" w:type="dxa"/>
            <w:vAlign w:val="bottom"/>
          </w:tcPr>
          <w:p>
            <w:pPr>
              <w:spacing w:after="0"/>
              <w:rPr>
                <w:sz w:val="14"/>
                <w:szCs w:val="14"/>
                <w:color w:val="auto"/>
              </w:rPr>
            </w:pPr>
          </w:p>
        </w:tc>
      </w:tr>
      <w:tr>
        <w:trPr>
          <w:trHeight w:val="223"/>
        </w:trPr>
        <w:tc>
          <w:tcPr>
            <w:tcW w:w="51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0"/>
              </w:rPr>
              <w:t>Depreciation expense for underlying assets under operating leases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44,763</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50,841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134,783</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160,278</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dark fiber lease arrangements, and buildings. We also have finance leases for dark fiber lease arrangements and other communications equipment.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have short term lease commitments amounting to approximately $2.7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nine months ended September 30, 2021 and 2020, respectively,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4"/>
                <w:szCs w:val="14"/>
                <w:color w:val="auto"/>
              </w:rPr>
            </w:pPr>
          </w:p>
        </w:tc>
        <w:tc>
          <w:tcPr>
            <w:tcW w:w="28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1,024</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3,721</w:t>
            </w:r>
          </w:p>
        </w:tc>
        <w:tc>
          <w:tcPr>
            <w:tcW w:w="16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FF0FC"/>
          </w:tcPr>
          <w:p>
            <w:pPr>
              <w:spacing w:after="0"/>
              <w:rPr>
                <w:sz w:val="19"/>
                <w:szCs w:val="19"/>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5,780</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19,272</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Less sublease income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(3,211)</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(2,733)</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(9,503)</w:t>
            </w: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7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Amounts reported in the Condensed Consolidated Balance Sheets for leases where we are the lessee were as follows:</w:t>
      </w:r>
    </w:p>
    <w:p>
      <w:pPr>
        <w:sectPr>
          <w:pgSz w:w="11900" w:h="16838" w:orient="portrait"/>
          <w:cols w:equalWidth="0" w:num="1">
            <w:col w:w="11240"/>
          </w:cols>
          <w:pgMar w:left="320" w:top="125" w:right="339"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on Condensed Consolidated Balance</w:t>
            </w:r>
          </w:p>
        </w:tc>
      </w:tr>
      <w:tr>
        <w:trPr>
          <w:trHeight w:val="17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Sheets</w:t>
            </w:r>
          </w:p>
        </w:tc>
      </w:tr>
      <w:tr>
        <w:trPr>
          <w:trHeight w:val="222"/>
        </w:trPr>
        <w:tc>
          <w:tcPr>
            <w:tcW w:w="4660" w:type="dxa"/>
            <w:vAlign w:val="bottom"/>
          </w:tcPr>
          <w:p>
            <w:pPr>
              <w:spacing w:after="0"/>
              <w:rPr>
                <w:sz w:val="20"/>
                <w:szCs w:val="20"/>
                <w:color w:val="auto"/>
              </w:rPr>
            </w:pPr>
            <w:r>
              <w:rPr>
                <w:rFonts w:ascii="Arial" w:cs="Arial" w:eastAsia="Arial" w:hAnsi="Arial"/>
                <w:sz w:val="18"/>
                <w:szCs w:val="18"/>
                <w:i w:val="1"/>
                <w:iCs w:val="1"/>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ROU assets, net</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Other assets, net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w w:val="95"/>
              </w:rPr>
              <w:t>Accounts payable, accrued expenses</w:t>
            </w:r>
          </w:p>
        </w:tc>
      </w:tr>
      <w:tr>
        <w:trPr>
          <w:trHeight w:val="230"/>
        </w:trPr>
        <w:tc>
          <w:tcPr>
            <w:tcW w:w="4660" w:type="dxa"/>
            <w:vAlign w:val="bottom"/>
          </w:tcPr>
          <w:p>
            <w:pPr>
              <w:spacing w:after="0"/>
              <w:rPr>
                <w:sz w:val="20"/>
                <w:szCs w:val="20"/>
                <w:color w:val="auto"/>
              </w:rPr>
            </w:pP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and other liabilities, net</w:t>
            </w:r>
          </w:p>
        </w:tc>
      </w:tr>
      <w:tr>
        <w:trPr>
          <w:trHeight w:val="458"/>
        </w:trPr>
        <w:tc>
          <w:tcPr>
            <w:tcW w:w="4660" w:type="dxa"/>
            <w:vAlign w:val="bottom"/>
          </w:tcPr>
          <w:p>
            <w:pPr>
              <w:spacing w:after="0"/>
              <w:rPr>
                <w:sz w:val="20"/>
                <w:szCs w:val="20"/>
                <w:color w:val="auto"/>
              </w:rPr>
            </w:pPr>
            <w:r>
              <w:rPr>
                <w:rFonts w:ascii="Arial" w:cs="Arial" w:eastAsia="Arial" w:hAnsi="Arial"/>
                <w:sz w:val="18"/>
                <w:szCs w:val="18"/>
                <w:i w:val="1"/>
                <w:iCs w:val="1"/>
                <w:color w:val="auto"/>
              </w:rPr>
              <w:t>Finance leases</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ROU asset, gross</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Finance lease obligations</w:t>
            </w:r>
          </w:p>
        </w:tc>
      </w:tr>
      <w:tr>
        <w:trPr>
          <w:trHeight w:val="458"/>
        </w:trPr>
        <w:tc>
          <w:tcPr>
            <w:tcW w:w="4660" w:type="dxa"/>
            <w:vAlign w:val="bottom"/>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458"/>
        </w:trPr>
        <w:tc>
          <w:tcPr>
            <w:tcW w:w="4660" w:type="dxa"/>
            <w:vAlign w:val="bottom"/>
          </w:tcPr>
          <w:p>
            <w:pPr>
              <w:spacing w:after="0"/>
              <w:rPr>
                <w:sz w:val="20"/>
                <w:szCs w:val="20"/>
                <w:color w:val="auto"/>
              </w:rPr>
            </w:pPr>
            <w:r>
              <w:rPr>
                <w:rFonts w:ascii="Arial" w:cs="Arial" w:eastAsia="Arial" w:hAnsi="Arial"/>
                <w:sz w:val="18"/>
                <w:szCs w:val="18"/>
                <w:i w:val="1"/>
                <w:iCs w:val="1"/>
                <w:color w:val="auto"/>
              </w:rPr>
              <w:t>Weighted-average discount rate</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2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-2031365</wp:posOffset>
            </wp:positionV>
            <wp:extent cx="7132320"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-1311275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related to leases as of September 30, 2021 and 2020, respectively, are as follows: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3"/>
              </w:rPr>
              <w:t>December 31, 2020</w:t>
            </w:r>
          </w:p>
        </w:tc>
        <w:tc>
          <w:tcPr>
            <w:tcW w:w="160" w:type="dxa"/>
            <w:vAlign w:val="bottom"/>
          </w:tcPr>
          <w:p>
            <w:pPr>
              <w:spacing w:after="0"/>
              <w:rPr>
                <w:sz w:val="14"/>
                <w:szCs w:val="14"/>
                <w:color w:val="auto"/>
              </w:rPr>
            </w:pPr>
          </w:p>
        </w:tc>
      </w:tr>
      <w:tr>
        <w:trPr>
          <w:trHeight w:val="45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72,965</w:t>
            </w:r>
          </w:p>
        </w:tc>
        <w:tc>
          <w:tcPr>
            <w:tcW w:w="2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97,850</w:t>
            </w:r>
          </w:p>
        </w:tc>
        <w:tc>
          <w:tcPr>
            <w:tcW w:w="160" w:type="dxa"/>
            <w:vAlign w:val="bottom"/>
          </w:tcPr>
          <w:p>
            <w:pPr>
              <w:spacing w:after="0"/>
              <w:rPr>
                <w:sz w:val="24"/>
                <w:szCs w:val="24"/>
                <w:color w:val="auto"/>
              </w:rPr>
            </w:pPr>
          </w:p>
        </w:tc>
      </w:tr>
      <w:tr>
        <w:trPr>
          <w:trHeight w:val="338"/>
        </w:trPr>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49,902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71,483</w:t>
            </w:r>
          </w:p>
        </w:tc>
        <w:tc>
          <w:tcPr>
            <w:tcW w:w="160" w:type="dxa"/>
            <w:vAlign w:val="bottom"/>
          </w:tcPr>
          <w:p>
            <w:pPr>
              <w:spacing w:after="0"/>
              <w:rPr>
                <w:sz w:val="24"/>
                <w:szCs w:val="24"/>
                <w:color w:val="auto"/>
              </w:rPr>
            </w:pPr>
          </w:p>
        </w:tc>
      </w:tr>
      <w:tr>
        <w:trPr>
          <w:trHeight w:val="79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72,254</w:t>
            </w:r>
          </w:p>
        </w:tc>
        <w:tc>
          <w:tcPr>
            <w:tcW w:w="2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128,098</w:t>
            </w:r>
          </w:p>
        </w:tc>
        <w:tc>
          <w:tcPr>
            <w:tcW w:w="160" w:type="dxa"/>
            <w:vAlign w:val="bottom"/>
          </w:tcPr>
          <w:p>
            <w:pPr>
              <w:spacing w:after="0"/>
              <w:rPr>
                <w:sz w:val="24"/>
                <w:szCs w:val="24"/>
                <w:color w:val="auto"/>
              </w:rPr>
            </w:pPr>
          </w:p>
        </w:tc>
      </w:tr>
      <w:tr>
        <w:trPr>
          <w:trHeight w:val="230"/>
        </w:trPr>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15,538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48,724</w:t>
            </w:r>
          </w:p>
        </w:tc>
        <w:tc>
          <w:tcPr>
            <w:tcW w:w="160" w:type="dxa"/>
            <w:vAlign w:val="bottom"/>
          </w:tcPr>
          <w:p>
            <w:pPr>
              <w:spacing w:after="0"/>
              <w:rPr>
                <w:sz w:val="20"/>
                <w:szCs w:val="20"/>
                <w:color w:val="auto"/>
              </w:rPr>
            </w:pPr>
          </w:p>
        </w:tc>
      </w:tr>
      <w:tr>
        <w:trPr>
          <w:trHeight w:val="688"/>
        </w:trPr>
        <w:tc>
          <w:tcPr>
            <w:tcW w:w="100" w:type="dxa"/>
            <w:vAlign w:val="bottom"/>
          </w:tcPr>
          <w:p>
            <w:pPr>
              <w:spacing w:after="0"/>
              <w:rPr>
                <w:sz w:val="24"/>
                <w:szCs w:val="2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8.9 years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12.2 years</w:t>
            </w:r>
          </w:p>
        </w:tc>
      </w:tr>
      <w:tr>
        <w:trPr>
          <w:trHeight w:val="230"/>
        </w:trPr>
        <w:tc>
          <w:tcPr>
            <w:tcW w:w="1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13.0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13.3 years</w:t>
            </w:r>
          </w:p>
        </w:tc>
      </w:tr>
      <w:tr>
        <w:trPr>
          <w:trHeight w:val="688"/>
        </w:trPr>
        <w:tc>
          <w:tcPr>
            <w:tcW w:w="100" w:type="dxa"/>
            <w:vAlign w:val="bottom"/>
          </w:tcPr>
          <w:p>
            <w:pPr>
              <w:spacing w:after="0"/>
              <w:rPr>
                <w:sz w:val="24"/>
                <w:szCs w:val="2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0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8.0%</w:t>
            </w:r>
          </w:p>
        </w:tc>
      </w:tr>
    </w:tbl>
    <w:p>
      <w:pPr>
        <w:spacing w:after="0" w:line="624" w:lineRule="exact"/>
        <w:rPr>
          <w:sz w:val="20"/>
          <w:szCs w:val="20"/>
          <w:color w:val="auto"/>
        </w:rPr>
      </w:pPr>
    </w:p>
    <w:p>
      <w:pPr>
        <w:sectPr>
          <w:pgSz w:w="11900" w:h="16838" w:orient="portrait"/>
          <w:cols w:equalWidth="0" w:num="2">
            <w:col w:w="7680" w:space="140"/>
            <w:col w:w="3420"/>
          </w:cols>
          <w:pgMar w:left="320" w:top="125" w:right="339" w:bottom="1440" w:gutter="0" w:footer="0" w:header="0"/>
          <w:type w:val="continuous"/>
        </w:sectPr>
      </w:pP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Non-cash items: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New operating leases and remeasurements, net</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New finance leases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r>
        <w:trPr>
          <w:trHeight w:val="458"/>
        </w:trPr>
        <w:tc>
          <w:tcPr>
            <w:tcW w:w="6740" w:type="dxa"/>
            <w:vAlign w:val="bottom"/>
          </w:tcPr>
          <w:p>
            <w:pPr>
              <w:spacing w:after="0"/>
              <w:rPr>
                <w:sz w:val="20"/>
                <w:szCs w:val="20"/>
                <w:color w:val="auto"/>
              </w:rPr>
            </w:pPr>
            <w:r>
              <w:rPr>
                <w:rFonts w:ascii="Arial" w:cs="Arial" w:eastAsia="Arial" w:hAnsi="Arial"/>
                <w:sz w:val="18"/>
                <w:szCs w:val="18"/>
                <w:color w:val="auto"/>
                <w:w w:val="89"/>
              </w:rPr>
              <w:t>Future lease payments under non-cancellable leases as of September 30, 2021 are as follows: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16,667</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25,995</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(25,543)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(10,457)</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Future sublease rentals as of September 30, 2021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Sublease Rentals</w:t>
            </w:r>
          </w:p>
        </w:tc>
      </w:tr>
      <w:tr>
        <w:trPr>
          <w:trHeight w:val="223"/>
        </w:trPr>
        <w:tc>
          <w:tcPr>
            <w:tcW w:w="8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9,175</w:t>
            </w:r>
          </w:p>
        </w:tc>
        <w:tc>
          <w:tcPr>
            <w:tcW w:w="120" w:type="dxa"/>
            <w:vAlign w:val="bottom"/>
          </w:tcPr>
          <w:p>
            <w:pPr>
              <w:spacing w:after="0"/>
              <w:rPr>
                <w:sz w:val="19"/>
                <w:szCs w:val="19"/>
                <w:color w:val="auto"/>
              </w:rPr>
            </w:pPr>
          </w:p>
        </w:tc>
      </w:tr>
      <w:tr>
        <w:trPr>
          <w:trHeight w:val="229"/>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w:t>
            </w:r>
          </w:p>
        </w:tc>
        <w:tc>
          <w:tcPr>
            <w:tcW w:w="120" w:type="dxa"/>
            <w:vAlign w:val="bottom"/>
            <w:shd w:val="clear" w:color="auto" w:fill="CFF0FC"/>
          </w:tcPr>
          <w:p>
            <w:pPr>
              <w:spacing w:after="0"/>
              <w:rPr>
                <w:sz w:val="19"/>
                <w:szCs w:val="19"/>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9,331</w:t>
            </w:r>
          </w:p>
        </w:tc>
        <w:tc>
          <w:tcPr>
            <w:tcW w:w="120" w:type="dxa"/>
            <w:vAlign w:val="bottom"/>
          </w:tcPr>
          <w:p>
            <w:pPr>
              <w:spacing w:after="0"/>
              <w:rPr>
                <w:sz w:val="19"/>
                <w:szCs w:val="19"/>
                <w:color w:val="auto"/>
              </w:rPr>
            </w:pPr>
          </w:p>
        </w:tc>
      </w:tr>
      <w:tr>
        <w:trPr>
          <w:trHeight w:val="229"/>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9,411</w:t>
            </w:r>
          </w:p>
        </w:tc>
        <w:tc>
          <w:tcPr>
            <w:tcW w:w="120" w:type="dxa"/>
            <w:vAlign w:val="bottom"/>
            <w:shd w:val="clear" w:color="auto" w:fill="CFF0FC"/>
          </w:tcPr>
          <w:p>
            <w:pPr>
              <w:spacing w:after="0"/>
              <w:rPr>
                <w:sz w:val="19"/>
                <w:szCs w:val="19"/>
                <w:color w:val="auto"/>
              </w:rPr>
            </w:pPr>
          </w:p>
        </w:tc>
      </w:tr>
      <w:tr>
        <w:trPr>
          <w:trHeight w:val="230"/>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136,554</w:t>
            </w:r>
          </w:p>
        </w:tc>
        <w:tc>
          <w:tcPr>
            <w:tcW w:w="120" w:type="dxa"/>
            <w:vAlign w:val="bottom"/>
            <w:tcBorders>
              <w:bottom w:val="single" w:sz="8" w:color="CFF0FC"/>
            </w:tcBorders>
          </w:tcPr>
          <w:p>
            <w:pPr>
              <w:spacing w:after="0"/>
              <w:rPr>
                <w:sz w:val="19"/>
                <w:szCs w:val="19"/>
                <w:color w:val="auto"/>
              </w:rPr>
            </w:pPr>
          </w:p>
        </w:tc>
      </w:tr>
      <w:tr>
        <w:trPr>
          <w:trHeight w:val="223"/>
        </w:trPr>
        <w:tc>
          <w:tcPr>
            <w:tcW w:w="8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Everstream OpCo-PropCo Transaction</w:t>
      </w:r>
    </w:p>
    <w:p>
      <w:pPr>
        <w:spacing w:after="0" w:line="22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On May 28, 2021, the Company completed its previously announced strategic transaction with Everstream Solutions LLC (“Everstream”). As part of the transaction, Uniti entered into two 20-year dark fiber indefeasible rights of use (“IRU”) lease agreements with Everstream on Uniti owned</w:t>
      </w:r>
    </w:p>
    <w:p>
      <w:pPr>
        <w:ind w:right="40"/>
        <w:spacing w:after="0" w:line="253" w:lineRule="auto"/>
        <w:rPr>
          <w:sz w:val="20"/>
          <w:szCs w:val="20"/>
          <w:color w:val="auto"/>
        </w:rPr>
      </w:pPr>
      <w:r>
        <w:rPr>
          <w:rFonts w:ascii="Arial" w:cs="Arial" w:eastAsia="Arial" w:hAnsi="Arial"/>
          <w:sz w:val="18"/>
          <w:szCs w:val="18"/>
          <w:color w:val="auto"/>
        </w:rPr>
        <w:t>fiber. Concurrently, Uniti sold its Uniti Fiber Northeast operations and certain dark fiber IRU contracts acquired as part of the Windstream settlement to Everstream. Total cash consideration, including upfront IRU payments, was approximately $135 million. In addition to the upfront proceeds, Uniti will receive fees of approximately $3 million annually from Everstream over the initial 20-year term of the IRU lease agreements, subject to an annual escalator of 2%. During the quarter ended June 30, 2021, we recorded a gain of $28.1 million related to this transaction, which is included in gain on sale of operations in our Condensed Consolidated Statements of Income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9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
        </w:trPr>
        <w:tc>
          <w:tcPr>
            <w:tcW w:w="86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Assets and liabilities sold: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Property, plant and equipment, net</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44,685</w:t>
            </w:r>
          </w:p>
        </w:tc>
        <w:tc>
          <w:tcPr>
            <w:tcW w:w="100" w:type="dxa"/>
            <w:vAlign w:val="bottom"/>
            <w:shd w:val="clear" w:color="auto" w:fill="CFF0FC"/>
          </w:tcPr>
          <w:p>
            <w:pPr>
              <w:spacing w:after="0"/>
              <w:rPr>
                <w:sz w:val="19"/>
                <w:szCs w:val="19"/>
                <w:color w:val="auto"/>
              </w:rPr>
            </w:pPr>
          </w:p>
        </w:tc>
      </w:tr>
      <w:tr>
        <w:trPr>
          <w:trHeight w:val="229"/>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17,794</w:t>
            </w: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8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FF0FC"/>
          </w:tcPr>
          <w:p>
            <w:pPr>
              <w:spacing w:after="0"/>
              <w:rPr>
                <w:sz w:val="19"/>
                <w:szCs w:val="19"/>
                <w:color w:val="auto"/>
              </w:rPr>
            </w:pPr>
          </w:p>
        </w:tc>
      </w:tr>
      <w:tr>
        <w:trPr>
          <w:trHeight w:val="230"/>
        </w:trPr>
        <w:tc>
          <w:tcPr>
            <w:tcW w:w="8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Right of use assets, net</w:t>
            </w: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w:t>
            </w:r>
          </w:p>
        </w:tc>
        <w:tc>
          <w:tcPr>
            <w:tcW w:w="100" w:type="dxa"/>
            <w:vAlign w:val="bottom"/>
            <w:tcBorders>
              <w:bottom w:val="single" w:sz="8" w:color="CFF0FC"/>
            </w:tcBorders>
          </w:tcPr>
          <w:p>
            <w:pPr>
              <w:spacing w:after="0"/>
              <w:rPr>
                <w:sz w:val="19"/>
                <w:szCs w:val="19"/>
                <w:color w:val="auto"/>
              </w:rPr>
            </w:pPr>
          </w:p>
        </w:tc>
      </w:tr>
      <w:tr>
        <w:trPr>
          <w:trHeight w:val="223"/>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89,584</w:t>
            </w:r>
          </w:p>
        </w:tc>
        <w:tc>
          <w:tcPr>
            <w:tcW w:w="100" w:type="dxa"/>
            <w:vAlign w:val="bottom"/>
            <w:shd w:val="clear" w:color="auto" w:fill="CFF0FC"/>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8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Lease liabilities</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18,779</w:t>
            </w: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liabilities, net</w:t>
            </w:r>
          </w:p>
        </w:tc>
        <w:tc>
          <w:tcPr>
            <w:tcW w:w="8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FF0FC"/>
          </w:tcPr>
          <w:p>
            <w:pPr>
              <w:spacing w:after="0"/>
              <w:rPr>
                <w:sz w:val="19"/>
                <w:szCs w:val="19"/>
                <w:color w:val="auto"/>
              </w:rPr>
            </w:pPr>
          </w:p>
        </w:tc>
      </w:tr>
      <w:tr>
        <w:trPr>
          <w:trHeight w:val="230"/>
        </w:trPr>
        <w:tc>
          <w:tcPr>
            <w:tcW w:w="8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Finance lease obligations</w:t>
            </w: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w:t>
            </w:r>
          </w:p>
        </w:tc>
        <w:tc>
          <w:tcPr>
            <w:tcW w:w="100" w:type="dxa"/>
            <w:vAlign w:val="bottom"/>
            <w:tcBorders>
              <w:bottom w:val="single" w:sz="8" w:color="CFF0FC"/>
            </w:tcBorders>
          </w:tcPr>
          <w:p>
            <w:pPr>
              <w:spacing w:after="0"/>
              <w:rPr>
                <w:sz w:val="19"/>
                <w:szCs w:val="19"/>
                <w:color w:val="auto"/>
              </w:rPr>
            </w:pPr>
          </w:p>
        </w:tc>
      </w:tr>
      <w:tr>
        <w:trPr>
          <w:trHeight w:val="223"/>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55,614</w:t>
            </w:r>
          </w:p>
        </w:tc>
        <w:tc>
          <w:tcPr>
            <w:tcW w:w="100" w:type="dxa"/>
            <w:vAlign w:val="bottom"/>
            <w:shd w:val="clear" w:color="auto" w:fill="CFF0FC"/>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62,113</w:t>
            </w:r>
          </w:p>
        </w:tc>
        <w:tc>
          <w:tcPr>
            <w:tcW w:w="10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Less: total assets and liabilities sold, net</w:t>
            </w:r>
          </w:p>
        </w:tc>
        <w:tc>
          <w:tcPr>
            <w:tcW w:w="8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(33,970)</w:t>
            </w:r>
          </w:p>
        </w:tc>
      </w:tr>
      <w:tr>
        <w:trPr>
          <w:trHeight w:val="223"/>
        </w:trPr>
        <w:tc>
          <w:tcPr>
            <w:tcW w:w="8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Gain on sale of operations</w:t>
            </w:r>
          </w:p>
        </w:tc>
        <w:tc>
          <w:tcPr>
            <w:tcW w:w="880" w:type="dxa"/>
            <w:vAlign w:val="bottom"/>
            <w:tcBorders>
              <w:top w:val="single" w:sz="8" w:color="auto"/>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Settlement Agreement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18, 2020, and in furtherance of our settlement agreement with Windstream (</w:t>
      </w:r>
      <w:r>
        <w:rPr>
          <w:rFonts w:ascii="Arial" w:cs="Arial" w:eastAsia="Arial" w:hAnsi="Arial"/>
          <w:sz w:val="18"/>
          <w:szCs w:val="18"/>
          <w:u w:val="single" w:color="auto"/>
          <w:color w:val="auto"/>
        </w:rPr>
        <w:t>see Note 14</w:t>
      </w:r>
      <w:r>
        <w:rPr>
          <w:rFonts w:ascii="Arial" w:cs="Arial" w:eastAsia="Arial" w:hAnsi="Arial"/>
          <w:sz w:val="18"/>
          <w:szCs w:val="18"/>
          <w:color w:val="auto"/>
        </w:rPr>
        <w:t>), Uniti and Windstream closed an asset purchase agreement, as amended by a letter agreement (collectively, the “Asset Purchase Agreement”), pursuant to which (a) Uniti paid to Windstream approximately $284.6 million and (b) Windstream (i) granted to Uniti exclusive rights to use 1.8 million fiber strand miles leased by Windstream under the CLEC MLA, which fiber strands are either unutilized or utilized under certain dark fiber indefeasible rights of use (“IRUs”) that were simultaneously transferred to Uniti, (ii) conveyed to Uniti fiber assets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underlying rights) consisting of 0.4 million fiber strand miles (covering 4,000 route miles) owned by Windstream, and (iii) transferred and assigned to subsidiaries of Uniti dark fiber IRUs relating to (x) the fiber strand miles granted to Uniti under the CLEC MLA (and described in clause (i), and (y) the fiber assets (and underlying rights) for the 0.4 million fiber strand miles conveyed to Uniti (and described in clause (ii)), which IRUs generated $28.9 million of annual EBITDA in the aggregate as of the closing of the Asset Purchase Agreement. In addition, upon the transfer of the Windstream owned fiber assets (described in clause (ii) above), Uniti granted to Windstream a 20-year IRU for certain strands included in the transferred fiber assets.</w:t>
      </w:r>
    </w:p>
    <w:p>
      <w:pPr>
        <w:spacing w:after="0" w:line="161" w:lineRule="exact"/>
        <w:rPr>
          <w:sz w:val="20"/>
          <w:szCs w:val="20"/>
          <w:color w:val="auto"/>
        </w:rPr>
      </w:pPr>
    </w:p>
    <w:p>
      <w:pPr>
        <w:jc w:val="both"/>
        <w:ind w:right="300"/>
        <w:spacing w:after="0" w:line="263" w:lineRule="auto"/>
        <w:rPr>
          <w:rFonts w:ascii="Arial" w:cs="Arial" w:eastAsia="Arial" w:hAnsi="Arial"/>
          <w:sz w:val="18"/>
          <w:szCs w:val="18"/>
          <w:color w:val="auto"/>
        </w:rPr>
      </w:pPr>
      <w:r>
        <w:rPr>
          <w:rFonts w:ascii="Arial" w:cs="Arial" w:eastAsia="Arial" w:hAnsi="Arial"/>
          <w:sz w:val="18"/>
          <w:szCs w:val="18"/>
          <w:color w:val="auto"/>
        </w:rPr>
        <w:t>The Company concluded that the Asset Purchase Agreement, and the obligation for Uniti to make cash payments to Windstream in accordance with the terms of the Settlement Agreement (</w:t>
      </w:r>
      <w:hyperlink w:anchor="page33">
        <w:r>
          <w:rPr>
            <w:rFonts w:ascii="Arial" w:cs="Arial" w:eastAsia="Arial" w:hAnsi="Arial"/>
            <w:sz w:val="18"/>
            <w:szCs w:val="18"/>
            <w:u w:val="single" w:color="auto"/>
            <w:color w:val="auto"/>
          </w:rPr>
          <w:t>see Note 14</w:t>
        </w:r>
      </w:hyperlink>
      <w:r>
        <w:rPr>
          <w:rFonts w:ascii="Arial" w:cs="Arial" w:eastAsia="Arial" w:hAnsi="Arial"/>
          <w:sz w:val="18"/>
          <w:szCs w:val="18"/>
          <w:color w:val="auto"/>
        </w:rPr>
        <w:t>), should be combined for the accounting purpose of ASC 842. As such, total consideration provided to Windstream under the Settlement has been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-173990</wp:posOffset>
            </wp:positionV>
            <wp:extent cx="539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89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
        </w:trPr>
        <w:tc>
          <w:tcPr>
            <w:tcW w:w="868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Consideration: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Asset Purchase Agreement</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284,550</w:t>
            </w: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Fair value of settlement obligation</w:t>
            </w:r>
          </w:p>
        </w:tc>
        <w:tc>
          <w:tcPr>
            <w:tcW w:w="8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438,577</w:t>
            </w:r>
          </w:p>
        </w:tc>
        <w:tc>
          <w:tcPr>
            <w:tcW w:w="100" w:type="dxa"/>
            <w:vAlign w:val="bottom"/>
            <w:shd w:val="clear" w:color="auto" w:fill="CFF0FC"/>
          </w:tcPr>
          <w:p>
            <w:pPr>
              <w:spacing w:after="0"/>
              <w:rPr>
                <w:sz w:val="19"/>
                <w:szCs w:val="19"/>
                <w:color w:val="auto"/>
              </w:rPr>
            </w:pPr>
          </w:p>
        </w:tc>
      </w:tr>
      <w:tr>
        <w:trPr>
          <w:trHeight w:val="223"/>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Total consideration</w:t>
            </w: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723,127</w:t>
            </w:r>
          </w:p>
        </w:tc>
        <w:tc>
          <w:tcPr>
            <w:tcW w:w="100" w:type="dxa"/>
            <w:vAlign w:val="bottom"/>
          </w:tcPr>
          <w:p>
            <w:pPr>
              <w:spacing w:after="0"/>
              <w:rPr>
                <w:sz w:val="19"/>
                <w:szCs w:val="19"/>
                <w:color w:val="auto"/>
              </w:rPr>
            </w:pPr>
          </w:p>
        </w:tc>
      </w:tr>
      <w:tr>
        <w:trPr>
          <w:trHeight w:val="229"/>
        </w:trPr>
        <w:tc>
          <w:tcPr>
            <w:tcW w:w="8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Fair values of the assets acquired and liabilities assumed as of the acquisition date:</w:t>
            </w:r>
          </w:p>
        </w:tc>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Property, plant and equipment</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170,754</w:t>
            </w:r>
          </w:p>
        </w:tc>
        <w:tc>
          <w:tcPr>
            <w:tcW w:w="10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69,832</w:t>
            </w:r>
          </w:p>
        </w:tc>
        <w:tc>
          <w:tcPr>
            <w:tcW w:w="100" w:type="dxa"/>
            <w:vAlign w:val="bottom"/>
          </w:tcPr>
          <w:p>
            <w:pPr>
              <w:spacing w:after="0"/>
              <w:rPr>
                <w:sz w:val="19"/>
                <w:szCs w:val="19"/>
                <w:color w:val="auto"/>
              </w:rPr>
            </w:pPr>
          </w:p>
        </w:tc>
      </w:tr>
      <w:tr>
        <w:trPr>
          <w:trHeight w:val="229"/>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27,632</w:t>
            </w:r>
          </w:p>
        </w:tc>
        <w:tc>
          <w:tcPr>
            <w:tcW w:w="100" w:type="dxa"/>
            <w:vAlign w:val="bottom"/>
            <w:shd w:val="clear" w:color="auto" w:fill="CFF0FC"/>
          </w:tcPr>
          <w:p>
            <w:pPr>
              <w:spacing w:after="0"/>
              <w:rPr>
                <w:sz w:val="19"/>
                <w:szCs w:val="19"/>
                <w:color w:val="auto"/>
              </w:rPr>
            </w:pPr>
          </w:p>
        </w:tc>
      </w:tr>
      <w:tr>
        <w:trPr>
          <w:trHeight w:val="229"/>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Intangible liabilities, net</w:t>
            </w:r>
          </w:p>
        </w:tc>
        <w:tc>
          <w:tcPr>
            <w:tcW w:w="8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(195,091)</w:t>
            </w:r>
          </w:p>
        </w:tc>
      </w:tr>
      <w:tr>
        <w:trPr>
          <w:trHeight w:val="223"/>
        </w:trPr>
        <w:tc>
          <w:tcPr>
            <w:tcW w:w="89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assets acquired, net</w:t>
            </w:r>
          </w:p>
        </w:tc>
        <w:tc>
          <w:tcPr>
            <w:tcW w:w="8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Settlement expense</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FF0FC"/>
            </w:tcBorders>
          </w:tcPr>
          <w:p>
            <w:pPr>
              <w:spacing w:after="0"/>
              <w:rPr>
                <w:sz w:val="19"/>
                <w:szCs w:val="19"/>
                <w:color w:val="auto"/>
              </w:rPr>
            </w:pPr>
          </w:p>
        </w:tc>
      </w:tr>
      <w:tr>
        <w:trPr>
          <w:trHeight w:val="223"/>
        </w:trPr>
        <w:tc>
          <w:tcPr>
            <w:tcW w:w="89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723,127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Of the $69.8 million of intangible assets acquired, $59.3 million is related to contracts (8 year weighted-average life) and $10.5 million is related to underlying rights agreements (30 year life). The Company determined the useful life of the contract intangible assets using the weighted-average remaining term and the rights of way intangible asset by aligning the useful life of the intangible with that of the underlying fiber assets acquired. The intangible liabilities represents below market leases, where we are the lessor, and has a weighted-average useful life of 19 years, which aligns with the term of the agreement. Acquired right of use assets $27.6 million are recorded within other assets on our Condensed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Midwest Fiber Network</w:t>
      </w:r>
    </w:p>
    <w:p>
      <w:pPr>
        <w:spacing w:after="0" w:line="225" w:lineRule="exact"/>
        <w:rPr>
          <w:sz w:val="20"/>
          <w:szCs w:val="20"/>
          <w:color w:val="auto"/>
        </w:rPr>
      </w:pPr>
    </w:p>
    <w:p>
      <w:pPr>
        <w:ind w:right="26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On July 1, 2020, the Company completed the sale of the entity that controlled the Company’s Midwest fiber network assets (the “Propco”) to Macquarie Infrastructure Partners (“MIP”), selling net assets having a book value of $186.5 million for total cash consideration of $167.6 million. The Company </w:t>
      </w:r>
      <w:hyperlink w:anchor="page20">
        <w:r>
          <w:rPr>
            <w:rFonts w:ascii="Arial" w:cs="Arial" w:eastAsia="Arial" w:hAnsi="Arial"/>
            <w:sz w:val="17"/>
            <w:szCs w:val="17"/>
            <w:color w:val="auto"/>
          </w:rPr>
          <w:t>retained a 20% investment interest in the Propco, having a fair value of $41.9 million, through a newly-formed limited liability company with MIP (</w:t>
        </w:r>
        <w:r>
          <w:rPr>
            <w:rFonts w:ascii="Arial" w:cs="Arial" w:eastAsia="Arial" w:hAnsi="Arial"/>
            <w:sz w:val="17"/>
            <w:szCs w:val="17"/>
            <w:u w:val="single" w:color="auto"/>
            <w:color w:val="auto"/>
          </w:rPr>
          <w:t>see</w:t>
        </w:r>
      </w:hyperlink>
      <w:r>
        <w:rPr>
          <w:rFonts w:ascii="Arial" w:cs="Arial" w:eastAsia="Arial" w:hAnsi="Arial"/>
          <w:sz w:val="17"/>
          <w:szCs w:val="17"/>
          <w:color w:val="auto"/>
        </w:rPr>
        <w:t xml:space="preserve"> </w:t>
      </w:r>
      <w:hyperlink w:anchor="page20">
        <w:r>
          <w:rPr>
            <w:rFonts w:ascii="Arial" w:cs="Arial" w:eastAsia="Arial" w:hAnsi="Arial"/>
            <w:sz w:val="17"/>
            <w:szCs w:val="17"/>
            <w:u w:val="single" w:color="auto"/>
            <w:color w:val="auto"/>
          </w:rPr>
          <w:t>Note 6</w:t>
        </w:r>
        <w:r>
          <w:rPr>
            <w:rFonts w:ascii="Arial" w:cs="Arial" w:eastAsia="Arial" w:hAnsi="Arial"/>
            <w:sz w:val="17"/>
            <w:szCs w:val="17"/>
            <w:color w:val="auto"/>
          </w:rPr>
          <w:t>). During the quarter ended September 30, 2020, we recorded a gain of $23.0 million related to this transaction.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6782435</wp:posOffset>
            </wp:positionH>
            <wp:positionV relativeFrom="paragraph">
              <wp:posOffset>-181610</wp:posOffset>
            </wp:positionV>
            <wp:extent cx="1460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3079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U.S. Tower Portfolio</w:t>
      </w:r>
    </w:p>
    <w:p>
      <w:pPr>
        <w:spacing w:after="0" w:line="225" w:lineRule="exact"/>
        <w:rPr>
          <w:sz w:val="20"/>
          <w:szCs w:val="20"/>
          <w:color w:val="auto"/>
        </w:rPr>
      </w:pPr>
    </w:p>
    <w:p>
      <w:pPr>
        <w:ind w:right="20"/>
        <w:spacing w:after="0" w:line="268" w:lineRule="auto"/>
        <w:rPr>
          <w:rFonts w:ascii="Arial" w:cs="Arial" w:eastAsia="Arial" w:hAnsi="Arial"/>
          <w:sz w:val="17"/>
          <w:szCs w:val="17"/>
          <w:color w:val="auto"/>
        </w:rPr>
      </w:pPr>
      <w:r>
        <w:rPr>
          <w:rFonts w:ascii="Arial" w:cs="Arial" w:eastAsia="Arial" w:hAnsi="Arial"/>
          <w:sz w:val="17"/>
          <w:szCs w:val="17"/>
          <w:color w:val="auto"/>
        </w:rPr>
        <w:t>On June 1, 2020, the Company completed the sale of its U.S. tower business to Melody Investment Advisors LP (“Melody”), selling net assets having a book value of $190.0 million for total cash consideration of $225.8 million. The Company retained a 10% investment interest in the tower business, having a fair value of $26.0 million, through a newly formed limited partnership with Melody (</w:t>
      </w:r>
      <w:hyperlink w:anchor="page20">
        <w:r>
          <w:rPr>
            <w:rFonts w:ascii="Arial" w:cs="Arial" w:eastAsia="Arial" w:hAnsi="Arial"/>
            <w:sz w:val="17"/>
            <w:szCs w:val="17"/>
            <w:u w:val="single" w:color="auto"/>
            <w:color w:val="auto"/>
          </w:rPr>
          <w:t>see Note 6</w:t>
        </w:r>
      </w:hyperlink>
      <w:r>
        <w:rPr>
          <w:rFonts w:ascii="Arial" w:cs="Arial" w:eastAsia="Arial" w:hAnsi="Arial"/>
          <w:sz w:val="17"/>
          <w:szCs w:val="17"/>
          <w:color w:val="auto"/>
        </w:rPr>
        <w:t>), and will receive incremental earn-out payments, estimated to be $1.6 million, which is included in other assets on the Condensed Consolidated Balance Sheet as of December 31, 2020. During the quarter ended June 30, 2020, we recorded a gain of $63.4 million related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-297815</wp:posOffset>
            </wp:positionV>
            <wp:extent cx="481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6. Investments in Unconsolidated Entities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12529"/>
        </w:rPr>
        <w:t>As of September 30, 2021, the Company had an aggregate investment of $64.7 million in its equity method unconsolidated entities, which included a 42% interest in BB Fiber Holdings LLC (“Fiber Holdings”) and an 8% interest in Harmoni Towers LP (“Harmoni”).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Fiber Holdings </w:t>
      </w:r>
      <w:r>
        <w:rPr>
          <w:rFonts w:ascii="Arial" w:cs="Arial" w:eastAsia="Arial" w:hAnsi="Arial"/>
          <w:sz w:val="18"/>
          <w:szCs w:val="18"/>
          <w:color w:val="000000"/>
        </w:rPr>
        <w:t>was primarily established to develop fiber networks as real estate property for long-term investment. On July 1, 2020, the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8"/>
          <w:szCs w:val="18"/>
          <w:color w:val="212529"/>
        </w:rPr>
        <w:t>Fiber Holdings</w:t>
      </w:r>
      <w:r>
        <w:rPr>
          <w:rFonts w:ascii="Arial" w:cs="Arial" w:eastAsia="Arial" w:hAnsi="Arial"/>
          <w:sz w:val="18"/>
          <w:szCs w:val="18"/>
          <w:color w:val="auto"/>
        </w:rPr>
        <w:t xml:space="preserve"> was approximately $40.3 million as of September 30, 2021. The Company has not provided financial support to </w:t>
      </w:r>
      <w:r>
        <w:rPr>
          <w:rFonts w:ascii="Arial" w:cs="Arial" w:eastAsia="Arial" w:hAnsi="Arial"/>
          <w:sz w:val="18"/>
          <w:szCs w:val="18"/>
          <w:color w:val="212529"/>
        </w:rPr>
        <w:t>Fiber</w:t>
      </w:r>
      <w:r>
        <w:rPr>
          <w:rFonts w:ascii="Arial" w:cs="Arial" w:eastAsia="Arial" w:hAnsi="Arial"/>
          <w:sz w:val="18"/>
          <w:szCs w:val="18"/>
          <w:color w:val="auto"/>
        </w:rPr>
        <w:t xml:space="preserve"> </w:t>
      </w:r>
      <w:r>
        <w:rPr>
          <w:rFonts w:ascii="Arial" w:cs="Arial" w:eastAsia="Arial" w:hAnsi="Arial"/>
          <w:sz w:val="18"/>
          <w:szCs w:val="18"/>
          <w:color w:val="212529"/>
        </w:rPr>
        <w:t>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Harmoni was primarily established to develop wireless communication towers as real estate property for long-term 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 involvement with Harmoni was approximately $24.4 million as of September 30, 2021. The Company has not provided financial support to Harmoni.</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transition services to Harmoni in exchange for fees and reimbursements. Total transition service fees earned in connection with Harmoni for the three and nine months ended September 30, 2021 were $0.1 million and $0.3 million, respectively, which is included in operating expense on a net basis in our Condensed Consolidated Statements of Income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derivative assets and liabilities, our outstanding notes and other debt, settlement payable,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September 30, 2021 and December 31,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5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September 30, 2021</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2,376,990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2,376,990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secured notes - 4.75%, due April 15, 2028</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579,519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616,770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unsecured notes - 6.50%, due February 15, 2029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1,131,073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1,131,073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428,897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428,897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w w:val="94"/>
              </w:rPr>
              <w:t>Senior secured revolving credit facility, variable rate, due December 10, 2024</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179,982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179,982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Settlement payable</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Derivative liability, net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13,606</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5,675,337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5,675,337</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55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5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Prices with Other</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561,000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2,410,313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2,410,313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601,500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unsecured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 payable</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Derivative liability,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5,666,340</w:t>
            </w:r>
          </w:p>
        </w:tc>
        <w:tc>
          <w:tcPr>
            <w:tcW w:w="100" w:type="dxa"/>
            <w:vAlign w:val="bottom"/>
          </w:tcPr>
          <w:p>
            <w:pPr>
              <w:spacing w:after="0"/>
              <w:rPr>
                <w:sz w:val="20"/>
                <w:szCs w:val="20"/>
                <w:color w:val="auto"/>
              </w:rPr>
            </w:pP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5,663,383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total principal balance of our outstanding notes and other debt was $5.06 billion at September 30, 2021, with a fair value of $5.31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and liabilities are carried at fair </w:t>
      </w:r>
      <w:hyperlink w:anchor="page23">
        <w:r>
          <w:rPr>
            <w:rFonts w:ascii="Arial" w:cs="Arial" w:eastAsia="Arial" w:hAnsi="Arial"/>
            <w:sz w:val="17"/>
            <w:szCs w:val="17"/>
            <w:color w:val="auto"/>
          </w:rPr>
          <w:t xml:space="preserve">value. </w:t>
        </w:r>
        <w:r>
          <w:rPr>
            <w:rFonts w:ascii="Arial" w:cs="Arial" w:eastAsia="Arial" w:hAnsi="Arial"/>
            <w:sz w:val="17"/>
            <w:szCs w:val="17"/>
            <w:u w:val="single" w:color="auto"/>
            <w:color w:val="0000EE"/>
          </w:rPr>
          <w:t>See Note 9. The fair value of an interest rate swap is determined based on the present value of expected future cash flows using observable, quoted</w:t>
        </w:r>
      </w:hyperlink>
      <w:r>
        <w:rPr>
          <w:rFonts w:ascii="Arial" w:cs="Arial" w:eastAsia="Arial" w:hAnsi="Arial"/>
          <w:sz w:val="17"/>
          <w:szCs w:val="17"/>
          <w:color w:val="auto"/>
        </w:rPr>
        <w:t xml:space="preserve"> </w:t>
      </w:r>
      <w:hyperlink w:anchor="page23">
        <w:r>
          <w:rPr>
            <w:rFonts w:ascii="Arial" w:cs="Arial" w:eastAsia="Arial" w:hAnsi="Arial"/>
            <w:sz w:val="17"/>
            <w:szCs w:val="17"/>
            <w:u w:val="single" w:color="auto"/>
            <w:color w:val="0000EE"/>
          </w:rPr>
          <w:t>LIBOR swap rates for the full term of the swap and also incorporate credit valuation adjustments to appropriately reflect both Uniti’s own non-performance</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risk and non-performance risk of the respective counterparties. The Company has determined that the majority of the inputs used to value its derivative</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assets and liabilities fall within Level 2 of the fair value hierarchy; however, the associated credit valuation adjustments utilized Level 3 inputs, such as</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estimates of credit spreads, to evaluate the likelihood of default by the Company and its counterparties. As of September 30, 2021, the Company has</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assessed the significance of the impact of the credit valuation adjustments on the overall valuation of its derivative positions and has determined that the</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credit valuation adjustment is not significant to the overall value of the derivatives. As such, the Company classifies its derivative assets and liabilities</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valuation in Level 2 of the fair value hierarchy</w:t>
        </w:r>
        <w:r>
          <w:rPr>
            <w:rFonts w:ascii="Arial" w:cs="Arial" w:eastAsia="Arial" w:hAnsi="Arial"/>
            <w:sz w:val="17"/>
            <w:szCs w:val="17"/>
            <w:color w:val="000000"/>
          </w:rPr>
          <w:t>.</w:t>
        </w:r>
      </w:hyperlink>
    </w:p>
    <w:p>
      <w:pPr>
        <w:spacing w:after="0" w:line="182" w:lineRule="exact"/>
        <w:rPr>
          <w:rFonts w:ascii="Arial" w:cs="Arial" w:eastAsia="Arial" w:hAnsi="Arial"/>
          <w:sz w:val="17"/>
          <w:szCs w:val="17"/>
          <w:u w:val="single" w:color="auto"/>
          <w:color w:val="0000EE"/>
        </w:rPr>
      </w:pPr>
    </w:p>
    <w:p>
      <w:pPr>
        <w:ind w:right="40"/>
        <w:spacing w:after="0" w:line="311"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6">
        <w:r>
          <w:rPr>
            <w:rFonts w:ascii="Arial" w:cs="Arial" w:eastAsia="Arial" w:hAnsi="Arial"/>
            <w:sz w:val="16"/>
            <w:szCs w:val="16"/>
            <w:u w:val="single" w:color="auto"/>
            <w:color w:val="0000EE"/>
          </w:rPr>
          <w:t>see Note 11</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9" w:lineRule="exact"/>
        <w:rPr>
          <w:rFonts w:ascii="Arial" w:cs="Arial" w:eastAsia="Arial" w:hAnsi="Arial"/>
          <w:sz w:val="17"/>
          <w:szCs w:val="17"/>
          <w:u w:val="single" w:color="auto"/>
          <w:color w:val="0000EE"/>
        </w:rPr>
      </w:pPr>
    </w:p>
    <w:p>
      <w:pPr>
        <w:ind w:right="4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Uniti is required to make $490.1 million of cash payments to Windstream in equal installments over 20 consecutive quarters beginning the first month after Windstream’s emergence (the “Settlement Payable”). </w:t>
      </w:r>
      <w:hyperlink w:anchor="page33">
        <w:r>
          <w:rPr>
            <w:rFonts w:ascii="Arial" w:cs="Arial" w:eastAsia="Arial" w:hAnsi="Arial"/>
            <w:sz w:val="17"/>
            <w:szCs w:val="17"/>
            <w:u w:val="single" w:color="auto"/>
            <w:color w:val="0000EE"/>
          </w:rPr>
          <w:t>See Note 14</w:t>
        </w:r>
      </w:hyperlink>
      <w:r>
        <w:rPr>
          <w:rFonts w:ascii="Arial" w:cs="Arial" w:eastAsia="Arial" w:hAnsi="Arial"/>
          <w:sz w:val="17"/>
          <w:szCs w:val="17"/>
          <w:color w:val="auto"/>
          <w:highlight w:val="white"/>
        </w:rPr>
        <w:t>.</w:t>
      </w:r>
      <w:r>
        <w:rPr>
          <w:rFonts w:ascii="Arial" w:cs="Arial" w:eastAsia="Arial" w:hAnsi="Arial"/>
          <w:sz w:val="17"/>
          <w:szCs w:val="17"/>
          <w:color w:val="auto"/>
        </w:rPr>
        <w:t xml:space="preserve"> </w:t>
      </w:r>
      <w:r>
        <w:rPr>
          <w:rFonts w:ascii="Arial" w:cs="Arial" w:eastAsia="Arial" w:hAnsi="Arial"/>
          <w:sz w:val="17"/>
          <w:szCs w:val="17"/>
          <w:color w:val="auto"/>
          <w:highlight w:val="white"/>
        </w:rPr>
        <w:t>The Settlement Payable was recorded at fair value, using the present value of future</w:t>
      </w:r>
      <w:r>
        <w:rPr>
          <w:rFonts w:ascii="Arial" w:cs="Arial" w:eastAsia="Arial" w:hAnsi="Arial"/>
          <w:sz w:val="17"/>
          <w:szCs w:val="17"/>
          <w:color w:val="auto"/>
        </w:rPr>
        <w:t xml:space="preserve"> cash flows. The future cash flows are discounted using discount rate input based on observable market data. Accordingly, we classify inputs used as Level 2 in the fair value hierarchy. The remaining Settlement Payable is $358.3 million and is reported on our Condensed Consolidated Balance Sheet at September 30, 2021. There have been no changes in the valuation methodologies used since the initial recording.</w:t>
      </w:r>
    </w:p>
    <w:p>
      <w:pPr>
        <w:spacing w:after="0" w:line="176" w:lineRule="exact"/>
        <w:rPr>
          <w:rFonts w:ascii="Arial" w:cs="Arial" w:eastAsia="Arial" w:hAnsi="Arial"/>
          <w:sz w:val="17"/>
          <w:szCs w:val="17"/>
          <w:u w:val="single" w:color="auto"/>
          <w:color w:val="0000EE"/>
        </w:rPr>
      </w:pPr>
    </w:p>
    <w:p>
      <w:pPr>
        <w:ind w:right="40"/>
        <w:spacing w:after="0" w:line="257" w:lineRule="auto"/>
        <w:rPr>
          <w:sz w:val="20"/>
          <w:szCs w:val="20"/>
          <w:color w:val="auto"/>
        </w:rPr>
      </w:pPr>
      <w:r>
        <w:rPr>
          <w:rFonts w:ascii="Arial" w:cs="Arial" w:eastAsia="Arial" w:hAnsi="Arial"/>
          <w:sz w:val="18"/>
          <w:szCs w:val="18"/>
          <w:color w:val="auto"/>
        </w:rPr>
        <w:t>We acquired Tower Cloud, Inc. (“Tower Cloud”) on August 31, 2016. As part of the Tower Cloud acquisition, we were obligated to pay contingent consideration upon achievement of certain defined operational and financial milestones from the date of acquisition through December 31, 2021. During the three months ended March 31, 2021, the Company paid $3.0 million for the achievement of the final remaining milestone in accordance with the Tower Cloud merger agreement. During the nine months ended September 30, 2020, we paid $15.7 million for the achievement of certain milestones in accordance with the Tower Cloud merger agreement.</w:t>
      </w:r>
    </w:p>
    <w:p>
      <w:pPr>
        <w:spacing w:after="0" w:line="188" w:lineRule="exact"/>
        <w:rPr>
          <w:rFonts w:ascii="Arial" w:cs="Arial" w:eastAsia="Arial" w:hAnsi="Arial"/>
          <w:sz w:val="17"/>
          <w:szCs w:val="17"/>
          <w:u w:val="single" w:color="auto"/>
          <w:color w:val="0000EE"/>
        </w:rPr>
      </w:pPr>
    </w:p>
    <w:p>
      <w:pPr>
        <w:ind w:right="60"/>
        <w:spacing w:after="0" w:line="257" w:lineRule="auto"/>
        <w:rPr>
          <w:sz w:val="20"/>
          <w:szCs w:val="20"/>
          <w:color w:val="auto"/>
        </w:rPr>
      </w:pPr>
      <w:r>
        <w:rPr>
          <w:rFonts w:ascii="Arial" w:cs="Arial" w:eastAsia="Arial" w:hAnsi="Arial"/>
          <w:sz w:val="18"/>
          <w:szCs w:val="18"/>
          <w:color w:val="auto"/>
        </w:rPr>
        <w:t>Changes in the fair value of contingent consideration arrangements are recorded in our Condensed Consolidated Statements of Income (Loss) in the period in which the change occurs. The final measurement of the contingent consideration was recorded during the three months ended March 31, 2021, resulting in an increase in the fair value of less than $0.1 million. For the three and nine months ended September 30, 2020, there was a $1.9 million and $8.1 million, respectively, increase in the fair value of the contingent consideration that was recorded in other (income) expense on the Condensed Consolidated Statements of Income (Loss).</w:t>
      </w:r>
    </w:p>
    <w:p>
      <w:pPr>
        <w:spacing w:after="0" w:line="188"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00" w:lineRule="exact"/>
        <w:rPr>
          <w:rFonts w:ascii="Arial" w:cs="Arial" w:eastAsia="Arial" w:hAnsi="Arial"/>
          <w:sz w:val="17"/>
          <w:szCs w:val="17"/>
          <w:u w:val="single" w:color="auto"/>
          <w:color w:val="0000EE"/>
        </w:rPr>
      </w:pPr>
    </w:p>
    <w:p>
      <w:pPr>
        <w:spacing w:after="0" w:line="268"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(Gain)/Loss included in</w:t>
            </w:r>
          </w:p>
        </w:tc>
        <w:tc>
          <w:tcPr>
            <w:tcW w:w="240" w:type="dxa"/>
            <w:vAlign w:val="bottom"/>
          </w:tcPr>
          <w:p>
            <w:pPr>
              <w:spacing w:after="0"/>
              <w:rPr>
                <w:sz w:val="14"/>
                <w:szCs w:val="14"/>
                <w:color w:val="auto"/>
              </w:rPr>
            </w:pPr>
          </w:p>
        </w:tc>
        <w:tc>
          <w:tcPr>
            <w:tcW w:w="15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Settlements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Transfers into Level 3</w:t>
            </w:r>
          </w:p>
        </w:tc>
        <w:tc>
          <w:tcPr>
            <w:tcW w:w="1060" w:type="dxa"/>
            <w:vAlign w:val="bottom"/>
            <w:gridSpan w:val="2"/>
          </w:tcPr>
          <w:p>
            <w:pPr>
              <w:jc w:val="right"/>
              <w:ind w:right="396"/>
              <w:spacing w:after="0"/>
              <w:rPr>
                <w:sz w:val="20"/>
                <w:szCs w:val="20"/>
                <w:color w:val="auto"/>
              </w:rPr>
            </w:pPr>
            <w:r>
              <w:rPr>
                <w:rFonts w:ascii="Arial" w:cs="Arial" w:eastAsia="Arial" w:hAnsi="Arial"/>
                <w:sz w:val="14"/>
                <w:szCs w:val="14"/>
                <w:b w:val="1"/>
                <w:bCs w:val="1"/>
                <w:color w:val="auto"/>
                <w:w w:val="95"/>
              </w:rPr>
              <w:t>earnings</w:t>
            </w:r>
          </w:p>
        </w:tc>
        <w:tc>
          <w:tcPr>
            <w:tcW w:w="24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4"/>
              </w:rPr>
              <w:t>(2,979)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92"/>
              </w:rPr>
              <w:t>Note 8. Property, Plant and Equipment</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7"/>
          </w:tcPr>
          <w:p>
            <w:pPr>
              <w:spacing w:after="0"/>
              <w:rPr>
                <w:sz w:val="20"/>
                <w:szCs w:val="20"/>
                <w:color w:val="auto"/>
              </w:rPr>
            </w:pPr>
            <w:r>
              <w:rPr>
                <w:rFonts w:ascii="Arial" w:cs="Arial" w:eastAsia="Arial" w:hAnsi="Arial"/>
                <w:sz w:val="18"/>
                <w:szCs w:val="18"/>
                <w:color w:val="auto"/>
                <w:w w:val="98"/>
              </w:rPr>
              <w:t>The carrying value of property, plant and equipment is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Depreciable Lives</w:t>
            </w:r>
          </w:p>
        </w:tc>
        <w:tc>
          <w:tcPr>
            <w:tcW w:w="200" w:type="dxa"/>
            <w:vAlign w:val="bottom"/>
          </w:tcPr>
          <w:p>
            <w:pPr>
              <w:spacing w:after="0"/>
              <w:rPr>
                <w:sz w:val="24"/>
                <w:szCs w:val="24"/>
                <w:color w:val="auto"/>
              </w:rPr>
            </w:pPr>
          </w:p>
        </w:tc>
        <w:tc>
          <w:tcPr>
            <w:tcW w:w="20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28,157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3 - 40 years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359,045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Poles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278,565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Fiber</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4,033,649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3,737,372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5 - 7 years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321,324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Copper</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3,919,421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3,850,987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Conduit</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89,831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Tower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72,254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15 - 20 years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3 - 7 years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13,924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gridSpan w:val="4"/>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31,953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9,167,316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8,776,840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(5,694,674)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(5,503,487)</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3,472,642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3,273,353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2021 was $65.7 million and $196.8 million, respectively. Depreciation expense for the three and nine months ended September 30, 2020 was $73.3 million and $228.3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Instruments and Hedging Activities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$2.01 billion and mature on October 24, 2022. </w:t>
      </w:r>
      <w:r>
        <w:rPr>
          <w:rFonts w:ascii="Arial" w:cs="Arial" w:eastAsia="Arial" w:hAnsi="Arial"/>
          <w:sz w:val="18"/>
          <w:szCs w:val="18"/>
          <w:color w:val="1F2322"/>
        </w:rPr>
        <w:t>As result of the repayment of the Company’s senior secured term loan B facility in February 2020, the Company entered into receive-fixed interest 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following tables present the gross amounts of our derivative instruments subject to master netting arrangements with the same counterparty as of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 Offset 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Sheets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September 30, 2021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(16,355)</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16,355</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(16,355)</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(16,355)</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(16,355)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 Offset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Sheets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(27,869)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27,869</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(27,869)</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(27,869)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(27,869)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Location on Condensed</w:t>
            </w: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200" w:type="dxa"/>
            <w:vAlign w:val="bottom"/>
          </w:tcPr>
          <w:p>
            <w:pPr>
              <w:spacing w:after="0"/>
              <w:rPr>
                <w:sz w:val="12"/>
                <w:szCs w:val="12"/>
                <w:color w:val="auto"/>
              </w:rPr>
            </w:pPr>
          </w:p>
        </w:tc>
        <w:tc>
          <w:tcPr>
            <w:tcW w:w="1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1"/>
        </w:trPr>
        <w:tc>
          <w:tcPr>
            <w:tcW w:w="4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Sheets</w:t>
            </w:r>
          </w:p>
        </w:tc>
        <w:tc>
          <w:tcPr>
            <w:tcW w:w="2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Derivative liability, net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September 30, 2021, all of the interest rate swaps were valued in net unrealized loss positions and recognized as liability balances within the derivative liability, net in our Condensed Consolidated Balance Sheets. As hedge accounting is no longer applied beginning in February 2020, the unrealized loss amounts are now being recorded directly to earnings. The amount reclassified out of other comprehensive income into interest expense on our Condensed Consolidated Statements of Loss for the three and nine months ended September 30, 2021 was $2.8 million and $8.5 million, respectively. The amount reclassified out of other comprehensive income into interest expense on our Condensed Consolidated Statements of Loss for the three and nine months ended September 30, 2020 was $2.8 million and $8.0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During the next twelve months, beginning October 1, 2021, we estimate that $11.3 million will be reclassified as an increase to interest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52" w:lineRule="exact"/>
        <w:rPr>
          <w:sz w:val="20"/>
          <w:szCs w:val="20"/>
          <w:color w:val="auto"/>
        </w:rPr>
      </w:pPr>
    </w:p>
    <w:p>
      <w:pPr>
        <w:ind w:right="160"/>
        <w:spacing w:after="0" w:line="291" w:lineRule="auto"/>
        <w:rPr>
          <w:rFonts w:ascii="Arial" w:cs="Arial" w:eastAsia="Arial" w:hAnsi="Arial"/>
          <w:sz w:val="16"/>
          <w:szCs w:val="16"/>
          <w:color w:val="auto"/>
        </w:rPr>
      </w:pPr>
      <w:r>
        <w:rPr>
          <w:rFonts w:ascii="Arial" w:cs="Arial" w:eastAsia="Arial" w:hAnsi="Arial"/>
          <w:sz w:val="16"/>
          <w:szCs w:val="16"/>
          <w:color w:val="auto"/>
        </w:rPr>
        <w:t>On June 25, 2019, concurrently with the pricing of the Exchangeable Notes (</w:t>
      </w:r>
      <w:hyperlink w:anchor="page26">
        <w:r>
          <w:rPr>
            <w:rFonts w:ascii="Arial" w:cs="Arial" w:eastAsia="Arial" w:hAnsi="Arial"/>
            <w:sz w:val="16"/>
            <w:szCs w:val="16"/>
            <w:u w:val="single" w:color="auto"/>
            <w:color w:val="auto"/>
          </w:rPr>
          <w:t>see Note 11</w:t>
        </w:r>
      </w:hyperlink>
      <w:r>
        <w:rPr>
          <w:rFonts w:ascii="Arial" w:cs="Arial" w:eastAsia="Arial" w:hAnsi="Arial"/>
          <w:sz w:val="16"/>
          <w:szCs w:val="16"/>
          <w:color w:val="auto"/>
        </w:rPr>
        <w:t>), and on June 27, 2019, concurrently with the exercise by the initial purchasers involved in the offering of the Exchangeable Notes (the “Initial Purchasers”) of their option to purchase additional Exchangeable Notes, Uniti Fiber,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-870585</wp:posOffset>
            </wp:positionV>
            <wp:extent cx="5353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530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Transactions</w:t>
      </w:r>
    </w:p>
    <w:p>
      <w:pPr>
        <w:spacing w:after="0" w:line="2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 and Liabilities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the carrying amount of goodwill occurring during the three and nine months ended September 30, 2021. The balance of goodwill recorded in our Fiber Infrastructure segment as of September 30, 2021 and December 31, 2020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40" w:type="dxa"/>
            <w:vAlign w:val="bottom"/>
          </w:tcPr>
          <w:p>
            <w:pPr>
              <w:spacing w:after="0"/>
              <w:rPr>
                <w:sz w:val="20"/>
                <w:szCs w:val="20"/>
                <w:color w:val="auto"/>
              </w:rPr>
            </w:pPr>
            <w:r>
              <w:rPr>
                <w:rFonts w:ascii="Arial" w:cs="Arial" w:eastAsia="Arial" w:hAnsi="Arial"/>
                <w:sz w:val="14"/>
                <w:szCs w:val="14"/>
                <w:color w:val="auto"/>
              </w:rPr>
              <w:t>(Thousands)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76"/>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2020</w:t>
            </w:r>
          </w:p>
        </w:tc>
        <w:tc>
          <w:tcPr>
            <w:tcW w:w="2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Goodwill at September 30, 2021</w:t>
            </w: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3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00" w:type="dxa"/>
            <w:vAlign w:val="bottom"/>
            <w:vMerge w:val="restart"/>
          </w:tcPr>
          <w:p>
            <w:pPr>
              <w:jc w:val="right"/>
              <w:ind w:right="4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September 30, 2021</w:t>
            </w:r>
          </w:p>
        </w:tc>
        <w:tc>
          <w:tcPr>
            <w:tcW w:w="1000" w:type="dxa"/>
            <w:vAlign w:val="bottom"/>
          </w:tcPr>
          <w:p>
            <w:pPr>
              <w:spacing w:after="0"/>
              <w:rPr>
                <w:sz w:val="14"/>
                <w:szCs w:val="14"/>
                <w:color w:val="auto"/>
              </w:rPr>
            </w:pPr>
          </w:p>
        </w:tc>
        <w:tc>
          <w:tcPr>
            <w:tcW w:w="262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Borders>
              <w:top w:val="single" w:sz="8" w:color="auto"/>
            </w:tcBorders>
            <w:gridSpan w:val="3"/>
          </w:tcPr>
          <w:p>
            <w:pPr>
              <w:jc w:val="right"/>
              <w:ind w:right="860"/>
              <w:spacing w:after="0" w:line="133" w:lineRule="exact"/>
              <w:rPr>
                <w:sz w:val="20"/>
                <w:szCs w:val="20"/>
                <w:color w:val="auto"/>
              </w:rPr>
            </w:pPr>
            <w:r>
              <w:rPr>
                <w:rFonts w:ascii="Arial" w:cs="Arial" w:eastAsia="Arial" w:hAnsi="Arial"/>
                <w:sz w:val="14"/>
                <w:szCs w:val="14"/>
                <w:b w:val="1"/>
                <w:bCs w:val="1"/>
                <w:color w:val="auto"/>
              </w:rPr>
              <w:t>Original</w:t>
            </w: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780" w:type="dxa"/>
            <w:vAlign w:val="bottom"/>
            <w:tcBorders>
              <w:top w:val="single" w:sz="8" w:color="auto"/>
            </w:tcBorders>
            <w:gridSpan w:val="3"/>
          </w:tcPr>
          <w:p>
            <w:pPr>
              <w:jc w:val="right"/>
              <w:ind w:right="700"/>
              <w:spacing w:after="0" w:line="133" w:lineRule="exact"/>
              <w:rPr>
                <w:sz w:val="20"/>
                <w:szCs w:val="20"/>
                <w:color w:val="auto"/>
              </w:rPr>
            </w:pPr>
            <w:r>
              <w:rPr>
                <w:rFonts w:ascii="Arial" w:cs="Arial" w:eastAsia="Arial" w:hAnsi="Arial"/>
                <w:sz w:val="14"/>
                <w:szCs w:val="14"/>
                <w:b w:val="1"/>
                <w:bCs w:val="1"/>
                <w:color w:val="auto"/>
              </w:rPr>
              <w:t>Original</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Finite life intangible assets:</w:t>
            </w:r>
          </w:p>
        </w:tc>
        <w:tc>
          <w:tcPr>
            <w:tcW w:w="14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Customer lists</w:t>
            </w: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416,104</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(100,144)</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416,104</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(82,989)</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Contracts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(6,567)</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Underlying Rights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479,137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474,870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(107,061)</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(84,145)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40" w:type="dxa"/>
            <w:vAlign w:val="bottom"/>
            <w:vMerge w:val="continue"/>
          </w:tcPr>
          <w:p>
            <w:pPr>
              <w:spacing w:after="0"/>
              <w:rPr>
                <w:sz w:val="24"/>
                <w:szCs w:val="24"/>
                <w:color w:val="auto"/>
              </w:rPr>
            </w:pP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372,076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390,725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Below-market leases</w:t>
            </w:r>
          </w:p>
        </w:tc>
        <w:tc>
          <w:tcPr>
            <w:tcW w:w="11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191,154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(10,695)</w:t>
            </w:r>
          </w:p>
        </w:tc>
        <w:tc>
          <w:tcPr>
            <w:tcW w:w="1000" w:type="dxa"/>
            <w:vAlign w:val="bottom"/>
            <w:shd w:val="clear" w:color="auto" w:fill="CFF0FC"/>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190,086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Below-market leases</w:t>
            </w: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191,154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190,086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(10,695)</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liabilities, net</w:t>
            </w: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vMerge w:val="continue"/>
          </w:tcPr>
          <w:p>
            <w:pPr>
              <w:spacing w:after="0"/>
              <w:rPr>
                <w:sz w:val="20"/>
                <w:szCs w:val="20"/>
                <w:color w:val="auto"/>
              </w:rPr>
            </w:pPr>
          </w:p>
        </w:tc>
        <w:tc>
          <w:tcPr>
            <w:tcW w:w="11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180,459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187,886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2021, the remaining weighted average amortization period of the Company’s intangible assets and liabilities was 15.1 years and 18.1 years, respectively.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expense for the three and nine months ended September 30, 2021 was $4.8 million and $14.3 million, respectively. Amortization expense for the three and nine months ended September 30, 2020 was $6.5 million and $22.6 million, respectively.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is estimated to be $19.1 million for the full year of 2021, $19.1 million in 2022, $19.0 million in 2023, $19.0 million in 2024, and $19.0 million for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7"/>
        </w:trPr>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8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5,055,000</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200" w:type="dxa"/>
            <w:vAlign w:val="bottom"/>
          </w:tcPr>
          <w:p>
            <w:pPr>
              <w:spacing w:after="0"/>
              <w:rPr>
                <w:sz w:val="20"/>
                <w:szCs w:val="20"/>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(81,826)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(148,476)</w:t>
            </w:r>
          </w:p>
        </w:tc>
        <w:tc>
          <w:tcPr>
            <w:tcW w:w="0" w:type="dxa"/>
            <w:vAlign w:val="bottom"/>
          </w:tcPr>
          <w:p>
            <w:pPr>
              <w:spacing w:after="0"/>
              <w:rPr>
                <w:sz w:val="1"/>
                <w:szCs w:val="1"/>
                <w:color w:val="auto"/>
              </w:rPr>
            </w:pPr>
          </w:p>
        </w:tc>
      </w:tr>
      <w:tr>
        <w:trPr>
          <w:trHeight w:val="237"/>
        </w:trPr>
        <w:tc>
          <w:tcPr>
            <w:tcW w:w="7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4,973,174</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4,816,524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55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September 30, 2021 and December 31, 2020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4"/>
                <w:szCs w:val="1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Unamortized</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Discount,</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22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Senior secured notes - 6.00%, due April 15, 2023</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6.49%)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secured notes - 7.875%, due February 15, 2025</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8.38%)</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(33,589)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(39,852)</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 - 4.75%, due April 15, 2028</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5.04%)</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(9,184)</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4.77%)</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(6,776)</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(69,608)</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7.38%)</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(4,526)</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- 6.50%, due February 15, 2029</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6.83%)</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(21,721)</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w w:val="93"/>
              </w:rPr>
              <w:t>Senior secured revolving credit facility, variable rate, due December</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10, 2024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(6,030)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(81,826)</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(148,476)</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7" w:lineRule="auto"/>
        <w:rPr>
          <w:rFonts w:ascii="Arial" w:cs="Arial" w:eastAsia="Arial" w:hAnsi="Arial"/>
          <w:sz w:val="16"/>
          <w:szCs w:val="16"/>
          <w:color w:val="auto"/>
        </w:rPr>
      </w:pPr>
      <w:r>
        <w:rPr>
          <w:rFonts w:ascii="Arial" w:cs="Arial" w:eastAsia="Arial" w:hAnsi="Arial"/>
          <w:sz w:val="16"/>
          <w:szCs w:val="16"/>
          <w:color w:val="auto"/>
        </w:rPr>
        <w:t>At September 30, 2021, notes and other debt included the following: (i) $180.0 million under the Revolving Credit Facility (as defined below) pursuant to the credit agreement by and among Uniti Group LP, Uniti Group Finance 2019 Inc. and CSL Capital, LLC (the “Borrowers”), the guarantors and lenders party thereto and Bank of America, N.A., as administrative agent and collateral agent (the “Credit Agreement”); (ii) $2.25 billion aggregate principal amount of 7.875% Senior Secured Notes due 2025 (the “2025 Secured Notes”); (iii) $570.0 million aggregate principal amount of 4.75% Senior Secured Notes due 2028 (the “2028 Secured Notes”); (iv) $600.0 million aggregate principal amount of 7.125% Senior Unsecured Notes due December 15, 2024 (the “2024 Notes”); (v) $1.11 billion aggregate principal amount of 6.50% Senior Notes due February 15, 2029 (the “2029 Notes”); and (vi) $345.0 million aggregate principal amount of 4.00% Exchangeable Senior Notes due June 15, 2024 (the “Exchangeable Notes” and, collectively with the 2025 Secured Notes, 2028 Notes, 2024 Notes and 2029 Notes, the “Notes”). Until our net leverage ratio is below 5.75 : 1.00, our 2025 Secured Notes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Except as disclosed herein with respect to the 2030 Notes, as described below, (</w:t>
      </w:r>
      <w:hyperlink w:anchor="page35">
        <w:r>
          <w:rPr>
            <w:rFonts w:ascii="Arial" w:cs="Arial" w:eastAsia="Arial" w:hAnsi="Arial"/>
            <w:sz w:val="16"/>
            <w:szCs w:val="16"/>
            <w:u w:val="single" w:color="auto"/>
            <w:color w:val="auto"/>
          </w:rPr>
          <w:t>see Note 17</w:t>
        </w:r>
      </w:hyperlink>
      <w:r>
        <w:rPr>
          <w:rFonts w:ascii="Arial" w:cs="Arial" w:eastAsia="Arial" w:hAnsi="Arial"/>
          <w:sz w:val="16"/>
          <w:szCs w:val="16"/>
          <w:color w:val="auto"/>
        </w:rPr>
        <w:t>), the terms of the Notes are as described in the Company’s Annual Report and Quarterly Reports on Form 10-Q for the quarters ended March 31, 2021 and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-183515</wp:posOffset>
            </wp:positionV>
            <wp:extent cx="539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48" w:lineRule="exact"/>
        <w:rPr>
          <w:sz w:val="20"/>
          <w:szCs w:val="20"/>
          <w:color w:val="auto"/>
        </w:rPr>
      </w:pPr>
    </w:p>
    <w:p>
      <w:pPr>
        <w:ind w:right="8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October 13, 2021, the Operating Partnership, Uniti Fiber Holdings Inc., Uniti Group Finance 2019 Inc. and CSL Capital, LLC (the “Issuers”) issued $700 million aggregate principal amount of 6.00% Senior Unsecured Notes due 2030 (the “2030 Notes” and used the proceeds to fund the redemption in full of the 2024 Notes on December 15, 2021. On October 13, 2021, the Issuers deposited amounts sufficient to fund the redemption of the 2024 Notes with the trustee of the 2024 Notes, and to pay any related premiums, fees and expenses in connection with the foregoing, and satisfied and discharged their respective obligations under the indenture governing the 2024 Notes. </w:t>
      </w:r>
      <w:hyperlink w:anchor="page35">
        <w:r>
          <w:rPr>
            <w:rFonts w:ascii="Arial" w:cs="Arial" w:eastAsia="Arial" w:hAnsi="Arial"/>
            <w:sz w:val="17"/>
            <w:szCs w:val="17"/>
            <w:u w:val="single" w:color="auto"/>
            <w:color w:val="0000EE"/>
          </w:rPr>
          <w:t>See Note 17</w:t>
        </w:r>
      </w:hyperlink>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Borrowers are party to the Credit Agreement, which after the Seventh Amendment (as defined below), provided for a $60.5 million non-extended revolving credit facility that matures on April 24, 2022 (the “Non-Extended Revolving Credit Facility”) and a $500 million revolving credit facility extended that will mature on December 10, 2024 (the “Extended Revolving Credit Facility” and together with Non-Extended Revolving Credit facility, the “Revolving Credit Facility”), which provide us with the ability to obtain revolving loans as well as swingline loans and letters of credit from time to time. All obligations under the Credit Agreement are guaranteed by (i)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Company and (ii) certain of the Operating Partnership’s subsidiaries (the “Subsidiary Guarantors”) and are secured by substantially all of the assets of the Borrowers and the Subsidiary Guarantors.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2021, the Borrowers were in compliance with all of the covenants under the Credit Agreement.</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10, 2020, we entered into an amendment (the “Seventh Amendment”) to our Credit Agreement. Pursuant to the Seventh Amendment, commitments from new and existing lenders under the Revolving Credit Facility have increased to $500 million and the maturity date of such commitments has been extended to December 10, 2024. Certain non-extending lender commitments of $60.5 million will mature on April 24, 2022 and will continue to bear interest at rates previously in effect. Prior to the expiration of these commitments, the aggregate size of the Revolving Credit Facility will be $560.5 million from all lenders.</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Borrowings under (a) the Non-Extended Revolving Credit Facility bear interest at a rate equal to either a base rate plus an applicable margin ranging from 3.75% to 4.25% or a eurodollar rate plus an applicable margin ranging from 4.75% to 5.25% and (b) effective April 17, 2021, following the receipt of certain routine regulatory approvals, the Extended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(Loss). For the three and nine months ended September 30, 2021, we recognized $4.2 million and $12.4 million, respectively, of non-cash interest expense related to the amortization of deferred financing costs. For the three and nine months ended September 30, 2020, we recognized $3.9 million and $11.4 million, respectively, of non-cash interest expense related to the amortization of deferred financing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6" w:lineRule="auto"/>
        <w:rPr>
          <w:rFonts w:ascii="Arial" w:cs="Arial" w:eastAsia="Arial" w:hAnsi="Arial"/>
          <w:sz w:val="16"/>
          <w:szCs w:val="16"/>
          <w:color w:val="auto"/>
        </w:rPr>
      </w:pPr>
      <w:r>
        <w:rPr>
          <w:rFonts w:ascii="Arial" w:cs="Arial" w:eastAsia="Arial" w:hAnsi="Arial"/>
          <w:sz w:val="16"/>
          <w:szCs w:val="16"/>
          <w:color w:val="auto"/>
        </w:rPr>
        <w:t>The dilutive effect of the Exchangeable Notes (</w:t>
      </w:r>
      <w:hyperlink w:anchor="page26">
        <w:r>
          <w:rPr>
            <w:rFonts w:ascii="Arial" w:cs="Arial" w:eastAsia="Arial" w:hAnsi="Arial"/>
            <w:sz w:val="16"/>
            <w:szCs w:val="16"/>
            <w:u w:val="single" w:color="auto"/>
            <w:color w:val="0000EE"/>
          </w:rPr>
          <w:t>see Note 11</w:t>
        </w:r>
      </w:hyperlink>
      <w:r>
        <w:rPr>
          <w:rFonts w:ascii="Arial" w:cs="Arial" w:eastAsia="Arial" w:hAnsi="Arial"/>
          <w:sz w:val="16"/>
          <w:szCs w:val="16"/>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page23">
        <w:r>
          <w:rPr>
            <w:rFonts w:ascii="Arial" w:cs="Arial" w:eastAsia="Arial" w:hAnsi="Arial"/>
            <w:sz w:val="16"/>
            <w:szCs w:val="16"/>
            <w:u w:val="single" w:color="auto"/>
            <w:color w:val="0000EE"/>
          </w:rPr>
          <w:t>see Note 9</w:t>
        </w:r>
      </w:hyperlink>
      <w:r>
        <w:rPr>
          <w:rFonts w:ascii="Arial" w:cs="Arial" w:eastAsia="Arial" w:hAnsi="Arial"/>
          <w:sz w:val="16"/>
          <w:szCs w:val="16"/>
          <w:color w:val="auto"/>
        </w:rPr>
        <w:t>) is calculated using the treasury-stock method. During the three and nine months ended September 30, 2021 and 2020, the Warrants were excluded from diluted shares outstanding because the exercise price exceeded the average market price of our common stock for the reporting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40" w:type="dxa"/>
            <w:vAlign w:val="bottom"/>
          </w:tcPr>
          <w:p>
            <w:pPr>
              <w:spacing w:after="0"/>
              <w:rPr>
                <w:sz w:val="14"/>
                <w:szCs w:val="14"/>
                <w:color w:val="auto"/>
              </w:rPr>
            </w:pPr>
          </w:p>
        </w:tc>
        <w:tc>
          <w:tcPr>
            <w:tcW w:w="30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4"/>
                <w:szCs w:val="14"/>
                <w:color w:val="auto"/>
              </w:rPr>
            </w:pPr>
          </w:p>
        </w:tc>
        <w:tc>
          <w:tcPr>
            <w:tcW w:w="29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43,366</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(659,332)</w:t>
            </w:r>
          </w:p>
        </w:tc>
        <w:tc>
          <w:tcPr>
            <w:tcW w:w="0" w:type="dxa"/>
            <w:vAlign w:val="bottom"/>
          </w:tcPr>
          <w:p>
            <w:pPr>
              <w:spacing w:after="0"/>
              <w:rPr>
                <w:sz w:val="1"/>
                <w:szCs w:val="1"/>
                <w:color w:val="auto"/>
              </w:rPr>
            </w:pPr>
          </w:p>
        </w:tc>
      </w:tr>
      <w:tr>
        <w:trPr>
          <w:trHeight w:val="230"/>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233,513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40" w:type="dxa"/>
            <w:vAlign w:val="bottom"/>
          </w:tcPr>
          <w:p>
            <w:pPr>
              <w:spacing w:after="0"/>
              <w:rPr>
                <w:sz w:val="24"/>
                <w:szCs w:val="24"/>
                <w:color w:val="auto"/>
              </w:rPr>
            </w:pPr>
          </w:p>
        </w:tc>
        <w:tc>
          <w:tcPr>
            <w:tcW w:w="30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24"/>
                <w:szCs w:val="24"/>
                <w:color w:val="auto"/>
              </w:rPr>
            </w:pPr>
          </w:p>
        </w:tc>
        <w:tc>
          <w:tcPr>
            <w:tcW w:w="29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43,366</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87,835</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(659,332)</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gridSpan w:val="2"/>
          </w:tcPr>
          <w:p>
            <w:pPr>
              <w:ind w:left="620"/>
              <w:spacing w:after="0"/>
              <w:rPr>
                <w:sz w:val="20"/>
                <w:szCs w:val="20"/>
                <w:color w:val="auto"/>
              </w:rPr>
            </w:pPr>
            <w:r>
              <w:rPr>
                <w:rFonts w:ascii="Arial" w:cs="Arial" w:eastAsia="Arial" w:hAnsi="Arial"/>
                <w:sz w:val="18"/>
                <w:szCs w:val="18"/>
                <w:color w:val="auto"/>
              </w:rPr>
              <w:t>Impact on if-converted dilutive securities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Impact on if-converted dilutive securities</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gridSpan w:val="2"/>
          </w:tcPr>
          <w:p>
            <w:pPr>
              <w:ind w:left="260"/>
              <w:spacing w:after="0"/>
              <w:rPr>
                <w:sz w:val="20"/>
                <w:szCs w:val="20"/>
                <w:color w:val="auto"/>
              </w:rPr>
            </w:pPr>
            <w:r>
              <w:rPr>
                <w:rFonts w:ascii="Arial" w:cs="Arial" w:eastAsia="Arial" w:hAnsi="Arial"/>
                <w:sz w:val="18"/>
                <w:szCs w:val="18"/>
                <w:color w:val="auto"/>
                <w:w w:val="94"/>
              </w:rPr>
              <w:t>Weighted-average shares for dilutive earnings per common</w:t>
            </w:r>
          </w:p>
        </w:tc>
        <w:tc>
          <w:tcPr>
            <w:tcW w:w="2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264,421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198,373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232,540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194,278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740" w:type="dxa"/>
            <w:vAlign w:val="bottom"/>
            <w:gridSpan w:val="2"/>
            <w:vMerge w:val="restart"/>
          </w:tcPr>
          <w:p>
            <w:pPr>
              <w:ind w:left="26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tcBorders>
              <w:bottom w:val="single" w:sz="8" w:color="CFF0FC"/>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Dilutive earnings (loss) per common share</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20"/>
        <w:spacing w:after="0" w:line="291" w:lineRule="auto"/>
        <w:rPr>
          <w:sz w:val="20"/>
          <w:szCs w:val="20"/>
          <w:color w:val="auto"/>
        </w:rPr>
      </w:pPr>
      <w:r>
        <w:rPr>
          <w:rFonts w:ascii="Arial" w:cs="Arial" w:eastAsia="Arial" w:hAnsi="Arial"/>
          <w:sz w:val="16"/>
          <w:szCs w:val="16"/>
          <w:color w:val="auto"/>
        </w:rPr>
        <w:t>For the nine months ended September 30, 2021, 30,569,588 potential common shares related to the Exchangeable Notes were excluded from the computation of earnings per share, as their effect would have been anti-dilutive. For the three and nine months ended September 30,</w:t>
      </w:r>
    </w:p>
    <w:p>
      <w:pPr>
        <w:ind w:right="160"/>
        <w:spacing w:after="0" w:line="255" w:lineRule="auto"/>
        <w:rPr>
          <w:sz w:val="20"/>
          <w:szCs w:val="20"/>
          <w:color w:val="auto"/>
        </w:rPr>
      </w:pPr>
      <w:r>
        <w:rPr>
          <w:rFonts w:ascii="Arial" w:cs="Arial" w:eastAsia="Arial" w:hAnsi="Arial"/>
          <w:sz w:val="18"/>
          <w:szCs w:val="18"/>
          <w:color w:val="auto"/>
        </w:rPr>
        <w:t>2020, 29,504,780 potential common shares related to the Exchangeable Notes were excluded from the computation of earnings per share, as their effect would have been anti-dilutive. For the nine months ended September 30, 2020, 730,863 non-participating securities were excluded from the computation of earnings per share, as their effect would have been anti-dilutive.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Historically our management, including our chief executive officer, who is our chief operating decision maker, managed our operations as the four reportable segments, in addition to our corporate operations, as described below. Due to the sale of our towers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business and wind down of the Consumer CLEC business, effective January 1, 2021, we manage our operations focused on our two primary businesses, Leasing and Fiber Infrastructure.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color w:val="auto"/>
        </w:rPr>
        <w:t>: Represents the operations of our former towers business, Uniti Towers, through which we acquired and constructed tower and tower-related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and leased space on communications towers to wireless service providers and other tenants in the United States and Latin America. Starting in 2019, the Company completed a series of transactions to largely divest of its towers business: on April 2, 2019, May 23, 2019 and June 1, 2020, the Company completed the sales of its Latin American business, substantially all of its U.S. ground lease business, and its U.S. tower business, respectively.</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through which we operated the Consumer CLEC business, which prior to Uniti’s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spin-off from Windstream (the “Spin-Off”) was reported as an integrated 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determined in accordance with GAAP, before interest expense, provision for income taxes, depreciation and amortization, stock-based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and the impact, which may be recurring in nature, of transaction and integration related costs, costs associated with Windstream’s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bankruptcy, costs associated with litigation claims made against us, costs associated with the implementation of our enterprise resource planning system,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severance costs, costs related to the settlement with Windstream, amortization of non-cash rights-of-use, the write off of unamortized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financing costs, costs incurred as a result of the early repayment of debt, including early tender and redemption premiums and costs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related hedging activities, gains or losses on dispositions, changes in the fair value of contingent consideration and financial instruments,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similar or infrequent items (although we may not have had such charges in the periods presented). Adjusted EBITDA includes adjustments to reflect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share of Adjusted EBITDA from unconsolidated entities. The Company believes that net income, as defined by GAAP, is the most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appropriate earnings metric; however, we believe that Adjusted EBITDA serves as a useful supplement to net income because it allows investors, analysts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management to evaluate the performance of our segments in a manner that is comparable period over period. Adjusted EBITDA should not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considered as an alternative to net income as determined in accordance with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ind w:left="1000"/>
              <w:spacing w:after="0"/>
              <w:rPr>
                <w:sz w:val="20"/>
                <w:szCs w:val="20"/>
                <w:color w:val="auto"/>
              </w:rPr>
            </w:pPr>
            <w:r>
              <w:rPr>
                <w:rFonts w:ascii="Arial" w:cs="Arial" w:eastAsia="Arial" w:hAnsi="Arial"/>
                <w:sz w:val="18"/>
                <w:szCs w:val="18"/>
                <w:b w:val="1"/>
                <w:bCs w:val="1"/>
                <w:color w:val="auto"/>
                <w:w w:val="95"/>
              </w:rPr>
              <w:t>Three Months Ended September 30, 2021</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Fiber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Consumer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Infrastructure</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CLEC</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199,485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67,262</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266,747</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194,303</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27,556</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ind w:left="500"/>
              <w:spacing w:after="0"/>
              <w:rPr>
                <w:sz w:val="20"/>
                <w:szCs w:val="20"/>
                <w:color w:val="auto"/>
              </w:rPr>
            </w:pPr>
            <w:r>
              <w:rPr>
                <w:rFonts w:ascii="Arial" w:cs="Arial" w:eastAsia="Arial" w:hAnsi="Arial"/>
                <w:sz w:val="18"/>
                <w:szCs w:val="18"/>
                <w:color w:val="auto"/>
              </w:rPr>
              <w:t>-   $</w:t>
            </w:r>
          </w:p>
        </w:tc>
        <w:tc>
          <w:tcPr>
            <w:tcW w:w="1220" w:type="dxa"/>
            <w:vAlign w:val="bottom"/>
          </w:tcPr>
          <w:p>
            <w:pPr>
              <w:ind w:left="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(4,632)</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217,227</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94,793</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41,432</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29,036</w:t>
            </w:r>
          </w:p>
        </w:tc>
        <w:tc>
          <w:tcPr>
            <w:tcW w:w="72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color w:val="auto"/>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70,530</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4,472</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4,166</w:t>
            </w:r>
          </w:p>
        </w:tc>
        <w:tc>
          <w:tcPr>
            <w:tcW w:w="6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(2,244)</w:t>
            </w:r>
          </w:p>
        </w:tc>
      </w:tr>
      <w:tr>
        <w:trPr>
          <w:trHeight w:val="44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43,682</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-1748155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-1319530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20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08"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Fiber</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Infrastructure</w:t>
            </w:r>
          </w:p>
        </w:tc>
        <w:tc>
          <w:tcPr>
            <w:tcW w:w="24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8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25,419</w:t>
            </w:r>
          </w:p>
        </w:tc>
        <w:tc>
          <w:tcPr>
            <w:tcW w:w="1240" w:type="dxa"/>
            <w:vAlign w:val="bottom"/>
            <w:gridSpan w:val="2"/>
            <w:shd w:val="clear" w:color="auto" w:fill="CFF0FC"/>
          </w:tcPr>
          <w:p>
            <w:pPr>
              <w:jc w:val="center"/>
              <w:ind w:right="57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(7,775)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48,189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31,617</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vMerge w:val="restart"/>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Adjustments for equity in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89"/>
              </w:rPr>
              <w:t>earnings from unconsolidated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entities</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gridSpan w:val="2"/>
            <w:vMerge w:val="restart"/>
          </w:tcPr>
          <w:p>
            <w:pPr>
              <w:jc w:val="center"/>
              <w:ind w:right="570"/>
              <w:spacing w:after="0"/>
              <w:rPr>
                <w:sz w:val="20"/>
                <w:szCs w:val="20"/>
                <w:color w:val="auto"/>
              </w:rPr>
            </w:pPr>
            <w:r>
              <w:rPr>
                <w:rFonts w:ascii="Arial" w:cs="Arial" w:eastAsia="Arial" w:hAnsi="Arial"/>
                <w:sz w:val="18"/>
                <w:szCs w:val="18"/>
                <w:color w:val="auto"/>
                <w:w w:val="89"/>
              </w:rPr>
              <w:t>31</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ind w:left="1040"/>
              <w:spacing w:after="0"/>
              <w:rPr>
                <w:sz w:val="20"/>
                <w:szCs w:val="20"/>
                <w:color w:val="auto"/>
              </w:rPr>
            </w:pPr>
            <w:r>
              <w:rPr>
                <w:rFonts w:ascii="Arial" w:cs="Arial" w:eastAsia="Arial" w:hAnsi="Arial"/>
                <w:sz w:val="18"/>
                <w:szCs w:val="18"/>
                <w:b w:val="1"/>
                <w:bCs w:val="1"/>
                <w:color w:val="auto"/>
                <w:w w:val="97"/>
              </w:rPr>
              <w:t>Nine Months Ended September 30, 2021</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Fiber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Consumer</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Infrastructure</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CLEC</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590,478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217,035</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807,513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58"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operations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577,937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86,716</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ind w:left="500"/>
              <w:spacing w:after="0"/>
              <w:rPr>
                <w:sz w:val="20"/>
                <w:szCs w:val="20"/>
                <w:color w:val="auto"/>
              </w:rPr>
            </w:pPr>
            <w:r>
              <w:rPr>
                <w:rFonts w:ascii="Arial" w:cs="Arial" w:eastAsia="Arial" w:hAnsi="Arial"/>
                <w:sz w:val="18"/>
                <w:szCs w:val="18"/>
                <w:color w:val="auto"/>
              </w:rPr>
              <w:t>-   $</w:t>
            </w:r>
          </w:p>
        </w:tc>
        <w:tc>
          <w:tcPr>
            <w:tcW w:w="1160" w:type="dxa"/>
            <w:vAlign w:val="bottom"/>
          </w:tcPr>
          <w:p>
            <w:pPr>
              <w:ind w:left="50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(17,444)</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647,209</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341,762</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124,132</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86,838</w:t>
            </w:r>
          </w:p>
        </w:tc>
        <w:tc>
          <w:tcPr>
            <w:tcW w:w="72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color w:val="auto"/>
              </w:rPr>
              <w:t>-</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211,165</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14,569</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5,624</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(28,143)</w:t>
            </w:r>
          </w:p>
        </w:tc>
      </w:tr>
      <w:tr>
        <w:trPr>
          <w:trHeight w:val="22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10,963</w:t>
            </w:r>
          </w:p>
        </w:tc>
        <w:tc>
          <w:tcPr>
            <w:tcW w:w="6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20"/>
                <w:szCs w:val="20"/>
                <w:color w:val="auto"/>
              </w:rPr>
            </w:pPr>
          </w:p>
        </w:tc>
      </w:tr>
      <w:tr>
        <w:trPr>
          <w:trHeight w:val="44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2,609</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88,819</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-2331085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-1610995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-1182370</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19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08" w:right="339" w:bottom="1440"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Fiber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Infrastructure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Towers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Corporate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552,042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81,453</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(23,717)</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155,216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93,957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250,970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(86,726)</w:t>
            </w: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5"/>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equity in</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earnings from unconsolidated</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Commitments</w:t>
      </w:r>
    </w:p>
    <w:p>
      <w:pPr>
        <w:spacing w:after="0" w:line="225" w:lineRule="exact"/>
        <w:rPr>
          <w:sz w:val="20"/>
          <w:szCs w:val="20"/>
          <w:color w:val="auto"/>
        </w:rPr>
      </w:pPr>
    </w:p>
    <w:p>
      <w:pPr>
        <w:ind w:right="60"/>
        <w:spacing w:after="0" w:line="275" w:lineRule="auto"/>
        <w:rPr>
          <w:rFonts w:ascii="Arial" w:cs="Arial" w:eastAsia="Arial" w:hAnsi="Arial"/>
          <w:sz w:val="17"/>
          <w:szCs w:val="17"/>
          <w:color w:val="auto"/>
        </w:rPr>
      </w:pPr>
      <w:r>
        <w:rPr>
          <w:rFonts w:ascii="Arial" w:cs="Arial" w:eastAsia="Arial" w:hAnsi="Arial"/>
          <w:sz w:val="17"/>
          <w:szCs w:val="17"/>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the date of this Quarterly Report on Form 10-Q, the Company made the first five quarterly payments totaling $122.5 million. On October 14, 2021, the Company prepaid four installments for a total of $92.9 million, $78.0 million of which was funded from a portion of the proceeds of the 2030 Notes (</w:t>
      </w:r>
      <w:hyperlink w:anchor="page35">
        <w:r>
          <w:rPr>
            <w:rFonts w:ascii="Arial" w:cs="Arial" w:eastAsia="Arial" w:hAnsi="Arial"/>
            <w:sz w:val="17"/>
            <w:szCs w:val="17"/>
            <w:u w:val="single" w:color="auto"/>
            <w:color w:val="auto"/>
          </w:rPr>
          <w:t>see Note 17</w:t>
        </w:r>
      </w:hyperlink>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-41275</wp:posOffset>
            </wp:positionV>
            <wp:extent cx="539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5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 we are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 During the nine months ended September 30, 2021, Uniti reimbursed $152.3 million of Growth Capital Improvements, of which $28.5 million, as allowed under the Settlement, represented the reimbursement of capital improvements completed in 2020 that were previously classified as tenant funded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$0.9 million and reported within other assets on our Condensed Consolidated Balance Sheet as of September 30, 2021, will be amortized against revenue over the initial term of the Windstream Leases.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a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 On December 1, 2020, SLF filed a notice of appeal to the United States Court of Appeals for the Third Circuit from the district court’s dismissal order. The appeal was fully briefed on September 10, 2021. Oral argument is scheduled for December 31, 2021. We have evaluated this matter under the guidance provided by ASC 450-20,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Beginning on October 25, 2019, several purported shareholders filed separate putative class actions in the U.S. District Court for the Eastern District of Arkansas against the Company and certain of our officers, alleging violations of the federal securities laws (the “Shareholder Actions”), based on claims similar to those asserted in the SLF Action. On March 12, 2020, the U.S. District Court for the Eastern District of Arkansas consolidated the Shareholder Actions and appointed lead plaintiffs and lead counsel in the consolidated cases under the caption In re Uniti Group Inc. Securities Litigation. On May 11, 2020, lead plaintiffs filed a consolidated amended complaint in the consolidated Shareholder Actions. The consolidated amended complaint seeks to represent investors who acquired the Company’s securities between April 20, 2015 and February 15, 2019. The Shareholder Actions assert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Shareholder Actions seek class certification, unspecified 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Plaintiffs formally opposed this motion on April 29, 2021. The District Court has not yet ruled on the motion. Discovery is ongoing. We intend to defend this matter vigorously, and, because it is still in its preliminary stages, we have not yet determined what effect this lawsuit will have, if any, on our financial position or results of operations. We have evaluated this matter under the guidance provided by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w:t>
      </w:r>
    </w:p>
    <w:p>
      <w:pPr>
        <w:spacing w:after="0" w:line="3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17, 2021, two purported shareholders filed a derivative action on behalf of Uniti in the Circuit Court for Baltimore City, Maryland, under the caption Mayer et al. v. Gunderman et al., 24-C-21-003488 (the “Derivative Complaint”). The Derivative Complaint names Kenneth Gunderman and Mark Wallace as defendants and the Company as a nominal defendant and asserts claims for breach of fiduciary duty and unjust enrichment. The complaint alleges that the individual defendants caused the Company to issue certain false and misleading statements relating to the Spin-Off and/or the Master Lease. In particular, as in the Shareholder Actions, the complaint alleges, among other things, that Defendants failed to disclose the risk that the Spin-Off and entry into the Master Lease violated certain debt covenants of Windstream and/or the risk that the Master Lease purportedly could be recharacterized as a financing instead of a “true lease.” The complaint seeks unspecified damages, unspecified equitable relief, and related costs and fees. The parties are currently discussing a potential stay of the action pending the outcome of the Shareholder Actions. In the meantime, the plaintiffs have agreed to extend the time for the defendants to respond to the complaint. Because this matter is still in its preliminary stages, we have not yet determined what effect this lawsuit will have, if any, on our financial position or results of operations. We have evaluated this matter under the guidance provided by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the legal proceedings described above.</w:t>
      </w:r>
    </w:p>
    <w:p>
      <w:pPr>
        <w:spacing w:after="0" w:line="24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w:t>
      </w:r>
    </w:p>
    <w:p>
      <w:pPr>
        <w:spacing w:after="0" w:line="4"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the probability of us incurring obligations under the Tax Matters Agreement are remote; and therefore, we have recorded no such liabilities in our Condensed Consolidated Balance Sheet as of September 30,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(loss) income by component is as follows for the three and nine months ended September 30, 2021 and 2020: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23"/>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 changes in fair value (loss) gain:</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w w:val="90"/>
              </w:rPr>
              <w:t>Balance at beginning of period attributable to common shareholders</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(30,353)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(30,353)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(30,353)</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(23,442)</w:t>
            </w: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(7,713)</w:t>
            </w: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(30,478)</w:t>
            </w:r>
          </w:p>
        </w:tc>
        <w:tc>
          <w:tcPr>
            <w:tcW w:w="100" w:type="dxa"/>
            <w:vAlign w:val="bottom"/>
            <w:shd w:val="clear" w:color="auto" w:fill="CFF0FC"/>
          </w:tcPr>
          <w:p>
            <w:pPr>
              <w:spacing w:after="0"/>
              <w:rPr>
                <w:sz w:val="19"/>
                <w:szCs w:val="19"/>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rPr>
              <w:t>Less: Other comprehensive loss attributable to noncontrolling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23"/>
        </w:trPr>
        <w:tc>
          <w:tcPr>
            <w:tcW w:w="50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w w:val="99"/>
              </w:rPr>
              <w:t>Balance at end of period attributable to common shareholders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Interest rate swap termination: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Balance at beginning of period attributable to common shareholders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w:t>
            </w:r>
          </w:p>
        </w:tc>
        <w:tc>
          <w:tcPr>
            <w:tcW w:w="100" w:type="dxa"/>
            <w:vAlign w:val="bottom"/>
            <w:shd w:val="clear" w:color="auto" w:fill="CFF0FC"/>
          </w:tcPr>
          <w:p>
            <w:pPr>
              <w:spacing w:after="0"/>
              <w:rPr>
                <w:sz w:val="19"/>
                <w:szCs w:val="19"/>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w w:val="95"/>
              </w:rPr>
              <w:t>Less: Other comprehensive income attributable to noncontrolling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Balance at end of period attributable to common shareholders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w:t>
            </w:r>
          </w:p>
        </w:tc>
        <w:tc>
          <w:tcPr>
            <w:tcW w:w="10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Accumulated other comprehensive loss at end of period</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(23,155)</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2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limited partner equity interests in our operating partnership (commonly called “OP Units”), are exchangeable on a one-for-one basis for shares of our common stock or, at our election, cash of equivalent value. On August 2, 2021, the Company exchanged 2,528,199 OP Units held by a third party for an equal number of common shares of the Company. The OP Units exchanged represented approximately 73% of the OP Units held by a third party with a carrying value of $50.4 million as of the exchange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2030 Notes</w:t>
      </w:r>
    </w:p>
    <w:p>
      <w:pPr>
        <w:spacing w:after="0" w:line="225"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On October 13, 2021, the Issuers issued $700.0 million aggregate principal amount of 6.00% Senior Notes due 2030. The Issuers deposited a portion of the net proceeds from the offering with the trustee for the Issuers’ outstanding 2024 Notes sufficient to fund the redemption thereof on December 15, 2021, and to pay any related premiums, fees and expenses in connection with the foregoing. Upon such deposit, the Issuers’ obligations under the 2024 Notes and indenture were discharged. The Company used the remaining proceeds of $78.0 million to prepay a portion of the settlement obligations under the settlement agreement with Windstream. </w:t>
      </w:r>
      <w:hyperlink w:anchor="page33">
        <w:r>
          <w:rPr>
            <w:rFonts w:ascii="Arial" w:cs="Arial" w:eastAsia="Arial" w:hAnsi="Arial"/>
            <w:sz w:val="18"/>
            <w:szCs w:val="18"/>
            <w:u w:val="single" w:color="auto"/>
            <w:color w:val="auto"/>
          </w:rPr>
          <w:t>See Note 14</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-33655</wp:posOffset>
            </wp:positionV>
            <wp:extent cx="5581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165" cy="8255"/>
                    </a:xfrm>
                    <a:prstGeom prst="rect">
                      <a:avLst/>
                    </a:prstGeom>
                    <a:noFill/>
                  </pic:spPr>
                </pic:pic>
              </a:graphicData>
            </a:graphic>
          </wp:anchor>
        </w:drawing>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2030 Notes were issued at an issue price of 100% of their principal amount pursuant to an Indenture, dated as of October 13, 2021 (the “2030 Indenture”), among the Issuers, the guarantors named therein (collectively, the “Guarantors”) and Deutsche Bank Trust Company Americas, as trustee (in such capacity, the “Trustee”). The 2030 Notes mature on January 15, 2030 and bear interest at a rate of 6.000% per year. Interest on the 2030 Notes is payable on January 15 and July 15 of each year, beginning on July 15, 2022.</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Issuers may redeem the 2030 Notes, in whole or in part, at any time prior to January 15, 2025 at a redemption price equal to 100% of the principal amount of the 2030 Notes redeemed plus accrued and unpaid interest on the 2030 Notes, if any, to, but not including, the redemption date, plus an applicable “make whole” premium described in the 2030 Indenture. Thereafter, the Issuers may redeem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2030 Notes in whole or in part, at the redemption prices set forth in the 2030 Indenture. Further, at any time on or prior to January 15, 2025, up to 40% of the aggregate principal amount of the 2030 Notes may be redeemed with the net cash proceeds of certain equity offerings at a redemption price of</w:t>
      </w:r>
    </w:p>
    <w:p>
      <w:pPr>
        <w:ind w:right="60"/>
        <w:spacing w:after="0" w:line="253" w:lineRule="auto"/>
        <w:rPr>
          <w:sz w:val="20"/>
          <w:szCs w:val="20"/>
          <w:color w:val="auto"/>
        </w:rPr>
      </w:pPr>
      <w:r>
        <w:rPr>
          <w:rFonts w:ascii="Arial" w:cs="Arial" w:eastAsia="Arial" w:hAnsi="Arial"/>
          <w:sz w:val="18"/>
          <w:szCs w:val="18"/>
          <w:color w:val="auto"/>
        </w:rPr>
        <w:t>106.000% of the principal amount plus accrued and unpaid interest, if any, to, but not including, the applicable redemption date; provided that at least 60% of aggregate principal amount of the originally issued 2030 Notes remains outstanding. If certain changes of control of Uniti Group LP occur, holders of the 2030 Notes will have the right to require the Issuers to offer to repurchase their 2030 Notes at 101% of their principal amount plus accrued and unpaid interest, if any, to, but not including, the repurchase date.</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2030 Notes are fully and unconditionally guaranteed, jointly and severally, on a senior unsecured basis by the Company and by each of Uniti Group LP’s existing and future domestic restricted subsidiaries (other than the Issuers and certain regulated subsidiaries) that guarantees indebtedness under the Company’s senior secured credit facilities and existing notes (collectively, the “Guarantors”). In addition, the Issuers will use commercially reasonable efforts to obtain necessary regulatory approval to allow such non-guarantor subsidiaries of the Company to guarantee the 2030 Notes, including by making filings to obtain such approval within 60 days of the issuance of the 2030 Notes. The guarantees are subject to release under specified circumstances, including certain circumstances in which such guarantees may be automatically released without the consent of the holders of the 2030 Notes.</w:t>
      </w:r>
    </w:p>
    <w:p>
      <w:pPr>
        <w:spacing w:after="0" w:line="16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2030 Notes and the related guarantees are the Issuers’ and the Guarantors’ senior unsecured obligations and rank equal in right of payment with all of the Issuers’ and the Guarantors’ existing and future senior unsecured indebtedness and senior in right of payment to any of the Issuers’ and the Guarantors’ subordinated indebtedness. The 2030 Notes and related guarantees are effectively subordinated to all of the Issuers’ and Guarantors’ secured indebtedness (including the senior secured credit facilities and secured notes) to the extent of the value of the assets securing such indebtedness and are structurally subordinated to all existing and future liabilities (including trade payables) of the Issuers’ subsidiaries that do not guarantee the 2030 Notes.</w:t>
      </w:r>
    </w:p>
    <w:p>
      <w:pPr>
        <w:spacing w:after="0" w:line="16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2030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2030 Indenture also contains customary events of default.</w:t>
      </w:r>
    </w:p>
    <w:p>
      <w:pPr>
        <w:spacing w:after="0" w:line="373" w:lineRule="exact"/>
        <w:rPr>
          <w:sz w:val="20"/>
          <w:szCs w:val="20"/>
          <w:color w:val="auto"/>
        </w:rPr>
      </w:pPr>
    </w:p>
    <w:p>
      <w:pPr>
        <w:ind w:right="470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2021.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March 5, 2021, as amended by Amendment No. 1 thereto filed on Form 10-K/A with the SEC on March 30, 2021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“ILEC MLA”) that governs Uniti owned assets used for Windstream’s incumbent local exchange carrier (“ILEC”) operations and (b) a master lease (the “CLEC MLA”) that governs Uniti owned assets used for Windstream’s CLEC operations.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former towers business,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September 30, 2021, we are the sole general partner of the Operating Partnership and own approximately 99.6% of the partnership interests in the Operating Partnership.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80" w:firstLine="8"/>
        <w:spacing w:after="0" w:line="269"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 Consistent with this strategy, we regularly evaluate and consider potential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historically managed our operations as the four reportable business segments listed below (in addition to our corporate operations), but due to the sale of our towers business and wind down of the Consumer CLEC Business, effective January 1, 2021, we manage our operations focused on our two primary businesses, Leasing and Fiber Infrastructure:</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u w:val="single" w:color="auto"/>
          <w:color w:val="auto"/>
        </w:rPr>
        <w:t>Towers Segment</w:t>
      </w:r>
      <w:r>
        <w:rPr>
          <w:rFonts w:ascii="Arial" w:cs="Arial" w:eastAsia="Arial" w:hAnsi="Arial"/>
          <w:sz w:val="16"/>
          <w:szCs w:val="16"/>
          <w:color w:val="auto"/>
        </w:rPr>
        <w:t>: Represents the operations of our former towers business, Uniti Towers, through which we acquired and constructed tower and tower-related real estate and leased space on communications towers to wireless service providers and other tenants in the United States. Starting in 2019, the Company completed a series of transactions to largely divest of its towers business and on April 2, 2019, May 23, 2019 and June 1, 2020, the Company completed the sales of its Latin American business, substantially all of its U.S. ground lease business, and its U.S. tower business, respectively. Portions of our former towers business were a component of our REIT operations, while the remainder were owned and operated by our TRSs.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operated the Consumer CLEC Business that, prior to the Spin-Off, was reported as an integrated 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13 to our accompanying Condensed Consolidated Financial Statements contained in Part I, Item 1 of this Quarterly Report on Form 10-Q.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0"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Unsecured Notes Offering and Redemption</w:t>
      </w:r>
      <w:r>
        <w:rPr>
          <w:rFonts w:ascii="Arial" w:cs="Arial" w:eastAsia="Arial" w:hAnsi="Arial"/>
          <w:sz w:val="21"/>
          <w:szCs w:val="21"/>
          <w:i w:val="1"/>
          <w:iCs w:val="1"/>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13, 2021, the Operating Partnership, Uniti Fiber Holdings Inc., Uniti Group Finance 2019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CSL Capital, LLC (the “Issuers”) issued $700 million aggregate principal amount of 6.00% Senior Unsecured Notes due 2030 (the “2030 Notes”) and used the proceeds to fund the redemption in full of their outstanding 7.125% Senior Notes due 2024 (the “2024 Notes”) on December 15, 2021. On October 13, 2021, the Issuers deposited amounts sufficient to fund the redemption of the 2024 Notes with the trustee of the 2024 Notes, and to pay any related premiums, fees and expenses in connection with the foregoing, and satisfied and discharged their respective obligations under the indenture governing the 2024 Notes. The Company used the remaining proceeds of $78.0 million to prepay a portion of the settlement obligations under the settlement agreement with Windstream. </w:t>
      </w:r>
      <w:hyperlink w:anchor="page33">
        <w:r>
          <w:rPr>
            <w:rFonts w:ascii="Arial" w:cs="Arial" w:eastAsia="Arial" w:hAnsi="Arial"/>
            <w:sz w:val="18"/>
            <w:szCs w:val="18"/>
            <w:u w:val="single" w:color="auto"/>
            <w:color w:val="auto"/>
          </w:rPr>
          <w:t xml:space="preserve">See Notes 14 </w:t>
        </w:r>
      </w:hyperlink>
      <w:r>
        <w:rPr>
          <w:rFonts w:ascii="Arial" w:cs="Arial" w:eastAsia="Arial" w:hAnsi="Arial"/>
          <w:sz w:val="18"/>
          <w:szCs w:val="18"/>
          <w:color w:val="auto"/>
        </w:rPr>
        <w:t xml:space="preserve">and </w:t>
      </w:r>
      <w:hyperlink w:anchor="page35">
        <w:r>
          <w:rPr>
            <w:rFonts w:ascii="Arial" w:cs="Arial" w:eastAsia="Arial" w:hAnsi="Arial"/>
            <w:sz w:val="18"/>
            <w:szCs w:val="18"/>
            <w:u w:val="single" w:color="auto"/>
            <w:color w:val="auto"/>
          </w:rPr>
          <w:t xml:space="preserve">17 </w:t>
        </w:r>
      </w:hyperlink>
      <w:r>
        <w:rPr>
          <w:rFonts w:ascii="Arial" w:cs="Arial" w:eastAsia="Arial" w:hAnsi="Arial"/>
          <w:sz w:val="18"/>
          <w:szCs w:val="18"/>
          <w:color w:val="auto"/>
        </w:rPr>
        <w:t>to our accompanying Condensed Consolidated Financial Statements contained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-168910</wp:posOffset>
            </wp:positionV>
            <wp:extent cx="9391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w w:val="90"/>
              </w:rPr>
              <w:t>Three Months Ended September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199,485</w:t>
            </w:r>
          </w:p>
        </w:tc>
        <w:tc>
          <w:tcPr>
            <w:tcW w:w="80" w:type="dxa"/>
            <w:vAlign w:val="bottom"/>
          </w:tcPr>
          <w:p>
            <w:pPr>
              <w:spacing w:after="0"/>
              <w:rPr>
                <w:sz w:val="19"/>
                <w:szCs w:val="19"/>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74.8%</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182,370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70.5%</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67,262</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0"/>
              </w:rPr>
              <w:t>25.2%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29.5%</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258,765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6"/>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94,793</w:t>
            </w:r>
          </w:p>
        </w:tc>
        <w:tc>
          <w:tcPr>
            <w:tcW w:w="80" w:type="dxa"/>
            <w:vAlign w:val="bottom"/>
          </w:tcPr>
          <w:p>
            <w:pPr>
              <w:spacing w:after="0"/>
              <w:rPr>
                <w:sz w:val="19"/>
                <w:szCs w:val="19"/>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35.6%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102,791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39.8%</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0"/>
              </w:rPr>
              <w:t>26.4%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79,880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30.9%</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25,077</w:t>
            </w:r>
          </w:p>
        </w:tc>
        <w:tc>
          <w:tcPr>
            <w:tcW w:w="80" w:type="dxa"/>
            <w:vAlign w:val="bottom"/>
          </w:tcPr>
          <w:p>
            <w:pPr>
              <w:spacing w:after="0"/>
              <w:rPr>
                <w:sz w:val="19"/>
                <w:szCs w:val="19"/>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10.3%</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34,167</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0"/>
              </w:rPr>
              <w:t>12.8%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14.6%</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9"/>
                <w:szCs w:val="19"/>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8.0%</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(22,908)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(8.9%)</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225,913</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84.7%</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248,167</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3"/>
              </w:rPr>
              <w:t>95.9%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Income before income taxes and equity in earnings from</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unconsolidated entities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40,834</w:t>
            </w:r>
          </w:p>
        </w:tc>
        <w:tc>
          <w:tcPr>
            <w:tcW w:w="80" w:type="dxa"/>
            <w:vAlign w:val="bottom"/>
          </w:tcPr>
          <w:p>
            <w:pPr>
              <w:spacing w:after="0"/>
              <w:rPr>
                <w:sz w:val="20"/>
                <w:szCs w:val="20"/>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(2,244)</w:t>
            </w:r>
          </w:p>
        </w:tc>
        <w:tc>
          <w:tcPr>
            <w:tcW w:w="13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(0.9%)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Equity in (earnings) loss from unconsolidated entities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43,682</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16.4%</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87"/>
              </w:rPr>
              <w:t>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43,366</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16.3%</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7,265</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87"/>
              </w:rPr>
              <w:t>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3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16.2%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2.7%</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39</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tables set forth, for the three months ended September 30, 2021 and 2020, revenues, Adjusted EBITDA and net (loss) income of our reportable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9"/>
          </w:tcPr>
          <w:p>
            <w:pPr>
              <w:jc w:val="right"/>
              <w:ind w:right="250"/>
              <w:spacing w:after="0"/>
              <w:rPr>
                <w:sz w:val="20"/>
                <w:szCs w:val="20"/>
                <w:color w:val="auto"/>
              </w:rPr>
            </w:pPr>
            <w:r>
              <w:rPr>
                <w:rFonts w:ascii="Arial" w:cs="Arial" w:eastAsia="Arial" w:hAnsi="Arial"/>
                <w:sz w:val="18"/>
                <w:szCs w:val="18"/>
                <w:b w:val="1"/>
                <w:bCs w:val="1"/>
                <w:color w:val="auto"/>
              </w:rPr>
              <w:t>Three Months Ended September 30, 2021</w:t>
            </w: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Fiber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9"/>
              </w:rPr>
              <w:t>Consumer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Infrastructure</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rPr>
              <w:t>CLEC</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199,485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67,262</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266,747</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194,303</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27,556</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ind w:left="500"/>
              <w:spacing w:after="0"/>
              <w:rPr>
                <w:sz w:val="20"/>
                <w:szCs w:val="20"/>
                <w:color w:val="auto"/>
              </w:rPr>
            </w:pPr>
            <w:r>
              <w:rPr>
                <w:rFonts w:ascii="Arial" w:cs="Arial" w:eastAsia="Arial" w:hAnsi="Arial"/>
                <w:sz w:val="18"/>
                <w:szCs w:val="18"/>
                <w:color w:val="auto"/>
              </w:rPr>
              <w:t>-   $</w:t>
            </w:r>
          </w:p>
        </w:tc>
        <w:tc>
          <w:tcPr>
            <w:tcW w:w="1220" w:type="dxa"/>
            <w:vAlign w:val="bottom"/>
          </w:tcPr>
          <w:p>
            <w:pPr>
              <w:ind w:left="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(4,632)</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217,227</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94,793</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41,432</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29,036</w:t>
            </w:r>
          </w:p>
        </w:tc>
        <w:tc>
          <w:tcPr>
            <w:tcW w:w="72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color w:val="auto"/>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70,530</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4,472</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4,166</w:t>
            </w:r>
          </w:p>
        </w:tc>
        <w:tc>
          <w:tcPr>
            <w:tcW w:w="6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(2,244)</w:t>
            </w:r>
          </w:p>
        </w:tc>
      </w:tr>
      <w:tr>
        <w:trPr>
          <w:trHeight w:val="446"/>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43,682</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-1748155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-1319530</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20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Fiber</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Infrastructure</w:t>
            </w:r>
          </w:p>
        </w:tc>
        <w:tc>
          <w:tcPr>
            <w:tcW w:w="240" w:type="dxa"/>
            <w:vAlign w:val="bottom"/>
          </w:tcPr>
          <w:p>
            <w:pPr>
              <w:spacing w:after="0"/>
              <w:rPr>
                <w:sz w:val="20"/>
                <w:szCs w:val="20"/>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8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25,419</w:t>
            </w:r>
          </w:p>
        </w:tc>
        <w:tc>
          <w:tcPr>
            <w:tcW w:w="1240" w:type="dxa"/>
            <w:vAlign w:val="bottom"/>
            <w:gridSpan w:val="2"/>
            <w:shd w:val="clear" w:color="auto" w:fill="CFF0FC"/>
          </w:tcPr>
          <w:p>
            <w:pPr>
              <w:jc w:val="center"/>
              <w:ind w:right="57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(7,775)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48,189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31,617</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vMerge w:val="restart"/>
          </w:tcPr>
          <w:p>
            <w:pPr>
              <w:ind w:left="1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79,880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Adjustments for equity in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89"/>
              </w:rPr>
              <w:t>earnings from unconsolidated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entities</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gridSpan w:val="2"/>
            <w:vMerge w:val="restart"/>
          </w:tcPr>
          <w:p>
            <w:pPr>
              <w:jc w:val="center"/>
              <w:ind w:right="570"/>
              <w:spacing w:after="0"/>
              <w:rPr>
                <w:sz w:val="20"/>
                <w:szCs w:val="20"/>
                <w:color w:val="auto"/>
              </w:rPr>
            </w:pPr>
            <w:r>
              <w:rPr>
                <w:rFonts w:ascii="Arial" w:cs="Arial" w:eastAsia="Arial" w:hAnsi="Arial"/>
                <w:sz w:val="18"/>
                <w:szCs w:val="18"/>
                <w:color w:val="auto"/>
                <w:w w:val="89"/>
              </w:rPr>
              <w:t>40</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4"/>
        </w:trPr>
        <w:tc>
          <w:tcPr>
            <w:tcW w:w="5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Summary of Operating Metrics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Operating Metrics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b w:val="1"/>
                <w:bCs w:val="1"/>
                <w:color w:val="auto"/>
                <w:w w:val="88"/>
              </w:rPr>
              <w:t>As of September 30,</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2"/>
              </w:rPr>
              <w:t>% Increase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5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Fiber strand miles</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4,890,000</w:t>
            </w:r>
          </w:p>
        </w:tc>
        <w:tc>
          <w:tcPr>
            <w:tcW w:w="28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Copper strand miles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Fiber strand miles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2,590,000</w:t>
            </w:r>
          </w:p>
        </w:tc>
        <w:tc>
          <w:tcPr>
            <w:tcW w:w="2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2,200,000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17.7%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25,897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32"/>
        </w:trPr>
        <w:tc>
          <w:tcPr>
            <w:tcW w:w="5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w w:val="92"/>
              </w:rPr>
              <w:t>Three Months Ended September 30,</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8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8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199,485</w:t>
            </w:r>
          </w:p>
        </w:tc>
        <w:tc>
          <w:tcPr>
            <w:tcW w:w="10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74.8%</w:t>
            </w:r>
          </w:p>
        </w:tc>
        <w:tc>
          <w:tcPr>
            <w:tcW w:w="280" w:type="dxa"/>
            <w:vAlign w:val="bottom"/>
          </w:tcPr>
          <w:p>
            <w:pPr>
              <w:spacing w:after="0"/>
              <w:rPr>
                <w:sz w:val="19"/>
                <w:szCs w:val="19"/>
                <w:color w:val="auto"/>
              </w:rPr>
            </w:pPr>
          </w:p>
        </w:tc>
        <w:tc>
          <w:tcPr>
            <w:tcW w:w="800" w:type="dxa"/>
            <w:vAlign w:val="bottom"/>
            <w:gridSpan w:val="2"/>
          </w:tcPr>
          <w:p>
            <w:pPr>
              <w:jc w:val="center"/>
              <w:ind w:left="5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182,370</w:t>
            </w:r>
          </w:p>
        </w:tc>
        <w:tc>
          <w:tcPr>
            <w:tcW w:w="100" w:type="dxa"/>
            <w:vAlign w:val="bottom"/>
          </w:tcPr>
          <w:p>
            <w:pPr>
              <w:spacing w:after="0"/>
              <w:rPr>
                <w:sz w:val="19"/>
                <w:szCs w:val="19"/>
                <w:color w:val="auto"/>
              </w:rPr>
            </w:pP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70.5%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67,262</w:t>
            </w:r>
          </w:p>
        </w:tc>
        <w:tc>
          <w:tcPr>
            <w:tcW w:w="1020" w:type="dxa"/>
            <w:vAlign w:val="bottom"/>
            <w:gridSpan w:val="2"/>
            <w:shd w:val="clear" w:color="auto" w:fill="CFF0FC"/>
          </w:tcPr>
          <w:p>
            <w:pPr>
              <w:jc w:val="center"/>
              <w:ind w:left="430"/>
              <w:spacing w:after="0"/>
              <w:rPr>
                <w:sz w:val="20"/>
                <w:szCs w:val="20"/>
                <w:color w:val="auto"/>
              </w:rPr>
            </w:pPr>
            <w:r>
              <w:rPr>
                <w:rFonts w:ascii="Arial" w:cs="Arial" w:eastAsia="Arial" w:hAnsi="Arial"/>
                <w:sz w:val="18"/>
                <w:szCs w:val="18"/>
                <w:color w:val="auto"/>
                <w:w w:val="90"/>
              </w:rPr>
              <w:t>25.2%</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29.5%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0.0%</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center"/>
              <w:ind w:left="430"/>
              <w:spacing w:after="0"/>
              <w:rPr>
                <w:sz w:val="20"/>
                <w:szCs w:val="20"/>
                <w:color w:val="auto"/>
              </w:rPr>
            </w:pPr>
            <w:r>
              <w:rPr>
                <w:rFonts w:ascii="Arial" w:cs="Arial" w:eastAsia="Arial" w:hAnsi="Arial"/>
                <w:sz w:val="18"/>
                <w:szCs w:val="18"/>
                <w:color w:val="auto"/>
                <w:w w:val="92"/>
              </w:rPr>
              <w:t>0.0%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266,747</w:t>
            </w: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258,765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pursuant to the Windstream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The aggregate initial annual rent under the Windstream Leases is $663 million, equal to the annual rent under the Master Lease previously in effect, and is subject to annual escalation at a rate of 0.5%.</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Pursuant to the Windstream Leases, Windstream (or any successor tenant under a Windstream Lease) has the right to cause Uniti to reimburse up to an aggregate $1.75 billion for certain growth capital improvements in long-term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Accordingly,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because we funded $84.7 million of the $125 million limit in 2020, we are committed to fund up to $265.3 million of Growth Capital Improvements in 2021.</w:t>
      </w:r>
    </w:p>
    <w:p>
      <w:pPr>
        <w:spacing w:after="0" w:line="170" w:lineRule="exact"/>
        <w:rPr>
          <w:sz w:val="20"/>
          <w:szCs w:val="20"/>
          <w:color w:val="auto"/>
        </w:rPr>
      </w:pPr>
    </w:p>
    <w:p>
      <w:pPr>
        <w:jc w:val="both"/>
        <w:ind w:right="560"/>
        <w:spacing w:after="0" w:line="29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were made to Windstream during quarter ended September 30, 2021.</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17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three months ended September 30, 2021, Uniti reimbursed $60.2 million of Growth Capital Improvements. Subsequent to September 30, 2021, Windstream requested, and we reimbursed $16.5 million of qualifying Growth Capital Improvements. As of the date of this Quarterly Report on Form 10-Q, we have reimbursed a total of $253.5 million of Growth Capital Improvements.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5"/>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00" w:type="dxa"/>
            <w:vAlign w:val="bottom"/>
          </w:tcPr>
          <w:p>
            <w:pPr>
              <w:spacing w:after="0"/>
              <w:rPr>
                <w:sz w:val="17"/>
                <w:szCs w:val="17"/>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Windstream Leases: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rent</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83.5%</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90.9%</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380"/>
              <w:spacing w:after="0"/>
              <w:rPr>
                <w:sz w:val="20"/>
                <w:szCs w:val="20"/>
                <w:color w:val="auto"/>
              </w:rPr>
            </w:pPr>
            <w:r>
              <w:rPr>
                <w:rFonts w:ascii="Arial" w:cs="Arial" w:eastAsia="Arial" w:hAnsi="Arial"/>
                <w:sz w:val="18"/>
                <w:szCs w:val="18"/>
                <w:color w:val="auto"/>
              </w:rPr>
              <w:t>Non-cash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TCI revenue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5.0%</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Straight-line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3.3%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19"/>
                <w:szCs w:val="19"/>
                <w:color w:val="auto"/>
              </w:rPr>
            </w:pPr>
          </w:p>
        </w:tc>
      </w:tr>
      <w:tr>
        <w:trPr>
          <w:trHeight w:val="223"/>
        </w:trPr>
        <w:tc>
          <w:tcPr>
            <w:tcW w:w="53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non-cash revenue</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8.3%</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Total Windstream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183.2</w:t>
            </w:r>
          </w:p>
        </w:tc>
        <w:tc>
          <w:tcPr>
            <w:tcW w:w="2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91.8%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96.2%</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triple-net leasing and dark fiber IRU</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8.2%</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ind w:left="380"/>
              <w:spacing w:after="0"/>
              <w:rPr>
                <w:sz w:val="20"/>
                <w:szCs w:val="20"/>
                <w:color w:val="auto"/>
              </w:rPr>
            </w:pPr>
            <w:r>
              <w:rPr>
                <w:rFonts w:ascii="Arial" w:cs="Arial" w:eastAsia="Arial" w:hAnsi="Arial"/>
                <w:sz w:val="18"/>
                <w:szCs w:val="18"/>
                <w:color w:val="auto"/>
              </w:rPr>
              <w:t>Total Leasing revenues</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TCI revenue is attributable to continued investment by Windstream, which invested $34.2 million in TCIs during the three months ended September 30, 2021. The total amount invested in TCIs by Windstream since the inception of the Windstream Leases and Master Lease was $986.7 million as of September 30, 2021. For the three months ended September 30, 2021, we recognized $16.3 million of leasing revenues from non-Windstream triple-net leasing and dark fiber indefeasible rights of use (“IRU”)</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arrangements. For the three months ended September 30, 2020, we recognized $6.9 million from non-Windstream triple-net leasing and dark fiber IRU arrangements.</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September 30, 2020 can be found at www.sec.gov. Additionally, the Windstream audited financial statements as of December 31, 2020 and for the period from September 22, 2020 to December 31, 2020 and as of December 31, 2019 and for the period from January 1, 2020 to September 21, 2020 and for each of the two years in the period ended December 31, 2019 are included as an exhibit to our Annual Report. On September 22, 2020, Windstream filed a Form 15 to terminate all filing obligations under Section 12(g) and 15(d) under the Exchange Act. Windstream filings are not incorporated by reference in this Quarterly Report on Form 10-Q.</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In order to assist us in our continuing assessment of Windstream’s creditworthiness, we receive certain confidential financial information and metrics from Windstream.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September 30, 2021 and 2020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b w:val="1"/>
                <w:bCs w:val="1"/>
                <w:color w:val="auto"/>
                <w:w w:val="96"/>
              </w:rPr>
              <w:t>Three Months Ended September 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2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Lit backhaul services</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19,381</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28.8%</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25,160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20,863</w:t>
            </w:r>
          </w:p>
        </w:tc>
        <w:tc>
          <w:tcPr>
            <w:tcW w:w="14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31.1%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19,875</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26.0%</w:t>
            </w:r>
          </w:p>
        </w:tc>
        <w:tc>
          <w:tcPr>
            <w:tcW w:w="12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E-Rate and government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13,505</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17,375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22.7%</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12,674</w:t>
            </w:r>
          </w:p>
        </w:tc>
        <w:tc>
          <w:tcPr>
            <w:tcW w:w="14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18.8%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11,640</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15.2%</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Other services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839</w:t>
            </w:r>
          </w:p>
        </w:tc>
        <w:tc>
          <w:tcPr>
            <w:tcW w:w="14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1.2%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3.1%</w:t>
            </w:r>
          </w:p>
        </w:tc>
        <w:tc>
          <w:tcPr>
            <w:tcW w:w="12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76,395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For the three months ended September 30, 2021, Fiber Infrastructure revenues totaled $67.3 million as compared to $76.4 million for the three months ended September 30, 2020. As of September 30, 2021, we had approximately 25,897 customer connections, up from 25,885 customer connections as of September 30, 2020. The $9.1 million decrease in Fiber Infrastructure revenues is primarily attributable to a $4.7 million decrease in lit backhaul service revenues related to the Uniti Fiber Northeast operations sold on May 28, 2021, a $1.9 million decrease related to the wind down of our construction activities, shown above within E-rate and government, and a $3.1 million decrease in equipment sales and installation revenue.</w:t>
      </w:r>
    </w:p>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2021, we recognized no revenue from the Towers business, as we completed the sale of our U.S. tower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on June 1,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2021, we recognized no revenue from the Consumer CLEC Business,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gridSpan w:val="10"/>
          </w:tcPr>
          <w:p>
            <w:pPr>
              <w:jc w:val="right"/>
              <w:ind w:right="1080"/>
              <w:spacing w:after="0"/>
              <w:rPr>
                <w:sz w:val="20"/>
                <w:szCs w:val="20"/>
                <w:color w:val="auto"/>
              </w:rPr>
            </w:pPr>
            <w:r>
              <w:rPr>
                <w:rFonts w:ascii="Arial" w:cs="Arial" w:eastAsia="Arial" w:hAnsi="Arial"/>
                <w:sz w:val="18"/>
                <w:szCs w:val="18"/>
                <w:b w:val="1"/>
                <w:bCs w:val="1"/>
                <w:color w:val="auto"/>
              </w:rPr>
              <w:t>Three Months Ended September 30,</w:t>
            </w: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50"/>
              <w:spacing w:after="0" w:line="205" w:lineRule="exact"/>
              <w:rPr>
                <w:sz w:val="20"/>
                <w:szCs w:val="20"/>
                <w:color w:val="auto"/>
              </w:rPr>
            </w:pPr>
            <w:r>
              <w:rPr>
                <w:rFonts w:ascii="Arial" w:cs="Arial" w:eastAsia="Arial" w:hAnsi="Arial"/>
                <w:sz w:val="18"/>
                <w:szCs w:val="18"/>
                <w:b w:val="1"/>
                <w:bCs w:val="1"/>
                <w:color w:val="auto"/>
                <w:w w:val="96"/>
              </w:rPr>
              <w:t>Increase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gridSpan w:val="4"/>
          </w:tcPr>
          <w:p>
            <w:pPr>
              <w:spacing w:after="0"/>
              <w:rPr>
                <w:sz w:val="20"/>
                <w:szCs w:val="20"/>
                <w:color w:val="auto"/>
              </w:rPr>
            </w:pPr>
            <w:r>
              <w:rPr>
                <w:rFonts w:ascii="Arial" w:cs="Arial" w:eastAsia="Arial" w:hAnsi="Arial"/>
                <w:sz w:val="18"/>
                <w:szCs w:val="18"/>
                <w:color w:val="auto"/>
              </w:rPr>
              <w:t>(Thousands)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tcPr>
          <w:p>
            <w:pPr>
              <w:ind w:left="260"/>
              <w:spacing w:after="0"/>
              <w:rPr>
                <w:sz w:val="20"/>
                <w:szCs w:val="20"/>
                <w:color w:val="auto"/>
              </w:rPr>
            </w:pPr>
            <w:r>
              <w:rPr>
                <w:rFonts w:ascii="Arial" w:cs="Arial" w:eastAsia="Arial" w:hAnsi="Arial"/>
                <w:sz w:val="18"/>
                <w:szCs w:val="18"/>
                <w:b w:val="1"/>
                <w:bCs w:val="1"/>
                <w:color w:val="auto"/>
              </w:rPr>
              <w:t>Cash:</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Senior secured notes - 4.75%, 6.00% and 7.875%</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29"/>
        </w:trPr>
        <w:tc>
          <w:tcPr>
            <w:tcW w:w="6440" w:type="dxa"/>
            <w:vAlign w:val="bottom"/>
            <w:gridSpan w:val="4"/>
          </w:tcPr>
          <w:p>
            <w:pPr>
              <w:ind w:left="380"/>
              <w:spacing w:after="0"/>
              <w:rPr>
                <w:sz w:val="20"/>
                <w:szCs w:val="20"/>
                <w:color w:val="auto"/>
              </w:rPr>
            </w:pPr>
            <w:r>
              <w:rPr>
                <w:rFonts w:ascii="Arial" w:cs="Arial" w:eastAsia="Arial" w:hAnsi="Arial"/>
                <w:sz w:val="18"/>
                <w:szCs w:val="18"/>
                <w:color w:val="auto"/>
              </w:rPr>
              <w:t>Senior unsecured notes - 4.00%, 6.50%. 7.125% and 8.25%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30"/>
        </w:trPr>
        <w:tc>
          <w:tcPr>
            <w:tcW w:w="644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tcPr>
          <w:p>
            <w:pPr>
              <w:ind w:left="380"/>
              <w:spacing w:after="0"/>
              <w:rPr>
                <w:sz w:val="20"/>
                <w:szCs w:val="20"/>
                <w:color w:val="auto"/>
              </w:rPr>
            </w:pPr>
            <w:r>
              <w:rPr>
                <w:rFonts w:ascii="Arial" w:cs="Arial" w:eastAsia="Arial" w:hAnsi="Arial"/>
                <w:sz w:val="18"/>
                <w:szCs w:val="18"/>
                <w:color w:val="auto"/>
              </w:rPr>
              <w:t>Interest rate swap termination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6440" w:type="dxa"/>
            <w:vAlign w:val="bottom"/>
            <w:gridSpan w:val="4"/>
          </w:tcPr>
          <w:p>
            <w:pPr>
              <w:ind w:left="500"/>
              <w:spacing w:after="0"/>
              <w:rPr>
                <w:sz w:val="20"/>
                <w:szCs w:val="20"/>
                <w:color w:val="auto"/>
              </w:rPr>
            </w:pPr>
            <w:r>
              <w:rPr>
                <w:rFonts w:ascii="Arial" w:cs="Arial" w:eastAsia="Arial" w:hAnsi="Arial"/>
                <w:sz w:val="18"/>
                <w:szCs w:val="18"/>
                <w:color w:val="auto"/>
              </w:rPr>
              <w:t>Total cash interest</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shd w:val="clear" w:color="auto" w:fill="CFF0FC"/>
          </w:tcPr>
          <w:p>
            <w:pPr>
              <w:ind w:left="260"/>
              <w:spacing w:after="0"/>
              <w:rPr>
                <w:sz w:val="20"/>
                <w:szCs w:val="20"/>
                <w:color w:val="auto"/>
              </w:rPr>
            </w:pPr>
            <w:r>
              <w:rPr>
                <w:rFonts w:ascii="Arial" w:cs="Arial" w:eastAsia="Arial" w:hAnsi="Arial"/>
                <w:sz w:val="18"/>
                <w:szCs w:val="18"/>
                <w:b w:val="1"/>
                <w:bCs w:val="1"/>
                <w:color w:val="auto"/>
              </w:rPr>
              <w:t>Non-cash:</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4"/>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29"/>
        </w:trPr>
        <w:tc>
          <w:tcPr>
            <w:tcW w:w="644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Accretion of settlement payable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4"/>
          </w:tcPr>
          <w:p>
            <w:pPr>
              <w:ind w:left="380"/>
              <w:spacing w:after="0"/>
              <w:rPr>
                <w:sz w:val="20"/>
                <w:szCs w:val="20"/>
                <w:color w:val="auto"/>
              </w:rPr>
            </w:pPr>
            <w:r>
              <w:rPr>
                <w:rFonts w:ascii="Arial" w:cs="Arial" w:eastAsia="Arial" w:hAnsi="Arial"/>
                <w:sz w:val="18"/>
                <w:szCs w:val="18"/>
                <w:color w:val="auto"/>
              </w:rPr>
              <w:t>Capitalized Interest</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gridSpan w:val="4"/>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4"/>
          </w:tcPr>
          <w:p>
            <w:pPr>
              <w:ind w:left="620"/>
              <w:spacing w:after="0"/>
              <w:rPr>
                <w:sz w:val="20"/>
                <w:szCs w:val="20"/>
                <w:color w:val="auto"/>
              </w:rPr>
            </w:pPr>
            <w:r>
              <w:rPr>
                <w:rFonts w:ascii="Arial" w:cs="Arial" w:eastAsia="Arial" w:hAnsi="Arial"/>
                <w:sz w:val="18"/>
                <w:szCs w:val="18"/>
                <w:color w:val="auto"/>
              </w:rPr>
              <w:t>Total interest expense, net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spacing w:after="0"/>
              <w:rPr>
                <w:rFonts w:ascii="Arial" w:cs="Arial" w:eastAsia="Arial" w:hAnsi="Arial"/>
                <w:sz w:val="15"/>
                <w:szCs w:val="15"/>
                <w:color w:val="auto"/>
              </w:rPr>
            </w:pPr>
            <w:r>
              <w:rPr>
                <w:rFonts w:ascii="Arial" w:cs="Arial" w:eastAsia="Arial" w:hAnsi="Arial"/>
                <w:sz w:val="15"/>
                <w:szCs w:val="15"/>
                <w:color w:val="auto"/>
              </w:rPr>
              <w:t xml:space="preserve">(1) </w:t>
            </w:r>
            <w:r>
              <w:rPr>
                <w:rFonts w:ascii="Arial" w:cs="Arial" w:eastAsia="Arial" w:hAnsi="Arial"/>
                <w:sz w:val="17"/>
                <w:szCs w:val="17"/>
                <w:color w:val="auto"/>
              </w:rPr>
              <w:t xml:space="preserve">Swapped to fixed rate. </w:t>
            </w:r>
            <w:hyperlink w:anchor="page23">
              <w:r>
                <w:rPr>
                  <w:rFonts w:ascii="Arial" w:cs="Arial" w:eastAsia="Arial" w:hAnsi="Arial"/>
                  <w:sz w:val="17"/>
                  <w:szCs w:val="17"/>
                  <w:color w:val="auto"/>
                </w:rPr>
                <w:t>See Note 9</w:t>
              </w:r>
            </w:hyperlink>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4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for the three months ended September 30, 2021 decreased $8.0 million compared to the three months ended September 30, 2020. The decrease is primarily due to lower cash interest expense of $6.9 million resulting from the extinguishment of the 6.00% Senior Secured Notes due 2023 (the “2023 Secured Notes”) and 8.25% Senior Unsecured Notes due 2023 (the “2023 Notes”).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Three Months Ended September 30,</w:t>
            </w: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50"/>
              <w:spacing w:after="0" w:line="205" w:lineRule="exact"/>
              <w:rPr>
                <w:sz w:val="20"/>
                <w:szCs w:val="20"/>
                <w:color w:val="auto"/>
              </w:rPr>
            </w:pPr>
            <w:r>
              <w:rPr>
                <w:rFonts w:ascii="Arial" w:cs="Arial" w:eastAsia="Arial" w:hAnsi="Arial"/>
                <w:sz w:val="18"/>
                <w:szCs w:val="18"/>
                <w:b w:val="1"/>
                <w:bCs w:val="1"/>
                <w:color w:val="auto"/>
                <w:w w:val="96"/>
              </w:rPr>
              <w:t>Increase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Arial" w:cs="Arial" w:eastAsia="Arial" w:hAnsi="Arial"/>
                <w:sz w:val="18"/>
                <w:szCs w:val="18"/>
                <w:color w:val="auto"/>
              </w:rPr>
              <w:t>(Thousands)</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w:t>
            </w:r>
          </w:p>
        </w:tc>
        <w:tc>
          <w:tcPr>
            <w:tcW w:w="2000" w:type="dxa"/>
            <w:vAlign w:val="bottom"/>
            <w:gridSpan w:val="3"/>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42,376</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Fiber Infrastructure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Towers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Consumer CLEC</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Total depreciation expense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73,368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Leasing</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Fiber Infrastructure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Towers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Consumer CLEC</w:t>
            </w:r>
          </w:p>
        </w:tc>
        <w:tc>
          <w:tcPr>
            <w:tcW w:w="15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amortization expense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depreciation and amortization expense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79,880</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00" w:type="dxa"/>
            <w:vAlign w:val="bottom"/>
            <w:vMerge w:val="restart"/>
          </w:tcPr>
          <w:p>
            <w:pPr>
              <w:jc w:val="right"/>
              <w:ind w:right="45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depreciation expense decreased $5.8 million for the quarter ended September 30, 2021 as compared to the quarter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decrease is attributable to a $7.6 million decrease related to the natural decrease in remaining useful life of the Windstream Distribution System assets which utilize the group composite depreciation method, partially offset by a $1.4 million increase in depreciation expense related to the asset purchase agreement the Company entered into with Windstream which was completed in the third quarter of 2020 (the “Asset Purchase Agreement”), which is discussed in greater detail in Note 5 to our accompanying Condensed Consolidated Financial Statements in Part I, Item 1 of this Quarterly Report on Form 10-Q. The $0.9 million decrease in amortization expense relates to intangible liabilities assumed from Windstream under the Asset Purchase Agreement.</w:t>
      </w:r>
    </w:p>
    <w:p>
      <w:pPr>
        <w:spacing w:after="0" w:line="19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depreciation and amortization expense decreased for the quarter ended September 30,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quarter ended September 30, 2020. The $1.8 million decrease in depreciation expense is primarily attributable to the Everstream transaction completed on May 28, 2021. </w:t>
      </w:r>
      <w:r>
        <w:rPr>
          <w:rFonts w:ascii="Arial" w:cs="Arial" w:eastAsia="Arial" w:hAnsi="Arial"/>
          <w:sz w:val="18"/>
          <w:szCs w:val="18"/>
          <w:u w:val="single" w:color="auto"/>
          <w:color w:val="0000EE"/>
        </w:rPr>
        <w:t>See Note 5</w:t>
      </w:r>
      <w:r>
        <w:rPr>
          <w:rFonts w:ascii="Arial" w:cs="Arial" w:eastAsia="Arial" w:hAnsi="Arial"/>
          <w:sz w:val="18"/>
          <w:szCs w:val="18"/>
          <w:color w:val="auto"/>
        </w:rPr>
        <w:t>. The $0.8 million decrease in amortization expense relates to a trademark intangible asset, associated with the wind down of the construction business, that became fully amortized in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3"/>
              </w:rPr>
              <w:t>Three Months Ended September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13,427</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5.1%</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5.6%</w:t>
            </w:r>
          </w:p>
        </w:tc>
        <w:tc>
          <w:tcPr>
            <w:tcW w:w="120" w:type="dxa"/>
            <w:vAlign w:val="bottom"/>
          </w:tcPr>
          <w:p>
            <w:pPr>
              <w:spacing w:after="0"/>
              <w:rPr>
                <w:sz w:val="19"/>
                <w:szCs w:val="19"/>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13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FF0FC"/>
          </w:tcPr>
          <w:p>
            <w:pPr>
              <w:spacing w:after="0"/>
              <w:rPr>
                <w:sz w:val="19"/>
                <w:szCs w:val="19"/>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9,396</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3.5%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4.0%</w:t>
            </w:r>
          </w:p>
        </w:tc>
        <w:tc>
          <w:tcPr>
            <w:tcW w:w="120" w:type="dxa"/>
            <w:vAlign w:val="bottom"/>
          </w:tcPr>
          <w:p>
            <w:pPr>
              <w:spacing w:after="0"/>
              <w:rPr>
                <w:sz w:val="19"/>
                <w:szCs w:val="19"/>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r>
      <w:tr>
        <w:trPr>
          <w:trHeight w:val="223"/>
        </w:trPr>
        <w:tc>
          <w:tcPr>
            <w:tcW w:w="598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General and administrative expenses include compensation costs, including stock-based compensation awards, professional and legal services, corporate office costs and other costs associated with administrative activities. For the three months ended September 30, 2021, general and administrative costs totaled $25.1 million. For the three months ended September 30, 2020, general and administrative costs totaled $26.7 million. The decrease in general and administrative expenses is primarily attributable to a decrease of approximately $1.0 million in insurance expenses for the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expense for the three months ended September 30, 2021 decreased by $3.7 million from the three months ended September 30, 2020, which was primarily attributable to decreases in Fiber Infrastructure, Towers and Consumer CLEC Business operating expenses offset by an increase in Leasing operating expenses discussed below. Operating expense for our reportable segments for the three months ended September 30, 2021 and 2020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September 30,</w:t>
            </w: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Consolidated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5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w:t>
            </w:r>
          </w:p>
        </w:tc>
        <w:tc>
          <w:tcPr>
            <w:tcW w:w="160" w:type="dxa"/>
            <w:vAlign w:val="bottom"/>
          </w:tcPr>
          <w:p>
            <w:pPr>
              <w:spacing w:after="0"/>
              <w:rPr>
                <w:sz w:val="20"/>
                <w:szCs w:val="20"/>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28,983</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10.9%</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0"/>
              </w:rPr>
              <w:t>14.4%</w:t>
            </w:r>
          </w:p>
        </w:tc>
        <w:tc>
          <w:tcPr>
            <w:tcW w:w="120" w:type="dxa"/>
            <w:vAlign w:val="bottom"/>
          </w:tcPr>
          <w:p>
            <w:pPr>
              <w:spacing w:after="0"/>
              <w:rPr>
                <w:sz w:val="19"/>
                <w:szCs w:val="19"/>
                <w:color w:val="auto"/>
              </w:rPr>
            </w:pPr>
          </w:p>
        </w:tc>
      </w:tr>
      <w:tr>
        <w:trPr>
          <w:trHeight w:val="229"/>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FF0FC"/>
          </w:tcPr>
          <w:p>
            <w:pPr>
              <w:spacing w:after="0"/>
              <w:rPr>
                <w:sz w:val="19"/>
                <w:szCs w:val="19"/>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19"/>
                <w:szCs w:val="19"/>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CLEC</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r>
      <w:tr>
        <w:trPr>
          <w:trHeight w:val="223"/>
        </w:trPr>
        <w:tc>
          <w:tcPr>
            <w:tcW w:w="55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34,167</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12.8%</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14.6%</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45</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9"/>
          <w:szCs w:val="19"/>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September 30, 2021, Fiber Infrastructure operating expenses totaled $29.0 million as compared to $37.1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2020. Operating expense consists of network related costs, such as dark fiber and tower rents, and lit service and maintenance expense. In addition, costs associated with our construction activities are presented within operating expenses. The $8.1 million decrease in operating expenses is primarily attributable to decreases in construction related expenses of $2.8 million, $2.8 million in equipment sales and installation expense and $2.0 million in expenses related to the Uniti Fiber Northeast operations sold on May 28, 2021.</w:t>
      </w:r>
    </w:p>
    <w:p>
      <w:pPr>
        <w:spacing w:after="0" w:line="16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was $5.2 million and $0.6 million for the three months ended September 30, 2021 and 2020,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driven by a $4.1 million increase in network expenses due to the Asset Purchase Agreement the Company entered into with Windstream which was completed in the third quarter of 2020.</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2021, Towers operating expenses were not incurred as the U.S. tower business sale was completed on</w:t>
      </w:r>
      <w:r>
        <w:rPr>
          <w:rFonts w:ascii="Arial" w:cs="Arial" w:eastAsia="Arial" w:hAnsi="Arial"/>
          <w:sz w:val="18"/>
          <w:szCs w:val="18"/>
          <w:i w:val="1"/>
          <w:iCs w:val="1"/>
          <w:color w:val="auto"/>
        </w:rPr>
        <w:t xml:space="preserve"> </w:t>
      </w:r>
      <w:r>
        <w:rPr>
          <w:rFonts w:ascii="Arial" w:cs="Arial" w:eastAsia="Arial" w:hAnsi="Arial"/>
          <w:sz w:val="18"/>
          <w:szCs w:val="18"/>
          <w:color w:val="auto"/>
        </w:rPr>
        <w:t>June 1, 2020.</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2021, Consumer CLEC Business operating expenses were not incurred,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three months ended September 30, 2021, we incurred $1.1 million of transaction related and other costs, compared to $20.8 million of such costs during the three months ended September 30, 2020. The decrease is primarily related to incurring $16.4 million of total costs related to the Windstream bankruptcy for the three months ended September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income tax (benefit) expense recorded for the three months ended September 30, 2021 and 2020, respectively, is related to the tax impact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6"/>
              </w:rPr>
              <w:t>Three Months Ended September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8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332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(3,476)</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REIT state and local taxes</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income tax (benefit) expense</w:t>
            </w:r>
          </w:p>
        </w:tc>
        <w:tc>
          <w:tcPr>
            <w:tcW w:w="28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40" w:type="dxa"/>
            <w:vAlign w:val="bottom"/>
            <w:vMerge w:val="restart"/>
          </w:tcPr>
          <w:p>
            <w:pPr>
              <w:jc w:val="right"/>
              <w:ind w:right="141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3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8"/>
                <w:szCs w:val="18"/>
                <w:b w:val="1"/>
                <w:bCs w:val="1"/>
                <w:color w:val="auto"/>
                <w:w w:val="91"/>
              </w:rPr>
              <w:t>Nine Months Ended September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590,478</w:t>
            </w:r>
          </w:p>
        </w:tc>
        <w:tc>
          <w:tcPr>
            <w:tcW w:w="100" w:type="dxa"/>
            <w:vAlign w:val="bottom"/>
          </w:tcPr>
          <w:p>
            <w:pPr>
              <w:spacing w:after="0"/>
              <w:rPr>
                <w:sz w:val="19"/>
                <w:szCs w:val="19"/>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73.1%</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552,042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69.7%</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217,035</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26.9%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29.4%</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0.8%</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0.1%</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791,747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341,762</w:t>
            </w:r>
          </w:p>
        </w:tc>
        <w:tc>
          <w:tcPr>
            <w:tcW w:w="100" w:type="dxa"/>
            <w:vAlign w:val="bottom"/>
          </w:tcPr>
          <w:p>
            <w:pPr>
              <w:spacing w:after="0"/>
              <w:rPr>
                <w:sz w:val="19"/>
                <w:szCs w:val="19"/>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42.3%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388,427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49.2%</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211,165</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26.2%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250,970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31.7%</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75,800</w:t>
            </w:r>
          </w:p>
        </w:tc>
        <w:tc>
          <w:tcPr>
            <w:tcW w:w="100" w:type="dxa"/>
            <w:vAlign w:val="bottom"/>
          </w:tcPr>
          <w:p>
            <w:pPr>
              <w:spacing w:after="0"/>
              <w:rPr>
                <w:sz w:val="19"/>
                <w:szCs w:val="19"/>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81,686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10.3%</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105,436</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13.1%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118,308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14.9%</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82.1%</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0.7%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7.0%</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(86,726)</w:t>
            </w:r>
          </w:p>
        </w:tc>
        <w:tc>
          <w:tcPr>
            <w:tcW w:w="10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(11.0%)</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(28,143)</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(3.5%)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8,758</w:t>
            </w:r>
          </w:p>
        </w:tc>
        <w:tc>
          <w:tcPr>
            <w:tcW w:w="100" w:type="dxa"/>
            <w:vAlign w:val="bottom"/>
          </w:tcPr>
          <w:p>
            <w:pPr>
              <w:spacing w:after="0"/>
              <w:rPr>
                <w:sz w:val="19"/>
                <w:szCs w:val="19"/>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12,186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719,960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89.2%</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1,470,195</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1"/>
              </w:rPr>
              <w:t>185.7%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w w:val="93"/>
              </w:rPr>
              <w:t>Income (loss) before income taxes and equity in earnings (loss) from</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unconsolidated entities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87,553</w:t>
            </w:r>
          </w:p>
        </w:tc>
        <w:tc>
          <w:tcPr>
            <w:tcW w:w="100" w:type="dxa"/>
            <w:vAlign w:val="bottom"/>
          </w:tcPr>
          <w:p>
            <w:pPr>
              <w:spacing w:after="0"/>
              <w:rPr>
                <w:sz w:val="20"/>
                <w:szCs w:val="20"/>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10.8%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(678,448)</w:t>
            </w: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(85.7%)</w:t>
            </w: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(0.9%)</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Equity in (earnings) loss from unconsolidated entities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88,819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(671,140)</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5"/>
              </w:rPr>
              <w:t>(84.8%)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(11,808)</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(1.5%)</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87,835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10.9%</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(659,332)</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5"/>
              </w:rPr>
              <w:t>(83.3%)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10.8%</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(660,191)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(83.4%)</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47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The following tables set forth, for the nine months ended September 30, 2021 and 2020, revenues, Adjusted EBITDA and net (loss) income of our reportable segments: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9"/>
          </w:tcPr>
          <w:p>
            <w:pPr>
              <w:jc w:val="right"/>
              <w:ind w:right="290"/>
              <w:spacing w:after="0"/>
              <w:rPr>
                <w:sz w:val="20"/>
                <w:szCs w:val="20"/>
                <w:color w:val="auto"/>
              </w:rPr>
            </w:pPr>
            <w:r>
              <w:rPr>
                <w:rFonts w:ascii="Arial" w:cs="Arial" w:eastAsia="Arial" w:hAnsi="Arial"/>
                <w:sz w:val="18"/>
                <w:szCs w:val="18"/>
                <w:b w:val="1"/>
                <w:bCs w:val="1"/>
                <w:color w:val="auto"/>
              </w:rPr>
              <w:t>Nine Months Ended September 30, 2021</w:t>
            </w: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Fiber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9"/>
              </w:rPr>
              <w:t>Consumer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Infrastructure</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rPr>
              <w:t>CLEC</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590,478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217,035</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807,513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58"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operations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577,937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86,716</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ind w:left="500"/>
              <w:spacing w:after="0"/>
              <w:rPr>
                <w:sz w:val="20"/>
                <w:szCs w:val="20"/>
                <w:color w:val="auto"/>
              </w:rPr>
            </w:pPr>
            <w:r>
              <w:rPr>
                <w:rFonts w:ascii="Arial" w:cs="Arial" w:eastAsia="Arial" w:hAnsi="Arial"/>
                <w:sz w:val="18"/>
                <w:szCs w:val="18"/>
                <w:color w:val="auto"/>
              </w:rPr>
              <w:t>-   $</w:t>
            </w:r>
          </w:p>
        </w:tc>
        <w:tc>
          <w:tcPr>
            <w:tcW w:w="1160" w:type="dxa"/>
            <w:vAlign w:val="bottom"/>
          </w:tcPr>
          <w:p>
            <w:pPr>
              <w:ind w:left="50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(17,444)</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647,209</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341,762</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124,132</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86,838</w:t>
            </w:r>
          </w:p>
        </w:tc>
        <w:tc>
          <w:tcPr>
            <w:tcW w:w="72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color w:val="auto"/>
              </w:rPr>
              <w:t>-</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211,165</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14,569</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5,624</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(28,143)</w:t>
            </w:r>
          </w:p>
        </w:tc>
      </w:tr>
      <w:tr>
        <w:trPr>
          <w:trHeight w:val="22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10,963</w:t>
            </w:r>
          </w:p>
        </w:tc>
        <w:tc>
          <w:tcPr>
            <w:tcW w:w="6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20"/>
                <w:szCs w:val="20"/>
                <w:color w:val="auto"/>
              </w:rPr>
            </w:pPr>
          </w:p>
        </w:tc>
      </w:tr>
      <w:tr>
        <w:trPr>
          <w:trHeight w:val="44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2,609</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88,819</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-2331085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-1610995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-1182370</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19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Fiber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Infrastructure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Towers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552,042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81,453</w:t>
            </w:r>
          </w:p>
        </w:tc>
        <w:tc>
          <w:tcPr>
            <w:tcW w:w="4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155,216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93,957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250,970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(86,726)</w:t>
            </w: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5"/>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equity in</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earnings from unconsolidated</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89"/>
              </w:rPr>
              <w:t>48</w:t>
            </w: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7"/>
              </w:rPr>
              <w:t>Nine Months Ended September 30,</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w w:val="99"/>
              </w:rPr>
              <w:t>2021</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Consolidated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590,478</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73.1%</w:t>
            </w:r>
          </w:p>
        </w:tc>
        <w:tc>
          <w:tcPr>
            <w:tcW w:w="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552,042</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217,035</w:t>
            </w:r>
          </w:p>
        </w:tc>
        <w:tc>
          <w:tcPr>
            <w:tcW w:w="15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3"/>
              </w:rPr>
              <w:t>26.9%</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3"/>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6,112</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0.0%</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807,513</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791,747</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the nine months ended September 30, 2021, Uniti reimbursed $152.3 million of Growth Capital Improvements, of which $28.5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allowed for under the Settlement, represented the reimbursement of capital improvements completed in 2020 that were previously classified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TCIs. Upon reimbursement, the Company reduced the unamortized portion of deferred revenue related to these capital improvements and capitalized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difference between the cash provided to Windstream and the unamortized deferred revenue as a lease incentive. This lease incentive, which is $0.9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reported within other assets on our Condensed Consolidated Balance Sheet as of September 30, 2021, will be amortized against revenue over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of the Windstream Leases. Subsequent to September 30, 2021, Windstream requested, and we reimbursed $16.5 million of qualifying Growth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Improvements. As of the date of this Quarterly Report on Form 10-Q, we have reimbursed a total of $253.5 million of Growth Capital Improvements.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60" w:type="dxa"/>
            <w:vAlign w:val="bottom"/>
            <w:gridSpan w:val="7"/>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50"/>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4"/>
              </w:rPr>
              <w:t>2021</w:t>
            </w:r>
          </w:p>
        </w:tc>
        <w:tc>
          <w:tcPr>
            <w:tcW w:w="4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r>
      <w:tr>
        <w:trPr>
          <w:trHeight w:val="205"/>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ind w:left="60"/>
              <w:spacing w:after="0" w:line="205" w:lineRule="exact"/>
              <w:rPr>
                <w:sz w:val="20"/>
                <w:szCs w:val="20"/>
                <w:color w:val="auto"/>
              </w:rPr>
            </w:pPr>
            <w:r>
              <w:rPr>
                <w:rFonts w:ascii="Arial" w:cs="Arial" w:eastAsia="Arial" w:hAnsi="Arial"/>
                <w:sz w:val="18"/>
                <w:szCs w:val="18"/>
                <w:b w:val="1"/>
                <w:bCs w:val="1"/>
                <w:color w:val="auto"/>
                <w:w w:val="97"/>
              </w:rPr>
              <w:t>% of Segment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00" w:type="dxa"/>
            <w:vAlign w:val="bottom"/>
          </w:tcPr>
          <w:p>
            <w:pPr>
              <w:spacing w:after="0"/>
              <w:rPr>
                <w:sz w:val="17"/>
                <w:szCs w:val="17"/>
                <w:color w:val="auto"/>
              </w:rPr>
            </w:pPr>
          </w:p>
        </w:tc>
      </w:tr>
      <w:tr>
        <w:trPr>
          <w:trHeight w:val="234"/>
        </w:trPr>
        <w:tc>
          <w:tcPr>
            <w:tcW w:w="5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Windstream leases: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rent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0"/>
              </w:rPr>
              <w:t>84.5%</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3"/>
              </w:rPr>
              <w:t>89.9%</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gridSpan w:val="2"/>
          </w:tcPr>
          <w:p>
            <w:pPr>
              <w:ind w:left="380"/>
              <w:spacing w:after="0"/>
              <w:rPr>
                <w:sz w:val="20"/>
                <w:szCs w:val="20"/>
                <w:color w:val="auto"/>
              </w:rPr>
            </w:pPr>
            <w:r>
              <w:rPr>
                <w:rFonts w:ascii="Arial" w:cs="Arial" w:eastAsia="Arial" w:hAnsi="Arial"/>
                <w:sz w:val="18"/>
                <w:szCs w:val="18"/>
                <w:color w:val="auto"/>
              </w:rPr>
              <w:t>Non-cash revenue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TCI revenue</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4.8%</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4.7%</w:t>
            </w:r>
          </w:p>
        </w:tc>
        <w:tc>
          <w:tcPr>
            <w:tcW w:w="100" w:type="dxa"/>
            <w:vAlign w:val="bottom"/>
            <w:shd w:val="clear" w:color="auto" w:fill="CFF0FC"/>
          </w:tcPr>
          <w:p>
            <w:pPr>
              <w:spacing w:after="0"/>
              <w:rPr>
                <w:sz w:val="19"/>
                <w:szCs w:val="19"/>
                <w:color w:val="auto"/>
              </w:rPr>
            </w:pPr>
          </w:p>
        </w:tc>
      </w:tr>
      <w:tr>
        <w:trPr>
          <w:trHeight w:val="229"/>
        </w:trPr>
        <w:tc>
          <w:tcPr>
            <w:tcW w:w="5680" w:type="dxa"/>
            <w:vAlign w:val="bottom"/>
            <w:gridSpan w:val="2"/>
          </w:tcPr>
          <w:p>
            <w:pPr>
              <w:ind w:left="500"/>
              <w:spacing w:after="0"/>
              <w:rPr>
                <w:sz w:val="20"/>
                <w:szCs w:val="20"/>
                <w:color w:val="auto"/>
              </w:rPr>
            </w:pPr>
            <w:r>
              <w:rPr>
                <w:rFonts w:ascii="Arial" w:cs="Arial" w:eastAsia="Arial" w:hAnsi="Arial"/>
                <w:sz w:val="18"/>
                <w:szCs w:val="18"/>
                <w:color w:val="auto"/>
              </w:rPr>
              <w:t>Straight-line revenue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3.1%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r>
      <w:tr>
        <w:trPr>
          <w:trHeight w:val="223"/>
        </w:trPr>
        <w:tc>
          <w:tcPr>
            <w:tcW w:w="5680" w:type="dxa"/>
            <w:vAlign w:val="bottom"/>
            <w:tcBorders>
              <w:top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non-cash revenue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7.9%</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80" w:type="dxa"/>
            <w:vAlign w:val="bottom"/>
            <w:gridSpan w:val="2"/>
          </w:tcPr>
          <w:p>
            <w:pPr>
              <w:ind w:left="260"/>
              <w:spacing w:after="0"/>
              <w:rPr>
                <w:sz w:val="20"/>
                <w:szCs w:val="20"/>
                <w:color w:val="auto"/>
              </w:rPr>
            </w:pPr>
            <w:r>
              <w:rPr>
                <w:rFonts w:ascii="Arial" w:cs="Arial" w:eastAsia="Arial" w:hAnsi="Arial"/>
                <w:sz w:val="18"/>
                <w:szCs w:val="18"/>
                <w:color w:val="auto"/>
              </w:rPr>
              <w:t>Total Windstream revenue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545.8</w:t>
            </w:r>
          </w:p>
        </w:tc>
        <w:tc>
          <w:tcPr>
            <w:tcW w:w="2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92.4%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523.0</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94.7%</w:t>
            </w:r>
          </w:p>
        </w:tc>
        <w:tc>
          <w:tcPr>
            <w:tcW w:w="100" w:type="dxa"/>
            <w:vAlign w:val="bottom"/>
          </w:tcPr>
          <w:p>
            <w:pPr>
              <w:spacing w:after="0"/>
              <w:rPr>
                <w:sz w:val="19"/>
                <w:szCs w:val="19"/>
                <w:color w:val="auto"/>
              </w:rPr>
            </w:pPr>
          </w:p>
        </w:tc>
      </w:tr>
      <w:tr>
        <w:trPr>
          <w:trHeight w:val="229"/>
        </w:trPr>
        <w:tc>
          <w:tcPr>
            <w:tcW w:w="5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triple-net leasing and dark fiber IRU</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7.6%</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5.3%</w:t>
            </w:r>
          </w:p>
        </w:tc>
        <w:tc>
          <w:tcPr>
            <w:tcW w:w="100" w:type="dxa"/>
            <w:vAlign w:val="bottom"/>
            <w:shd w:val="clear" w:color="auto" w:fill="CFF0FC"/>
          </w:tcPr>
          <w:p>
            <w:pPr>
              <w:spacing w:after="0"/>
              <w:rPr>
                <w:sz w:val="19"/>
                <w:szCs w:val="19"/>
                <w:color w:val="auto"/>
              </w:rPr>
            </w:pPr>
          </w:p>
        </w:tc>
      </w:tr>
      <w:tr>
        <w:trPr>
          <w:trHeight w:val="223"/>
        </w:trPr>
        <w:tc>
          <w:tcPr>
            <w:tcW w:w="5680" w:type="dxa"/>
            <w:vAlign w:val="bottom"/>
            <w:gridSpan w:val="2"/>
          </w:tcPr>
          <w:p>
            <w:pPr>
              <w:ind w:left="380"/>
              <w:spacing w:after="0"/>
              <w:rPr>
                <w:sz w:val="20"/>
                <w:szCs w:val="20"/>
                <w:color w:val="auto"/>
              </w:rPr>
            </w:pPr>
            <w:r>
              <w:rPr>
                <w:rFonts w:ascii="Arial" w:cs="Arial" w:eastAsia="Arial" w:hAnsi="Arial"/>
                <w:sz w:val="18"/>
                <w:szCs w:val="18"/>
                <w:color w:val="auto"/>
              </w:rPr>
              <w:t>Total Leasing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TCI revenue is attributable to continued investment by Windstream, which invested $141.0 million in TCIs during the nine months ended September 30, 2021. The total amount invested in TCIs by Windstream since the inception of the Windstream Leases and Master Lease was $986.7 million as of September 30, 2021. For the nine months ended September 30, 2021, we recognized $44.7 million of leasing revenues from non-Windstream triple-net leasing and dark fiber IRU arrangements. For the nine months ended September 30, 2020, we recognized $29.0 million from non-Windstream triple-net leasing and dark fiber IRU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nine months ended September 30, 2021 and 2020 consisted of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4"/>
              </w:rPr>
              <w:t>Nine Months Ended September 30,</w:t>
            </w: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ind w:left="80"/>
              <w:spacing w:after="0" w:line="205" w:lineRule="exact"/>
              <w:rPr>
                <w:sz w:val="20"/>
                <w:szCs w:val="20"/>
                <w:color w:val="auto"/>
              </w:rPr>
            </w:pPr>
            <w:r>
              <w:rPr>
                <w:rFonts w:ascii="Arial" w:cs="Arial" w:eastAsia="Arial" w:hAnsi="Arial"/>
                <w:sz w:val="18"/>
                <w:szCs w:val="18"/>
                <w:b w:val="1"/>
                <w:bCs w:val="1"/>
                <w:color w:val="auto"/>
                <w:w w:val="97"/>
              </w:rPr>
              <w:t>% of Segment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20" w:type="dxa"/>
            <w:vAlign w:val="bottom"/>
          </w:tcPr>
          <w:p>
            <w:pPr>
              <w:spacing w:after="0"/>
              <w:rPr>
                <w:sz w:val="17"/>
                <w:szCs w:val="17"/>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67,404</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31.1%</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80,568</w:t>
            </w:r>
          </w:p>
        </w:tc>
        <w:tc>
          <w:tcPr>
            <w:tcW w:w="2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34.6%</w:t>
            </w:r>
          </w:p>
        </w:tc>
        <w:tc>
          <w:tcPr>
            <w:tcW w:w="120" w:type="dxa"/>
            <w:vAlign w:val="bottom"/>
          </w:tcPr>
          <w:p>
            <w:pPr>
              <w:spacing w:after="0"/>
              <w:rPr>
                <w:sz w:val="19"/>
                <w:szCs w:val="19"/>
                <w:color w:val="auto"/>
              </w:rPr>
            </w:pPr>
          </w:p>
        </w:tc>
      </w:tr>
      <w:tr>
        <w:trPr>
          <w:trHeight w:val="229"/>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63,190</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3"/>
              </w:rPr>
              <w:t>29.1%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58,761</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25.2%</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48,795</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22.5%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60,133</w:t>
            </w:r>
          </w:p>
        </w:tc>
        <w:tc>
          <w:tcPr>
            <w:tcW w:w="2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25.8%</w:t>
            </w:r>
          </w:p>
        </w:tc>
        <w:tc>
          <w:tcPr>
            <w:tcW w:w="12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35,167</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3"/>
              </w:rPr>
              <w:t>16.2%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29,832</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12.8%</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2,479</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3,648</w:t>
            </w:r>
          </w:p>
        </w:tc>
        <w:tc>
          <w:tcPr>
            <w:tcW w:w="2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20" w:type="dxa"/>
            <w:vAlign w:val="bottom"/>
          </w:tcPr>
          <w:p>
            <w:pPr>
              <w:spacing w:after="0"/>
              <w:rPr>
                <w:sz w:val="19"/>
                <w:szCs w:val="19"/>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the nine months ended September 30, 2021, Fiber Infrastructure revenues totaled $217.0 million as compared to $232.9 million for the nine months ended September 30, 2020. The $15.9 million decrease in Fiber Infrastructure revenues is primarily attributable to a $10.0 million decrease related to the wind down of our construction activities, shown above within E-rate and government, and a decrease of $6.3 million in lit service revenues related to the Uniti Fiber Northeast operations sold on May 28, 20201.</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2021, we recognized no revenue from the Towers business, as we completed the sale of our U.S. tower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on June 1, 2020.</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2021, we recognized no revenue from the Consumer CLEC Business,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20" w:type="dxa"/>
            <w:vAlign w:val="bottom"/>
            <w:gridSpan w:val="9"/>
            <w:vMerge w:val="restart"/>
          </w:tcPr>
          <w:p>
            <w:pPr>
              <w:jc w:val="right"/>
              <w:ind w:right="100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20" w:type="dxa"/>
            <w:vAlign w:val="bottom"/>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ind w:left="260"/>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15,709</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(15,709)</w:t>
            </w:r>
          </w:p>
        </w:tc>
        <w:tc>
          <w:tcPr>
            <w:tcW w:w="0" w:type="dxa"/>
            <w:vAlign w:val="bottom"/>
          </w:tcPr>
          <w:p>
            <w:pPr>
              <w:spacing w:after="0"/>
              <w:rPr>
                <w:sz w:val="1"/>
                <w:szCs w:val="1"/>
                <w:color w:val="auto"/>
              </w:rPr>
            </w:pPr>
          </w:p>
        </w:tc>
      </w:tr>
      <w:tr>
        <w:trPr>
          <w:trHeight w:val="230"/>
        </w:trPr>
        <w:tc>
          <w:tcPr>
            <w:tcW w:w="6480" w:type="dxa"/>
            <w:vAlign w:val="bottom"/>
            <w:gridSpan w:val="3"/>
          </w:tcPr>
          <w:p>
            <w:pPr>
              <w:ind w:left="380"/>
              <w:spacing w:after="0"/>
              <w:rPr>
                <w:sz w:val="20"/>
                <w:szCs w:val="20"/>
                <w:color w:val="auto"/>
              </w:rPr>
            </w:pPr>
            <w:r>
              <w:rPr>
                <w:rFonts w:ascii="Arial" w:cs="Arial" w:eastAsia="Arial" w:hAnsi="Arial"/>
                <w:sz w:val="18"/>
                <w:szCs w:val="18"/>
                <w:color w:val="auto"/>
              </w:rPr>
              <w:t>Senior secured notes - 4.75%, 6.00% and 7.875%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156,550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138,344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Senior unsecured notes - 4.00%, 6.50%. 7.125% and 8.25%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99,438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29"/>
        </w:trPr>
        <w:tc>
          <w:tcPr>
            <w:tcW w:w="6480" w:type="dxa"/>
            <w:vAlign w:val="bottom"/>
            <w:gridSpan w:val="3"/>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Tender premium and early redemption payments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ind w:left="380"/>
              <w:spacing w:after="0"/>
              <w:rPr>
                <w:sz w:val="20"/>
                <w:szCs w:val="20"/>
                <w:color w:val="auto"/>
              </w:rPr>
            </w:pPr>
            <w:r>
              <w:rPr>
                <w:rFonts w:ascii="Arial" w:cs="Arial" w:eastAsia="Arial" w:hAnsi="Arial"/>
                <w:sz w:val="18"/>
                <w:szCs w:val="18"/>
                <w:color w:val="auto"/>
              </w:rPr>
              <w:t>Interest rate swap termination</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3"/>
        </w:trPr>
        <w:tc>
          <w:tcPr>
            <w:tcW w:w="6480" w:type="dxa"/>
            <w:vAlign w:val="bottom"/>
            <w:gridSpan w:val="3"/>
          </w:tcPr>
          <w:p>
            <w:pPr>
              <w:ind w:left="500"/>
              <w:spacing w:after="0"/>
              <w:rPr>
                <w:sz w:val="20"/>
                <w:szCs w:val="20"/>
                <w:color w:val="auto"/>
              </w:rPr>
            </w:pPr>
            <w:r>
              <w:rPr>
                <w:rFonts w:ascii="Arial" w:cs="Arial" w:eastAsia="Arial" w:hAnsi="Arial"/>
                <w:sz w:val="18"/>
                <w:szCs w:val="18"/>
                <w:color w:val="auto"/>
              </w:rPr>
              <w:t>Total cash interest</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294,182</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Non-cash:</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(51,124)</w:t>
            </w:r>
          </w:p>
        </w:tc>
        <w:tc>
          <w:tcPr>
            <w:tcW w:w="0" w:type="dxa"/>
            <w:vAlign w:val="bottom"/>
          </w:tcPr>
          <w:p>
            <w:pPr>
              <w:spacing w:after="0"/>
              <w:rPr>
                <w:sz w:val="1"/>
                <w:szCs w:val="1"/>
                <w:color w:val="auto"/>
              </w:rPr>
            </w:pPr>
          </w:p>
        </w:tc>
      </w:tr>
      <w:tr>
        <w:trPr>
          <w:trHeight w:val="230"/>
        </w:trPr>
        <w:tc>
          <w:tcPr>
            <w:tcW w:w="6480" w:type="dxa"/>
            <w:vAlign w:val="bottom"/>
            <w:gridSpan w:val="3"/>
          </w:tcPr>
          <w:p>
            <w:pPr>
              <w:ind w:left="380"/>
              <w:spacing w:after="0"/>
              <w:rPr>
                <w:sz w:val="20"/>
                <w:szCs w:val="20"/>
                <w:color w:val="auto"/>
              </w:rPr>
            </w:pPr>
            <w:r>
              <w:rPr>
                <w:rFonts w:ascii="Arial" w:cs="Arial" w:eastAsia="Arial" w:hAnsi="Arial"/>
                <w:sz w:val="18"/>
                <w:szCs w:val="18"/>
                <w:color w:val="auto"/>
              </w:rPr>
              <w:t>Accretion of settlement payable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Capitalized Interest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(1,977)</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Total non-cash interest</w:t>
            </w:r>
          </w:p>
        </w:tc>
        <w:tc>
          <w:tcPr>
            <w:tcW w:w="1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47,580</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99,858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gridSpan w:val="3"/>
            <w:shd w:val="clear" w:color="auto" w:fill="CFF0FC"/>
          </w:tcPr>
          <w:p>
            <w:pPr>
              <w:ind w:left="620"/>
              <w:spacing w:after="0"/>
              <w:rPr>
                <w:sz w:val="20"/>
                <w:szCs w:val="20"/>
                <w:color w:val="auto"/>
              </w:rPr>
            </w:pPr>
            <w:r>
              <w:rPr>
                <w:rFonts w:ascii="Arial" w:cs="Arial" w:eastAsia="Arial" w:hAnsi="Arial"/>
                <w:sz w:val="18"/>
                <w:szCs w:val="18"/>
                <w:color w:val="auto"/>
              </w:rPr>
              <w:t>Total interest expense, net</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341,762</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388,427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rFonts w:ascii="Arial" w:cs="Arial" w:eastAsia="Arial" w:hAnsi="Arial"/>
                <w:sz w:val="15"/>
                <w:szCs w:val="15"/>
                <w:color w:val="auto"/>
              </w:rPr>
            </w:pPr>
            <w:r>
              <w:rPr>
                <w:rFonts w:ascii="Arial" w:cs="Arial" w:eastAsia="Arial" w:hAnsi="Arial"/>
                <w:sz w:val="15"/>
                <w:szCs w:val="15"/>
                <w:color w:val="auto"/>
              </w:rPr>
              <w:t xml:space="preserve">(1) </w:t>
            </w:r>
            <w:r>
              <w:rPr>
                <w:rFonts w:ascii="Arial" w:cs="Arial" w:eastAsia="Arial" w:hAnsi="Arial"/>
                <w:sz w:val="17"/>
                <w:szCs w:val="17"/>
                <w:color w:val="auto"/>
              </w:rPr>
              <w:t xml:space="preserve">Swapped to fixed rate. </w:t>
            </w:r>
            <w:hyperlink w:anchor="page23">
              <w:r>
                <w:rPr>
                  <w:rFonts w:ascii="Arial" w:cs="Arial" w:eastAsia="Arial" w:hAnsi="Arial"/>
                  <w:sz w:val="17"/>
                  <w:szCs w:val="17"/>
                  <w:color w:val="auto"/>
                </w:rPr>
                <w:t>See Note 9</w:t>
              </w:r>
            </w:hyperlink>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Interest expense for the nine months ended September 30, 2021 decreased $46.7 million compared to the nine months ended September 30, 2020. The decrease is primarily due to the decrease in debt extinguishment loss of $30.6 million on the 2023 Secured Notes and the 2023 Notes and lower cash interest expense of $13.4 million resulting from extinguishment of 2023 Secured Notes and 2023 Notes during the nine months ended September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gridSpan w:val="9"/>
          </w:tcPr>
          <w:p>
            <w:pPr>
              <w:jc w:val="right"/>
              <w:ind w:right="1000"/>
              <w:spacing w:after="0"/>
              <w:rPr>
                <w:sz w:val="20"/>
                <w:szCs w:val="20"/>
                <w:color w:val="auto"/>
              </w:rPr>
            </w:pPr>
            <w:r>
              <w:rPr>
                <w:rFonts w:ascii="Arial" w:cs="Arial" w:eastAsia="Arial" w:hAnsi="Arial"/>
                <w:sz w:val="18"/>
                <w:szCs w:val="18"/>
                <w:b w:val="1"/>
                <w:bCs w:val="1"/>
                <w:color w:val="auto"/>
              </w:rPr>
              <w:t>Nine Months Ended September 30,</w:t>
            </w:r>
          </w:p>
        </w:tc>
      </w:tr>
      <w:tr>
        <w:trPr>
          <w:trHeight w:val="205"/>
        </w:trPr>
        <w:tc>
          <w:tcPr>
            <w:tcW w:w="12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r>
      <w:tr>
        <w:trPr>
          <w:trHeight w:val="234"/>
        </w:trPr>
        <w:tc>
          <w:tcPr>
            <w:tcW w:w="64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r>
      <w:tr>
        <w:trPr>
          <w:trHeight w:val="223"/>
        </w:trPr>
        <w:tc>
          <w:tcPr>
            <w:tcW w:w="64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Leasing</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151,845</w:t>
            </w:r>
          </w:p>
        </w:tc>
        <w:tc>
          <w:tcPr>
            <w:tcW w:w="2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(24,880)</w:t>
            </w:r>
          </w:p>
        </w:tc>
      </w:tr>
      <w:tr>
        <w:trPr>
          <w:trHeight w:val="230"/>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Fiber Infrastructure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69,684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(5,821)</w:t>
            </w:r>
          </w:p>
        </w:tc>
      </w:tr>
      <w:tr>
        <w:trPr>
          <w:trHeight w:val="229"/>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9"/>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Towers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r>
      <w:tr>
        <w:trPr>
          <w:trHeight w:val="230"/>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196,844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228,356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(31,512)</w:t>
            </w:r>
          </w:p>
        </w:tc>
        <w:tc>
          <w:tcPr>
            <w:tcW w:w="10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Leasing</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(2,833)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(6,204)</w:t>
            </w:r>
          </w:p>
        </w:tc>
      </w:tr>
      <w:tr>
        <w:trPr>
          <w:trHeight w:val="230"/>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(1,298)</w:t>
            </w:r>
          </w:p>
        </w:tc>
      </w:tr>
      <w:tr>
        <w:trPr>
          <w:trHeight w:val="229"/>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Consumer CLEC</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r>
      <w:tr>
        <w:trPr>
          <w:trHeight w:val="223"/>
        </w:trPr>
        <w:tc>
          <w:tcPr>
            <w:tcW w:w="64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amortization expense</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 depreciation and amortization expense</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211,165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250,970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(39,805)</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depreciation expense decreased $24.9 million for the nine months ended September 30, 2021 as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The decrease is attributable to a $26.8 million decrease related to the natural decrease in remaining useful life of the Windstream Distribution System assets which utilize the group composite depreciation method, partially offset by $4.3 million increase in depreciation expense related to the assets acquired from Windstream under the Asset Purchase Agreement. The $6.2 million decrease in amortization expense relates to intangible liabilities assumed from Windstream under the Asset Purchase Agreement.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depreciation and amortization expense decreased for the nine months ended September 30,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nine months ended September 30, 2020. The $5.8 million decrease in depreciation expense is primarily attributable to the Everstream transaction completed on May 28, 2021. </w:t>
      </w:r>
      <w:r>
        <w:rPr>
          <w:rFonts w:ascii="Arial" w:cs="Arial" w:eastAsia="Arial" w:hAnsi="Arial"/>
          <w:sz w:val="18"/>
          <w:szCs w:val="18"/>
          <w:u w:val="single" w:color="auto"/>
          <w:color w:val="0000EE"/>
        </w:rPr>
        <w:t>See Note 5</w:t>
      </w:r>
      <w:r>
        <w:rPr>
          <w:rFonts w:ascii="Arial" w:cs="Arial" w:eastAsia="Arial" w:hAnsi="Arial"/>
          <w:sz w:val="18"/>
          <w:szCs w:val="18"/>
          <w:color w:val="auto"/>
        </w:rPr>
        <w:t>. The $1.3 million decrease in amortization expense relates to a trademark intangible asset, associated with the wind down of the construction business, that became fully amortized in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7"/>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6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41,190</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5.1%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42,124</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0.9%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27,174</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31,492</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General and administrative expenses include compensation costs, including stock-based compensation awards, professional and legal services, corporate office costs and other costs associated with administrative activities. For the nine months ended September 30, 2021, general and administrative costs totaled $75.8 million. For the nine months ended September 30, 2020, general and administrative costs totaled $81.7 million. The decrease in general and administrative expenses is primarily attributable to a decrease of approximately $3.8 million in professional and legal expenses for the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Operating expense for the nine months ended September 30, 2021 decreased from the nine months ended September 30, 2020, which was primarily attributable to decreases in Fiber Infrastructure, Towers and Consumer CLEC Business operating expenses offset by an increase in Leasing operating expenses discussed below. Operating expense for our reportable segments for the nine months ended September 30, 2021 and 2020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3"/>
              </w:rPr>
              <w:t>Nine Months Ended September 30,</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280" w:type="dxa"/>
            <w:vAlign w:val="bottom"/>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93,410</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86"/>
              </w:rPr>
              <w:t>11.6%</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111,405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14.0%</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12,026</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1.5%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90"/>
              <w:spacing w:after="0"/>
              <w:rPr>
                <w:sz w:val="20"/>
                <w:szCs w:val="20"/>
                <w:color w:val="auto"/>
              </w:rPr>
            </w:pPr>
            <w:r>
              <w:rPr>
                <w:rFonts w:ascii="Arial" w:cs="Arial" w:eastAsia="Arial" w:hAnsi="Arial"/>
                <w:sz w:val="18"/>
                <w:szCs w:val="18"/>
                <w:color w:val="auto"/>
                <w:w w:val="92"/>
              </w:rPr>
              <w:t>0.3%</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CLEC</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90"/>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r>
      <w:tr>
        <w:trPr>
          <w:trHeight w:val="223"/>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105,436</w:t>
            </w:r>
          </w:p>
        </w:tc>
        <w:tc>
          <w:tcPr>
            <w:tcW w:w="2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13.1%</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118,308</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14.9%</w:t>
            </w:r>
          </w:p>
        </w:tc>
        <w:tc>
          <w:tcPr>
            <w:tcW w:w="1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9"/>
          <w:szCs w:val="19"/>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2021, Fiber Infrastructure operating expenses totaled $93.4 million as compared to $111.4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2020. The $18.0 million decrease in operating expenses is primarily attributable to decreases in construction related expenses of $12.7 million and $4.2 million in expenses related to the Uniti Fiber Northeast operations sold on May 28, 2021.</w:t>
      </w:r>
    </w:p>
    <w:p>
      <w:pPr>
        <w:spacing w:after="0" w:line="153"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was $12.0 million and $2.3 million for the nine months ended September 30, 2021 and 2020,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driven by a $8.1 million increase in network expenses due to the Asset Purchase Agreement the Company entered into with Windstream which was completed in the third quarter of 2020.</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2021, Towers operating expenses were not incurred as the U.S. tower business sale was completed on</w:t>
      </w:r>
      <w:r>
        <w:rPr>
          <w:rFonts w:ascii="Arial" w:cs="Arial" w:eastAsia="Arial" w:hAnsi="Arial"/>
          <w:sz w:val="18"/>
          <w:szCs w:val="18"/>
          <w:i w:val="1"/>
          <w:iCs w:val="1"/>
          <w:color w:val="auto"/>
        </w:rPr>
        <w:t xml:space="preserve"> </w:t>
      </w:r>
      <w:r>
        <w:rPr>
          <w:rFonts w:ascii="Arial" w:cs="Arial" w:eastAsia="Arial" w:hAnsi="Arial"/>
          <w:sz w:val="18"/>
          <w:szCs w:val="18"/>
          <w:color w:val="auto"/>
        </w:rPr>
        <w:t>June 1, 2020. Towers operating expense was $3.7 million for the nine months ended September 30, 2020.</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2021, Consumer CLEC Business operating expenses were not incurred,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nine months ended September 30, 2021, we incurred $5.6 million of transaction related and other costs, compared to $55.3 million of such costs during the nine months ended September 30, 2020. The decrease is primarily related to incurring $40.2 million of total costs related to the Windstream bankruptcy for the nine months ended September 30, 2020, as compared to $1.3 million for the nine months ended September 30, 2021, and we incurred $5.2 million in costs related to the sale of our U.S. towers business during the nine months ended September 30,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color w:val="auto"/>
        </w:rPr>
        <w:t>The income tax expense (benefit) recorded for the nine months ended September 30, 2021 and 2020, respectively, is related to the tax impact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31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3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352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(9,484)</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w:t>
            </w:r>
          </w:p>
        </w:tc>
        <w:tc>
          <w:tcPr>
            <w:tcW w:w="3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REIT state and local taxes</w:t>
            </w:r>
          </w:p>
        </w:tc>
        <w:tc>
          <w:tcPr>
            <w:tcW w:w="3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income tax expense (benefit)</w:t>
            </w:r>
          </w:p>
        </w:tc>
        <w:tc>
          <w:tcPr>
            <w:tcW w:w="3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100" w:type="dxa"/>
            <w:vAlign w:val="bottom"/>
            <w:vMerge w:val="restart"/>
          </w:tcPr>
          <w:p>
            <w:pPr>
              <w:jc w:val="right"/>
              <w:ind w:right="167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3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and accretion on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Arial" w:cs="Arial" w:eastAsia="Arial" w:hAnsi="Arial"/>
          <w:sz w:val="19"/>
          <w:szCs w:val="19"/>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(loss) income to EBITDA and Adjusted EBITDA and of our net (loss) income attributable to common shareholders to FFO and AFFO for the three and nine months ended September 30, 2021 and 2020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30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(671,140)</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211,165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250,970</w:t>
            </w:r>
          </w:p>
        </w:tc>
        <w:tc>
          <w:tcPr>
            <w:tcW w:w="10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102,791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341,762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388,427</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(7,650)</w:t>
            </w: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206,761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192,927</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642,029</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10,963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Settlement expense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operations</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(22,908)</w:t>
            </w:r>
          </w:p>
        </w:tc>
        <w:tc>
          <w:tcPr>
            <w:tcW w:w="1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(86,726)</w:t>
            </w: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12,186</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4"/>
              </w:rPr>
              <w:t>Adjustments for equity in earnings from unconsolidated entities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217,227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198,561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647,209</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603,144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30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86,963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(660,191)</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159,175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185,377</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 assets, net of tax</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(22,501)</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(86,319)</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FFO</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(1,660)</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(937)</w:t>
            </w:r>
          </w:p>
        </w:tc>
      </w:tr>
      <w:tr>
        <w:trPr>
          <w:trHeight w:val="215"/>
        </w:trPr>
        <w:tc>
          <w:tcPr>
            <w:tcW w:w="4760" w:type="dxa"/>
            <w:vAlign w:val="bottom"/>
          </w:tcPr>
          <w:p>
            <w:pPr>
              <w:ind w:left="140"/>
              <w:spacing w:after="0"/>
              <w:rPr>
                <w:sz w:val="20"/>
                <w:szCs w:val="20"/>
                <w:color w:val="auto"/>
              </w:rPr>
            </w:pPr>
            <w:r>
              <w:rPr>
                <w:rFonts w:ascii="Arial" w:cs="Arial" w:eastAsia="Arial" w:hAnsi="Arial"/>
                <w:sz w:val="18"/>
                <w:szCs w:val="18"/>
                <w:color w:val="auto"/>
                <w:w w:val="92"/>
              </w:rPr>
              <w:t>Real estate depreciation and amortization from unconsolidated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entities</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(1,979)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(1,700)</w:t>
            </w: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43,517</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244,797</w:t>
            </w:r>
          </w:p>
        </w:tc>
        <w:tc>
          <w:tcPr>
            <w:tcW w:w="3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(562,551)</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related and other costs</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55,344</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Amortization of deferred financing costs and debt discount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27,703</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Write off of deferred financing costs and debt discount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22,828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 related to the early repayment of debt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10,963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operations</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20,562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51,990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65,593</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 expense</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Straight-line revenues</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(8,240)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(22,455)</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Maintenance capital expenditures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(6,322)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(4,978)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(3,461)</w:t>
            </w:r>
          </w:p>
        </w:tc>
        <w:tc>
          <w:tcPr>
            <w:tcW w:w="1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(4,958)</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(25,271)</w:t>
            </w: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1"/>
              </w:rPr>
              <w:t>Adjustments for equity in earnings from unconsolidated entities</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(15,114)</w:t>
            </w: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92,540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316,296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to make $490.1 million of cash payments to Windstream in equal installments over 20 consecutive quarters beginning in October 2020 and to reimburse Windstream for up to an aggregate of $1.75 billion for Growth Capital Improvements in long-term fiber and related assets made by Windstream through 2029. To date, we have paid $215.4 million of the $490.1 million due to Windstream under the settlement agreement, including $92.9 million that we pre-paid on October 14, 2021, $78.0 million of which was funded from a portion of the proceeds of the 2030 Notes.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As of September 30, 2021, we had cash and cash equivalents of $69.8 million and approximately $380.5 million of borrowing availability under our Revolving Credit Facility. Subsequent to September 30, 2021, other than the redemption of the 2024 Notes as described below, and $16.5 million of Growth Capital Improvements (see </w:t>
      </w:r>
      <w:r>
        <w:rPr>
          <w:rFonts w:ascii="Arial" w:cs="Arial" w:eastAsia="Arial" w:hAnsi="Arial"/>
          <w:sz w:val="17"/>
          <w:szCs w:val="17"/>
          <w:i w:val="1"/>
          <w:iCs w:val="1"/>
          <w:color w:val="auto"/>
        </w:rPr>
        <w:t>“Result of Operations—Revenues”</w:t>
      </w:r>
      <w:r>
        <w:rPr>
          <w:rFonts w:ascii="Arial" w:cs="Arial" w:eastAsia="Arial" w:hAnsi="Arial"/>
          <w:sz w:val="17"/>
          <w:szCs w:val="17"/>
          <w:color w:val="auto"/>
        </w:rPr>
        <w:t xml:space="preserve"> above),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353,353</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112,815</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provided by operating activities was $353.4 million and $112.8 million for the nine months ended September 30, 2021 and 2020, respectively. Cash provided by operating activities is primarily attributable to our leasing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4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Windstream asset acquisition</w:t>
            </w:r>
          </w:p>
        </w:tc>
        <w:tc>
          <w:tcPr>
            <w:tcW w:w="2960" w:type="dxa"/>
            <w:vAlign w:val="bottom"/>
            <w:gridSpan w:val="3"/>
          </w:tcPr>
          <w:p>
            <w:pPr>
              <w:jc w:val="right"/>
              <w:ind w:right="14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(73,127)</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Proceeds from sale of operations (Note 5)</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other equipment</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Other capital expenditures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(276,010)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(214,150)</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provided by investing activities</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60" w:type="dxa"/>
            <w:vAlign w:val="bottom"/>
            <w:vMerge w:val="restart"/>
          </w:tcPr>
          <w:p>
            <w:pPr>
              <w:jc w:val="right"/>
              <w:ind w:right="141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Cash used in investing activities was $211.7 million for the nine months ended September 30, 2021 and is driven by capital expenditures, primarily related to our Uniti Fiber and Uniti Leasing business for deployment of network assets, partially offset by proceeds from the sale of the Uniti Fiber Northeast operations to Everstream ($62.1 million)</w:t>
      </w:r>
      <w:r>
        <w:rPr>
          <w:rFonts w:ascii="Arial" w:cs="Arial" w:eastAsia="Arial" w:hAnsi="Arial"/>
          <w:sz w:val="18"/>
          <w:szCs w:val="18"/>
          <w:color w:val="212529"/>
        </w:rPr>
        <w:t>.</w:t>
      </w:r>
      <w:r>
        <w:rPr>
          <w:rFonts w:ascii="Arial" w:cs="Arial" w:eastAsia="Arial" w:hAnsi="Arial"/>
          <w:sz w:val="18"/>
          <w:szCs w:val="18"/>
          <w:color w:val="auto"/>
        </w:rPr>
        <w:t xml:space="preserve"> Cash provided by investing activities for the nine months ended September 30, 2020 was $104.7 million, which was driven by proceeds from the sale of our U.S. tower business ($225.1 million), proceeds from the sale of our Midwest fiber network ($166.9 million), partially offset by capital expenditures ($214.2 million), which primarily related to our Uniti Fiber and Uniti Leasing businesses for the deployment of network assets but also includes $29.1 million of Growth Capital Improvements and expenditures of $73.1 million in connection with the Asset Purchase Agreement.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Repayment of debt</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(1,660,000)</w:t>
            </w: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(2,044,728)</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(105,941)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(100,759)</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settlement obligation</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(73,516)</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(2,979)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(15,713)</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(1,700)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(1,802)</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(220,000)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(585,019)</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Finance lease payments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(2,890)</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financing costs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(25,755)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(47,775)</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Settlement Common Stock issuance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244,550</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related to the early repayment of debt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(25,800)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Employee stock purchase program</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related to tax withholding for stock-based compensation</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(2,652)</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w:t>
            </w:r>
          </w:p>
        </w:tc>
      </w:tr>
      <w:tr>
        <w:trPr>
          <w:trHeight w:val="223"/>
        </w:trPr>
        <w:tc>
          <w:tcPr>
            <w:tcW w:w="722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(149,416)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(164,792)</w:t>
            </w:r>
          </w:p>
        </w:tc>
        <w:tc>
          <w:tcPr>
            <w:tcW w:w="12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Cash used in financing activities was $149.4 million for the nine months ended September 30, 2021, which was </w:t>
      </w:r>
      <w:r>
        <w:rPr>
          <w:rFonts w:ascii="Arial" w:cs="Arial" w:eastAsia="Arial" w:hAnsi="Arial"/>
          <w:sz w:val="18"/>
          <w:szCs w:val="18"/>
          <w:color w:val="212529"/>
        </w:rPr>
        <w:t>primarily driven by the repayment of the</w:t>
      </w:r>
      <w:r>
        <w:rPr>
          <w:rFonts w:ascii="Arial" w:cs="Arial" w:eastAsia="Arial" w:hAnsi="Arial"/>
          <w:sz w:val="18"/>
          <w:szCs w:val="18"/>
          <w:color w:val="auto"/>
        </w:rPr>
        <w:t xml:space="preserve"> </w:t>
      </w:r>
      <w:r>
        <w:rPr>
          <w:rFonts w:ascii="Arial" w:cs="Arial" w:eastAsia="Arial" w:hAnsi="Arial"/>
          <w:sz w:val="18"/>
          <w:szCs w:val="18"/>
          <w:color w:val="212529"/>
        </w:rPr>
        <w:t>2023 Notes and 2023 Secured Notes (</w:t>
      </w:r>
      <w:r>
        <w:rPr>
          <w:rFonts w:ascii="Arial" w:cs="Arial" w:eastAsia="Arial" w:hAnsi="Arial"/>
          <w:sz w:val="18"/>
          <w:szCs w:val="18"/>
          <w:color w:val="000000"/>
        </w:rPr>
        <w:t>$1.66</w:t>
      </w:r>
      <w:r>
        <w:rPr>
          <w:rFonts w:ascii="Arial" w:cs="Arial" w:eastAsia="Arial" w:hAnsi="Arial"/>
          <w:sz w:val="18"/>
          <w:szCs w:val="18"/>
          <w:color w:val="212529"/>
        </w:rPr>
        <w:t xml:space="preserve"> billion), net borrowings under the Revolving Credit Facility (</w:t>
      </w:r>
      <w:r>
        <w:rPr>
          <w:rFonts w:ascii="Arial" w:cs="Arial" w:eastAsia="Arial" w:hAnsi="Arial"/>
          <w:sz w:val="18"/>
          <w:szCs w:val="18"/>
          <w:color w:val="000000"/>
        </w:rPr>
        <w:t>$70.0</w:t>
      </w:r>
      <w:r>
        <w:rPr>
          <w:rFonts w:ascii="Arial" w:cs="Arial" w:eastAsia="Arial" w:hAnsi="Arial"/>
          <w:sz w:val="18"/>
          <w:szCs w:val="18"/>
          <w:color w:val="212529"/>
        </w:rPr>
        <w:t xml:space="preserve"> million), dividend payments (</w:t>
      </w:r>
      <w:r>
        <w:rPr>
          <w:rFonts w:ascii="Arial" w:cs="Arial" w:eastAsia="Arial" w:hAnsi="Arial"/>
          <w:sz w:val="18"/>
          <w:szCs w:val="18"/>
          <w:color w:val="000000"/>
        </w:rPr>
        <w:t>$105.9</w:t>
      </w:r>
      <w:r>
        <w:rPr>
          <w:rFonts w:ascii="Arial" w:cs="Arial" w:eastAsia="Arial" w:hAnsi="Arial"/>
          <w:sz w:val="18"/>
          <w:szCs w:val="18"/>
          <w:color w:val="212529"/>
        </w:rPr>
        <w:t xml:space="preserve"> million), payments for financing costs (</w:t>
      </w:r>
      <w:r>
        <w:rPr>
          <w:rFonts w:ascii="Arial" w:cs="Arial" w:eastAsia="Arial" w:hAnsi="Arial"/>
          <w:sz w:val="18"/>
          <w:szCs w:val="18"/>
          <w:color w:val="000000"/>
        </w:rPr>
        <w:t>$25.8</w:t>
      </w:r>
      <w:r>
        <w:rPr>
          <w:rFonts w:ascii="Arial" w:cs="Arial" w:eastAsia="Arial" w:hAnsi="Arial"/>
          <w:sz w:val="18"/>
          <w:szCs w:val="18"/>
          <w:color w:val="212529"/>
        </w:rPr>
        <w:t xml:space="preserve"> million), payment of settlement obligation (</w:t>
      </w:r>
      <w:r>
        <w:rPr>
          <w:rFonts w:ascii="Arial" w:cs="Arial" w:eastAsia="Arial" w:hAnsi="Arial"/>
          <w:sz w:val="18"/>
          <w:szCs w:val="18"/>
          <w:color w:val="000000"/>
        </w:rPr>
        <w:t>$73.5</w:t>
      </w:r>
      <w:r>
        <w:rPr>
          <w:rFonts w:ascii="Arial" w:cs="Arial" w:eastAsia="Arial" w:hAnsi="Arial"/>
          <w:sz w:val="18"/>
          <w:szCs w:val="18"/>
          <w:color w:val="212529"/>
        </w:rPr>
        <w:t xml:space="preserve"> million), 2023 Notes tender premium payment (</w:t>
      </w:r>
      <w:r>
        <w:rPr>
          <w:rFonts w:ascii="Arial" w:cs="Arial" w:eastAsia="Arial" w:hAnsi="Arial"/>
          <w:sz w:val="18"/>
          <w:szCs w:val="18"/>
          <w:color w:val="000000"/>
        </w:rPr>
        <w:t>$17.6</w:t>
      </w:r>
      <w:r>
        <w:rPr>
          <w:rFonts w:ascii="Arial" w:cs="Arial" w:eastAsia="Arial" w:hAnsi="Arial"/>
          <w:sz w:val="18"/>
          <w:szCs w:val="18"/>
          <w:color w:val="212529"/>
        </w:rPr>
        <w:t xml:space="preserve"> million), 2023 Secured Notes early redemption payment ($8.3 million) and contingent consideration payments (</w:t>
      </w:r>
      <w:r>
        <w:rPr>
          <w:rFonts w:ascii="Arial" w:cs="Arial" w:eastAsia="Arial" w:hAnsi="Arial"/>
          <w:sz w:val="18"/>
          <w:szCs w:val="18"/>
          <w:color w:val="000000"/>
        </w:rPr>
        <w:t>$3.0</w:t>
      </w:r>
      <w:r>
        <w:rPr>
          <w:rFonts w:ascii="Arial" w:cs="Arial" w:eastAsia="Arial" w:hAnsi="Arial"/>
          <w:sz w:val="18"/>
          <w:szCs w:val="18"/>
          <w:color w:val="212529"/>
        </w:rPr>
        <w:t xml:space="preserve"> million), partially offset by proceeds from the issuance of the 2029 Notes and 2028 Secured Notes (</w:t>
      </w:r>
      <w:r>
        <w:rPr>
          <w:rFonts w:ascii="Arial" w:cs="Arial" w:eastAsia="Arial" w:hAnsi="Arial"/>
          <w:sz w:val="18"/>
          <w:szCs w:val="18"/>
          <w:color w:val="000000"/>
        </w:rPr>
        <w:t>$1.68</w:t>
      </w:r>
      <w:r>
        <w:rPr>
          <w:rFonts w:ascii="Arial" w:cs="Arial" w:eastAsia="Arial" w:hAnsi="Arial"/>
          <w:sz w:val="18"/>
          <w:szCs w:val="18"/>
          <w:color w:val="212529"/>
        </w:rPr>
        <w:t xml:space="preserve"> billion). </w:t>
      </w:r>
      <w:r>
        <w:rPr>
          <w:rFonts w:ascii="Arial" w:cs="Arial" w:eastAsia="Arial" w:hAnsi="Arial"/>
          <w:sz w:val="18"/>
          <w:szCs w:val="18"/>
          <w:color w:val="000000"/>
        </w:rPr>
        <w:t>Cash used in financing activities was $164.8 million for the nine months</w:t>
      </w:r>
      <w:r>
        <w:rPr>
          <w:rFonts w:ascii="Arial" w:cs="Arial" w:eastAsia="Arial" w:hAnsi="Arial"/>
          <w:sz w:val="18"/>
          <w:szCs w:val="18"/>
          <w:color w:val="212529"/>
        </w:rPr>
        <w:t xml:space="preserve"> </w:t>
      </w:r>
      <w:r>
        <w:rPr>
          <w:rFonts w:ascii="Arial" w:cs="Arial" w:eastAsia="Arial" w:hAnsi="Arial"/>
          <w:sz w:val="18"/>
          <w:szCs w:val="18"/>
          <w:color w:val="000000"/>
        </w:rPr>
        <w:t xml:space="preserve">ended September 30, 2020, which was </w:t>
      </w:r>
      <w:r>
        <w:rPr>
          <w:rFonts w:ascii="Arial" w:cs="Arial" w:eastAsia="Arial" w:hAnsi="Arial"/>
          <w:sz w:val="18"/>
          <w:szCs w:val="18"/>
          <w:color w:val="212529"/>
        </w:rPr>
        <w:t>primarily driven by the repayment of senior secured term loan B ($2.04 billion), net payments under the Revolving</w:t>
      </w:r>
      <w:r>
        <w:rPr>
          <w:rFonts w:ascii="Arial" w:cs="Arial" w:eastAsia="Arial" w:hAnsi="Arial"/>
          <w:sz w:val="18"/>
          <w:szCs w:val="18"/>
          <w:color w:val="000000"/>
        </w:rPr>
        <w:t xml:space="preserve"> </w:t>
      </w:r>
      <w:r>
        <w:rPr>
          <w:rFonts w:ascii="Arial" w:cs="Arial" w:eastAsia="Arial" w:hAnsi="Arial"/>
          <w:sz w:val="18"/>
          <w:szCs w:val="18"/>
          <w:color w:val="212529"/>
        </w:rPr>
        <w:t>Credit Facility ($445.0 million), dividend payments ($100.8 million) and payments for financing costs ($47.8 million)</w:t>
      </w:r>
      <w:r>
        <w:rPr>
          <w:rFonts w:ascii="Arial" w:cs="Arial" w:eastAsia="Arial" w:hAnsi="Arial"/>
          <w:sz w:val="18"/>
          <w:szCs w:val="18"/>
          <w:color w:val="000000"/>
        </w:rPr>
        <w:t>, contingent consideration payments</w:t>
      </w:r>
      <w:r>
        <w:rPr>
          <w:rFonts w:ascii="Arial" w:cs="Arial" w:eastAsia="Arial" w:hAnsi="Arial"/>
          <w:sz w:val="18"/>
          <w:szCs w:val="18"/>
          <w:color w:val="212529"/>
        </w:rPr>
        <w:t xml:space="preserve"> </w:t>
      </w:r>
      <w:r>
        <w:rPr>
          <w:rFonts w:ascii="Arial" w:cs="Arial" w:eastAsia="Arial" w:hAnsi="Arial"/>
          <w:sz w:val="18"/>
          <w:szCs w:val="18"/>
          <w:color w:val="000000"/>
        </w:rPr>
        <w:t xml:space="preserve">($15.7 million), partially offset by </w:t>
      </w:r>
      <w:r>
        <w:rPr>
          <w:rFonts w:ascii="Arial" w:cs="Arial" w:eastAsia="Arial" w:hAnsi="Arial"/>
          <w:sz w:val="18"/>
          <w:szCs w:val="18"/>
          <w:color w:val="212529"/>
        </w:rPr>
        <w:t>the proceeds from the issuance of the 2025 Secured Notes ($2.25 billion) and the issuance of the Settlement Common</w:t>
      </w:r>
      <w:r>
        <w:rPr>
          <w:rFonts w:ascii="Arial" w:cs="Arial" w:eastAsia="Arial" w:hAnsi="Arial"/>
          <w:sz w:val="18"/>
          <w:szCs w:val="18"/>
          <w:color w:val="000000"/>
        </w:rPr>
        <w:t xml:space="preserve"> </w:t>
      </w:r>
      <w:r>
        <w:rPr>
          <w:rFonts w:ascii="Arial" w:cs="Arial" w:eastAsia="Arial" w:hAnsi="Arial"/>
          <w:sz w:val="18"/>
          <w:szCs w:val="18"/>
          <w:color w:val="212529"/>
        </w:rPr>
        <w:t>Stock ($244.6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October 13, 2021, Uniti Group LP, Uniti Fiber Holdings Inc., Uniti Group Finance 2019 Inc. and CSL Capital, LLC (together, the “Issuers”) issued $700 million aggregate principal amount of 6.00% Senior Notes due 2030 and will use the proceeds to fund the redemption of the Issuer’s 2024 Notes on December 15, 2021. On October 13, 2021, the Issuers deposited amounts with the trustee of the 2024 Notes sufficient to fund the redemption of the 2024 Notes on December 15, 2021, and to pay any related premiums, fees and expenses in connection with the foregoing, and therefore satisfied and discharged their respective obligations under the indenture governing the 2024 Notes.</w:t>
      </w:r>
    </w:p>
    <w:p>
      <w:pPr>
        <w:spacing w:after="0" w:line="1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2030 Notes were issued at an issue price of 100% of their principal amount pursuant to an indenture, dated as of October 13, 2021, among the Issuers, the guarantors named therein and Deutsche Bank Trust Company Americas, as trustee. The 2030 Notes mature on January 15, 2030 and bear interest at a rate of 6.000% per year. Interest on the 2030 Notes is payable on January 15 and July 15 of each year, beginning on July 15, 2022.</w:t>
      </w:r>
    </w:p>
    <w:p>
      <w:pPr>
        <w:spacing w:after="0" w:line="149" w:lineRule="exact"/>
        <w:rPr>
          <w:sz w:val="20"/>
          <w:szCs w:val="20"/>
          <w:color w:val="auto"/>
        </w:rPr>
      </w:pPr>
    </w:p>
    <w:p>
      <w:pPr>
        <w:ind w:right="2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w:t>
      </w:r>
      <w:hyperlink w:anchor="page26">
        <w:r>
          <w:rPr>
            <w:rFonts w:ascii="Arial" w:cs="Arial" w:eastAsia="Arial" w:hAnsi="Arial"/>
            <w:sz w:val="18"/>
            <w:szCs w:val="18"/>
            <w:u w:val="single" w:color="auto"/>
            <w:color w:val="auto"/>
          </w:rPr>
          <w:t xml:space="preserve">see Note 11 </w:t>
        </w:r>
      </w:hyperlink>
      <w:r>
        <w:rPr>
          <w:rFonts w:ascii="Arial" w:cs="Arial" w:eastAsia="Arial" w:hAnsi="Arial"/>
          <w:sz w:val="18"/>
          <w:szCs w:val="18"/>
          <w:color w:val="auto"/>
        </w:rPr>
        <w:t>to our accompanying Condensed Consolidated Financial Statements contained in Part 1,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-182245</wp:posOffset>
            </wp:positionV>
            <wp:extent cx="5353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5305"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Common Stock Offering Program</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 million. During the three and nine months ended September 30, 2021, we did not make any sales under the ATM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September 30, 2021, we had $380.5 million in borrowing availability under our Revolving Credit Facility,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may also issue equity securities to repay debt and reduce our leverage ratio to be below 5.75 to 1.0 to obtain additional flexibility under our debt covenants, as described under “—Dividends.” In light of the COVID-19 pandemic and its effects on the global economy and capital markets, we are closely monitoring the equity and debt markets and may seek to access them promptly if and when we determine market conditions are appropriate. Our debt covenants currently do not permit us to incur material additional debt.</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amount, nature and timing of any capital markets transactions will depend on: the impact the COVID-19 pandemic has on the global economy and capital markets, our operating performance and other circumstances; our then-current commitments and obligations; the amount, nature and timing of our capital requirements; and any limitations imposed by our current credit arrangements.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9"/>
          </w:tcPr>
          <w:p>
            <w:pPr>
              <w:ind w:left="40"/>
              <w:spacing w:after="0"/>
              <w:rPr>
                <w:sz w:val="20"/>
                <w:szCs w:val="20"/>
                <w:color w:val="auto"/>
              </w:rPr>
            </w:pPr>
            <w:r>
              <w:rPr>
                <w:rFonts w:ascii="Arial" w:cs="Arial" w:eastAsia="Arial" w:hAnsi="Arial"/>
                <w:sz w:val="18"/>
                <w:szCs w:val="18"/>
                <w:b w:val="1"/>
                <w:bCs w:val="1"/>
                <w:color w:val="auto"/>
              </w:rPr>
              <w:t>Nine Months Ended September 30, 2021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Success Based</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Maintenance</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Integration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Network</w:t>
            </w: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Leasing</w:t>
            </w:r>
          </w:p>
        </w:tc>
        <w:tc>
          <w:tcPr>
            <w:tcW w:w="4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2,551</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Growth capital improvements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152,254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152,254</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113,388</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121,205</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8"/>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268,193</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276,010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right="60"/>
        <w:spacing w:after="0" w:line="253"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Uniti’s total annual reimbursement commitments to Windstream for the Growth Capital Improvements under the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w:t>
      </w:r>
    </w:p>
    <w:p>
      <w:pPr>
        <w:spacing w:after="0" w:line="1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 We continually assess our capital expenditure plans in light of developments the impact COVID-19 has on our business and that of our tenants and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Subject to the restrictions imposed by our 7.875% senior secured notes due 2025 (the “2025 Secured Notes”),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Record Date</w:t>
            </w:r>
          </w:p>
        </w:tc>
      </w:tr>
      <w:tr>
        <w:trPr>
          <w:trHeight w:val="22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2020 - December 31, 2020</w:t>
            </w:r>
          </w:p>
        </w:tc>
        <w:tc>
          <w:tcPr>
            <w:tcW w:w="1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4, 2021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15, 2020</w:t>
            </w: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January 1, 2021 - March 31, 2021</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April 16, 2021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April 1, 2021</w:t>
            </w: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2021 - June 30, 2021</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 2021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9"/>
                <w:szCs w:val="19"/>
                <w:color w:val="auto"/>
              </w:rPr>
            </w:pP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18, 2021</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July 1, 2021 - September 30, 2021</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October 1, 2021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September 17, 2021</w:t>
            </w:r>
          </w:p>
        </w:tc>
      </w:tr>
    </w:tbl>
    <w:p>
      <w:pPr>
        <w:spacing w:after="0" w:line="2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 In addition, until such time our consolidated net leverage ratio (as defined in the indenture governing the 2025 Secured Notes) is no greater than 5.75 to 1.0, our 2025 Secured Notes generally limit our ability to pay cash dividends in excess of 90% of our REIT taxable income, determined without regard to the dividends paid deduction and excluding any net capital gains.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impairment and business combinations as critical accounting estimates, as they are the most important to our financial statement presentation and require difficult, subjective and complex judgments.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September 30, 2021, there has been no material change to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470- 20)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ASU 2020-06 (1)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(“EPS”) for convertible instruments by using the if-converted method.</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The Company elected to early adopt the guidance ASU 2020-06 as of January 1, 2021 using the modified retrospective transition method. Pursuant to the transition guidance, the Company is required to apply the guidance to all impacted financial instruments that were outstanding as of January 1, 2021 with the cumulative effect recognized as an adjustment to the opening balance of retained earnings.</w:t>
      </w:r>
    </w:p>
    <w:p>
      <w:pPr>
        <w:spacing w:after="0" w:line="17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4.8%. Additional paid-in-capital was reduced by $59.9 million and deferred tax liabilities were reduced by $15.8 million. Approximately $14.6 million of cumulative effect of adoption was recognized to the opening balance of retained earnings as of January 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information reported under Item 7A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September 30, 2021, and based on this evaluation, our principal executive officer and principal financial officer concluded that our disclosure controls and procedures were not effective as of September 30, 2021, due to the material weakness in our internal control over financial reporting that was disclosed in our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disclosed in “</w:t>
      </w:r>
      <w:r>
        <w:rPr>
          <w:rFonts w:ascii="Arial" w:cs="Arial" w:eastAsia="Arial" w:hAnsi="Arial"/>
          <w:sz w:val="18"/>
          <w:szCs w:val="18"/>
          <w:i w:val="1"/>
          <w:iCs w:val="1"/>
          <w:color w:val="auto"/>
        </w:rPr>
        <w:t>Part II. Item 9A. Controls and Procedures</w:t>
      </w:r>
      <w:r>
        <w:rPr>
          <w:rFonts w:ascii="Arial" w:cs="Arial" w:eastAsia="Arial" w:hAnsi="Arial"/>
          <w:sz w:val="18"/>
          <w:szCs w:val="18"/>
          <w:color w:val="auto"/>
        </w:rPr>
        <w:t>” in our Annual Report, during the fourth quarter of 2020, we identified a material weakness in our internal control over financial reporting due to ineffective controls over the annual goodwill impairment assessment, specifically, the control activities over the determination of the carrying value to be used in the assessment of goodwill impairment did not operate effectively due to an insufficient complement of qualified personnel. As of September 30, 2021, management is continuing to implement the remediation plan as disclosed in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9A. Controls and Procedures</w:t>
      </w:r>
      <w:r>
        <w:rPr>
          <w:rFonts w:ascii="Arial" w:cs="Arial" w:eastAsia="Arial" w:hAnsi="Arial"/>
          <w:sz w:val="18"/>
          <w:szCs w:val="18"/>
          <w:color w:val="auto"/>
        </w:rPr>
        <w:t>” in our Annual Report, which is described below.</w:t>
      </w:r>
    </w:p>
    <w:p>
      <w:pPr>
        <w:spacing w:after="0" w:line="18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that occurred during the quarter ended September 30, 2021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 is continuing to implement the remediation plan as disclosed in “</w:t>
      </w:r>
      <w:r>
        <w:rPr>
          <w:rFonts w:ascii="Arial" w:cs="Arial" w:eastAsia="Arial" w:hAnsi="Arial"/>
          <w:sz w:val="17"/>
          <w:szCs w:val="17"/>
          <w:i w:val="1"/>
          <w:iCs w:val="1"/>
          <w:color w:val="auto"/>
        </w:rPr>
        <w:t>Part II. Item 9A. Controls and Procedures</w:t>
      </w:r>
      <w:r>
        <w:rPr>
          <w:rFonts w:ascii="Arial" w:cs="Arial" w:eastAsia="Arial" w:hAnsi="Arial"/>
          <w:sz w:val="17"/>
          <w:szCs w:val="17"/>
          <w:color w:val="auto"/>
        </w:rPr>
        <w:t>” in our Annual Report, to ensure that the deficiency contributing to the material weakness is remediated such that this control will operate effectively. We believe that these actions, and the improvements we expect to achieve as a result, will effectively remediate the material weakness. However, the material weakness in our internal control over financial reporting will not be considered remediated until management has concluded, through testing, that this control is designed effectively. We expect that the remediation of this material weakness will be completed later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description of legal proceedings can be found in Note 14 - Commitments and Contingencies to our Condensed Consolidated Financial Statements, included in this report at Part I, Item 1-Financial Statements, and is incorporated by reference into this Item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affecting our business that were discussed in Part I, “Item 1A. Risk Factors” in our Annual Report.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Maximum Number of</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4"/>
                <w:szCs w:val="1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 2021 to July 31, 2021</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August 1, 2021 to August 31, 2021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2021 to September 30, 2021</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8"/>
        <w:spacing w:after="0" w:line="297" w:lineRule="auto"/>
        <w:tabs>
          <w:tab w:leader="none" w:pos="166" w:val="left"/>
        </w:tabs>
        <w:numPr>
          <w:ilvl w:val="0"/>
          <w:numId w:val="8"/>
        </w:numPr>
        <w:rPr>
          <w:rFonts w:ascii="Arial" w:cs="Arial" w:eastAsia="Arial" w:hAnsi="Arial"/>
          <w:sz w:val="19"/>
          <w:szCs w:val="19"/>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60" w:type="dxa"/>
            <w:vAlign w:val="bottom"/>
          </w:tcPr>
          <w:p>
            <w:pPr>
              <w:spacing w:after="0"/>
              <w:rPr>
                <w:sz w:val="14"/>
                <w:szCs w:val="14"/>
                <w:color w:val="auto"/>
              </w:rPr>
            </w:pPr>
          </w:p>
        </w:tc>
        <w:tc>
          <w:tcPr>
            <w:tcW w:w="6340" w:type="dxa"/>
            <w:vAlign w:val="bottom"/>
            <w:gridSpan w:val="5"/>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60" w:type="dxa"/>
            <w:vAlign w:val="bottom"/>
          </w:tcPr>
          <w:p>
            <w:pPr>
              <w:spacing w:after="0"/>
              <w:rPr>
                <w:sz w:val="14"/>
                <w:szCs w:val="14"/>
                <w:color w:val="auto"/>
              </w:rPr>
            </w:pPr>
          </w:p>
        </w:tc>
        <w:tc>
          <w:tcPr>
            <w:tcW w:w="63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640" w:type="dxa"/>
            <w:vAlign w:val="bottom"/>
            <w:tcBorders>
              <w:top w:val="single" w:sz="8" w:color="auto"/>
              <w:bottom w:val="single" w:sz="8" w:color="0000EE"/>
            </w:tcBorders>
            <w:gridSpan w:val="4"/>
          </w:tcPr>
          <w:p>
            <w:pPr>
              <w:ind w:left="20"/>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Indenture, dated October 13, 2021, by and among Uniti Group LP, Uniti Fiber Holdings Inc., Uniti Group Finance 2019 Inc. and CSL</w:t>
              </w:r>
            </w:hyperlink>
          </w:p>
        </w:tc>
        <w:tc>
          <w:tcPr>
            <w:tcW w:w="3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Capital, LLC, as Issuers, the guarantors party thereto and Deutsche Bank Trust Company Americas, as trustee, governing the 6.000%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Senior Notes due 2030 (incorporated by reference to Exhibit 4.1 to the Company’s Current Report on Form 8-K dated and filed with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top w:val="single" w:sz="8" w:color="0000EE"/>
            </w:tcBorders>
            <w:gridSpan w:val="5"/>
          </w:tcPr>
          <w:p>
            <w:pPr>
              <w:ind w:left="20"/>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SEC as of October 13, 2021 (File No. 001-36708))</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000" w:type="dxa"/>
            <w:vAlign w:val="bottom"/>
            <w:gridSpan w:val="6"/>
          </w:tcPr>
          <w:p>
            <w:pPr>
              <w:ind w:left="20"/>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Form of 6.000% Senior Notes due 2030 (included in Exhibit 4.1) ((incorporated by reference to Exhibit 4.2 to the Company’s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top w:val="single" w:sz="8" w:color="0000EE"/>
            </w:tcBorders>
            <w:gridSpan w:val="4"/>
          </w:tcPr>
          <w:p>
            <w:pPr>
              <w:ind w:left="20"/>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Report on Form 8-K dated and filed with the SEC as of October 13, 2021 (File No. 001-36708))</w:t>
              </w:r>
            </w:hyperlink>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Borders>
              <w:top w:val="single" w:sz="8" w:color="0000EE"/>
            </w:tcBorders>
            <w:gridSpan w:val="2"/>
          </w:tcPr>
          <w:p>
            <w:pPr>
              <w:ind w:left="4300"/>
              <w:spacing w:after="0"/>
              <w:rPr>
                <w:sz w:val="20"/>
                <w:szCs w:val="20"/>
                <w:color w:val="auto"/>
              </w:rPr>
            </w:pPr>
            <w:r>
              <w:rPr>
                <w:rFonts w:ascii="Arial" w:cs="Arial" w:eastAsia="Arial" w:hAnsi="Arial"/>
                <w:sz w:val="18"/>
                <w:szCs w:val="18"/>
                <w:color w:val="auto"/>
              </w:rPr>
              <w:t>62</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640" w:type="dxa"/>
            <w:vAlign w:val="bottom"/>
            <w:tcBorders>
              <w:bottom w:val="single" w:sz="8" w:color="0000EE"/>
            </w:tcBorders>
            <w:gridSpan w:val="6"/>
          </w:tcPr>
          <w:p>
            <w:pPr>
              <w:ind w:left="20"/>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Adopted Pursuant to Section 302 of the Sarbanes-Oxley Act of 2002.</w:t>
              </w:r>
            </w:hyperlink>
          </w:p>
        </w:tc>
        <w:tc>
          <w:tcPr>
            <w:tcW w:w="4860" w:type="dxa"/>
            <w:vAlign w:val="bottom"/>
            <w:gridSpan w:val="5"/>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4"/>
          </w:tcPr>
          <w:p>
            <w:pPr>
              <w:ind w:left="20"/>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28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Adopted Pursuant to Section 302 of the Sarbanes-Oxley Act of 2002.</w:t>
              </w:r>
            </w:hyperlink>
          </w:p>
        </w:tc>
        <w:tc>
          <w:tcPr>
            <w:tcW w:w="4860" w:type="dxa"/>
            <w:vAlign w:val="bottom"/>
            <w:gridSpan w:val="5"/>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tcBorders>
              <w:bottom w:val="single" w:sz="8" w:color="0000EE"/>
            </w:tcBorders>
            <w:gridSpan w:val="5"/>
          </w:tcPr>
          <w:p>
            <w:pPr>
              <w:ind w:left="20"/>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400" w:type="dxa"/>
            <w:vAlign w:val="bottom"/>
            <w:tcBorders>
              <w:bottom w:val="single" w:sz="8" w:color="0000EE"/>
            </w:tcBorders>
          </w:tcPr>
          <w:p>
            <w:pPr>
              <w:ind w:left="20"/>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Oxley Act of 2002.</w:t>
              </w:r>
            </w:hyperlink>
          </w:p>
        </w:tc>
        <w:tc>
          <w:tcPr>
            <w:tcW w:w="8460" w:type="dxa"/>
            <w:vAlign w:val="bottom"/>
            <w:gridSpan w:val="6"/>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7"/>
          </w:tcPr>
          <w:p>
            <w:pPr>
              <w:ind w:left="20"/>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Certification of Principal Financial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Oxley Act of 2002.</w:t>
              </w:r>
            </w:hyperlink>
          </w:p>
        </w:tc>
        <w:tc>
          <w:tcPr>
            <w:tcW w:w="8160" w:type="dxa"/>
            <w:vAlign w:val="bottom"/>
            <w:tcBorders>
              <w:top w:val="single" w:sz="8" w:color="0000EE"/>
            </w:tcBorders>
            <w:gridSpan w:val="2"/>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240" w:type="dxa"/>
            <w:vAlign w:val="bottom"/>
          </w:tcPr>
          <w:p>
            <w:pPr>
              <w:spacing w:after="0"/>
              <w:rPr>
                <w:sz w:val="20"/>
                <w:szCs w:val="20"/>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28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58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UNITI GROUP INC.</w:t>
            </w: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November 4, 2021</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Paul E. Bullington</w:t>
            </w:r>
          </w:p>
        </w:tc>
      </w:tr>
      <w:tr>
        <w:trPr>
          <w:trHeight w:val="205"/>
        </w:trPr>
        <w:tc>
          <w:tcPr>
            <w:tcW w:w="980" w:type="dxa"/>
            <w:vAlign w:val="bottom"/>
            <w:tcBorders>
              <w:left w:val="single" w:sz="8" w:color="auto"/>
              <w:right w:val="single" w:sz="8" w:color="auto"/>
            </w:tcBorders>
          </w:tcPr>
          <w:p>
            <w:pPr>
              <w:spacing w:after="0"/>
              <w:rPr>
                <w:sz w:val="17"/>
                <w:szCs w:val="17"/>
                <w:color w:val="auto"/>
              </w:rPr>
            </w:pPr>
          </w:p>
        </w:tc>
        <w:tc>
          <w:tcPr>
            <w:tcW w:w="42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860" w:type="dxa"/>
            <w:vAlign w:val="bottom"/>
            <w:tcBorders>
              <w:right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Paul E. Bullington</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Senior Vice President – Chief Financial Officer and Treasurer</w:t>
            </w:r>
          </w:p>
        </w:tc>
      </w:tr>
      <w:tr>
        <w:trPr>
          <w:trHeight w:val="234"/>
        </w:trPr>
        <w:tc>
          <w:tcPr>
            <w:tcW w:w="980" w:type="dxa"/>
            <w:vAlign w:val="bottom"/>
            <w:tcBorders>
              <w:left w:val="single" w:sz="8" w:color="auto"/>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216"/>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November 4, 2021</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Travis T. Black</w:t>
            </w:r>
          </w:p>
        </w:tc>
      </w:tr>
      <w:tr>
        <w:trPr>
          <w:trHeight w:val="191"/>
        </w:trPr>
        <w:tc>
          <w:tcPr>
            <w:tcW w:w="980" w:type="dxa"/>
            <w:vAlign w:val="bottom"/>
            <w:tcBorders>
              <w:left w:val="single" w:sz="8" w:color="auto"/>
              <w:right w:val="single" w:sz="8" w:color="auto"/>
            </w:tcBorders>
          </w:tcPr>
          <w:p>
            <w:pPr>
              <w:spacing w:after="0"/>
              <w:rPr>
                <w:sz w:val="16"/>
                <w:szCs w:val="16"/>
                <w:color w:val="auto"/>
              </w:rPr>
            </w:pPr>
          </w:p>
        </w:tc>
        <w:tc>
          <w:tcPr>
            <w:tcW w:w="42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Travis T. Black</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Interim Chief Accounting Officer</w:t>
            </w:r>
          </w:p>
        </w:tc>
      </w:tr>
      <w:tr>
        <w:trPr>
          <w:trHeight w:val="234"/>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25" w:right="3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50"/>
        <w:spacing w:after="0" w:line="277"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4800" w:val="left"/>
          <w:tab w:leader="none" w:pos="720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E. Bullington, certify that:</w:t>
      </w:r>
    </w:p>
    <w:p>
      <w:pPr>
        <w:spacing w:after="0" w:line="225"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00" w:right="4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00" w:val="left"/>
          <w:tab w:leader="none" w:pos="73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Paul E. Bullington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2021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2021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3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Paul E. Bullington</w:t>
      </w:r>
    </w:p>
    <w:p>
      <w:pPr>
        <w:spacing w:after="0" w:line="32"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0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Senior Vice President – 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47" Type="http://schemas.openxmlformats.org/officeDocument/2006/relationships/hyperlink" Target="http://www.sec.gov/Archives/edgar/data/0001620280/000095010321015859/dp159744_ex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2021-11-04T15:38:10Z</dcterms:created>
  <dcterms:modified xsi:type="dcterms:W3CDTF">2021-11-04T15:38:10Z</dcterms:modified>
</cp:coreProperties>
</file>