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Uniti Group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42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001-42779</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85-2262564</w:t>
            </w:r>
          </w:p>
        </w:tc>
      </w:tr>
      <w:tr>
        <w:trPr>
          <w:trHeight w:val="216"/>
        </w:trPr>
        <w:tc>
          <w:tcPr>
            <w:tcW w:w="42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4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tc>
        <w:tc>
          <w:tcPr>
            <w:tcW w:w="24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2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Little Rock, Arkansas</w:t>
            </w:r>
          </w:p>
        </w:tc>
        <w:tc>
          <w:tcPr>
            <w:tcW w:w="244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72202</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(501) 850-0820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5, 2026, Uniti Group Inc. (“Uniti” or the “Company”) issued a press release to announce the pricing of $1,140.71 million aggregate principal amount of secured fiber network revenue term notes (the “Notes”) by its subsidiary, Kinetic ABS Issuer LLC (the “Issuer”), consisting of $805,210,000 5.834% Series 2026-2, Class A-2 term notes, $134,200,000 6.224% Series 2026-2, Class B term notes and $201,300,000 7.536% Series 2026-2, Class C term notes, each with an anticipated repayment date in June 2033 (collectively, the “Notes”). Collectively, the Notes have a weighted average coupon rate of approximately 6.180%. The Notes are expected to be secured by certain residential fiber network assets and related customer agreements in the States of Texas, Arkansas, Kentucky, Ohio, Georgia, Iowa, Alabama, Florida, North Carolina and Oklahoma. 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offering of the Notes is expected to close on July 15, 2026.</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offering of the Notes, the Issuer expects to (i) increase the maximum commitment under its existing liquidity funding note facility to reflect the increase in the transaction’s liquidity reserve requirements that would result from the issuance of the Notes and (ii) extend the maturity of the existing liquidity note facility to align with the final maturity date of the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were offered only to persons reasonably believed to be qualified institutional buyers under Rule 144A under the Securities Act and outside the United States in compliance with Regulation S under the Securities Act. A copy of the press release is attached hereto as Exhibit 99.1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Uniti’s most recently filed periodic reports on Form 10-K and Form 10-Q and subsequent filings with the U.S. Securities and Exchange Commission.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10139"/>
          </w:cols>
          <w:pgMar w:left="320" w:top="468" w:right="1440" w:bottom="1440" w:gutter="0" w:footer="0" w:header="0"/>
        </w:sectPr>
      </w:pPr>
    </w:p>
    <w:p>
      <w:pPr>
        <w:spacing w:after="0" w:line="223"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Exhibit</w:t>
      </w:r>
    </w:p>
    <w:p>
      <w:pPr>
        <w:spacing w:after="0" w:line="233" w:lineRule="exact"/>
        <w:rPr>
          <w:sz w:val="20"/>
          <w:szCs w:val="20"/>
          <w:color w:val="auto"/>
        </w:rPr>
      </w:pPr>
    </w:p>
    <w:p>
      <w:pPr>
        <w:sectPr>
          <w:pgSz w:w="11900" w:h="16838" w:orient="portrait"/>
          <w:cols w:equalWidth="0" w:num="2">
            <w:col w:w="4560" w:space="720"/>
            <w:col w:w="4859"/>
          </w:cols>
          <w:pgMar w:left="320" w:top="468" w:right="1440" w:bottom="1440" w:gutter="0" w:footer="0" w:header="0"/>
          <w:type w:val="continuous"/>
        </w:sectPr>
      </w:pPr>
    </w:p>
    <w:p>
      <w:pPr>
        <w:spacing w:after="0" w:line="7"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issued June 5, 2026.</w:t>
      </w:r>
    </w:p>
    <w:p>
      <w:pPr>
        <w:spacing w:after="0" w:line="225" w:lineRule="exact"/>
        <w:rPr>
          <w:sz w:val="20"/>
          <w:szCs w:val="20"/>
          <w:color w:val="auto"/>
        </w:rPr>
      </w:pPr>
    </w:p>
    <w:p>
      <w:pPr>
        <w:ind w:left="380"/>
        <w:spacing w:after="0"/>
        <w:tabs>
          <w:tab w:leader="none" w:pos="10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 Heard</w:t>
            </w:r>
          </w:p>
        </w:tc>
      </w:tr>
      <w:tr>
        <w:trPr>
          <w:trHeight w:val="191"/>
        </w:trPr>
        <w:tc>
          <w:tcPr>
            <w:tcW w:w="5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L. Heard</w:t>
            </w:r>
          </w:p>
        </w:tc>
      </w:tr>
      <w:tr>
        <w:trPr>
          <w:trHeight w:val="216"/>
        </w:trPr>
        <w:tc>
          <w:tcPr>
            <w:tcW w:w="5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Executive Vice President - General Counsel and</w:t>
            </w:r>
          </w:p>
        </w:tc>
      </w:tr>
      <w:tr>
        <w:trPr>
          <w:trHeight w:val="234"/>
        </w:trPr>
        <w:tc>
          <w:tcPr>
            <w:tcW w:w="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48790" cy="72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728980"/>
                    </a:xfrm>
                    <a:prstGeom prst="rect">
                      <a:avLst/>
                    </a:prstGeom>
                    <a:noFill/>
                  </pic:spPr>
                </pic:pic>
              </a:graphicData>
            </a:graphic>
          </wp:anchor>
        </w:drawing>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Release date: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Uniti Group Inc. Announces Pricing of $1.1 Billion Kinetic Fiber Securitization Notes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244475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LITTLE ROCK, Ark. – Uniti Group Inc. (the “Company,” “Uniti,” or “we”) (Nasdaq: UNIT) today announced that Kinetic ABS Issuer LLC, a limited-purpose, bankruptcy remote subsidiary of Uniti (the “Issuer”), has priced its offering of $ 1,140,710,000 aggregate principal amount of secured fiber network revenue term notes, consisting of $805,210,000 5.834% Series 2026-2, Class A-2 term notes, $134,200,000 6.224% Series 2026-2, Class B term notes and $201,300,000 7.536% Series 2026-2, Class C term notes, each with an anticipated repayment date in June 2033 (collectively, the “Notes”). Collectively, the Notes have a weighted average coupon rate of approximately 6.180%. The Notes are expected to be secured by certain residential fiber network assets and related customer agreements in the States of Texas, Arkansas, Kentucky, Ohio, Georgia, Iowa, Alabama, Florida, North Carolina and Oklahoma. Each of the Issuer and its direct parent entity and subsidiaries are designated as “unrestricted subsidiaries” under Uniti’s credit agreement and the indentures governing its outstanding senior notes. The offering is expected to close on July 15, 2026.</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closing of the offering of the Notes, the Issuer expects to (i) increase the maximum commitment under its existing liquidity funding note facility to reflect the increase in the transaction’s liquidity reserve requirements that would result from the issuance of the Notes and (ii) extend the maturity of the existing liquidity note facility to align with the final maturity date of the Notes.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Uniti intends to use the net proceeds of the offering of the Notes for general corporate purposes, which may include success-based capital expenditures and/or repayment of outstanding debt.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Notes will not be registered under the Securities Act of 1933, as amended (the “Securities Act”), or any state securities laws, and may not be offered or sold in the United States absent registration or an applicable exemption from registration under the Securities Act or any applicable state securities laws. The Notes were offered only to persons reasonably believed to be qualified institutional buyers under Rule 144A under the Securities Act and outside the United States in compliance with Regulation S under the Securities Act.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does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UNITI</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Uniti is a premier insurgent fiber provider dedicated to enabling mission-critical connectivity across the United States. We build, operate, and deliver fast and reliable communications services, empowering more than a million consumers and businesses in the digital economy. Our broad portfolio of services is offered through a suite of brands: Uniti Wholesale, Kinetic, Uniti Fiber, and Uniti Solutions.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regarding the offering of the Notes and use of proceeds therefrom. The words “anticipates,” “believes,” “could,” “estimates,” “expects,” “intends,” “may,” “plans,” “projects,” “will,” “would,” “predicts” and similar expressions are intended to identify forward-looking statements, although not all forward-looking statements contain these identifying words. The Company may not actually achieve the plans, intentions or expectations disclosed in its forward-looking statements, and you should not place undue reliance on the forward-looking statements. Future results may differ materially from the plans, intentions and expectations disclosed in the forward-looking statements that the Company makes. These forward-looking statements involve risks and uncertainties, known and unknown, that could cause events and results to differ materially from those in the forward-looking statements, including, without limitation: the levels of demand for our residential fiber network services within the markets related to the Notes, general market conditions within such markets, our ability to maintain and grow our residential fiber network services within these markets, unanticipated difficulties or expenditures relating to the merger of Uniti and Windstream; competition and overbuilding in consumer service areas and general competition in business markets; risks related to Uniti’s indebtedness, which could reduce funds available for business purposes and operational flexibility; rapid changes in technology, which could affect its ability to compete; risks relating to information technology system failures, network disruptions, and failure to protect, loss of, or unauthorized access to, or release of, data; risks related to various forms of regulation from the Federal Communications Commission, state regulatory commissions and other government entities and effects of unfavorable legal proceedings, government investigations, and complex and changing laws; risks inherent in the communications industry and associated with general economic conditions; and additional risks set forth in the “Risk Factors” and “Management’s Discussion and Analysis of Financial Condition and Results of Operations” sections of Uniti’s most recently filed periodic reports on Form 10-K and Form 10-Q and subsequent filings with the U.S. Securities and Exchange Commission. The discussion of such risks is not an indication that any such risks have occurred at the time of this filing. The Company does not assume any obligation to update any forward-looking statements. Uniti expressly disclaims any obligation to release publicly any updates or revisions to any of the forward-looking statements set forth in this press release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INVESTOR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Paul Bullington, 251-662-1512</w:t>
      </w:r>
    </w:p>
    <w:p>
      <w:pPr>
        <w:spacing w:after="0" w:line="14" w:lineRule="exact"/>
        <w:rPr>
          <w:sz w:val="20"/>
          <w:szCs w:val="20"/>
          <w:color w:val="auto"/>
        </w:rPr>
      </w:pPr>
    </w:p>
    <w:p>
      <w:pPr>
        <w:ind w:right="4719"/>
        <w:spacing w:after="0" w:line="250" w:lineRule="auto"/>
        <w:rPr>
          <w:sz w:val="20"/>
          <w:szCs w:val="20"/>
          <w:color w:val="auto"/>
        </w:rPr>
      </w:pPr>
      <w:r>
        <w:rPr>
          <w:rFonts w:ascii="Arial" w:cs="Arial" w:eastAsia="Arial" w:hAnsi="Arial"/>
          <w:sz w:val="18"/>
          <w:szCs w:val="18"/>
          <w:color w:val="auto"/>
        </w:rPr>
        <w:t xml:space="preserve">Senior Executive Vice President, Chief Financial Officer &amp; Treasurer </w:t>
      </w:r>
      <w:r>
        <w:rPr>
          <w:rFonts w:ascii="Arial" w:cs="Arial" w:eastAsia="Arial" w:hAnsi="Arial"/>
          <w:sz w:val="18"/>
          <w:szCs w:val="18"/>
          <w:u w:val="single" w:color="auto"/>
          <w:color w:val="0000FF"/>
        </w:rPr>
        <w:t>paul.bullington@uniti.com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Bill DiTullio, 501-850-0872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&amp; Treasury</w:t>
      </w:r>
    </w:p>
    <w:p>
      <w:pPr>
        <w:spacing w:after="0"/>
        <w:rPr>
          <w:sz w:val="20"/>
          <w:szCs w:val="20"/>
          <w:color w:val="auto"/>
        </w:rPr>
      </w:pPr>
      <w:r>
        <w:rPr>
          <w:rFonts w:ascii="Arial" w:cs="Arial" w:eastAsia="Arial" w:hAnsi="Arial"/>
          <w:sz w:val="18"/>
          <w:szCs w:val="18"/>
          <w:u w:val="single" w:color="auto"/>
          <w:color w:val="0000FF"/>
        </w:rPr>
        <w:t>bill.ditullio@uniti.com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Scott L.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Media &amp; External Communications</w:t>
      </w:r>
    </w:p>
    <w:p>
      <w:pPr>
        <w:spacing w:after="0" w:line="234" w:lineRule="auto"/>
        <w:rPr>
          <w:sz w:val="20"/>
          <w:szCs w:val="20"/>
          <w:color w:val="auto"/>
        </w:rPr>
      </w:pPr>
      <w:r>
        <w:rPr>
          <w:rFonts w:ascii="Arial" w:cs="Arial" w:eastAsia="Arial" w:hAnsi="Arial"/>
          <w:sz w:val="18"/>
          <w:szCs w:val="18"/>
          <w:color w:val="auto"/>
        </w:rPr>
        <w:t>501-580-4759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scott.l.morris@uniti.com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Brandi Stafford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234" w:lineRule="auto"/>
        <w:rPr>
          <w:sz w:val="20"/>
          <w:szCs w:val="20"/>
          <w:color w:val="auto"/>
        </w:rPr>
      </w:pPr>
      <w:r>
        <w:rPr>
          <w:rFonts w:ascii="Arial" w:cs="Arial" w:eastAsia="Arial" w:hAnsi="Arial"/>
          <w:sz w:val="18"/>
          <w:szCs w:val="18"/>
          <w:color w:val="auto"/>
        </w:rPr>
        <w:t>501-351-0067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brandi.stafford@uniti.com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2026-06-05T16:37:01Z</dcterms:created>
  <dcterms:modified xsi:type="dcterms:W3CDTF">2026-06-05T16:37:01Z</dcterms:modified>
</cp:coreProperties>
</file>