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0" w:lineRule="exact"/>
        <w:rPr>
          <w:sz w:val="24"/>
          <w:szCs w:val="24"/>
          <w:color w:val="auto"/>
        </w:rPr>
      </w:pPr>
    </w:p>
    <w:p>
      <w:pPr>
        <w:jc w:val="center"/>
        <w:ind w:right="-800"/>
        <w:spacing w:after="0"/>
        <w:rPr>
          <w:sz w:val="20"/>
          <w:szCs w:val="20"/>
          <w:color w:val="auto"/>
        </w:rPr>
      </w:pPr>
      <w:r>
        <w:rPr>
          <w:rFonts w:ascii="Arial" w:cs="Arial" w:eastAsia="Arial" w:hAnsi="Arial"/>
          <w:sz w:val="22"/>
          <w:szCs w:val="22"/>
          <w:b w:val="1"/>
          <w:bCs w:val="1"/>
          <w:color w:val="auto"/>
        </w:rPr>
        <w:t>UNITED STATES</w:t>
      </w:r>
    </w:p>
    <w:p>
      <w:pPr>
        <w:jc w:val="center"/>
        <w:ind w:right="-800"/>
        <w:spacing w:after="0" w:line="217"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860"/>
        <w:spacing w:after="0"/>
        <w:rPr>
          <w:sz w:val="20"/>
          <w:szCs w:val="20"/>
          <w:color w:val="auto"/>
        </w:rPr>
      </w:pPr>
      <w:r>
        <w:rPr>
          <w:rFonts w:ascii="Arial" w:cs="Arial" w:eastAsia="Arial" w:hAnsi="Arial"/>
          <w:sz w:val="22"/>
          <w:szCs w:val="22"/>
          <w:b w:val="1"/>
          <w:bCs w:val="1"/>
          <w:color w:val="auto"/>
        </w:rPr>
        <w:t>Washington, D.C. 20549</w:t>
      </w:r>
    </w:p>
    <w:p>
      <w:pPr>
        <w:spacing w:after="0" w:line="90" w:lineRule="exact"/>
        <w:rPr>
          <w:sz w:val="24"/>
          <w:szCs w:val="24"/>
          <w:color w:val="auto"/>
        </w:rPr>
      </w:pPr>
    </w:p>
    <w:p>
      <w:pPr>
        <w:ind w:left="4560"/>
        <w:spacing w:after="0"/>
        <w:rPr>
          <w:sz w:val="20"/>
          <w:szCs w:val="20"/>
          <w:color w:val="auto"/>
        </w:rPr>
      </w:pPr>
      <w:r>
        <w:rPr>
          <w:rFonts w:ascii="Arial" w:cs="Arial" w:eastAsia="Arial" w:hAnsi="Arial"/>
          <w:sz w:val="22"/>
          <w:szCs w:val="22"/>
          <w:b w:val="1"/>
          <w:bCs w:val="1"/>
          <w:color w:val="auto"/>
        </w:rPr>
        <w:t>SCHEDULE 14A</w:t>
      </w:r>
    </w:p>
    <w:p>
      <w:pPr>
        <w:spacing w:after="0" w:line="70" w:lineRule="exact"/>
        <w:rPr>
          <w:sz w:val="24"/>
          <w:szCs w:val="24"/>
          <w:color w:val="auto"/>
        </w:rPr>
      </w:pPr>
    </w:p>
    <w:p>
      <w:pPr>
        <w:ind w:left="3320"/>
        <w:spacing w:after="0"/>
        <w:rPr>
          <w:sz w:val="20"/>
          <w:szCs w:val="20"/>
          <w:color w:val="auto"/>
        </w:rPr>
      </w:pPr>
      <w:r>
        <w:rPr>
          <w:rFonts w:ascii="Arial" w:cs="Arial" w:eastAsia="Arial" w:hAnsi="Arial"/>
          <w:sz w:val="22"/>
          <w:szCs w:val="22"/>
          <w:color w:val="auto"/>
        </w:rPr>
        <w:t>Proxy Statement Pursuant to Section 14(a)</w:t>
      </w:r>
    </w:p>
    <w:p>
      <w:pPr>
        <w:ind w:left="2560"/>
        <w:spacing w:after="0"/>
        <w:rPr>
          <w:sz w:val="20"/>
          <w:szCs w:val="20"/>
          <w:color w:val="auto"/>
        </w:rPr>
      </w:pPr>
      <w:r>
        <w:rPr>
          <w:rFonts w:ascii="Arial" w:cs="Arial" w:eastAsia="Arial" w:hAnsi="Arial"/>
          <w:sz w:val="22"/>
          <w:szCs w:val="22"/>
          <w:color w:val="auto"/>
        </w:rPr>
        <w:t>of the Securities Exchange Act of 1934 (Amendment No.    )</w:t>
      </w:r>
    </w:p>
    <w:p>
      <w:pPr>
        <w:spacing w:after="0" w:line="11"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1"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11"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1700" w:hanging="440"/>
        <w:spacing w:after="0"/>
        <w:tabs>
          <w:tab w:leader="none" w:pos="1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rFonts w:ascii="MS PGothic" w:cs="MS PGothic" w:eastAsia="MS PGothic" w:hAnsi="MS PGothic"/>
          <w:sz w:val="18"/>
          <w:szCs w:val="18"/>
          <w:color w:val="auto"/>
        </w:rPr>
      </w:pPr>
    </w:p>
    <w:p>
      <w:pPr>
        <w:ind w:left="1700" w:hanging="440"/>
        <w:spacing w:after="0"/>
        <w:tabs>
          <w:tab w:leader="none" w:pos="1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5"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7" w:lineRule="exact"/>
        <w:rPr>
          <w:rFonts w:ascii="MS PGothic" w:cs="MS PGothic" w:eastAsia="MS PGothic" w:hAnsi="MS PGothic"/>
          <w:sz w:val="18"/>
          <w:szCs w:val="18"/>
          <w:color w:val="auto"/>
        </w:rPr>
      </w:pPr>
    </w:p>
    <w:p>
      <w:pPr>
        <w:ind w:left="1700" w:hanging="440"/>
        <w:spacing w:after="0"/>
        <w:tabs>
          <w:tab w:leader="none" w:pos="1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1700" w:hanging="440"/>
        <w:spacing w:after="0"/>
        <w:tabs>
          <w:tab w:leader="none" w:pos="1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2668905</wp:posOffset>
            </wp:positionH>
            <wp:positionV relativeFrom="paragraph">
              <wp:posOffset>300355</wp:posOffset>
            </wp:positionV>
            <wp:extent cx="1482725"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8272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860"/>
        <w:spacing w:after="0"/>
        <w:rPr>
          <w:sz w:val="20"/>
          <w:szCs w:val="20"/>
          <w:color w:val="auto"/>
        </w:rPr>
      </w:pPr>
      <w:r>
        <w:rPr>
          <w:rFonts w:ascii="Arial" w:cs="Arial" w:eastAsia="Arial" w:hAnsi="Arial"/>
          <w:sz w:val="29"/>
          <w:szCs w:val="29"/>
          <w:b w:val="1"/>
          <w:bCs w:val="1"/>
          <w:color w:val="auto"/>
        </w:rPr>
        <w:t>Uniti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41275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6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160655</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65" w:lineRule="exact"/>
        <w:rPr>
          <w:sz w:val="24"/>
          <w:szCs w:val="24"/>
          <w:color w:val="auto"/>
        </w:rPr>
      </w:pPr>
    </w:p>
    <w:p>
      <w:pPr>
        <w:ind w:left="314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94"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1700" w:hanging="440"/>
        <w:spacing w:after="0"/>
        <w:tabs>
          <w:tab w:leader="none" w:pos="1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1700" w:hanging="440"/>
        <w:spacing w:after="0"/>
        <w:tabs>
          <w:tab w:leader="none" w:pos="17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1700" w:right="559" w:hanging="440"/>
        <w:spacing w:after="0" w:line="256" w:lineRule="auto"/>
        <w:tabs>
          <w:tab w:leader="none" w:pos="17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3164840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2101 Riverfront Drive, Suite A</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Little Rock, Arkansas 72202</w:t>
      </w:r>
    </w:p>
    <w:p>
      <w:pPr>
        <w:spacing w:after="0" w:line="9"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Telephone: (501) 850-0820</w:t>
      </w:r>
    </w:p>
    <w:p>
      <w:pPr>
        <w:spacing w:after="0" w:line="1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00ABD1"/>
        </w:rPr>
        <w:t>www.uniti.com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80"/>
        <w:spacing w:after="0"/>
        <w:rPr>
          <w:sz w:val="20"/>
          <w:szCs w:val="20"/>
          <w:color w:val="auto"/>
        </w:rPr>
      </w:pPr>
      <w:r>
        <w:rPr>
          <w:rFonts w:ascii="Arial" w:cs="Arial" w:eastAsia="Arial" w:hAnsi="Arial"/>
          <w:sz w:val="29"/>
          <w:szCs w:val="29"/>
          <w:color w:val="auto"/>
        </w:rPr>
        <w:t>2026 PROXY STATEMENT AND</w:t>
      </w:r>
    </w:p>
    <w:p>
      <w:pPr>
        <w:spacing w:after="0" w:line="19" w:lineRule="exact"/>
        <w:rPr>
          <w:sz w:val="20"/>
          <w:szCs w:val="20"/>
          <w:color w:val="auto"/>
        </w:rPr>
      </w:pPr>
    </w:p>
    <w:p>
      <w:pPr>
        <w:ind w:left="3320"/>
        <w:spacing w:after="0"/>
        <w:rPr>
          <w:sz w:val="20"/>
          <w:szCs w:val="20"/>
          <w:color w:val="auto"/>
        </w:rPr>
      </w:pPr>
      <w:r>
        <w:rPr>
          <w:rFonts w:ascii="Arial" w:cs="Arial" w:eastAsia="Arial" w:hAnsi="Arial"/>
          <w:sz w:val="29"/>
          <w:szCs w:val="29"/>
          <w:color w:val="auto"/>
        </w:rPr>
        <w:t>NOTICE OF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380" w:type="dxa"/>
        <w:tblCellMar>
          <w:top w:w="0" w:type="dxa"/>
          <w:left w:w="0" w:type="dxa"/>
          <w:bottom w:w="0" w:type="dxa"/>
          <w:right w:w="0" w:type="dxa"/>
        </w:tblCellMar>
      </w:tblPr>
      <w:tr>
        <w:trPr>
          <w:trHeight w:val="20"/>
        </w:trPr>
        <w:tc>
          <w:tcPr>
            <w:tcW w:w="360" w:type="dxa"/>
            <w:vAlign w:val="bottom"/>
            <w:vMerge w:val="restart"/>
          </w:tcPr>
          <w:p>
            <w:pPr>
              <w:spacing w:after="0"/>
              <w:rPr>
                <w:sz w:val="20"/>
                <w:szCs w:val="20"/>
                <w:color w:val="auto"/>
              </w:rPr>
            </w:pPr>
            <w:r>
              <w:rPr>
                <w:rFonts w:ascii="Arial" w:cs="Arial" w:eastAsia="Arial" w:hAnsi="Arial"/>
                <w:sz w:val="22"/>
                <w:szCs w:val="22"/>
                <w:color w:val="auto"/>
              </w:rPr>
              <w:t>​</w:t>
            </w:r>
          </w:p>
        </w:tc>
        <w:tc>
          <w:tcPr>
            <w:tcW w:w="3220" w:type="dxa"/>
            <w:vAlign w:val="bottom"/>
            <w:vMerge w:val="restart"/>
          </w:tcPr>
          <w:p>
            <w:pPr>
              <w:ind w:left="300"/>
              <w:spacing w:after="0"/>
              <w:rPr>
                <w:sz w:val="20"/>
                <w:szCs w:val="20"/>
                <w:color w:val="auto"/>
              </w:rPr>
            </w:pPr>
            <w:r>
              <w:rPr>
                <w:rFonts w:ascii="Arial" w:cs="Arial" w:eastAsia="Arial" w:hAnsi="Arial"/>
                <w:sz w:val="22"/>
                <w:szCs w:val="22"/>
                <w:color w:val="auto"/>
              </w:rPr>
              <w:t>THURSDAY, MAY 21, 2026</w:t>
            </w:r>
          </w:p>
        </w:tc>
        <w:tc>
          <w:tcPr>
            <w:tcW w:w="420" w:type="dxa"/>
            <w:vAlign w:val="bottom"/>
            <w:vMerge w:val="restart"/>
          </w:tcPr>
          <w:p>
            <w:pPr>
              <w:ind w:left="360"/>
              <w:spacing w:after="0"/>
              <w:rPr>
                <w:sz w:val="20"/>
                <w:szCs w:val="20"/>
                <w:color w:val="auto"/>
              </w:rPr>
            </w:pPr>
            <w:r>
              <w:rPr>
                <w:rFonts w:ascii="Arial" w:cs="Arial" w:eastAsia="Arial" w:hAnsi="Arial"/>
                <w:sz w:val="22"/>
                <w:szCs w:val="22"/>
                <w:color w:val="auto"/>
              </w:rPr>
              <w:t>​</w:t>
            </w:r>
          </w:p>
        </w:tc>
        <w:tc>
          <w:tcPr>
            <w:tcW w:w="400" w:type="dxa"/>
            <w:vAlign w:val="bottom"/>
            <w:vMerge w:val="restart"/>
          </w:tcPr>
          <w:p>
            <w:pPr>
              <w:ind w:left="40"/>
              <w:spacing w:after="0"/>
              <w:rPr>
                <w:sz w:val="20"/>
                <w:szCs w:val="20"/>
                <w:color w:val="auto"/>
              </w:rPr>
            </w:pPr>
            <w:r>
              <w:rPr>
                <w:rFonts w:ascii="Arial" w:cs="Arial" w:eastAsia="Arial" w:hAnsi="Arial"/>
                <w:sz w:val="22"/>
                <w:szCs w:val="22"/>
                <w:color w:val="auto"/>
              </w:rPr>
              <w:t>​</w:t>
            </w:r>
          </w:p>
        </w:tc>
        <w:tc>
          <w:tcPr>
            <w:tcW w:w="3280" w:type="dxa"/>
            <w:vAlign w:val="bottom"/>
            <w:vMerge w:val="restart"/>
          </w:tcPr>
          <w:p>
            <w:pPr>
              <w:ind w:left="320"/>
              <w:spacing w:after="0"/>
              <w:rPr>
                <w:sz w:val="20"/>
                <w:szCs w:val="20"/>
                <w:color w:val="auto"/>
              </w:rPr>
            </w:pPr>
            <w:r>
              <w:rPr>
                <w:rFonts w:ascii="Arial" w:cs="Arial" w:eastAsia="Arial" w:hAnsi="Arial"/>
                <w:sz w:val="22"/>
                <w:szCs w:val="22"/>
                <w:color w:val="auto"/>
              </w:rPr>
              <w:t>8:00 A.M. (EASTERN TIME)</w:t>
            </w:r>
          </w:p>
        </w:tc>
        <w:tc>
          <w:tcPr>
            <w:tcW w:w="380" w:type="dxa"/>
            <w:vAlign w:val="bottom"/>
            <w:vMerge w:val="restart"/>
          </w:tcPr>
          <w:p>
            <w:pPr>
              <w:ind w:left="320"/>
              <w:spacing w:after="0"/>
              <w:rPr>
                <w:sz w:val="20"/>
                <w:szCs w:val="20"/>
                <w:color w:val="auto"/>
              </w:rPr>
            </w:pPr>
            <w:r>
              <w:rPr>
                <w:rFonts w:ascii="Arial" w:cs="Arial" w:eastAsia="Arial" w:hAnsi="Arial"/>
                <w:sz w:val="22"/>
                <w:szCs w:val="22"/>
                <w:color w:val="auto"/>
              </w:rPr>
              <w:t>​</w:t>
            </w:r>
          </w:p>
        </w:tc>
        <w:tc>
          <w:tcPr>
            <w:tcW w:w="0" w:type="dxa"/>
            <w:vAlign w:val="bottom"/>
          </w:tcPr>
          <w:p>
            <w:pPr>
              <w:spacing w:after="0" w:line="20" w:lineRule="exact"/>
              <w:rPr>
                <w:sz w:val="1"/>
                <w:szCs w:val="1"/>
                <w:color w:val="auto"/>
              </w:rPr>
            </w:pPr>
          </w:p>
        </w:tc>
      </w:tr>
      <w:tr>
        <w:trPr>
          <w:trHeight w:val="263"/>
        </w:trPr>
        <w:tc>
          <w:tcPr>
            <w:tcW w:w="360" w:type="dxa"/>
            <w:vAlign w:val="bottom"/>
            <w:vMerge w:val="continue"/>
          </w:tcPr>
          <w:p>
            <w:pPr>
              <w:spacing w:after="0"/>
              <w:rPr>
                <w:sz w:val="22"/>
                <w:szCs w:val="22"/>
                <w:color w:val="auto"/>
              </w:rPr>
            </w:pPr>
          </w:p>
        </w:tc>
        <w:tc>
          <w:tcPr>
            <w:tcW w:w="3220" w:type="dxa"/>
            <w:vAlign w:val="bottom"/>
            <w:vMerge w:val="continue"/>
          </w:tcPr>
          <w:p>
            <w:pPr>
              <w:spacing w:after="0"/>
              <w:rPr>
                <w:sz w:val="22"/>
                <w:szCs w:val="22"/>
                <w:color w:val="auto"/>
              </w:rPr>
            </w:pPr>
          </w:p>
        </w:tc>
        <w:tc>
          <w:tcPr>
            <w:tcW w:w="420" w:type="dxa"/>
            <w:vAlign w:val="bottom"/>
            <w:vMerge w:val="continue"/>
          </w:tcPr>
          <w:p>
            <w:pPr>
              <w:spacing w:after="0"/>
              <w:rPr>
                <w:sz w:val="22"/>
                <w:szCs w:val="22"/>
                <w:color w:val="auto"/>
              </w:rPr>
            </w:pPr>
          </w:p>
        </w:tc>
        <w:tc>
          <w:tcPr>
            <w:tcW w:w="400" w:type="dxa"/>
            <w:vAlign w:val="bottom"/>
            <w:vMerge w:val="continue"/>
          </w:tcPr>
          <w:p>
            <w:pPr>
              <w:spacing w:after="0"/>
              <w:rPr>
                <w:sz w:val="22"/>
                <w:szCs w:val="22"/>
                <w:color w:val="auto"/>
              </w:rPr>
            </w:pPr>
          </w:p>
        </w:tc>
        <w:tc>
          <w:tcPr>
            <w:tcW w:w="3280" w:type="dxa"/>
            <w:vAlign w:val="bottom"/>
            <w:vMerge w:val="continue"/>
          </w:tcPr>
          <w:p>
            <w:pPr>
              <w:spacing w:after="0"/>
              <w:rPr>
                <w:sz w:val="22"/>
                <w:szCs w:val="22"/>
                <w:color w:val="auto"/>
              </w:rPr>
            </w:pPr>
          </w:p>
        </w:tc>
        <w:tc>
          <w:tcPr>
            <w:tcW w:w="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3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www.virtualshareholdermeeting.com/UNIT2026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1146810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00ABD1"/>
        </w:rPr>
        <w:t>NOTICE OF ANNUAL MEETING OF STOCKHOLDERS</w:t>
      </w:r>
    </w:p>
    <w:p>
      <w:pPr>
        <w:spacing w:after="0" w:line="150" w:lineRule="exact"/>
        <w:rPr>
          <w:sz w:val="20"/>
          <w:szCs w:val="20"/>
          <w:color w:val="auto"/>
        </w:rPr>
      </w:pPr>
    </w:p>
    <w:p>
      <w:pPr>
        <w:ind w:left="1280" w:right="1380" w:firstLine="648"/>
        <w:spacing w:after="0" w:line="251" w:lineRule="auto"/>
        <w:rPr>
          <w:sz w:val="20"/>
          <w:szCs w:val="20"/>
          <w:color w:val="auto"/>
        </w:rPr>
      </w:pPr>
      <w:r>
        <w:rPr>
          <w:rFonts w:ascii="Arial" w:cs="Arial" w:eastAsia="Arial" w:hAnsi="Arial"/>
          <w:sz w:val="17"/>
          <w:szCs w:val="17"/>
          <w:color w:val="auto"/>
        </w:rPr>
        <w:t>NOTICE IS HEREBY GIVEN that the Annual Meeting of Stockholders (the “Annual Meeting”) of Uniti Group Inc., a Delaware corporation (the “Company”), will be held on Thursday, May 21, 2026, at</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8:00 a.m. (Eastern time). The Annual Meeting will be completely virtual, which means stockholders will be</w:t>
      </w:r>
    </w:p>
    <w:p>
      <w:pPr>
        <w:spacing w:after="0" w:line="7" w:lineRule="exact"/>
        <w:rPr>
          <w:sz w:val="20"/>
          <w:szCs w:val="20"/>
          <w:color w:val="auto"/>
        </w:rPr>
      </w:pPr>
    </w:p>
    <w:p>
      <w:pPr>
        <w:ind w:left="1280" w:right="1740"/>
        <w:spacing w:after="0" w:line="244" w:lineRule="auto"/>
        <w:rPr>
          <w:sz w:val="20"/>
          <w:szCs w:val="20"/>
          <w:color w:val="auto"/>
        </w:rPr>
      </w:pPr>
      <w:r>
        <w:rPr>
          <w:rFonts w:ascii="Arial" w:cs="Arial" w:eastAsia="Arial" w:hAnsi="Arial"/>
          <w:sz w:val="18"/>
          <w:szCs w:val="18"/>
          <w:color w:val="auto"/>
        </w:rPr>
        <w:t xml:space="preserve">able to attend the Annual Meeting, vote and submit questions during the live webcast of the Annual Meeting by visiting </w:t>
      </w:r>
      <w:r>
        <w:rPr>
          <w:rFonts w:ascii="Arial" w:cs="Arial" w:eastAsia="Arial" w:hAnsi="Arial"/>
          <w:sz w:val="18"/>
          <w:szCs w:val="18"/>
          <w:b w:val="1"/>
          <w:bCs w:val="1"/>
          <w:color w:val="00ABD1"/>
        </w:rPr>
        <w:t>www.virtualshareholdermeeting.com/UNIT2026</w:t>
      </w:r>
      <w:r>
        <w:rPr>
          <w:rFonts w:ascii="Arial" w:cs="Arial" w:eastAsia="Arial" w:hAnsi="Arial"/>
          <w:sz w:val="18"/>
          <w:szCs w:val="18"/>
          <w:color w:val="auto"/>
        </w:rPr>
        <w:t>.</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00ABD1"/>
        </w:rPr>
        <w:t>Items of Business</w:t>
      </w:r>
    </w:p>
    <w:p>
      <w:pPr>
        <w:spacing w:after="0" w:line="256" w:lineRule="exact"/>
        <w:rPr>
          <w:sz w:val="20"/>
          <w:szCs w:val="20"/>
          <w:color w:val="auto"/>
        </w:rPr>
      </w:pPr>
    </w:p>
    <w:p>
      <w:pPr>
        <w:ind w:left="1280" w:right="1280" w:firstLine="648"/>
        <w:spacing w:after="0" w:line="285" w:lineRule="auto"/>
        <w:rPr>
          <w:sz w:val="20"/>
          <w:szCs w:val="20"/>
          <w:color w:val="auto"/>
        </w:rPr>
      </w:pPr>
      <w:r>
        <w:rPr>
          <w:rFonts w:ascii="Arial" w:cs="Arial" w:eastAsia="Arial" w:hAnsi="Arial"/>
          <w:sz w:val="17"/>
          <w:szCs w:val="17"/>
          <w:color w:val="auto"/>
        </w:rPr>
        <w:t>At the Annual Meeting, holders of our common stock will be asked to consider and vote upon the following proposals, all of which are discussed in greater detail in the accompanying proxy statement:</w:t>
      </w:r>
    </w:p>
    <w:p>
      <w:pPr>
        <w:spacing w:after="0" w:line="76" w:lineRule="exact"/>
        <w:rPr>
          <w:sz w:val="20"/>
          <w:szCs w:val="20"/>
          <w:color w:val="auto"/>
        </w:rPr>
      </w:pPr>
    </w:p>
    <w:p>
      <w:pPr>
        <w:ind w:left="1920" w:right="1300" w:hanging="642"/>
        <w:spacing w:after="0" w:line="245" w:lineRule="auto"/>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nine director nominees named in the attached proxy statement to serve until the 2027 annual meeting of stockholders and until successors are duly elected or until the earliest of their removal, resignation or death;</w:t>
      </w:r>
    </w:p>
    <w:p>
      <w:pPr>
        <w:spacing w:after="0" w:line="108" w:lineRule="exact"/>
        <w:rPr>
          <w:rFonts w:ascii="Arial" w:cs="Arial" w:eastAsia="Arial" w:hAnsi="Arial"/>
          <w:sz w:val="18"/>
          <w:szCs w:val="18"/>
          <w:color w:val="auto"/>
        </w:rPr>
      </w:pPr>
    </w:p>
    <w:p>
      <w:pPr>
        <w:ind w:left="1920" w:right="1260" w:hanging="642"/>
        <w:spacing w:after="0" w:line="271" w:lineRule="auto"/>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increase in the number of shares available for issuance under the Uniti Group Inc. 2025 Equity Incentive Plan (the “2025 Plan”);</w:t>
      </w:r>
    </w:p>
    <w:p>
      <w:pPr>
        <w:spacing w:after="0" w:line="72" w:lineRule="exact"/>
        <w:rPr>
          <w:rFonts w:ascii="Arial" w:cs="Arial" w:eastAsia="Arial" w:hAnsi="Arial"/>
          <w:sz w:val="18"/>
          <w:szCs w:val="18"/>
          <w:color w:val="auto"/>
        </w:rPr>
      </w:pPr>
    </w:p>
    <w:p>
      <w:pPr>
        <w:ind w:left="1920" w:right="1880" w:hanging="642"/>
        <w:spacing w:after="0" w:line="271" w:lineRule="auto"/>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the Company’s Named Executive Officers;</w:t>
      </w:r>
    </w:p>
    <w:p>
      <w:pPr>
        <w:spacing w:after="0" w:line="86" w:lineRule="exact"/>
        <w:rPr>
          <w:rFonts w:ascii="Arial" w:cs="Arial" w:eastAsia="Arial" w:hAnsi="Arial"/>
          <w:sz w:val="18"/>
          <w:szCs w:val="18"/>
          <w:color w:val="auto"/>
        </w:rPr>
      </w:pPr>
    </w:p>
    <w:p>
      <w:pPr>
        <w:ind w:left="1920" w:right="1380" w:hanging="642"/>
        <w:spacing w:after="0" w:line="256" w:lineRule="auto"/>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the frequency of future votes to approve the compensation of the Company’s named executive officers;</w:t>
      </w:r>
    </w:p>
    <w:p>
      <w:pPr>
        <w:spacing w:after="0" w:line="98" w:lineRule="exact"/>
        <w:rPr>
          <w:rFonts w:ascii="Arial" w:cs="Arial" w:eastAsia="Arial" w:hAnsi="Arial"/>
          <w:sz w:val="18"/>
          <w:szCs w:val="18"/>
          <w:color w:val="auto"/>
        </w:rPr>
      </w:pPr>
    </w:p>
    <w:p>
      <w:pPr>
        <w:ind w:left="1920" w:right="1800" w:hanging="642"/>
        <w:spacing w:after="0" w:line="271" w:lineRule="auto"/>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Company’s independent registered public accountant for the year ending December 31, 2026; and</w:t>
      </w:r>
    </w:p>
    <w:p>
      <w:pPr>
        <w:sectPr>
          <w:pgSz w:w="11900" w:h="16838" w:orient="portrait"/>
          <w:cols w:equalWidth="0" w:num="1">
            <w:col w:w="10720"/>
          </w:cols>
          <w:pgMar w:left="580" w:top="97" w:right="599" w:bottom="1440" w:gutter="0" w:footer="0" w:header="0"/>
        </w:sectPr>
      </w:pPr>
    </w:p>
    <w:p>
      <w:pPr>
        <w:spacing w:after="0" w:line="73" w:lineRule="exact"/>
        <w:rPr>
          <w:sz w:val="20"/>
          <w:szCs w:val="20"/>
          <w:color w:val="auto"/>
        </w:rPr>
      </w:pPr>
    </w:p>
    <w:p>
      <w:pPr>
        <w:ind w:left="1920" w:right="560" w:hanging="642"/>
        <w:spacing w:after="0" w:line="271" w:lineRule="auto"/>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postponement or adjournment thereof.</w:t>
      </w:r>
    </w:p>
    <w:p>
      <w:pPr>
        <w:spacing w:after="0" w:line="86"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Only stockholders of record at the close of business on March 23, 2026, the record date for the</w:t>
      </w:r>
    </w:p>
    <w:p>
      <w:pPr>
        <w:spacing w:after="0" w:line="25" w:lineRule="exact"/>
        <w:rPr>
          <w:sz w:val="20"/>
          <w:szCs w:val="20"/>
          <w:color w:val="auto"/>
        </w:rPr>
      </w:pPr>
    </w:p>
    <w:p>
      <w:pPr>
        <w:ind w:left="1280" w:right="100"/>
        <w:spacing w:after="0"/>
        <w:rPr>
          <w:sz w:val="20"/>
          <w:szCs w:val="20"/>
          <w:color w:val="auto"/>
        </w:rPr>
      </w:pPr>
      <w:r>
        <w:rPr>
          <w:rFonts w:ascii="Arial" w:cs="Arial" w:eastAsia="Arial" w:hAnsi="Arial"/>
          <w:sz w:val="17"/>
          <w:szCs w:val="17"/>
          <w:color w:val="auto"/>
        </w:rPr>
        <w:t>Annual Meeting, will be entitled to vote at the Annual Meeting and any adjournments or postponements thereof. To make it easier for you to vote, both Internet and telephone voting are available. The</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instructions on the proxy card describe how to use these convenient services.</w:t>
      </w:r>
    </w:p>
    <w:p>
      <w:pPr>
        <w:spacing w:after="0" w:line="126" w:lineRule="exact"/>
        <w:rPr>
          <w:sz w:val="20"/>
          <w:szCs w:val="20"/>
          <w:color w:val="auto"/>
        </w:rPr>
      </w:pPr>
    </w:p>
    <w:p>
      <w:pPr>
        <w:ind w:left="1280" w:firstLine="648"/>
        <w:spacing w:after="0" w:line="251" w:lineRule="auto"/>
        <w:rPr>
          <w:sz w:val="20"/>
          <w:szCs w:val="20"/>
          <w:color w:val="auto"/>
        </w:rPr>
      </w:pPr>
      <w:r>
        <w:rPr>
          <w:rFonts w:ascii="Arial" w:cs="Arial" w:eastAsia="Arial" w:hAnsi="Arial"/>
          <w:sz w:val="17"/>
          <w:szCs w:val="17"/>
          <w:color w:val="auto"/>
        </w:rPr>
        <w:t>Your vote is important to us and to our business. Whether or not you plan to participate in the Annual Meeting, we encourage you to read the accompanying proxy statement and submit your proxy or</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voting instructions as soon as possible.</w:t>
      </w:r>
    </w:p>
    <w:p>
      <w:pPr>
        <w:spacing w:after="0" w:line="131" w:lineRule="exact"/>
        <w:rPr>
          <w:sz w:val="20"/>
          <w:szCs w:val="20"/>
          <w:color w:val="auto"/>
        </w:rPr>
      </w:pPr>
    </w:p>
    <w:tbl>
      <w:tblPr>
        <w:tblLayout w:type="fixed"/>
        <w:tblInd w:w="1280" w:type="dxa"/>
        <w:tblCellMar>
          <w:top w:w="0" w:type="dxa"/>
          <w:left w:w="0" w:type="dxa"/>
          <w:bottom w:w="0" w:type="dxa"/>
          <w:right w:w="0" w:type="dxa"/>
        </w:tblCellMar>
      </w:tblPr>
      <w:tr>
        <w:trPr>
          <w:trHeight w:val="189"/>
        </w:trPr>
        <w:tc>
          <w:tcPr>
            <w:tcW w:w="2740" w:type="dxa"/>
            <w:vAlign w:val="bottom"/>
          </w:tcPr>
          <w:p>
            <w:pPr>
              <w:spacing w:after="0"/>
              <w:rPr>
                <w:sz w:val="20"/>
                <w:szCs w:val="20"/>
                <w:color w:val="auto"/>
              </w:rPr>
            </w:pPr>
            <w:r>
              <w:rPr>
                <w:rFonts w:ascii="Arial" w:cs="Arial" w:eastAsia="Arial" w:hAnsi="Arial"/>
                <w:sz w:val="16"/>
                <w:szCs w:val="16"/>
                <w:color w:val="auto"/>
              </w:rPr>
              <w:t>​</w:t>
            </w:r>
          </w:p>
        </w:tc>
        <w:tc>
          <w:tcPr>
            <w:tcW w:w="5160" w:type="dxa"/>
            <w:vAlign w:val="bottom"/>
          </w:tcPr>
          <w:p>
            <w:pPr>
              <w:ind w:left="1260"/>
              <w:spacing w:after="0"/>
              <w:rPr>
                <w:sz w:val="20"/>
                <w:szCs w:val="20"/>
                <w:color w:val="auto"/>
              </w:rPr>
            </w:pPr>
            <w:r>
              <w:rPr>
                <w:rFonts w:ascii="Arial" w:cs="Arial" w:eastAsia="Arial" w:hAnsi="Arial"/>
                <w:sz w:val="16"/>
                <w:szCs w:val="16"/>
                <w:color w:val="auto"/>
              </w:rPr>
              <w:t>​ ​ By Order of the Board of Directors,</w:t>
            </w:r>
          </w:p>
        </w:tc>
      </w:tr>
      <w:tr>
        <w:trPr>
          <w:trHeight w:val="163"/>
        </w:trPr>
        <w:tc>
          <w:tcPr>
            <w:tcW w:w="274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5160" w:type="dxa"/>
            <w:vAlign w:val="bottom"/>
          </w:tcPr>
          <w:p>
            <w:pPr>
              <w:ind w:left="1260"/>
              <w:spacing w:after="0" w:line="163" w:lineRule="exact"/>
              <w:rPr>
                <w:sz w:val="20"/>
                <w:szCs w:val="20"/>
                <w:color w:val="auto"/>
              </w:rPr>
            </w:pPr>
            <w:r>
              <w:rPr>
                <w:rFonts w:ascii="Arial" w:cs="Arial" w:eastAsia="Arial" w:hAnsi="Arial"/>
                <w:sz w:val="16"/>
                <w:szCs w:val="16"/>
                <w:color w:val="auto"/>
              </w:rPr>
              <w:t>​ ​</w:t>
            </w:r>
          </w:p>
        </w:tc>
      </w:tr>
      <w:tr>
        <w:trPr>
          <w:trHeight w:val="215"/>
        </w:trPr>
        <w:tc>
          <w:tcPr>
            <w:tcW w:w="2740" w:type="dxa"/>
            <w:vAlign w:val="bottom"/>
          </w:tcPr>
          <w:p>
            <w:pPr>
              <w:spacing w:after="0"/>
              <w:rPr>
                <w:sz w:val="20"/>
                <w:szCs w:val="20"/>
                <w:color w:val="auto"/>
              </w:rPr>
            </w:pPr>
            <w:r>
              <w:rPr>
                <w:rFonts w:ascii="Arial" w:cs="Arial" w:eastAsia="Arial" w:hAnsi="Arial"/>
                <w:sz w:val="16"/>
                <w:szCs w:val="16"/>
                <w:color w:val="auto"/>
              </w:rPr>
              <w:t>​</w:t>
            </w:r>
          </w:p>
        </w:tc>
        <w:tc>
          <w:tcPr>
            <w:tcW w:w="5160" w:type="dxa"/>
            <w:vAlign w:val="bottom"/>
          </w:tcPr>
          <w:p>
            <w:pPr>
              <w:spacing w:after="0"/>
              <w:rPr>
                <w:sz w:val="18"/>
                <w:szCs w:val="18"/>
                <w:color w:val="auto"/>
              </w:rPr>
            </w:pPr>
          </w:p>
        </w:tc>
      </w:tr>
      <w:tr>
        <w:trPr>
          <w:trHeight w:val="1000"/>
        </w:trPr>
        <w:tc>
          <w:tcPr>
            <w:tcW w:w="2740" w:type="dxa"/>
            <w:vAlign w:val="bottom"/>
          </w:tcPr>
          <w:p>
            <w:pPr>
              <w:spacing w:after="0"/>
              <w:rPr>
                <w:sz w:val="20"/>
                <w:szCs w:val="20"/>
                <w:color w:val="auto"/>
              </w:rPr>
            </w:pPr>
            <w:r>
              <w:rPr>
                <w:rFonts w:ascii="Arial" w:cs="Arial" w:eastAsia="Arial" w:hAnsi="Arial"/>
                <w:sz w:val="16"/>
                <w:szCs w:val="16"/>
                <w:color w:val="00ABD1"/>
              </w:rPr>
              <w:t>​</w:t>
            </w:r>
          </w:p>
        </w:tc>
        <w:tc>
          <w:tcPr>
            <w:tcW w:w="5160" w:type="dxa"/>
            <w:vAlign w:val="bottom"/>
          </w:tcPr>
          <w:p>
            <w:pPr>
              <w:ind w:left="1260"/>
              <w:spacing w:after="0"/>
              <w:rPr>
                <w:sz w:val="20"/>
                <w:szCs w:val="20"/>
                <w:color w:val="auto"/>
              </w:rPr>
            </w:pPr>
            <w:r>
              <w:rPr>
                <w:rFonts w:ascii="Arial" w:cs="Arial" w:eastAsia="Arial" w:hAnsi="Arial"/>
                <w:sz w:val="32"/>
                <w:szCs w:val="32"/>
                <w:color w:val="00ABD1"/>
                <w:vertAlign w:val="superscript"/>
              </w:rPr>
              <w:t>​ ​</w:t>
            </w:r>
            <w:r>
              <w:rPr>
                <w:rFonts w:ascii="Arial" w:cs="Arial" w:eastAsia="Arial" w:hAnsi="Arial"/>
                <w:sz w:val="16"/>
                <w:szCs w:val="16"/>
                <w:color w:val="00ABD1"/>
              </w:rPr>
              <w:t xml:space="preserve"> Daniel L. Heard</w:t>
            </w:r>
          </w:p>
        </w:tc>
      </w:tr>
      <w:tr>
        <w:trPr>
          <w:trHeight w:val="189"/>
        </w:trPr>
        <w:tc>
          <w:tcPr>
            <w:tcW w:w="2740" w:type="dxa"/>
            <w:vAlign w:val="bottom"/>
          </w:tcPr>
          <w:p>
            <w:pPr>
              <w:spacing w:after="0"/>
              <w:rPr>
                <w:sz w:val="16"/>
                <w:szCs w:val="16"/>
                <w:color w:val="auto"/>
              </w:rPr>
            </w:pPr>
          </w:p>
        </w:tc>
        <w:tc>
          <w:tcPr>
            <w:tcW w:w="5160" w:type="dxa"/>
            <w:vAlign w:val="bottom"/>
          </w:tcPr>
          <w:p>
            <w:pPr>
              <w:ind w:left="1480"/>
              <w:spacing w:after="0"/>
              <w:rPr>
                <w:sz w:val="20"/>
                <w:szCs w:val="20"/>
                <w:color w:val="auto"/>
              </w:rPr>
            </w:pPr>
            <w:r>
              <w:rPr>
                <w:rFonts w:ascii="Arial" w:cs="Arial" w:eastAsia="Arial" w:hAnsi="Arial"/>
                <w:sz w:val="16"/>
                <w:szCs w:val="16"/>
                <w:color w:val="auto"/>
                <w:w w:val="98"/>
              </w:rPr>
              <w:t>Senior Executive Vice President, General Counsel &amp;</w:t>
            </w:r>
          </w:p>
        </w:tc>
      </w:tr>
      <w:tr>
        <w:trPr>
          <w:trHeight w:val="176"/>
        </w:trPr>
        <w:tc>
          <w:tcPr>
            <w:tcW w:w="2740" w:type="dxa"/>
            <w:vAlign w:val="bottom"/>
          </w:tcPr>
          <w:p>
            <w:pPr>
              <w:spacing w:after="0" w:line="176"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00ABD1"/>
              </w:rPr>
              <w:t>Little Rock, Arkansas</w:t>
            </w:r>
          </w:p>
        </w:tc>
        <w:tc>
          <w:tcPr>
            <w:tcW w:w="5160" w:type="dxa"/>
            <w:vAlign w:val="bottom"/>
          </w:tcPr>
          <w:p>
            <w:pPr>
              <w:ind w:left="1260"/>
              <w:spacing w:after="0" w:line="176" w:lineRule="exact"/>
              <w:rPr>
                <w:sz w:val="20"/>
                <w:szCs w:val="20"/>
                <w:color w:val="auto"/>
              </w:rPr>
            </w:pPr>
            <w:r>
              <w:rPr>
                <w:rFonts w:ascii="Arial" w:cs="Arial" w:eastAsia="Arial" w:hAnsi="Arial"/>
                <w:sz w:val="16"/>
                <w:szCs w:val="16"/>
                <w:color w:val="auto"/>
              </w:rPr>
              <w:t>​ ​ Secretary</w:t>
            </w:r>
          </w:p>
        </w:tc>
      </w:tr>
      <w:tr>
        <w:trPr>
          <w:trHeight w:val="162"/>
        </w:trPr>
        <w:tc>
          <w:tcPr>
            <w:tcW w:w="2740" w:type="dxa"/>
            <w:vAlign w:val="bottom"/>
          </w:tcPr>
          <w:p>
            <w:pPr>
              <w:spacing w:after="0" w:line="162" w:lineRule="exact"/>
              <w:rPr>
                <w:sz w:val="20"/>
                <w:szCs w:val="20"/>
                <w:color w:val="auto"/>
              </w:rPr>
            </w:pPr>
            <w:r>
              <w:rPr>
                <w:rFonts w:ascii="Arial" w:cs="Arial" w:eastAsia="Arial" w:hAnsi="Arial"/>
                <w:sz w:val="16"/>
                <w:szCs w:val="16"/>
                <w:color w:val="00ABD1"/>
              </w:rPr>
              <w:t>​</w:t>
            </w:r>
          </w:p>
        </w:tc>
        <w:tc>
          <w:tcPr>
            <w:tcW w:w="5160" w:type="dxa"/>
            <w:vAlign w:val="bottom"/>
          </w:tcPr>
          <w:p>
            <w:pPr>
              <w:ind w:left="1260"/>
              <w:spacing w:after="0" w:line="162" w:lineRule="exact"/>
              <w:rPr>
                <w:sz w:val="20"/>
                <w:szCs w:val="20"/>
                <w:color w:val="auto"/>
              </w:rPr>
            </w:pPr>
            <w:r>
              <w:rPr>
                <w:rFonts w:ascii="Arial" w:cs="Arial" w:eastAsia="Arial" w:hAnsi="Arial"/>
                <w:sz w:val="16"/>
                <w:szCs w:val="16"/>
                <w:color w:val="00ABD1"/>
              </w:rPr>
              <w:t>​ ​ ​</w:t>
            </w:r>
          </w:p>
        </w:tc>
      </w:tr>
      <w:tr>
        <w:trPr>
          <w:trHeight w:val="215"/>
        </w:trPr>
        <w:tc>
          <w:tcPr>
            <w:tcW w:w="2740" w:type="dxa"/>
            <w:vAlign w:val="bottom"/>
          </w:tcPr>
          <w:p>
            <w:pPr>
              <w:spacing w:after="0"/>
              <w:rPr>
                <w:sz w:val="20"/>
                <w:szCs w:val="20"/>
                <w:color w:val="auto"/>
              </w:rPr>
            </w:pPr>
            <w:r>
              <w:rPr>
                <w:rFonts w:ascii="Arial" w:cs="Arial" w:eastAsia="Arial" w:hAnsi="Arial"/>
                <w:sz w:val="16"/>
                <w:szCs w:val="16"/>
                <w:color w:val="00ABD1"/>
              </w:rPr>
              <w:t>April 21, 2026</w:t>
            </w:r>
          </w:p>
        </w:tc>
        <w:tc>
          <w:tcPr>
            <w:tcW w:w="5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00ABD1"/>
        </w:rPr>
        <w: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rPr>
          <w:sz w:val="20"/>
          <w:szCs w:val="20"/>
          <w:color w:val="auto"/>
        </w:rPr>
      </w:pPr>
      <w:r>
        <w:rPr>
          <w:rFonts w:ascii="Arial" w:cs="Arial" w:eastAsia="Arial" w:hAnsi="Arial"/>
          <w:sz w:val="16"/>
          <w:szCs w:val="16"/>
          <w:color w:val="00ABD1"/>
        </w:rPr>
        <w:t>​</w:t>
      </w:r>
    </w:p>
    <w:p>
      <w:pPr>
        <w:spacing w:after="0" w:line="185" w:lineRule="exact"/>
        <w:rPr>
          <w:sz w:val="20"/>
          <w:szCs w:val="20"/>
          <w:color w:val="auto"/>
        </w:rPr>
      </w:pPr>
    </w:p>
    <w:p>
      <w:pPr>
        <w:sectPr>
          <w:pgSz w:w="11900" w:h="16838" w:orient="portrait"/>
          <w:cols w:equalWidth="0" w:num="2">
            <w:col w:w="9400" w:space="80"/>
            <w:col w:w="1240"/>
          </w:cols>
          <w:pgMar w:left="580" w:top="97" w:right="599" w:bottom="1440" w:gutter="0" w:footer="0" w:header="0"/>
          <w:type w:val="continuous"/>
        </w:sectPr>
      </w:pPr>
    </w:p>
    <w:tbl>
      <w:tblPr>
        <w:tblLayout w:type="fixed"/>
        <w:tblInd w:w="0" w:type="dxa"/>
        <w:tblCellMar>
          <w:top w:w="0" w:type="dxa"/>
          <w:left w:w="0" w:type="dxa"/>
          <w:bottom w:w="0" w:type="dxa"/>
          <w:right w:w="0" w:type="dxa"/>
        </w:tblCellMar>
      </w:tblPr>
      <w:tr>
        <w:trPr>
          <w:trHeight w:val="296"/>
        </w:trPr>
        <w:tc>
          <w:tcPr>
            <w:tcW w:w="1300" w:type="dxa"/>
            <w:vAlign w:val="bottom"/>
            <w:tcBorders>
              <w:right w:val="single" w:sz="8" w:color="auto"/>
            </w:tcBorders>
          </w:tcPr>
          <w:p>
            <w:pPr>
              <w:spacing w:after="0"/>
              <w:rPr>
                <w:sz w:val="24"/>
                <w:szCs w:val="24"/>
                <w:color w:val="auto"/>
              </w:rPr>
            </w:pPr>
          </w:p>
        </w:tc>
        <w:tc>
          <w:tcPr>
            <w:tcW w:w="7960" w:type="dxa"/>
            <w:vAlign w:val="bottom"/>
            <w:tcBorders>
              <w:top w:val="single" w:sz="8" w:color="auto"/>
            </w:tcBorders>
          </w:tcPr>
          <w:p>
            <w:pPr>
              <w:spacing w:after="0" w:line="296" w:lineRule="exact"/>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Important notice regarding the availability of proxy materials for the 2026 Annual Meeting of</w:t>
            </w:r>
          </w:p>
        </w:tc>
        <w:tc>
          <w:tcPr>
            <w:tcW w:w="2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spacing w:after="0"/>
              <w:rPr>
                <w:sz w:val="24"/>
                <w:szCs w:val="24"/>
                <w:color w:val="auto"/>
              </w:rPr>
            </w:pPr>
          </w:p>
        </w:tc>
      </w:tr>
      <w:tr>
        <w:trPr>
          <w:trHeight w:val="202"/>
        </w:trPr>
        <w:tc>
          <w:tcPr>
            <w:tcW w:w="1300" w:type="dxa"/>
            <w:vAlign w:val="bottom"/>
            <w:tcBorders>
              <w:right w:val="single" w:sz="8" w:color="auto"/>
            </w:tcBorders>
          </w:tcPr>
          <w:p>
            <w:pPr>
              <w:spacing w:after="0"/>
              <w:rPr>
                <w:sz w:val="17"/>
                <w:szCs w:val="17"/>
                <w:color w:val="auto"/>
              </w:rPr>
            </w:pPr>
          </w:p>
        </w:tc>
        <w:tc>
          <w:tcPr>
            <w:tcW w:w="7960" w:type="dxa"/>
            <w:vAlign w:val="bottom"/>
          </w:tcPr>
          <w:p>
            <w:pPr>
              <w:ind w:left="120"/>
              <w:spacing w:after="0"/>
              <w:rPr>
                <w:sz w:val="20"/>
                <w:szCs w:val="20"/>
                <w:color w:val="auto"/>
              </w:rPr>
            </w:pPr>
            <w:r>
              <w:rPr>
                <w:rFonts w:ascii="Arial" w:cs="Arial" w:eastAsia="Arial" w:hAnsi="Arial"/>
                <w:sz w:val="16"/>
                <w:szCs w:val="16"/>
                <w:b w:val="1"/>
                <w:bCs w:val="1"/>
                <w:color w:val="auto"/>
                <w:w w:val="99"/>
              </w:rPr>
              <w:t>Stockholders to be held on May 21, 2026: The Company’s Proxy Statement and Annual Report on Form</w:t>
            </w:r>
          </w:p>
        </w:tc>
        <w:tc>
          <w:tcPr>
            <w:tcW w:w="2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7960" w:type="dxa"/>
            <w:vAlign w:val="bottom"/>
          </w:tcPr>
          <w:p>
            <w:pPr>
              <w:ind w:left="120"/>
              <w:spacing w:after="0"/>
              <w:rPr>
                <w:sz w:val="20"/>
                <w:szCs w:val="20"/>
                <w:color w:val="auto"/>
              </w:rPr>
            </w:pPr>
            <w:r>
              <w:rPr>
                <w:rFonts w:ascii="Arial" w:cs="Arial" w:eastAsia="Arial" w:hAnsi="Arial"/>
                <w:sz w:val="16"/>
                <w:szCs w:val="16"/>
                <w:b w:val="1"/>
                <w:bCs w:val="1"/>
                <w:color w:val="auto"/>
                <w:w w:val="99"/>
              </w:rPr>
              <w:t>10-K for the fiscal year ended December 31, 2025 are available electronically at http://investor.uniti.com</w:t>
            </w:r>
          </w:p>
        </w:tc>
        <w:tc>
          <w:tcPr>
            <w:tcW w:w="22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r>
      <w:tr>
        <w:trPr>
          <w:trHeight w:val="223"/>
        </w:trPr>
        <w:tc>
          <w:tcPr>
            <w:tcW w:w="1300" w:type="dxa"/>
            <w:vAlign w:val="bottom"/>
            <w:tcBorders>
              <w:right w:val="single" w:sz="8" w:color="auto"/>
            </w:tcBorders>
          </w:tcPr>
          <w:p>
            <w:pPr>
              <w:spacing w:after="0"/>
              <w:rPr>
                <w:sz w:val="19"/>
                <w:szCs w:val="19"/>
                <w:color w:val="auto"/>
              </w:rPr>
            </w:pPr>
          </w:p>
        </w:tc>
        <w:tc>
          <w:tcPr>
            <w:tcW w:w="7960" w:type="dxa"/>
            <w:vAlign w:val="bottom"/>
          </w:tcPr>
          <w:p>
            <w:pPr>
              <w:ind w:left="120"/>
              <w:spacing w:after="0"/>
              <w:rPr>
                <w:sz w:val="20"/>
                <w:szCs w:val="20"/>
                <w:color w:val="auto"/>
              </w:rPr>
            </w:pPr>
            <w:r>
              <w:rPr>
                <w:rFonts w:ascii="Arial" w:cs="Arial" w:eastAsia="Arial" w:hAnsi="Arial"/>
                <w:sz w:val="16"/>
                <w:szCs w:val="16"/>
                <w:b w:val="1"/>
                <w:bCs w:val="1"/>
                <w:color w:val="auto"/>
              </w:rPr>
              <w:t>and www.proxyvote.com.</w:t>
            </w:r>
          </w:p>
        </w:tc>
        <w:tc>
          <w:tcPr>
            <w:tcW w:w="220" w:type="dxa"/>
            <w:vAlign w:val="bottom"/>
            <w:tcBorders>
              <w:right w:val="single" w:sz="8" w:color="auto"/>
            </w:tcBorders>
          </w:tcPr>
          <w:p>
            <w:pPr>
              <w:spacing w:after="0"/>
              <w:rPr>
                <w:sz w:val="19"/>
                <w:szCs w:val="19"/>
                <w:color w:val="auto"/>
              </w:rPr>
            </w:pPr>
          </w:p>
        </w:tc>
        <w:tc>
          <w:tcPr>
            <w:tcW w:w="1240" w:type="dxa"/>
            <w:vAlign w:val="bottom"/>
          </w:tcPr>
          <w:p>
            <w:pPr>
              <w:spacing w:after="0"/>
              <w:rPr>
                <w:sz w:val="19"/>
                <w:szCs w:val="19"/>
                <w:color w:val="auto"/>
              </w:rPr>
            </w:pPr>
          </w:p>
        </w:tc>
      </w:tr>
      <w:tr>
        <w:trPr>
          <w:trHeight w:val="102"/>
        </w:trPr>
        <w:tc>
          <w:tcPr>
            <w:tcW w:w="1300" w:type="dxa"/>
            <w:vAlign w:val="bottom"/>
            <w:tcBorders>
              <w:right w:val="single" w:sz="8" w:color="auto"/>
            </w:tcBorders>
          </w:tcPr>
          <w:p>
            <w:pPr>
              <w:spacing w:after="0"/>
              <w:rPr>
                <w:sz w:val="8"/>
                <w:szCs w:val="8"/>
                <w:color w:val="auto"/>
              </w:rPr>
            </w:pPr>
          </w:p>
        </w:tc>
        <w:tc>
          <w:tcPr>
            <w:tcW w:w="796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1240" w:type="dxa"/>
            <w:vAlign w:val="bottom"/>
          </w:tcPr>
          <w:p>
            <w:pPr>
              <w:spacing w:after="0"/>
              <w:rPr>
                <w:sz w:val="8"/>
                <w:szCs w:val="8"/>
                <w:color w:val="auto"/>
              </w:rPr>
            </w:pPr>
          </w:p>
        </w:tc>
      </w:tr>
      <w:tr>
        <w:trPr>
          <w:trHeight w:val="1108"/>
        </w:trPr>
        <w:tc>
          <w:tcPr>
            <w:tcW w:w="1300" w:type="dxa"/>
            <w:vAlign w:val="bottom"/>
            <w:tcBorders>
              <w:bottom w:val="single" w:sz="8" w:color="9A9A9A"/>
            </w:tcBorders>
          </w:tcPr>
          <w:p>
            <w:pPr>
              <w:spacing w:after="0"/>
              <w:rPr>
                <w:sz w:val="24"/>
                <w:szCs w:val="24"/>
                <w:color w:val="auto"/>
              </w:rPr>
            </w:pPr>
          </w:p>
        </w:tc>
        <w:tc>
          <w:tcPr>
            <w:tcW w:w="7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280"/>
        <w:spacing w:after="0"/>
        <w:rPr>
          <w:sz w:val="20"/>
          <w:szCs w:val="20"/>
          <w:color w:val="auto"/>
        </w:rPr>
      </w:pPr>
      <w:r>
        <w:rPr>
          <w:rFonts w:ascii="Arial" w:cs="Arial" w:eastAsia="Arial" w:hAnsi="Arial"/>
          <w:sz w:val="25"/>
          <w:szCs w:val="25"/>
          <w:b w:val="1"/>
          <w:bCs w:val="1"/>
          <w:color w:val="00ABD1"/>
        </w:rPr>
        <w:t>PROXY SUMMARY</w:t>
      </w:r>
    </w:p>
    <w:p>
      <w:pPr>
        <w:spacing w:after="0" w:line="231" w:lineRule="exact"/>
        <w:rPr>
          <w:sz w:val="20"/>
          <w:szCs w:val="20"/>
          <w:color w:val="auto"/>
        </w:rPr>
      </w:pPr>
    </w:p>
    <w:p>
      <w:pPr>
        <w:ind w:left="1280" w:right="399" w:firstLine="648"/>
        <w:spacing w:after="0" w:line="257" w:lineRule="auto"/>
        <w:rPr>
          <w:sz w:val="20"/>
          <w:szCs w:val="20"/>
          <w:color w:val="auto"/>
        </w:rPr>
      </w:pPr>
      <w:r>
        <w:rPr>
          <w:rFonts w:ascii="Arial" w:cs="Arial" w:eastAsia="Arial" w:hAnsi="Arial"/>
          <w:sz w:val="18"/>
          <w:szCs w:val="18"/>
          <w:color w:val="auto"/>
        </w:rPr>
        <w:t>This summary highlights certain information contained elsewhere in the accompanying proxy statement, but does not contain all of the information you should consider before voting your shares. For more complete information regarding the proposals to be voted upon at the Annual Meeting and our fiscal year 2025 performance, please review the entire proxy statement and our Annual Report on Form 10-K for the fiscal year ended December 31, 2025. We use the terms “Uniti,” the “Company,” “we,” “our” and “us” in this summary to refer to Uniti Group Inc.</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00ABD1"/>
        </w:rPr>
        <w:t>Annual Meeting</w:t>
      </w:r>
    </w:p>
    <w:p>
      <w:pPr>
        <w:sectPr>
          <w:pgSz w:w="11900" w:h="16838" w:orient="portrait"/>
          <w:cols w:equalWidth="0" w:num="1">
            <w:col w:w="9879"/>
          </w:cols>
          <w:pgMar w:left="580" w:top="97" w:right="1440" w:bottom="1440" w:gutter="0" w:footer="0" w:header="0"/>
        </w:sectPr>
      </w:pPr>
    </w:p>
    <w:p>
      <w:pPr>
        <w:spacing w:after="0" w:line="306"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p>
        </w:tc>
        <w:tc>
          <w:tcPr>
            <w:tcW w:w="5940" w:type="dxa"/>
            <w:vAlign w:val="bottom"/>
            <w:gridSpan w:val="2"/>
          </w:tcPr>
          <w:p>
            <w:pPr>
              <w:ind w:left="20"/>
              <w:spacing w:after="0"/>
              <w:rPr>
                <w:sz w:val="20"/>
                <w:szCs w:val="20"/>
                <w:color w:val="auto"/>
              </w:rPr>
            </w:pPr>
            <w:r>
              <w:rPr>
                <w:rFonts w:ascii="Arial" w:cs="Arial" w:eastAsia="Arial" w:hAnsi="Arial"/>
                <w:sz w:val="18"/>
                <w:szCs w:val="18"/>
                <w:color w:val="auto"/>
              </w:rPr>
              <w:t>​ ​ May 21, 2026</w:t>
            </w:r>
          </w:p>
        </w:tc>
        <w:tc>
          <w:tcPr>
            <w:tcW w:w="0" w:type="dxa"/>
            <w:vAlign w:val="bottom"/>
          </w:tcPr>
          <w:p>
            <w:pPr>
              <w:spacing w:after="0"/>
              <w:rPr>
                <w:sz w:val="1"/>
                <w:szCs w:val="1"/>
                <w:color w:val="auto"/>
              </w:rPr>
            </w:pPr>
          </w:p>
        </w:tc>
      </w:tr>
      <w:tr>
        <w:trPr>
          <w:trHeight w:val="181"/>
        </w:trPr>
        <w:tc>
          <w:tcPr>
            <w:tcW w:w="110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200" w:type="dxa"/>
            <w:vAlign w:val="bottom"/>
          </w:tcPr>
          <w:p>
            <w:pPr>
              <w:ind w:left="20"/>
              <w:spacing w:after="0" w:line="181" w:lineRule="exact"/>
              <w:rPr>
                <w:sz w:val="20"/>
                <w:szCs w:val="20"/>
                <w:color w:val="auto"/>
              </w:rPr>
            </w:pPr>
            <w:r>
              <w:rPr>
                <w:rFonts w:ascii="Arial" w:cs="Arial" w:eastAsia="Arial" w:hAnsi="Arial"/>
                <w:sz w:val="18"/>
                <w:szCs w:val="18"/>
                <w:color w:val="auto"/>
              </w:rPr>
              <w:t>​ ​</w:t>
            </w:r>
          </w:p>
        </w:tc>
        <w:tc>
          <w:tcPr>
            <w:tcW w:w="5740" w:type="dxa"/>
            <w:vAlign w:val="bottom"/>
            <w:vMerge w:val="restart"/>
          </w:tcPr>
          <w:p>
            <w:pPr>
              <w:ind w:left="40"/>
              <w:spacing w:after="0"/>
              <w:rPr>
                <w:sz w:val="20"/>
                <w:szCs w:val="20"/>
                <w:color w:val="auto"/>
              </w:rPr>
            </w:pPr>
            <w:r>
              <w:rPr>
                <w:rFonts w:ascii="Arial" w:cs="Arial" w:eastAsia="Arial" w:hAnsi="Arial"/>
                <w:sz w:val="18"/>
                <w:szCs w:val="18"/>
                <w:color w:val="auto"/>
              </w:rPr>
              <w:t>8:00 a.m. (Eastern time)</w:t>
            </w:r>
          </w:p>
        </w:tc>
        <w:tc>
          <w:tcPr>
            <w:tcW w:w="0" w:type="dxa"/>
            <w:vAlign w:val="bottom"/>
          </w:tcPr>
          <w:p>
            <w:pPr>
              <w:spacing w:after="0"/>
              <w:rPr>
                <w:sz w:val="1"/>
                <w:szCs w:val="1"/>
                <w:color w:val="auto"/>
              </w:rPr>
            </w:pPr>
          </w:p>
        </w:tc>
      </w:tr>
      <w:tr>
        <w:trPr>
          <w:trHeight w:val="103"/>
        </w:trPr>
        <w:tc>
          <w:tcPr>
            <w:tcW w:w="1100" w:type="dxa"/>
            <w:vAlign w:val="bottom"/>
          </w:tcPr>
          <w:p>
            <w:pPr>
              <w:spacing w:after="0" w:line="103" w:lineRule="exact"/>
              <w:rPr>
                <w:sz w:val="20"/>
                <w:szCs w:val="20"/>
                <w:color w:val="auto"/>
              </w:rPr>
            </w:pPr>
            <w:r>
              <w:rPr>
                <w:rFonts w:ascii="Arial" w:cs="Arial" w:eastAsia="Arial" w:hAnsi="Arial"/>
                <w:sz w:val="11"/>
                <w:szCs w:val="11"/>
                <w:b w:val="1"/>
                <w:bCs w:val="1"/>
                <w:color w:val="auto"/>
              </w:rPr>
              <w:t>Time:</w:t>
            </w:r>
          </w:p>
        </w:tc>
        <w:tc>
          <w:tcPr>
            <w:tcW w:w="200" w:type="dxa"/>
            <w:vAlign w:val="bottom"/>
          </w:tcPr>
          <w:p>
            <w:pPr>
              <w:spacing w:after="0"/>
              <w:rPr>
                <w:sz w:val="8"/>
                <w:szCs w:val="8"/>
                <w:color w:val="auto"/>
              </w:rPr>
            </w:pPr>
          </w:p>
        </w:tc>
        <w:tc>
          <w:tcPr>
            <w:tcW w:w="5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10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200" w:type="dxa"/>
            <w:vAlign w:val="bottom"/>
          </w:tcPr>
          <w:p>
            <w:pPr>
              <w:ind w:left="20"/>
              <w:spacing w:after="0" w:line="181" w:lineRule="exact"/>
              <w:rPr>
                <w:sz w:val="20"/>
                <w:szCs w:val="20"/>
                <w:color w:val="auto"/>
              </w:rPr>
            </w:pPr>
            <w:r>
              <w:rPr>
                <w:rFonts w:ascii="Arial" w:cs="Arial" w:eastAsia="Arial" w:hAnsi="Arial"/>
                <w:sz w:val="18"/>
                <w:szCs w:val="18"/>
                <w:color w:val="auto"/>
              </w:rPr>
              <w:t>​ ​</w:t>
            </w:r>
          </w:p>
        </w:tc>
        <w:tc>
          <w:tcPr>
            <w:tcW w:w="5740" w:type="dxa"/>
            <w:vAlign w:val="bottom"/>
            <w:vMerge w:val="restart"/>
          </w:tcPr>
          <w:p>
            <w:pPr>
              <w:ind w:left="40"/>
              <w:spacing w:after="0"/>
              <w:rPr>
                <w:sz w:val="20"/>
                <w:szCs w:val="20"/>
                <w:color w:val="auto"/>
              </w:rPr>
            </w:pPr>
            <w:r>
              <w:rPr>
                <w:rFonts w:ascii="Arial" w:cs="Arial" w:eastAsia="Arial" w:hAnsi="Arial"/>
                <w:sz w:val="18"/>
                <w:szCs w:val="18"/>
                <w:color w:val="auto"/>
              </w:rPr>
              <w:t>Via the Internet:</w:t>
            </w:r>
          </w:p>
        </w:tc>
        <w:tc>
          <w:tcPr>
            <w:tcW w:w="0" w:type="dxa"/>
            <w:vAlign w:val="bottom"/>
          </w:tcPr>
          <w:p>
            <w:pPr>
              <w:spacing w:after="0"/>
              <w:rPr>
                <w:sz w:val="1"/>
                <w:szCs w:val="1"/>
                <w:color w:val="auto"/>
              </w:rPr>
            </w:pPr>
          </w:p>
        </w:tc>
      </w:tr>
      <w:tr>
        <w:trPr>
          <w:trHeight w:val="62"/>
        </w:trPr>
        <w:tc>
          <w:tcPr>
            <w:tcW w:w="1100" w:type="dxa"/>
            <w:vAlign w:val="bottom"/>
          </w:tcPr>
          <w:p>
            <w:pPr>
              <w:spacing w:after="0" w:line="63" w:lineRule="exact"/>
              <w:rPr>
                <w:sz w:val="20"/>
                <w:szCs w:val="20"/>
                <w:color w:val="auto"/>
              </w:rPr>
            </w:pPr>
            <w:r>
              <w:rPr>
                <w:rFonts w:ascii="Arial" w:cs="Arial" w:eastAsia="Arial" w:hAnsi="Arial"/>
                <w:sz w:val="7"/>
                <w:szCs w:val="7"/>
                <w:b w:val="1"/>
                <w:bCs w:val="1"/>
                <w:color w:val="auto"/>
              </w:rPr>
              <w:t>Location:</w:t>
            </w:r>
          </w:p>
        </w:tc>
        <w:tc>
          <w:tcPr>
            <w:tcW w:w="200" w:type="dxa"/>
            <w:vAlign w:val="bottom"/>
          </w:tcPr>
          <w:p>
            <w:pPr>
              <w:spacing w:after="0"/>
              <w:rPr>
                <w:sz w:val="5"/>
                <w:szCs w:val="5"/>
                <w:color w:val="auto"/>
              </w:rPr>
            </w:pPr>
          </w:p>
        </w:tc>
        <w:tc>
          <w:tcPr>
            <w:tcW w:w="5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1100" w:type="dxa"/>
            <w:vAlign w:val="bottom"/>
            <w:vMerge w:val="restart"/>
          </w:tcPr>
          <w:p>
            <w:pPr>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 ​</w:t>
            </w:r>
          </w:p>
        </w:tc>
        <w:tc>
          <w:tcPr>
            <w:tcW w:w="5740" w:type="dxa"/>
            <w:vAlign w:val="bottom"/>
          </w:tcPr>
          <w:p>
            <w:pPr>
              <w:ind w:left="40"/>
              <w:spacing w:after="0"/>
              <w:rPr>
                <w:sz w:val="20"/>
                <w:szCs w:val="20"/>
                <w:color w:val="auto"/>
              </w:rPr>
            </w:pPr>
            <w:r>
              <w:rPr>
                <w:rFonts w:ascii="Arial" w:cs="Arial" w:eastAsia="Arial" w:hAnsi="Arial"/>
                <w:sz w:val="18"/>
                <w:szCs w:val="18"/>
                <w:b w:val="1"/>
                <w:bCs w:val="1"/>
                <w:color w:val="00ABD1"/>
              </w:rPr>
              <w:t>www.virtualshareholdermeeting.com/UNIT2026</w:t>
            </w: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740" w:type="dxa"/>
            <w:vAlign w:val="bottom"/>
            <w:vMerge w:val="restart"/>
          </w:tcPr>
          <w:p>
            <w:pPr>
              <w:ind w:left="40"/>
              <w:spacing w:after="0"/>
              <w:rPr>
                <w:sz w:val="20"/>
                <w:szCs w:val="20"/>
                <w:color w:val="auto"/>
              </w:rPr>
            </w:pPr>
            <w:r>
              <w:rPr>
                <w:rFonts w:ascii="Arial" w:cs="Arial" w:eastAsia="Arial" w:hAnsi="Arial"/>
                <w:sz w:val="18"/>
                <w:szCs w:val="18"/>
                <w:color w:val="auto"/>
                <w:w w:val="97"/>
              </w:rPr>
              <w:t>Holders of our common stock at the close of business on March 23, 2026</w:t>
            </w:r>
          </w:p>
        </w:tc>
        <w:tc>
          <w:tcPr>
            <w:tcW w:w="0" w:type="dxa"/>
            <w:vAlign w:val="bottom"/>
          </w:tcPr>
          <w:p>
            <w:pPr>
              <w:spacing w:after="0"/>
              <w:rPr>
                <w:sz w:val="1"/>
                <w:szCs w:val="1"/>
                <w:color w:val="auto"/>
              </w:rPr>
            </w:pPr>
          </w:p>
        </w:tc>
      </w:tr>
      <w:tr>
        <w:trPr>
          <w:trHeight w:val="247"/>
        </w:trPr>
        <w:tc>
          <w:tcPr>
            <w:tcW w:w="1100" w:type="dxa"/>
            <w:vAlign w:val="bottom"/>
          </w:tcPr>
          <w:p>
            <w:pPr>
              <w:spacing w:after="0"/>
              <w:rPr>
                <w:sz w:val="20"/>
                <w:szCs w:val="20"/>
                <w:color w:val="auto"/>
              </w:rPr>
            </w:pPr>
            <w:r>
              <w:rPr>
                <w:rFonts w:ascii="Arial" w:cs="Arial" w:eastAsia="Arial" w:hAnsi="Arial"/>
                <w:sz w:val="18"/>
                <w:szCs w:val="18"/>
                <w:b w:val="1"/>
                <w:bCs w:val="1"/>
                <w:color w:val="auto"/>
                <w:w w:val="96"/>
              </w:rPr>
              <w:t>Record Date:</w:t>
            </w:r>
          </w:p>
        </w:tc>
        <w:tc>
          <w:tcPr>
            <w:tcW w:w="200" w:type="dxa"/>
            <w:vAlign w:val="bottom"/>
          </w:tcPr>
          <w:p>
            <w:pPr>
              <w:spacing w:after="0"/>
              <w:rPr>
                <w:sz w:val="21"/>
                <w:szCs w:val="21"/>
                <w:color w:val="auto"/>
              </w:rPr>
            </w:pPr>
          </w:p>
        </w:tc>
        <w:tc>
          <w:tcPr>
            <w:tcW w:w="5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9" w:lineRule="exact"/>
        <w:rPr>
          <w:sz w:val="20"/>
          <w:szCs w:val="20"/>
          <w:color w:val="auto"/>
        </w:rPr>
      </w:pPr>
    </w:p>
    <w:p>
      <w:pPr>
        <w:sectPr>
          <w:pgSz w:w="11900" w:h="16838" w:orient="portrait"/>
          <w:cols w:equalWidth="0" w:num="2">
            <w:col w:w="8760" w:space="720"/>
            <w:col w:w="399"/>
          </w:cols>
          <w:pgMar w:left="580" w:top="97" w:right="1440" w:bottom="1440" w:gutter="0" w:footer="0" w:header="0"/>
          <w:type w:val="continuous"/>
        </w:sectPr>
      </w:pPr>
    </w:p>
    <w:p>
      <w:pPr>
        <w:ind w:left="1280"/>
        <w:spacing w:after="0"/>
        <w:rPr>
          <w:sz w:val="20"/>
          <w:szCs w:val="20"/>
          <w:color w:val="auto"/>
        </w:rPr>
      </w:pPr>
      <w:r>
        <w:rPr>
          <w:rFonts w:ascii="Arial" w:cs="Arial" w:eastAsia="Arial" w:hAnsi="Arial"/>
          <w:sz w:val="22"/>
          <w:szCs w:val="22"/>
          <w:b w:val="1"/>
          <w:bCs w:val="1"/>
          <w:color w:val="00ABD1"/>
        </w:rPr>
        <w:t>Voting Matters</w:t>
      </w:r>
    </w:p>
    <w:p>
      <w:pPr>
        <w:spacing w:after="0" w:line="387"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00ABD1"/>
                <w:w w:val="99"/>
              </w:rPr>
              <w:t>Required</w:t>
            </w:r>
          </w:p>
        </w:tc>
        <w:tc>
          <w:tcPr>
            <w:tcW w:w="3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00ABD1"/>
                <w:w w:val="96"/>
              </w:rPr>
              <w:t>Board</w:t>
            </w:r>
          </w:p>
        </w:tc>
        <w:tc>
          <w:tcPr>
            <w:tcW w:w="460" w:type="dxa"/>
            <w:vAlign w:val="bottom"/>
          </w:tcPr>
          <w:p>
            <w:pPr>
              <w:spacing w:after="0"/>
              <w:rPr>
                <w:sz w:val="17"/>
                <w:szCs w:val="17"/>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00ABD1"/>
                <w:w w:val="97"/>
              </w:rPr>
              <w:t>Page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380" w:type="dxa"/>
            <w:vAlign w:val="bottom"/>
            <w:gridSpan w:val="2"/>
          </w:tcPr>
          <w:p>
            <w:pPr>
              <w:spacing w:after="0"/>
              <w:rPr>
                <w:sz w:val="20"/>
                <w:szCs w:val="20"/>
                <w:color w:val="auto"/>
              </w:rPr>
            </w:pPr>
            <w:r>
              <w:rPr>
                <w:rFonts w:ascii="Arial" w:cs="Arial" w:eastAsia="Arial" w:hAnsi="Arial"/>
                <w:sz w:val="18"/>
                <w:szCs w:val="18"/>
                <w:b w:val="1"/>
                <w:bCs w:val="1"/>
                <w:color w:val="00ABD1"/>
              </w:rPr>
              <w:t>Proposals</w:t>
            </w:r>
          </w:p>
        </w:tc>
        <w:tc>
          <w:tcPr>
            <w:tcW w:w="220" w:type="dxa"/>
            <w:vAlign w:val="bottom"/>
          </w:tcPr>
          <w:p>
            <w:pPr>
              <w:ind w:left="60"/>
              <w:spacing w:after="0"/>
              <w:rPr>
                <w:sz w:val="20"/>
                <w:szCs w:val="20"/>
                <w:color w:val="auto"/>
              </w:rPr>
            </w:pPr>
            <w:r>
              <w:rPr>
                <w:rFonts w:ascii="Arial" w:cs="Arial" w:eastAsia="Arial" w:hAnsi="Arial"/>
                <w:sz w:val="18"/>
                <w:szCs w:val="18"/>
                <w:b w:val="1"/>
                <w:bCs w:val="1"/>
                <w:color w:val="00ABD1"/>
              </w:rPr>
              <w:t>​ ​</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00ABD1"/>
                <w:w w:val="97"/>
              </w:rPr>
              <w:t>Approval</w:t>
            </w:r>
          </w:p>
        </w:tc>
        <w:tc>
          <w:tcPr>
            <w:tcW w:w="2840" w:type="dxa"/>
            <w:vAlign w:val="bottom"/>
            <w:gridSpan w:val="7"/>
          </w:tcPr>
          <w:p>
            <w:pPr>
              <w:ind w:left="20"/>
              <w:spacing w:after="0"/>
              <w:rPr>
                <w:sz w:val="20"/>
                <w:szCs w:val="20"/>
                <w:color w:val="auto"/>
              </w:rPr>
            </w:pPr>
            <w:r>
              <w:rPr>
                <w:rFonts w:ascii="Arial" w:cs="Arial" w:eastAsia="Arial" w:hAnsi="Arial"/>
                <w:sz w:val="18"/>
                <w:szCs w:val="18"/>
                <w:b w:val="1"/>
                <w:bCs w:val="1"/>
                <w:color w:val="00ABD1"/>
              </w:rPr>
              <w:t>​ ​Recommendation ​ ​Reference​</w:t>
            </w:r>
          </w:p>
        </w:tc>
        <w:tc>
          <w:tcPr>
            <w:tcW w:w="0" w:type="dxa"/>
            <w:vAlign w:val="bottom"/>
          </w:tcPr>
          <w:p>
            <w:pPr>
              <w:spacing w:after="0"/>
              <w:rPr>
                <w:sz w:val="1"/>
                <w:szCs w:val="1"/>
                <w:color w:val="auto"/>
              </w:rPr>
            </w:pPr>
          </w:p>
        </w:tc>
      </w:tr>
      <w:tr>
        <w:trPr>
          <w:trHeight w:val="196"/>
        </w:trPr>
        <w:tc>
          <w:tcPr>
            <w:tcW w:w="160" w:type="dxa"/>
            <w:vAlign w:val="bottom"/>
            <w:tcBorders>
              <w:top w:val="single" w:sz="8" w:color="00ABD1"/>
            </w:tcBorders>
          </w:tcPr>
          <w:p>
            <w:pPr>
              <w:spacing w:after="0" w:line="196" w:lineRule="exact"/>
              <w:rPr>
                <w:sz w:val="20"/>
                <w:szCs w:val="20"/>
                <w:color w:val="auto"/>
              </w:rPr>
            </w:pPr>
            <w:r>
              <w:rPr>
                <w:rFonts w:ascii="Arial" w:cs="Arial" w:eastAsia="Arial" w:hAnsi="Arial"/>
                <w:sz w:val="18"/>
                <w:szCs w:val="18"/>
                <w:color w:val="auto"/>
                <w:w w:val="92"/>
              </w:rPr>
              <w:t>1.</w:t>
            </w:r>
          </w:p>
        </w:tc>
        <w:tc>
          <w:tcPr>
            <w:tcW w:w="3220" w:type="dxa"/>
            <w:vAlign w:val="bottom"/>
            <w:tcBorders>
              <w:top w:val="single" w:sz="8" w:color="00ABD1"/>
            </w:tcBorders>
          </w:tcPr>
          <w:p>
            <w:pPr>
              <w:ind w:left="40"/>
              <w:spacing w:after="0" w:line="196" w:lineRule="exact"/>
              <w:rPr>
                <w:sz w:val="20"/>
                <w:szCs w:val="20"/>
                <w:color w:val="auto"/>
              </w:rPr>
            </w:pPr>
            <w:r>
              <w:rPr>
                <w:rFonts w:ascii="Arial" w:cs="Arial" w:eastAsia="Arial" w:hAnsi="Arial"/>
                <w:sz w:val="18"/>
                <w:szCs w:val="18"/>
                <w:color w:val="auto"/>
              </w:rPr>
              <w:t>​ ​Election of directors</w:t>
            </w:r>
          </w:p>
        </w:tc>
        <w:tc>
          <w:tcPr>
            <w:tcW w:w="2040" w:type="dxa"/>
            <w:vAlign w:val="bottom"/>
            <w:tcBorders>
              <w:top w:val="single" w:sz="8" w:color="00ABD1"/>
            </w:tcBorders>
            <w:gridSpan w:val="2"/>
          </w:tcPr>
          <w:p>
            <w:pPr>
              <w:ind w:left="60"/>
              <w:spacing w:after="0" w:line="196" w:lineRule="exact"/>
              <w:rPr>
                <w:sz w:val="20"/>
                <w:szCs w:val="20"/>
                <w:color w:val="auto"/>
              </w:rPr>
            </w:pPr>
            <w:r>
              <w:rPr>
                <w:rFonts w:ascii="Arial" w:cs="Arial" w:eastAsia="Arial" w:hAnsi="Arial"/>
                <w:sz w:val="18"/>
                <w:szCs w:val="18"/>
                <w:color w:val="auto"/>
              </w:rPr>
              <w:t>​ ​Majority of Votes Cast</w:t>
            </w:r>
          </w:p>
        </w:tc>
        <w:tc>
          <w:tcPr>
            <w:tcW w:w="340" w:type="dxa"/>
            <w:vAlign w:val="bottom"/>
            <w:tcBorders>
              <w:top w:val="single" w:sz="8" w:color="00ABD1"/>
            </w:tcBorders>
          </w:tcPr>
          <w:p>
            <w:pPr>
              <w:ind w:left="20"/>
              <w:spacing w:after="0" w:line="196" w:lineRule="exact"/>
              <w:rPr>
                <w:sz w:val="20"/>
                <w:szCs w:val="20"/>
                <w:color w:val="auto"/>
              </w:rPr>
            </w:pPr>
            <w:r>
              <w:rPr>
                <w:rFonts w:ascii="Arial" w:cs="Arial" w:eastAsia="Arial" w:hAnsi="Arial"/>
                <w:sz w:val="18"/>
                <w:szCs w:val="18"/>
                <w:color w:val="auto"/>
              </w:rPr>
              <w:t>​ ​</w:t>
            </w:r>
          </w:p>
        </w:tc>
        <w:tc>
          <w:tcPr>
            <w:tcW w:w="1200" w:type="dxa"/>
            <w:vAlign w:val="bottom"/>
            <w:tcBorders>
              <w:top w:val="single" w:sz="8" w:color="00ABD1"/>
            </w:tcBorders>
          </w:tcPr>
          <w:p>
            <w:pPr>
              <w:jc w:val="center"/>
              <w:spacing w:after="0" w:line="196" w:lineRule="exact"/>
              <w:rPr>
                <w:sz w:val="20"/>
                <w:szCs w:val="20"/>
                <w:color w:val="auto"/>
              </w:rPr>
            </w:pPr>
            <w:r>
              <w:rPr>
                <w:rFonts w:ascii="Arial" w:cs="Arial" w:eastAsia="Arial" w:hAnsi="Arial"/>
                <w:sz w:val="18"/>
                <w:szCs w:val="18"/>
                <w:color w:val="auto"/>
                <w:w w:val="99"/>
              </w:rPr>
              <w:t>FOR each</w:t>
            </w:r>
          </w:p>
        </w:tc>
        <w:tc>
          <w:tcPr>
            <w:tcW w:w="460" w:type="dxa"/>
            <w:vAlign w:val="bottom"/>
            <w:tcBorders>
              <w:top w:val="single" w:sz="8" w:color="00ABD1"/>
            </w:tcBorders>
          </w:tcPr>
          <w:p>
            <w:pPr>
              <w:ind w:left="200"/>
              <w:spacing w:after="0" w:line="196" w:lineRule="exact"/>
              <w:rPr>
                <w:sz w:val="20"/>
                <w:szCs w:val="20"/>
                <w:color w:val="auto"/>
              </w:rPr>
            </w:pPr>
            <w:r>
              <w:rPr>
                <w:rFonts w:ascii="Arial" w:cs="Arial" w:eastAsia="Arial" w:hAnsi="Arial"/>
                <w:sz w:val="18"/>
                <w:szCs w:val="18"/>
                <w:color w:val="auto"/>
              </w:rPr>
              <w:t>​ ​</w:t>
            </w:r>
          </w:p>
        </w:tc>
        <w:tc>
          <w:tcPr>
            <w:tcW w:w="440" w:type="dxa"/>
            <w:vAlign w:val="bottom"/>
            <w:tcBorders>
              <w:top w:val="single" w:sz="8" w:color="00ABD1"/>
            </w:tcBorders>
            <w:gridSpan w:val="2"/>
          </w:tcPr>
          <w:p>
            <w:pPr>
              <w:jc w:val="center"/>
              <w:ind w:left="150"/>
              <w:spacing w:after="0" w:line="196" w:lineRule="exact"/>
              <w:rPr>
                <w:sz w:val="20"/>
                <w:szCs w:val="20"/>
                <w:color w:val="auto"/>
              </w:rPr>
            </w:pPr>
            <w:r>
              <w:rPr>
                <w:rFonts w:ascii="Arial" w:cs="Arial" w:eastAsia="Arial" w:hAnsi="Arial"/>
                <w:sz w:val="18"/>
                <w:szCs w:val="18"/>
                <w:color w:val="0000EE"/>
                <w:w w:val="99"/>
              </w:rPr>
              <w:t>14</w:t>
            </w:r>
          </w:p>
        </w:tc>
        <w:tc>
          <w:tcPr>
            <w:tcW w:w="340" w:type="dxa"/>
            <w:vAlign w:val="bottom"/>
            <w:tcBorders>
              <w:top w:val="single" w:sz="8" w:color="00ABD1"/>
            </w:tcBorders>
          </w:tcPr>
          <w:p>
            <w:pPr>
              <w:spacing w:after="0"/>
              <w:rPr>
                <w:sz w:val="17"/>
                <w:szCs w:val="17"/>
                <w:color w:val="auto"/>
              </w:rPr>
            </w:pPr>
          </w:p>
        </w:tc>
        <w:tc>
          <w:tcPr>
            <w:tcW w:w="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1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8"/>
              </w:rPr>
              <w:t>for Each Nominee</w:t>
            </w:r>
          </w:p>
        </w:tc>
        <w:tc>
          <w:tcPr>
            <w:tcW w:w="3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nominee</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3"/>
        </w:trPr>
        <w:tc>
          <w:tcPr>
            <w:tcW w:w="160" w:type="dxa"/>
            <w:vAlign w:val="bottom"/>
            <w:vMerge w:val="restart"/>
          </w:tcPr>
          <w:p>
            <w:pPr>
              <w:spacing w:after="0"/>
              <w:rPr>
                <w:sz w:val="20"/>
                <w:szCs w:val="20"/>
                <w:color w:val="auto"/>
              </w:rPr>
            </w:pPr>
            <w:r>
              <w:rPr>
                <w:rFonts w:ascii="Arial" w:cs="Arial" w:eastAsia="Arial" w:hAnsi="Arial"/>
                <w:sz w:val="18"/>
                <w:szCs w:val="18"/>
                <w:color w:val="auto"/>
                <w:w w:val="92"/>
              </w:rPr>
              <w:t>2.</w:t>
            </w:r>
          </w:p>
        </w:tc>
        <w:tc>
          <w:tcPr>
            <w:tcW w:w="3220" w:type="dxa"/>
            <w:vAlign w:val="bottom"/>
          </w:tcPr>
          <w:p>
            <w:pPr>
              <w:ind w:left="40"/>
              <w:spacing w:after="0"/>
              <w:rPr>
                <w:sz w:val="20"/>
                <w:szCs w:val="20"/>
                <w:color w:val="auto"/>
              </w:rPr>
            </w:pPr>
            <w:r>
              <w:rPr>
                <w:rFonts w:ascii="Arial" w:cs="Arial" w:eastAsia="Arial" w:hAnsi="Arial"/>
                <w:sz w:val="18"/>
                <w:szCs w:val="18"/>
                <w:color w:val="auto"/>
              </w:rPr>
              <w:t>​ ​</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7"/>
              </w:rPr>
              <w:t>Majority of Votes Cast</w:t>
            </w:r>
          </w:p>
        </w:tc>
        <w:tc>
          <w:tcPr>
            <w:tcW w:w="340" w:type="dxa"/>
            <w:vAlign w:val="bottom"/>
          </w:tcPr>
          <w:p>
            <w:pPr>
              <w:ind w:left="20"/>
              <w:spacing w:after="0"/>
              <w:rPr>
                <w:sz w:val="20"/>
                <w:szCs w:val="20"/>
                <w:color w:val="auto"/>
              </w:rPr>
            </w:pPr>
            <w:r>
              <w:rPr>
                <w:rFonts w:ascii="Arial" w:cs="Arial" w:eastAsia="Arial" w:hAnsi="Arial"/>
                <w:sz w:val="18"/>
                <w:szCs w:val="18"/>
                <w:color w:val="auto"/>
              </w:rPr>
              <w:t>​ ​</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FOR</w:t>
            </w:r>
          </w:p>
        </w:tc>
        <w:tc>
          <w:tcPr>
            <w:tcW w:w="460" w:type="dxa"/>
            <w:vAlign w:val="bottom"/>
          </w:tcPr>
          <w:p>
            <w:pPr>
              <w:ind w:left="200"/>
              <w:spacing w:after="0"/>
              <w:rPr>
                <w:sz w:val="20"/>
                <w:szCs w:val="20"/>
                <w:color w:val="auto"/>
              </w:rPr>
            </w:pPr>
            <w:r>
              <w:rPr>
                <w:rFonts w:ascii="Arial" w:cs="Arial" w:eastAsia="Arial" w:hAnsi="Arial"/>
                <w:sz w:val="18"/>
                <w:szCs w:val="18"/>
                <w:color w:val="auto"/>
              </w:rPr>
              <w:t>​ ​</w:t>
            </w:r>
          </w:p>
        </w:tc>
        <w:tc>
          <w:tcPr>
            <w:tcW w:w="440" w:type="dxa"/>
            <w:vAlign w:val="bottom"/>
            <w:gridSpan w:val="2"/>
            <w:vMerge w:val="restart"/>
          </w:tcPr>
          <w:p>
            <w:pPr>
              <w:jc w:val="center"/>
              <w:ind w:left="150"/>
              <w:spacing w:after="0"/>
              <w:rPr>
                <w:sz w:val="20"/>
                <w:szCs w:val="20"/>
                <w:color w:val="auto"/>
              </w:rPr>
            </w:pPr>
            <w:r>
              <w:rPr>
                <w:rFonts w:ascii="Arial" w:cs="Arial" w:eastAsia="Arial" w:hAnsi="Arial"/>
                <w:sz w:val="18"/>
                <w:szCs w:val="18"/>
                <w:color w:val="0000EE"/>
                <w:w w:val="99"/>
              </w:rPr>
              <w:t>19</w:t>
            </w:r>
          </w:p>
        </w:tc>
        <w:tc>
          <w:tcPr>
            <w:tcW w:w="34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160" w:type="dxa"/>
            <w:vAlign w:val="bottom"/>
            <w:vMerge w:val="continue"/>
          </w:tcPr>
          <w:p>
            <w:pPr>
              <w:spacing w:after="0"/>
              <w:rPr>
                <w:sz w:val="16"/>
                <w:szCs w:val="16"/>
                <w:color w:val="auto"/>
              </w:rPr>
            </w:pPr>
          </w:p>
        </w:tc>
        <w:tc>
          <w:tcPr>
            <w:tcW w:w="3220" w:type="dxa"/>
            <w:vAlign w:val="bottom"/>
          </w:tcPr>
          <w:p>
            <w:pPr>
              <w:ind w:left="180"/>
              <w:spacing w:after="0" w:line="189" w:lineRule="exact"/>
              <w:rPr>
                <w:sz w:val="20"/>
                <w:szCs w:val="20"/>
                <w:color w:val="auto"/>
              </w:rPr>
            </w:pPr>
            <w:r>
              <w:rPr>
                <w:rFonts w:ascii="Arial" w:cs="Arial" w:eastAsia="Arial" w:hAnsi="Arial"/>
                <w:sz w:val="18"/>
                <w:szCs w:val="18"/>
                <w:color w:val="auto"/>
                <w:w w:val="99"/>
              </w:rPr>
              <w:t>Approval of an increase in the number</w:t>
            </w:r>
          </w:p>
        </w:tc>
        <w:tc>
          <w:tcPr>
            <w:tcW w:w="220" w:type="dxa"/>
            <w:vAlign w:val="bottom"/>
          </w:tcPr>
          <w:p>
            <w:pPr>
              <w:spacing w:after="0"/>
              <w:rPr>
                <w:sz w:val="16"/>
                <w:szCs w:val="16"/>
                <w:color w:val="auto"/>
              </w:rPr>
            </w:pPr>
          </w:p>
        </w:tc>
        <w:tc>
          <w:tcPr>
            <w:tcW w:w="18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60" w:type="dxa"/>
            <w:vAlign w:val="bottom"/>
          </w:tcPr>
          <w:p>
            <w:pPr>
              <w:spacing w:after="0"/>
              <w:rPr>
                <w:sz w:val="18"/>
                <w:szCs w:val="18"/>
                <w:color w:val="auto"/>
              </w:rPr>
            </w:pPr>
          </w:p>
        </w:tc>
        <w:tc>
          <w:tcPr>
            <w:tcW w:w="3220" w:type="dxa"/>
            <w:vAlign w:val="bottom"/>
          </w:tcPr>
          <w:p>
            <w:pPr>
              <w:ind w:left="180"/>
              <w:spacing w:after="0"/>
              <w:rPr>
                <w:sz w:val="20"/>
                <w:szCs w:val="20"/>
                <w:color w:val="auto"/>
              </w:rPr>
            </w:pPr>
            <w:r>
              <w:rPr>
                <w:rFonts w:ascii="Arial" w:cs="Arial" w:eastAsia="Arial" w:hAnsi="Arial"/>
                <w:sz w:val="18"/>
                <w:szCs w:val="18"/>
                <w:color w:val="auto"/>
                <w:w w:val="99"/>
              </w:rPr>
              <w:t>of shares available for issuance under</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p>
        </w:tc>
        <w:tc>
          <w:tcPr>
            <w:tcW w:w="3220" w:type="dxa"/>
            <w:vAlign w:val="bottom"/>
          </w:tcPr>
          <w:p>
            <w:pPr>
              <w:ind w:left="180"/>
              <w:spacing w:after="0"/>
              <w:rPr>
                <w:sz w:val="20"/>
                <w:szCs w:val="20"/>
                <w:color w:val="auto"/>
              </w:rPr>
            </w:pPr>
            <w:r>
              <w:rPr>
                <w:rFonts w:ascii="Arial" w:cs="Arial" w:eastAsia="Arial" w:hAnsi="Arial"/>
                <w:sz w:val="18"/>
                <w:szCs w:val="18"/>
                <w:color w:val="auto"/>
              </w:rPr>
              <w:t>the 2025 Plan</w:t>
            </w: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160" w:type="dxa"/>
            <w:vAlign w:val="bottom"/>
            <w:vMerge w:val="restart"/>
          </w:tcPr>
          <w:p>
            <w:pPr>
              <w:spacing w:after="0"/>
              <w:rPr>
                <w:sz w:val="20"/>
                <w:szCs w:val="20"/>
                <w:color w:val="auto"/>
              </w:rPr>
            </w:pPr>
            <w:r>
              <w:rPr>
                <w:rFonts w:ascii="Arial" w:cs="Arial" w:eastAsia="Arial" w:hAnsi="Arial"/>
                <w:sz w:val="18"/>
                <w:szCs w:val="18"/>
                <w:color w:val="auto"/>
                <w:w w:val="92"/>
              </w:rPr>
              <w:t>3.</w:t>
            </w:r>
          </w:p>
        </w:tc>
        <w:tc>
          <w:tcPr>
            <w:tcW w:w="3220" w:type="dxa"/>
            <w:vAlign w:val="bottom"/>
          </w:tcPr>
          <w:p>
            <w:pPr>
              <w:ind w:left="40"/>
              <w:spacing w:after="0"/>
              <w:rPr>
                <w:sz w:val="20"/>
                <w:szCs w:val="20"/>
                <w:color w:val="auto"/>
              </w:rPr>
            </w:pPr>
            <w:r>
              <w:rPr>
                <w:rFonts w:ascii="Arial" w:cs="Arial" w:eastAsia="Arial" w:hAnsi="Arial"/>
                <w:sz w:val="18"/>
                <w:szCs w:val="18"/>
                <w:color w:val="auto"/>
              </w:rPr>
              <w:t>​ ​</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7"/>
              </w:rPr>
              <w:t>Majority of Votes Cast</w:t>
            </w:r>
          </w:p>
        </w:tc>
        <w:tc>
          <w:tcPr>
            <w:tcW w:w="340" w:type="dxa"/>
            <w:vAlign w:val="bottom"/>
          </w:tcPr>
          <w:p>
            <w:pPr>
              <w:ind w:left="20"/>
              <w:spacing w:after="0"/>
              <w:rPr>
                <w:sz w:val="20"/>
                <w:szCs w:val="20"/>
                <w:color w:val="auto"/>
              </w:rPr>
            </w:pPr>
            <w:r>
              <w:rPr>
                <w:rFonts w:ascii="Arial" w:cs="Arial" w:eastAsia="Arial" w:hAnsi="Arial"/>
                <w:sz w:val="18"/>
                <w:szCs w:val="18"/>
                <w:color w:val="auto"/>
              </w:rPr>
              <w:t>​ ​</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FOR</w:t>
            </w:r>
          </w:p>
        </w:tc>
        <w:tc>
          <w:tcPr>
            <w:tcW w:w="460" w:type="dxa"/>
            <w:vAlign w:val="bottom"/>
          </w:tcPr>
          <w:p>
            <w:pPr>
              <w:ind w:left="200"/>
              <w:spacing w:after="0"/>
              <w:rPr>
                <w:sz w:val="20"/>
                <w:szCs w:val="20"/>
                <w:color w:val="auto"/>
              </w:rPr>
            </w:pPr>
            <w:r>
              <w:rPr>
                <w:rFonts w:ascii="Arial" w:cs="Arial" w:eastAsia="Arial" w:hAnsi="Arial"/>
                <w:sz w:val="18"/>
                <w:szCs w:val="18"/>
                <w:color w:val="auto"/>
              </w:rPr>
              <w:t>​ ​</w:t>
            </w:r>
          </w:p>
        </w:tc>
        <w:tc>
          <w:tcPr>
            <w:tcW w:w="440" w:type="dxa"/>
            <w:vAlign w:val="bottom"/>
            <w:gridSpan w:val="2"/>
            <w:vMerge w:val="restart"/>
          </w:tcPr>
          <w:p>
            <w:pPr>
              <w:jc w:val="center"/>
              <w:ind w:left="150"/>
              <w:spacing w:after="0"/>
              <w:rPr>
                <w:sz w:val="20"/>
                <w:szCs w:val="20"/>
                <w:color w:val="auto"/>
              </w:rPr>
            </w:pPr>
            <w:r>
              <w:rPr>
                <w:rFonts w:ascii="Arial" w:cs="Arial" w:eastAsia="Arial" w:hAnsi="Arial"/>
                <w:sz w:val="18"/>
                <w:szCs w:val="18"/>
                <w:color w:val="0000EE"/>
                <w:w w:val="99"/>
              </w:rPr>
              <w:t>63</w:t>
            </w:r>
          </w:p>
        </w:tc>
        <w:tc>
          <w:tcPr>
            <w:tcW w:w="34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160" w:type="dxa"/>
            <w:vAlign w:val="bottom"/>
            <w:vMerge w:val="continue"/>
          </w:tcPr>
          <w:p>
            <w:pPr>
              <w:spacing w:after="0"/>
              <w:rPr>
                <w:sz w:val="16"/>
                <w:szCs w:val="16"/>
                <w:color w:val="auto"/>
              </w:rPr>
            </w:pPr>
          </w:p>
        </w:tc>
        <w:tc>
          <w:tcPr>
            <w:tcW w:w="3220" w:type="dxa"/>
            <w:vAlign w:val="bottom"/>
          </w:tcPr>
          <w:p>
            <w:pPr>
              <w:ind w:left="180"/>
              <w:spacing w:after="0" w:line="189" w:lineRule="exact"/>
              <w:rPr>
                <w:sz w:val="20"/>
                <w:szCs w:val="20"/>
                <w:color w:val="auto"/>
              </w:rPr>
            </w:pPr>
            <w:r>
              <w:rPr>
                <w:rFonts w:ascii="Arial" w:cs="Arial" w:eastAsia="Arial" w:hAnsi="Arial"/>
                <w:sz w:val="18"/>
                <w:szCs w:val="18"/>
                <w:color w:val="auto"/>
              </w:rPr>
              <w:t>Advisory vote to approve executive</w:t>
            </w:r>
          </w:p>
        </w:tc>
        <w:tc>
          <w:tcPr>
            <w:tcW w:w="220" w:type="dxa"/>
            <w:vAlign w:val="bottom"/>
          </w:tcPr>
          <w:p>
            <w:pPr>
              <w:spacing w:after="0"/>
              <w:rPr>
                <w:sz w:val="16"/>
                <w:szCs w:val="16"/>
                <w:color w:val="auto"/>
              </w:rPr>
            </w:pPr>
          </w:p>
        </w:tc>
        <w:tc>
          <w:tcPr>
            <w:tcW w:w="18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60" w:type="dxa"/>
            <w:vAlign w:val="bottom"/>
          </w:tcPr>
          <w:p>
            <w:pPr>
              <w:spacing w:after="0"/>
              <w:rPr>
                <w:sz w:val="20"/>
                <w:szCs w:val="20"/>
                <w:color w:val="auto"/>
              </w:rPr>
            </w:pPr>
          </w:p>
        </w:tc>
        <w:tc>
          <w:tcPr>
            <w:tcW w:w="322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3"/>
        </w:trPr>
        <w:tc>
          <w:tcPr>
            <w:tcW w:w="160" w:type="dxa"/>
            <w:vAlign w:val="bottom"/>
            <w:vMerge w:val="restart"/>
          </w:tcPr>
          <w:p>
            <w:pPr>
              <w:spacing w:after="0"/>
              <w:rPr>
                <w:sz w:val="20"/>
                <w:szCs w:val="20"/>
                <w:color w:val="auto"/>
              </w:rPr>
            </w:pPr>
            <w:r>
              <w:rPr>
                <w:rFonts w:ascii="Arial" w:cs="Arial" w:eastAsia="Arial" w:hAnsi="Arial"/>
                <w:sz w:val="18"/>
                <w:szCs w:val="18"/>
                <w:color w:val="auto"/>
                <w:w w:val="92"/>
              </w:rPr>
              <w:t>4.</w:t>
            </w:r>
          </w:p>
        </w:tc>
        <w:tc>
          <w:tcPr>
            <w:tcW w:w="3220" w:type="dxa"/>
            <w:vAlign w:val="bottom"/>
          </w:tcPr>
          <w:p>
            <w:pPr>
              <w:ind w:left="40"/>
              <w:spacing w:after="0"/>
              <w:rPr>
                <w:sz w:val="20"/>
                <w:szCs w:val="20"/>
                <w:color w:val="auto"/>
              </w:rPr>
            </w:pPr>
            <w:r>
              <w:rPr>
                <w:rFonts w:ascii="Arial" w:cs="Arial" w:eastAsia="Arial" w:hAnsi="Arial"/>
                <w:sz w:val="18"/>
                <w:szCs w:val="18"/>
                <w:color w:val="auto"/>
              </w:rPr>
              <w:t>​ ​</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7"/>
              </w:rPr>
              <w:t>Majority of Votes Cast*</w:t>
            </w:r>
          </w:p>
        </w:tc>
        <w:tc>
          <w:tcPr>
            <w:tcW w:w="340" w:type="dxa"/>
            <w:vAlign w:val="bottom"/>
          </w:tcPr>
          <w:p>
            <w:pPr>
              <w:ind w:left="20"/>
              <w:spacing w:after="0"/>
              <w:rPr>
                <w:sz w:val="20"/>
                <w:szCs w:val="20"/>
                <w:color w:val="auto"/>
              </w:rPr>
            </w:pPr>
            <w:r>
              <w:rPr>
                <w:rFonts w:ascii="Arial" w:cs="Arial" w:eastAsia="Arial" w:hAnsi="Arial"/>
                <w:sz w:val="18"/>
                <w:szCs w:val="18"/>
                <w:color w:val="auto"/>
              </w:rPr>
              <w:t>​ ​</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1 YEAR</w:t>
            </w:r>
          </w:p>
        </w:tc>
        <w:tc>
          <w:tcPr>
            <w:tcW w:w="460" w:type="dxa"/>
            <w:vAlign w:val="bottom"/>
          </w:tcPr>
          <w:p>
            <w:pPr>
              <w:ind w:left="200"/>
              <w:spacing w:after="0"/>
              <w:rPr>
                <w:sz w:val="20"/>
                <w:szCs w:val="20"/>
                <w:color w:val="auto"/>
              </w:rPr>
            </w:pPr>
            <w:r>
              <w:rPr>
                <w:rFonts w:ascii="Arial" w:cs="Arial" w:eastAsia="Arial" w:hAnsi="Arial"/>
                <w:sz w:val="18"/>
                <w:szCs w:val="18"/>
                <w:color w:val="auto"/>
              </w:rPr>
              <w:t>​ ​</w:t>
            </w:r>
          </w:p>
        </w:tc>
        <w:tc>
          <w:tcPr>
            <w:tcW w:w="440" w:type="dxa"/>
            <w:vAlign w:val="bottom"/>
            <w:gridSpan w:val="2"/>
            <w:vMerge w:val="restart"/>
          </w:tcPr>
          <w:p>
            <w:pPr>
              <w:jc w:val="center"/>
              <w:ind w:left="150"/>
              <w:spacing w:after="0"/>
              <w:rPr>
                <w:sz w:val="20"/>
                <w:szCs w:val="20"/>
                <w:color w:val="auto"/>
              </w:rPr>
            </w:pPr>
            <w:r>
              <w:rPr>
                <w:rFonts w:ascii="Arial" w:cs="Arial" w:eastAsia="Arial" w:hAnsi="Arial"/>
                <w:sz w:val="18"/>
                <w:szCs w:val="18"/>
                <w:color w:val="0000EE"/>
                <w:w w:val="99"/>
              </w:rPr>
              <w:t>64</w:t>
            </w:r>
          </w:p>
        </w:tc>
        <w:tc>
          <w:tcPr>
            <w:tcW w:w="34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160" w:type="dxa"/>
            <w:vAlign w:val="bottom"/>
            <w:vMerge w:val="continue"/>
          </w:tcPr>
          <w:p>
            <w:pPr>
              <w:spacing w:after="0"/>
              <w:rPr>
                <w:sz w:val="16"/>
                <w:szCs w:val="16"/>
                <w:color w:val="auto"/>
              </w:rPr>
            </w:pPr>
          </w:p>
        </w:tc>
        <w:tc>
          <w:tcPr>
            <w:tcW w:w="3220" w:type="dxa"/>
            <w:vAlign w:val="bottom"/>
          </w:tcPr>
          <w:p>
            <w:pPr>
              <w:ind w:left="180"/>
              <w:spacing w:after="0" w:line="189" w:lineRule="exact"/>
              <w:rPr>
                <w:sz w:val="20"/>
                <w:szCs w:val="20"/>
                <w:color w:val="auto"/>
              </w:rPr>
            </w:pPr>
            <w:r>
              <w:rPr>
                <w:rFonts w:ascii="Arial" w:cs="Arial" w:eastAsia="Arial" w:hAnsi="Arial"/>
                <w:sz w:val="18"/>
                <w:szCs w:val="18"/>
                <w:color w:val="auto"/>
              </w:rPr>
              <w:t>Advisory vote on the frequency of</w:t>
            </w:r>
          </w:p>
        </w:tc>
        <w:tc>
          <w:tcPr>
            <w:tcW w:w="220" w:type="dxa"/>
            <w:vAlign w:val="bottom"/>
          </w:tcPr>
          <w:p>
            <w:pPr>
              <w:spacing w:after="0"/>
              <w:rPr>
                <w:sz w:val="16"/>
                <w:szCs w:val="16"/>
                <w:color w:val="auto"/>
              </w:rPr>
            </w:pPr>
          </w:p>
        </w:tc>
        <w:tc>
          <w:tcPr>
            <w:tcW w:w="18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60" w:type="dxa"/>
            <w:vAlign w:val="bottom"/>
          </w:tcPr>
          <w:p>
            <w:pPr>
              <w:spacing w:after="0"/>
              <w:rPr>
                <w:sz w:val="18"/>
                <w:szCs w:val="18"/>
                <w:color w:val="auto"/>
              </w:rPr>
            </w:pPr>
          </w:p>
        </w:tc>
        <w:tc>
          <w:tcPr>
            <w:tcW w:w="3220" w:type="dxa"/>
            <w:vAlign w:val="bottom"/>
          </w:tcPr>
          <w:p>
            <w:pPr>
              <w:ind w:left="180"/>
              <w:spacing w:after="0"/>
              <w:rPr>
                <w:sz w:val="20"/>
                <w:szCs w:val="20"/>
                <w:color w:val="auto"/>
              </w:rPr>
            </w:pPr>
            <w:r>
              <w:rPr>
                <w:rFonts w:ascii="Arial" w:cs="Arial" w:eastAsia="Arial" w:hAnsi="Arial"/>
                <w:sz w:val="18"/>
                <w:szCs w:val="18"/>
                <w:color w:val="auto"/>
              </w:rPr>
              <w:t>future advisory votes to approve</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p>
        </w:tc>
        <w:tc>
          <w:tcPr>
            <w:tcW w:w="3220" w:type="dxa"/>
            <w:vAlign w:val="bottom"/>
          </w:tcPr>
          <w:p>
            <w:pPr>
              <w:ind w:left="180"/>
              <w:spacing w:after="0"/>
              <w:rPr>
                <w:sz w:val="20"/>
                <w:szCs w:val="20"/>
                <w:color w:val="auto"/>
              </w:rPr>
            </w:pPr>
            <w:r>
              <w:rPr>
                <w:rFonts w:ascii="Arial" w:cs="Arial" w:eastAsia="Arial" w:hAnsi="Arial"/>
                <w:sz w:val="18"/>
                <w:szCs w:val="18"/>
                <w:color w:val="auto"/>
              </w:rPr>
              <w:t>executive compensation</w:t>
            </w: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160" w:type="dxa"/>
            <w:vAlign w:val="bottom"/>
          </w:tcPr>
          <w:p>
            <w:pPr>
              <w:spacing w:after="0"/>
              <w:rPr>
                <w:sz w:val="24"/>
                <w:szCs w:val="24"/>
                <w:color w:val="auto"/>
              </w:rPr>
            </w:pPr>
          </w:p>
        </w:tc>
        <w:tc>
          <w:tcPr>
            <w:tcW w:w="3220" w:type="dxa"/>
            <w:vAlign w:val="bottom"/>
          </w:tcPr>
          <w:p>
            <w:pPr>
              <w:ind w:left="40"/>
              <w:spacing w:after="0"/>
              <w:rPr>
                <w:sz w:val="20"/>
                <w:szCs w:val="20"/>
                <w:color w:val="auto"/>
              </w:rPr>
            </w:pPr>
            <w:r>
              <w:rPr>
                <w:rFonts w:ascii="Arial" w:cs="Arial" w:eastAsia="Arial" w:hAnsi="Arial"/>
                <w:sz w:val="18"/>
                <w:szCs w:val="18"/>
                <w:color w:val="auto"/>
              </w:rPr>
              <w:t>​ ​</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182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 ​</w:t>
            </w:r>
          </w:p>
        </w:tc>
        <w:tc>
          <w:tcPr>
            <w:tcW w:w="120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160" w:type="dxa"/>
            <w:vAlign w:val="bottom"/>
          </w:tcPr>
          <w:p>
            <w:pPr>
              <w:spacing w:after="0" w:line="195" w:lineRule="exact"/>
              <w:rPr>
                <w:sz w:val="20"/>
                <w:szCs w:val="20"/>
                <w:color w:val="auto"/>
              </w:rPr>
            </w:pPr>
            <w:r>
              <w:rPr>
                <w:rFonts w:ascii="Arial" w:cs="Arial" w:eastAsia="Arial" w:hAnsi="Arial"/>
                <w:sz w:val="18"/>
                <w:szCs w:val="18"/>
                <w:color w:val="auto"/>
                <w:w w:val="92"/>
              </w:rPr>
              <w:t>5.</w:t>
            </w:r>
          </w:p>
        </w:tc>
        <w:tc>
          <w:tcPr>
            <w:tcW w:w="3220" w:type="dxa"/>
            <w:vAlign w:val="bottom"/>
          </w:tcPr>
          <w:p>
            <w:pPr>
              <w:ind w:left="180"/>
              <w:spacing w:after="0" w:line="195" w:lineRule="exact"/>
              <w:rPr>
                <w:sz w:val="20"/>
                <w:szCs w:val="20"/>
                <w:color w:val="auto"/>
              </w:rPr>
            </w:pPr>
            <w:r>
              <w:rPr>
                <w:rFonts w:ascii="Arial" w:cs="Arial" w:eastAsia="Arial" w:hAnsi="Arial"/>
                <w:sz w:val="18"/>
                <w:szCs w:val="18"/>
                <w:color w:val="auto"/>
              </w:rPr>
              <w:t>Ratification of auditor</w:t>
            </w:r>
          </w:p>
        </w:tc>
        <w:tc>
          <w:tcPr>
            <w:tcW w:w="220" w:type="dxa"/>
            <w:vAlign w:val="bottom"/>
          </w:tcPr>
          <w:p>
            <w:pPr>
              <w:spacing w:after="0"/>
              <w:rPr>
                <w:sz w:val="16"/>
                <w:szCs w:val="16"/>
                <w:color w:val="auto"/>
              </w:rPr>
            </w:pPr>
          </w:p>
        </w:tc>
        <w:tc>
          <w:tcPr>
            <w:tcW w:w="1820" w:type="dxa"/>
            <w:vAlign w:val="bottom"/>
          </w:tcPr>
          <w:p>
            <w:pPr>
              <w:jc w:val="center"/>
              <w:spacing w:after="0" w:line="195" w:lineRule="exact"/>
              <w:rPr>
                <w:sz w:val="20"/>
                <w:szCs w:val="20"/>
                <w:color w:val="auto"/>
              </w:rPr>
            </w:pPr>
            <w:r>
              <w:rPr>
                <w:rFonts w:ascii="Arial" w:cs="Arial" w:eastAsia="Arial" w:hAnsi="Arial"/>
                <w:sz w:val="18"/>
                <w:szCs w:val="18"/>
                <w:color w:val="auto"/>
                <w:w w:val="97"/>
              </w:rPr>
              <w:t>Majority of Votes Cast</w:t>
            </w:r>
          </w:p>
        </w:tc>
        <w:tc>
          <w:tcPr>
            <w:tcW w:w="340" w:type="dxa"/>
            <w:vAlign w:val="bottom"/>
          </w:tcPr>
          <w:p>
            <w:pPr>
              <w:spacing w:after="0"/>
              <w:rPr>
                <w:sz w:val="16"/>
                <w:szCs w:val="16"/>
                <w:color w:val="auto"/>
              </w:rPr>
            </w:pPr>
          </w:p>
        </w:tc>
        <w:tc>
          <w:tcPr>
            <w:tcW w:w="1200" w:type="dxa"/>
            <w:vAlign w:val="bottom"/>
          </w:tcPr>
          <w:p>
            <w:pPr>
              <w:jc w:val="center"/>
              <w:spacing w:after="0" w:line="195" w:lineRule="exact"/>
              <w:rPr>
                <w:sz w:val="20"/>
                <w:szCs w:val="20"/>
                <w:color w:val="auto"/>
              </w:rPr>
            </w:pPr>
            <w:r>
              <w:rPr>
                <w:rFonts w:ascii="Arial" w:cs="Arial" w:eastAsia="Arial" w:hAnsi="Arial"/>
                <w:sz w:val="18"/>
                <w:szCs w:val="18"/>
                <w:color w:val="auto"/>
                <w:w w:val="99"/>
              </w:rPr>
              <w:t>FOR</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tcPr>
          <w:p>
            <w:pPr>
              <w:jc w:val="center"/>
              <w:spacing w:after="0" w:line="195" w:lineRule="exact"/>
              <w:rPr>
                <w:sz w:val="20"/>
                <w:szCs w:val="20"/>
                <w:color w:val="auto"/>
              </w:rPr>
            </w:pPr>
            <w:r>
              <w:rPr>
                <w:rFonts w:ascii="Arial" w:cs="Arial" w:eastAsia="Arial" w:hAnsi="Arial"/>
                <w:sz w:val="18"/>
                <w:szCs w:val="18"/>
                <w:color w:val="0000EE"/>
                <w:w w:val="99"/>
              </w:rPr>
              <w:t>65</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920" w:right="839" w:hanging="642"/>
        <w:spacing w:after="0" w:line="287" w:lineRule="auto"/>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 frequency option does not receive a majority of votes cast, the option receiving the most votes will be considered the stockholders’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765175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00ABD1"/>
        </w:rPr>
        <w:t xml:space="preserve">Corporate Governance Highlights (see page </w:t>
      </w:r>
      <w:r>
        <w:rPr>
          <w:rFonts w:ascii="Arial" w:cs="Arial" w:eastAsia="Arial" w:hAnsi="Arial"/>
          <w:sz w:val="22"/>
          <w:szCs w:val="22"/>
          <w:b w:val="1"/>
          <w:bCs w:val="1"/>
          <w:u w:val="single" w:color="auto"/>
          <w:color w:val="00ABD1"/>
        </w:rPr>
        <w:t>8</w:t>
      </w:r>
      <w:r>
        <w:rPr>
          <w:rFonts w:ascii="Arial" w:cs="Arial" w:eastAsia="Arial" w:hAnsi="Arial"/>
          <w:sz w:val="22"/>
          <w:szCs w:val="22"/>
          <w:b w:val="1"/>
          <w:bCs w:val="1"/>
          <w:color w:val="00ABD1"/>
        </w:rPr>
        <w:t>)</w:t>
      </w:r>
    </w:p>
    <w:p>
      <w:pPr>
        <w:spacing w:after="0" w:line="337" w:lineRule="exact"/>
        <w:rPr>
          <w:sz w:val="20"/>
          <w:szCs w:val="20"/>
          <w:color w:val="auto"/>
        </w:rPr>
      </w:pPr>
    </w:p>
    <w:p>
      <w:pPr>
        <w:ind w:left="1280" w:right="419" w:firstLine="648"/>
        <w:spacing w:after="0" w:line="262" w:lineRule="auto"/>
        <w:rPr>
          <w:sz w:val="20"/>
          <w:szCs w:val="20"/>
          <w:color w:val="auto"/>
        </w:rPr>
      </w:pPr>
      <w:r>
        <w:rPr>
          <w:rFonts w:ascii="Arial" w:cs="Arial" w:eastAsia="Arial" w:hAnsi="Arial"/>
          <w:sz w:val="18"/>
          <w:szCs w:val="18"/>
          <w:color w:val="auto"/>
        </w:rPr>
        <w:t>Uniti is committed to strong corporate governance practices and policies, which promote both the long-term interests of our stockholders and the accountability of the Board of Directors of the Company (the “Board”) and management. The following table summarizes certain of our corporate governance practices and policies:</w:t>
      </w:r>
    </w:p>
    <w:p>
      <w:pPr>
        <w:sectPr>
          <w:pgSz w:w="11900" w:h="16838" w:orient="portrait"/>
          <w:cols w:equalWidth="0" w:num="1">
            <w:col w:w="9879"/>
          </w:cols>
          <w:pgMar w:left="580" w:top="97" w:right="1440" w:bottom="1440" w:gutter="0" w:footer="0" w:header="0"/>
        </w:sectPr>
      </w:pPr>
    </w:p>
    <w:p>
      <w:pPr>
        <w:spacing w:after="0" w:line="338" w:lineRule="exact"/>
        <w:rPr>
          <w:sz w:val="20"/>
          <w:szCs w:val="20"/>
          <w:color w:val="auto"/>
        </w:rPr>
      </w:pPr>
    </w:p>
    <w:tbl>
      <w:tblPr>
        <w:tblLayout w:type="fixed"/>
        <w:tblInd w:w="1300" w:type="dxa"/>
        <w:tblCellMar>
          <w:top w:w="0" w:type="dxa"/>
          <w:left w:w="0" w:type="dxa"/>
          <w:bottom w:w="0" w:type="dxa"/>
          <w:right w:w="0" w:type="dxa"/>
        </w:tblCellMar>
      </w:tblPr>
      <w:tr>
        <w:trPr>
          <w:trHeight w:val="239"/>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240"/>
              <w:spacing w:after="0"/>
              <w:rPr>
                <w:sz w:val="20"/>
                <w:szCs w:val="20"/>
                <w:color w:val="auto"/>
              </w:rPr>
            </w:pPr>
            <w:r>
              <w:rPr>
                <w:rFonts w:ascii="Arial" w:cs="Arial" w:eastAsia="Arial" w:hAnsi="Arial"/>
                <w:sz w:val="18"/>
                <w:szCs w:val="18"/>
                <w:color w:val="auto"/>
              </w:rPr>
              <w:t>​ ​Annual election of directors</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r>
      <w:tr>
        <w:trPr>
          <w:trHeight w:val="37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240"/>
              <w:spacing w:after="0" w:line="373"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Majority voting and resignation policy for</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r>
      <w:tr>
        <w:trPr>
          <w:trHeight w:val="239"/>
        </w:trPr>
        <w:tc>
          <w:tcPr>
            <w:tcW w:w="300" w:type="dxa"/>
            <w:vAlign w:val="bottom"/>
          </w:tcPr>
          <w:p>
            <w:pPr>
              <w:spacing w:after="0"/>
              <w:rPr>
                <w:sz w:val="20"/>
                <w:szCs w:val="20"/>
                <w:color w:val="auto"/>
              </w:rPr>
            </w:pPr>
          </w:p>
        </w:tc>
        <w:tc>
          <w:tcPr>
            <w:tcW w:w="3660" w:type="dxa"/>
            <w:vAlign w:val="bottom"/>
          </w:tcPr>
          <w:p>
            <w:pPr>
              <w:ind w:left="400"/>
              <w:spacing w:after="0"/>
              <w:rPr>
                <w:sz w:val="20"/>
                <w:szCs w:val="20"/>
                <w:color w:val="auto"/>
              </w:rPr>
            </w:pPr>
            <w:r>
              <w:rPr>
                <w:rFonts w:ascii="Arial" w:cs="Arial" w:eastAsia="Arial" w:hAnsi="Arial"/>
                <w:sz w:val="18"/>
                <w:szCs w:val="18"/>
                <w:color w:val="auto"/>
              </w:rPr>
              <w:t>director elections</w:t>
            </w:r>
          </w:p>
        </w:tc>
        <w:tc>
          <w:tcPr>
            <w:tcW w:w="200" w:type="dxa"/>
            <w:vAlign w:val="bottom"/>
          </w:tcPr>
          <w:p>
            <w:pPr>
              <w:spacing w:after="0"/>
              <w:rPr>
                <w:sz w:val="20"/>
                <w:szCs w:val="20"/>
                <w:color w:val="auto"/>
              </w:rPr>
            </w:pPr>
          </w:p>
        </w:tc>
      </w:tr>
      <w:tr>
        <w:trPr>
          <w:trHeight w:val="504"/>
        </w:trPr>
        <w:tc>
          <w:tcPr>
            <w:tcW w:w="300" w:type="dxa"/>
            <w:vAlign w:val="bottom"/>
          </w:tcPr>
          <w:p>
            <w:pPr>
              <w:spacing w:after="0"/>
              <w:rPr>
                <w:sz w:val="24"/>
                <w:szCs w:val="24"/>
                <w:color w:val="auto"/>
              </w:rPr>
            </w:pPr>
          </w:p>
        </w:tc>
        <w:tc>
          <w:tcPr>
            <w:tcW w:w="3660" w:type="dxa"/>
            <w:vAlign w:val="bottom"/>
          </w:tcPr>
          <w:p>
            <w:pPr>
              <w:ind w:left="400"/>
              <w:spacing w:after="0"/>
              <w:rPr>
                <w:sz w:val="20"/>
                <w:szCs w:val="20"/>
                <w:color w:val="auto"/>
              </w:rPr>
            </w:pPr>
            <w:r>
              <w:rPr>
                <w:rFonts w:ascii="Arial" w:cs="Arial" w:eastAsia="Arial" w:hAnsi="Arial"/>
                <w:sz w:val="18"/>
                <w:szCs w:val="18"/>
                <w:color w:val="auto"/>
              </w:rPr>
              <w:t>Independent directors regularly meet</w:t>
            </w:r>
          </w:p>
        </w:tc>
        <w:tc>
          <w:tcPr>
            <w:tcW w:w="200" w:type="dxa"/>
            <w:vAlign w:val="bottom"/>
          </w:tcPr>
          <w:p>
            <w:pPr>
              <w:spacing w:after="0"/>
              <w:rPr>
                <w:sz w:val="24"/>
                <w:szCs w:val="24"/>
                <w:color w:val="auto"/>
              </w:rPr>
            </w:pPr>
          </w:p>
        </w:tc>
      </w:tr>
      <w:tr>
        <w:trPr>
          <w:trHeight w:val="48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24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without management present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r>
      <w:tr>
        <w:trPr>
          <w:trHeight w:val="362"/>
        </w:trPr>
        <w:tc>
          <w:tcPr>
            <w:tcW w:w="300" w:type="dxa"/>
            <w:vAlign w:val="bottom"/>
          </w:tcPr>
          <w:p>
            <w:pPr>
              <w:spacing w:after="0"/>
              <w:rPr>
                <w:sz w:val="24"/>
                <w:szCs w:val="24"/>
                <w:color w:val="auto"/>
              </w:rPr>
            </w:pPr>
          </w:p>
        </w:tc>
        <w:tc>
          <w:tcPr>
            <w:tcW w:w="3660" w:type="dxa"/>
            <w:vAlign w:val="bottom"/>
          </w:tcPr>
          <w:p>
            <w:pPr>
              <w:ind w:left="400"/>
              <w:spacing w:after="0"/>
              <w:rPr>
                <w:sz w:val="20"/>
                <w:szCs w:val="20"/>
                <w:color w:val="auto"/>
              </w:rPr>
            </w:pPr>
            <w:r>
              <w:rPr>
                <w:rFonts w:ascii="Arial" w:cs="Arial" w:eastAsia="Arial" w:hAnsi="Arial"/>
                <w:sz w:val="18"/>
                <w:szCs w:val="18"/>
                <w:color w:val="auto"/>
                <w:w w:val="97"/>
              </w:rPr>
              <w:t>Board regularly assesses its performance</w:t>
            </w:r>
          </w:p>
        </w:tc>
        <w:tc>
          <w:tcPr>
            <w:tcW w:w="200" w:type="dxa"/>
            <w:vAlign w:val="bottom"/>
          </w:tcPr>
          <w:p>
            <w:pPr>
              <w:spacing w:after="0"/>
              <w:rPr>
                <w:sz w:val="24"/>
                <w:szCs w:val="24"/>
                <w:color w:val="auto"/>
              </w:rPr>
            </w:pPr>
          </w:p>
        </w:tc>
      </w:tr>
      <w:tr>
        <w:trPr>
          <w:trHeight w:val="229"/>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240"/>
              <w:spacing w:after="0"/>
              <w:rPr>
                <w:sz w:val="20"/>
                <w:szCs w:val="20"/>
                <w:color w:val="auto"/>
              </w:rPr>
            </w:pPr>
            <w:r>
              <w:rPr>
                <w:rFonts w:ascii="Arial" w:cs="Arial" w:eastAsia="Arial" w:hAnsi="Arial"/>
                <w:sz w:val="18"/>
                <w:szCs w:val="18"/>
                <w:color w:val="auto"/>
              </w:rPr>
              <w:t>​ ​through board and committee self-</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r>
      <w:tr>
        <w:trPr>
          <w:trHeight w:val="239"/>
        </w:trPr>
        <w:tc>
          <w:tcPr>
            <w:tcW w:w="300" w:type="dxa"/>
            <w:vAlign w:val="bottom"/>
          </w:tcPr>
          <w:p>
            <w:pPr>
              <w:spacing w:after="0"/>
              <w:rPr>
                <w:sz w:val="20"/>
                <w:szCs w:val="20"/>
                <w:color w:val="auto"/>
              </w:rPr>
            </w:pPr>
          </w:p>
        </w:tc>
        <w:tc>
          <w:tcPr>
            <w:tcW w:w="3660" w:type="dxa"/>
            <w:vAlign w:val="bottom"/>
          </w:tcPr>
          <w:p>
            <w:pPr>
              <w:ind w:left="400"/>
              <w:spacing w:after="0"/>
              <w:rPr>
                <w:sz w:val="20"/>
                <w:szCs w:val="20"/>
                <w:color w:val="auto"/>
              </w:rPr>
            </w:pPr>
            <w:r>
              <w:rPr>
                <w:rFonts w:ascii="Arial" w:cs="Arial" w:eastAsia="Arial" w:hAnsi="Arial"/>
                <w:sz w:val="18"/>
                <w:szCs w:val="18"/>
                <w:color w:val="auto"/>
              </w:rPr>
              <w:t>evaluations</w:t>
            </w:r>
          </w:p>
        </w:tc>
        <w:tc>
          <w:tcPr>
            <w:tcW w:w="200" w:type="dxa"/>
            <w:vAlign w:val="bottom"/>
          </w:tcPr>
          <w:p>
            <w:pPr>
              <w:spacing w:after="0"/>
              <w:rPr>
                <w:sz w:val="20"/>
                <w:szCs w:val="20"/>
                <w:color w:val="auto"/>
              </w:rPr>
            </w:pPr>
          </w:p>
        </w:tc>
      </w:tr>
      <w:tr>
        <w:trPr>
          <w:trHeight w:val="351"/>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240"/>
              <w:spacing w:after="0"/>
              <w:rPr>
                <w:sz w:val="20"/>
                <w:szCs w:val="20"/>
                <w:color w:val="auto"/>
              </w:rPr>
            </w:pPr>
            <w:r>
              <w:rPr>
                <w:rFonts w:ascii="Arial" w:cs="Arial" w:eastAsia="Arial" w:hAnsi="Arial"/>
                <w:sz w:val="18"/>
                <w:szCs w:val="18"/>
                <w:color w:val="auto"/>
              </w:rPr>
              <w:t>​ ​Independent Chairman</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104" w:hanging="104"/>
        <w:spacing w:after="0"/>
        <w:tabs>
          <w:tab w:leader="none" w:pos="104"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​Active stockholder engagement</w:t>
      </w:r>
    </w:p>
    <w:p>
      <w:pPr>
        <w:spacing w:after="0" w:line="31" w:lineRule="exact"/>
        <w:rPr>
          <w:rFonts w:ascii="Arial" w:cs="Arial" w:eastAsia="Arial" w:hAnsi="Arial"/>
          <w:sz w:val="18"/>
          <w:szCs w:val="18"/>
          <w:color w:val="auto"/>
        </w:rPr>
      </w:pPr>
    </w:p>
    <w:p>
      <w:pPr>
        <w:ind w:left="164" w:right="580" w:hanging="164"/>
        <w:spacing w:after="0" w:line="229" w:lineRule="auto"/>
        <w:tabs>
          <w:tab w:leader="none" w:pos="110" w:val="left"/>
        </w:tabs>
        <w:numPr>
          <w:ilvl w:val="0"/>
          <w:numId w:val="7"/>
        </w:numPr>
        <w:rPr>
          <w:rFonts w:ascii="Arial" w:cs="Arial" w:eastAsia="Arial" w:hAnsi="Arial"/>
          <w:sz w:val="36"/>
          <w:szCs w:val="36"/>
          <w:color w:val="auto"/>
          <w:vertAlign w:val="subscript"/>
        </w:rPr>
      </w:pPr>
      <w:r>
        <w:rPr>
          <w:rFonts w:ascii="Arial" w:cs="Arial" w:eastAsia="Arial" w:hAnsi="Arial"/>
          <w:sz w:val="35"/>
          <w:szCs w:val="35"/>
          <w:color w:val="auto"/>
          <w:vertAlign w:val="subscript"/>
        </w:rPr>
        <w:t>​</w:t>
      </w:r>
      <w:r>
        <w:rPr>
          <w:rFonts w:ascii="Arial" w:cs="Arial" w:eastAsia="Arial" w:hAnsi="Arial"/>
          <w:sz w:val="18"/>
          <w:szCs w:val="18"/>
          <w:color w:val="auto"/>
        </w:rPr>
        <w:t>Prohibit hedging and unapproved pledging of our common stock</w:t>
      </w:r>
    </w:p>
    <w:p>
      <w:pPr>
        <w:spacing w:after="0" w:line="33" w:lineRule="exact"/>
        <w:rPr>
          <w:sz w:val="20"/>
          <w:szCs w:val="20"/>
          <w:color w:val="auto"/>
        </w:rPr>
      </w:pPr>
    </w:p>
    <w:p>
      <w:pPr>
        <w:ind w:left="164"/>
        <w:spacing w:after="0" w:line="267" w:lineRule="auto"/>
        <w:rPr>
          <w:sz w:val="20"/>
          <w:szCs w:val="20"/>
          <w:color w:val="auto"/>
        </w:rPr>
      </w:pPr>
      <w:r>
        <w:rPr>
          <w:rFonts w:ascii="Arial" w:cs="Arial" w:eastAsia="Arial" w:hAnsi="Arial"/>
          <w:sz w:val="17"/>
          <w:szCs w:val="17"/>
          <w:color w:val="auto"/>
        </w:rPr>
        <w:t>89% of board nominees are independent (CEO is only management director</w:t>
      </w:r>
    </w:p>
    <w:p>
      <w:pPr>
        <w:spacing w:after="0" w:line="2" w:lineRule="exact"/>
        <w:rPr>
          <w:sz w:val="20"/>
          <w:szCs w:val="20"/>
          <w:color w:val="auto"/>
        </w:rPr>
      </w:pPr>
    </w:p>
    <w:p>
      <w:pPr>
        <w:jc w:val="both"/>
        <w:ind w:left="164" w:right="100" w:hanging="164"/>
        <w:spacing w:after="0" w:line="266" w:lineRule="auto"/>
        <w:tabs>
          <w:tab w:leader="none" w:pos="11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​nominee) and include two female board nominees (25% of independent director nominees)</w:t>
      </w:r>
    </w:p>
    <w:p>
      <w:pPr>
        <w:spacing w:after="0" w:line="211" w:lineRule="exact"/>
        <w:rPr>
          <w:rFonts w:ascii="Arial" w:cs="Arial" w:eastAsia="Arial" w:hAnsi="Arial"/>
          <w:sz w:val="18"/>
          <w:szCs w:val="18"/>
          <w:color w:val="auto"/>
        </w:rPr>
      </w:pPr>
    </w:p>
    <w:p>
      <w:pPr>
        <w:ind w:left="104" w:hanging="104"/>
        <w:spacing w:after="0"/>
        <w:tabs>
          <w:tab w:leader="none" w:pos="104"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poison pill</w:t>
      </w:r>
    </w:p>
    <w:p>
      <w:pPr>
        <w:spacing w:after="0" w:line="373" w:lineRule="exact"/>
        <w:rPr>
          <w:rFonts w:ascii="Arial" w:cs="Arial" w:eastAsia="Arial" w:hAnsi="Arial"/>
          <w:sz w:val="18"/>
          <w:szCs w:val="18"/>
          <w:color w:val="auto"/>
        </w:rPr>
      </w:pPr>
    </w:p>
    <w:p>
      <w:pPr>
        <w:ind w:left="104" w:hanging="104"/>
        <w:spacing w:after="0"/>
        <w:tabs>
          <w:tab w:leader="none" w:pos="104" w:val="left"/>
        </w:tabs>
        <w:numPr>
          <w:ilvl w:val="0"/>
          <w:numId w:val="8"/>
        </w:numPr>
        <w:rPr>
          <w:rFonts w:ascii="Arial" w:cs="Arial" w:eastAsia="Arial" w:hAnsi="Arial"/>
          <w:sz w:val="18"/>
          <w:szCs w:val="18"/>
          <w:color w:val="auto"/>
        </w:rPr>
      </w:pPr>
      <w:r>
        <w:rPr>
          <w:rFonts w:ascii="Arial" w:cs="Arial" w:eastAsia="Arial" w:hAnsi="Arial"/>
          <w:sz w:val="18"/>
          <w:szCs w:val="18"/>
          <w:color w:val="auto"/>
        </w:rPr>
        <w:t>​Robust stock ownership guidelines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1" w:lineRule="exact"/>
        <w:rPr>
          <w:sz w:val="20"/>
          <w:szCs w:val="20"/>
          <w:color w:val="auto"/>
        </w:rPr>
      </w:pPr>
    </w:p>
    <w:p>
      <w:pPr>
        <w:sectPr>
          <w:pgSz w:w="11900" w:h="16838" w:orient="portrait"/>
          <w:cols w:equalWidth="0" w:num="3">
            <w:col w:w="5460" w:space="516"/>
            <w:col w:w="3344" w:space="140"/>
            <w:col w:w="419"/>
          </w:cols>
          <w:pgMar w:left="580" w:top="97" w:right="1440" w:bottom="1440" w:gutter="0" w:footer="0" w:header="0"/>
          <w:type w:val="continuous"/>
        </w:sectPr>
      </w:pPr>
    </w:p>
    <w:p>
      <w:pPr>
        <w:spacing w:after="0" w:line="115" w:lineRule="exact"/>
        <w:rPr>
          <w:sz w:val="20"/>
          <w:szCs w:val="20"/>
          <w:color w:val="auto"/>
        </w:rPr>
      </w:pPr>
    </w:p>
    <w:p>
      <w:pPr>
        <w:ind w:left="1280" w:right="459" w:firstLine="648"/>
        <w:spacing w:after="0" w:line="259" w:lineRule="auto"/>
        <w:rPr>
          <w:sz w:val="20"/>
          <w:szCs w:val="20"/>
          <w:color w:val="auto"/>
        </w:rPr>
      </w:pPr>
      <w:r>
        <w:rPr>
          <w:rFonts w:ascii="Arial" w:cs="Arial" w:eastAsia="Arial" w:hAnsi="Arial"/>
          <w:sz w:val="18"/>
          <w:szCs w:val="18"/>
          <w:color w:val="auto"/>
        </w:rPr>
        <w:t>We value an open and active dialogue with our stockholders, and we believe that regular communication with our stockholders is vital to our long-term success. We strive to foster strong stockholder relationships that lead to a mutual understanding of issues and approaches. During 2025, members of our management team met and communicated with many of our stockholders to ensure that we fully understand our stockholders’ concerns with respect to governance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3825240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499110</wp:posOffset>
            </wp:positionV>
            <wp:extent cx="5516245" cy="7959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00ABD1"/>
        </w:rPr>
        <w:t xml:space="preserve">Board and Board Committees (see page </w:t>
      </w:r>
      <w:r>
        <w:rPr>
          <w:rFonts w:ascii="Arial" w:cs="Arial" w:eastAsia="Arial" w:hAnsi="Arial"/>
          <w:sz w:val="22"/>
          <w:szCs w:val="22"/>
          <w:b w:val="1"/>
          <w:bCs w:val="1"/>
          <w:u w:val="single" w:color="auto"/>
          <w:color w:val="00ABD1"/>
        </w:rPr>
        <w:t>8</w:t>
      </w:r>
      <w:r>
        <w:rPr>
          <w:rFonts w:ascii="Arial" w:cs="Arial" w:eastAsia="Arial" w:hAnsi="Arial"/>
          <w:sz w:val="22"/>
          <w:szCs w:val="22"/>
          <w:b w:val="1"/>
          <w:bCs w:val="1"/>
          <w:color w:val="00ABD1"/>
        </w:rPr>
        <w:t>)</w:t>
      </w:r>
    </w:p>
    <w:p>
      <w:pPr>
        <w:spacing w:after="0" w:line="337"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The following table contains information about the current members of the Board of Directors of</w:t>
      </w:r>
    </w:p>
    <w:p>
      <w:pPr>
        <w:spacing w:after="0" w:line="3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Uniti.</w:t>
      </w:r>
    </w:p>
    <w:p>
      <w:pPr>
        <w:spacing w:after="0" w:line="230"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100" w:type="dxa"/>
            <w:vAlign w:val="bottom"/>
          </w:tcPr>
          <w:p>
            <w:pPr>
              <w:ind w:left="60"/>
              <w:spacing w:after="0"/>
              <w:rPr>
                <w:sz w:val="20"/>
                <w:szCs w:val="20"/>
                <w:color w:val="auto"/>
              </w:rPr>
            </w:pPr>
            <w:r>
              <w:rPr>
                <w:rFonts w:ascii="Arial" w:cs="Arial" w:eastAsia="Arial" w:hAnsi="Arial"/>
                <w:sz w:val="14"/>
                <w:szCs w:val="14"/>
                <w:b w:val="1"/>
                <w:bCs w:val="1"/>
                <w:color w:val="00ABD1"/>
              </w:rPr>
              <w:t>​</w:t>
            </w:r>
          </w:p>
        </w:tc>
        <w:tc>
          <w:tcPr>
            <w:tcW w:w="1100" w:type="dxa"/>
            <w:vAlign w:val="bottom"/>
          </w:tcPr>
          <w:p>
            <w:pPr>
              <w:jc w:val="center"/>
              <w:ind w:left="388"/>
              <w:spacing w:after="0"/>
              <w:rPr>
                <w:sz w:val="20"/>
                <w:szCs w:val="20"/>
                <w:color w:val="auto"/>
              </w:rPr>
            </w:pPr>
            <w:r>
              <w:rPr>
                <w:rFonts w:ascii="Arial" w:cs="Arial" w:eastAsia="Arial" w:hAnsi="Arial"/>
                <w:sz w:val="14"/>
                <w:szCs w:val="14"/>
                <w:b w:val="1"/>
                <w:bCs w:val="1"/>
                <w:color w:val="00ABD1"/>
              </w:rPr>
              <w:t>​</w:t>
            </w:r>
          </w:p>
        </w:tc>
        <w:tc>
          <w:tcPr>
            <w:tcW w:w="38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4"/>
                <w:szCs w:val="14"/>
                <w:b w:val="1"/>
                <w:bCs w:val="1"/>
                <w:color w:val="00ABD1"/>
              </w:rPr>
              <w:t>​​</w:t>
            </w:r>
          </w:p>
        </w:tc>
        <w:tc>
          <w:tcPr>
            <w:tcW w:w="220" w:type="dxa"/>
            <w:vAlign w:val="bottom"/>
          </w:tcPr>
          <w:p>
            <w:pPr>
              <w:jc w:val="center"/>
              <w:spacing w:after="0"/>
              <w:rPr>
                <w:sz w:val="20"/>
                <w:szCs w:val="20"/>
                <w:color w:val="auto"/>
              </w:rPr>
            </w:pPr>
            <w:r>
              <w:rPr>
                <w:rFonts w:ascii="Arial" w:cs="Arial" w:eastAsia="Arial" w:hAnsi="Arial"/>
                <w:sz w:val="14"/>
                <w:szCs w:val="14"/>
                <w:b w:val="1"/>
                <w:bCs w:val="1"/>
                <w:color w:val="00ABD1"/>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00ABD1"/>
              </w:rPr>
              <w:t>​​</w:t>
            </w:r>
          </w:p>
        </w:tc>
        <w:tc>
          <w:tcPr>
            <w:tcW w:w="500" w:type="dxa"/>
            <w:vAlign w:val="bottom"/>
          </w:tcPr>
          <w:p>
            <w:pPr>
              <w:ind w:left="220"/>
              <w:spacing w:after="0"/>
              <w:rPr>
                <w:sz w:val="20"/>
                <w:szCs w:val="20"/>
                <w:color w:val="auto"/>
              </w:rPr>
            </w:pPr>
            <w:r>
              <w:rPr>
                <w:rFonts w:ascii="Arial" w:cs="Arial" w:eastAsia="Arial" w:hAnsi="Arial"/>
                <w:sz w:val="14"/>
                <w:szCs w:val="14"/>
                <w:b w:val="1"/>
                <w:bCs w:val="1"/>
                <w:color w:val="00ABD1"/>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00ABD1"/>
              </w:rPr>
              <w:t>​​</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00ABD1"/>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00ABD1"/>
              </w:rPr>
              <w:t>​​</w:t>
            </w:r>
          </w:p>
        </w:tc>
        <w:tc>
          <w:tcPr>
            <w:tcW w:w="580" w:type="dxa"/>
            <w:vAlign w:val="bottom"/>
          </w:tcPr>
          <w:p>
            <w:pPr>
              <w:ind w:left="260"/>
              <w:spacing w:after="0"/>
              <w:rPr>
                <w:sz w:val="20"/>
                <w:szCs w:val="20"/>
                <w:color w:val="auto"/>
              </w:rPr>
            </w:pPr>
            <w:r>
              <w:rPr>
                <w:rFonts w:ascii="Arial" w:cs="Arial" w:eastAsia="Arial" w:hAnsi="Arial"/>
                <w:sz w:val="14"/>
                <w:szCs w:val="14"/>
                <w:b w:val="1"/>
                <w:bCs w:val="1"/>
                <w:color w:val="00ABD1"/>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00ABD1"/>
              </w:rPr>
              <w:t>​​</w:t>
            </w:r>
          </w:p>
        </w:tc>
        <w:tc>
          <w:tcPr>
            <w:tcW w:w="1980" w:type="dxa"/>
            <w:vAlign w:val="bottom"/>
            <w:gridSpan w:val="5"/>
          </w:tcPr>
          <w:p>
            <w:pPr>
              <w:ind w:left="180"/>
              <w:spacing w:after="0"/>
              <w:rPr>
                <w:sz w:val="20"/>
                <w:szCs w:val="20"/>
                <w:color w:val="auto"/>
              </w:rPr>
            </w:pPr>
            <w:r>
              <w:rPr>
                <w:rFonts w:ascii="Arial" w:cs="Arial" w:eastAsia="Arial" w:hAnsi="Arial"/>
                <w:sz w:val="14"/>
                <w:szCs w:val="14"/>
                <w:b w:val="1"/>
                <w:bCs w:val="1"/>
                <w:color w:val="00ABD1"/>
              </w:rPr>
              <w:t>Committee Memberships</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00ABD1"/>
              </w:rPr>
              <w:t>​</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00ABD1"/>
              </w:rPr>
              <w:t>Director</w:t>
            </w:r>
          </w:p>
        </w:tc>
        <w:tc>
          <w:tcPr>
            <w:tcW w:w="120" w:type="dxa"/>
            <w:vAlign w:val="bottom"/>
          </w:tcPr>
          <w:p>
            <w:pPr>
              <w:spacing w:after="0"/>
              <w:rPr>
                <w:sz w:val="14"/>
                <w:szCs w:val="14"/>
                <w:color w:val="auto"/>
              </w:rPr>
            </w:pPr>
          </w:p>
        </w:tc>
        <w:tc>
          <w:tcPr>
            <w:tcW w:w="2420" w:type="dxa"/>
            <w:vAlign w:val="bottom"/>
          </w:tcPr>
          <w:p>
            <w:pPr>
              <w:ind w:left="880"/>
              <w:spacing w:after="0"/>
              <w:rPr>
                <w:sz w:val="20"/>
                <w:szCs w:val="20"/>
                <w:color w:val="auto"/>
              </w:rPr>
            </w:pPr>
            <w:r>
              <w:rPr>
                <w:rFonts w:ascii="Arial" w:cs="Arial" w:eastAsia="Arial" w:hAnsi="Arial"/>
                <w:sz w:val="14"/>
                <w:szCs w:val="14"/>
                <w:b w:val="1"/>
                <w:bCs w:val="1"/>
                <w:color w:val="00ABD1"/>
              </w:rPr>
              <w:t>Principal</w:t>
            </w:r>
          </w:p>
        </w:tc>
        <w:tc>
          <w:tcPr>
            <w:tcW w:w="740" w:type="dxa"/>
            <w:vAlign w:val="bottom"/>
            <w:gridSpan w:val="2"/>
          </w:tcPr>
          <w:p>
            <w:pPr>
              <w:jc w:val="center"/>
              <w:ind w:left="8"/>
              <w:spacing w:after="0"/>
              <w:rPr>
                <w:sz w:val="20"/>
                <w:szCs w:val="20"/>
                <w:color w:val="auto"/>
              </w:rPr>
            </w:pPr>
            <w:r>
              <w:rPr>
                <w:rFonts w:ascii="Arial" w:cs="Arial" w:eastAsia="Arial" w:hAnsi="Arial"/>
                <w:sz w:val="14"/>
                <w:szCs w:val="14"/>
                <w:b w:val="1"/>
                <w:bCs w:val="1"/>
                <w:color w:val="00ABD1"/>
              </w:rPr>
              <w:t>Financial</w:t>
            </w:r>
          </w:p>
        </w:tc>
        <w:tc>
          <w:tcPr>
            <w:tcW w:w="2320" w:type="dxa"/>
            <w:vAlign w:val="bottom"/>
            <w:gridSpan w:val="7"/>
            <w:vMerge w:val="restart"/>
          </w:tcPr>
          <w:p>
            <w:pPr>
              <w:jc w:val="right"/>
              <w:spacing w:after="0"/>
              <w:rPr>
                <w:sz w:val="20"/>
                <w:szCs w:val="20"/>
                <w:color w:val="auto"/>
              </w:rPr>
            </w:pPr>
            <w:r>
              <w:rPr>
                <w:rFonts w:ascii="Arial" w:cs="Arial" w:eastAsia="Arial" w:hAnsi="Arial"/>
                <w:sz w:val="28"/>
                <w:szCs w:val="28"/>
                <w:b w:val="1"/>
                <w:bCs w:val="1"/>
                <w:color w:val="00ABD1"/>
                <w:vertAlign w:val="subscript"/>
              </w:rPr>
              <w:t>​​</w:t>
            </w:r>
            <w:r>
              <w:rPr>
                <w:rFonts w:ascii="Arial" w:cs="Arial" w:eastAsia="Arial" w:hAnsi="Arial"/>
                <w:sz w:val="13"/>
                <w:szCs w:val="13"/>
                <w:b w:val="1"/>
                <w:bCs w:val="1"/>
                <w:color w:val="00ABD1"/>
              </w:rPr>
              <w:t>Audit</w:t>
            </w:r>
            <w:r>
              <w:rPr>
                <w:rFonts w:ascii="Arial" w:cs="Arial" w:eastAsia="Arial" w:hAnsi="Arial"/>
                <w:sz w:val="14"/>
                <w:szCs w:val="14"/>
                <w:b w:val="1"/>
                <w:bCs w:val="1"/>
                <w:color w:val="00ABD1"/>
              </w:rPr>
              <w:t>​</w:t>
            </w:r>
            <w:r>
              <w:rPr>
                <w:rFonts w:ascii="Arial" w:cs="Arial" w:eastAsia="Arial" w:hAnsi="Arial"/>
                <w:sz w:val="28"/>
                <w:szCs w:val="28"/>
                <w:b w:val="1"/>
                <w:bCs w:val="1"/>
                <w:color w:val="00ABD1"/>
                <w:vertAlign w:val="subscript"/>
              </w:rPr>
              <w:t>​​</w:t>
            </w:r>
            <w:r>
              <w:rPr>
                <w:rFonts w:ascii="Arial" w:cs="Arial" w:eastAsia="Arial" w:hAnsi="Arial"/>
                <w:sz w:val="13"/>
                <w:szCs w:val="13"/>
                <w:b w:val="1"/>
                <w:bCs w:val="1"/>
                <w:color w:val="00ABD1"/>
              </w:rPr>
              <w:t>Compensation</w:t>
            </w:r>
            <w:r>
              <w:rPr>
                <w:rFonts w:ascii="Arial" w:cs="Arial" w:eastAsia="Arial" w:hAnsi="Arial"/>
                <w:sz w:val="14"/>
                <w:szCs w:val="14"/>
                <w:b w:val="1"/>
                <w:bCs w:val="1"/>
                <w:color w:val="00ABD1"/>
              </w:rPr>
              <w:t>​</w:t>
            </w:r>
            <w:r>
              <w:rPr>
                <w:rFonts w:ascii="Arial" w:cs="Arial" w:eastAsia="Arial" w:hAnsi="Arial"/>
                <w:sz w:val="28"/>
                <w:szCs w:val="28"/>
                <w:b w:val="1"/>
                <w:bCs w:val="1"/>
                <w:color w:val="00ABD1"/>
                <w:vertAlign w:val="subscript"/>
              </w:rPr>
              <w:t>​​</w:t>
            </w:r>
            <w:r>
              <w:rPr>
                <w:rFonts w:ascii="Arial" w:cs="Arial" w:eastAsia="Arial" w:hAnsi="Arial"/>
                <w:sz w:val="13"/>
                <w:szCs w:val="13"/>
                <w:b w:val="1"/>
                <w:bCs w:val="1"/>
                <w:color w:val="00ABD1"/>
              </w:rPr>
              <w:t>Governance</w:t>
            </w:r>
            <w:r>
              <w:rPr>
                <w:rFonts w:ascii="Arial" w:cs="Arial" w:eastAsia="Arial" w:hAnsi="Arial"/>
                <w:sz w:val="14"/>
                <w:szCs w:val="14"/>
                <w:b w:val="1"/>
                <w:bCs w:val="1"/>
                <w:color w:val="000000"/>
              </w:rPr>
              <w:t>​</w:t>
            </w:r>
            <w:r>
              <w:rPr>
                <w:rFonts w:ascii="Arial" w:cs="Arial" w:eastAsia="Arial" w:hAnsi="Arial"/>
                <w:sz w:val="28"/>
                <w:szCs w:val="28"/>
                <w:b w:val="1"/>
                <w:bCs w:val="1"/>
                <w:color w:val="00ABD1"/>
                <w:vertAlign w:val="subscript"/>
              </w:rPr>
              <w:t>​</w:t>
            </w:r>
          </w:p>
        </w:tc>
        <w:tc>
          <w:tcPr>
            <w:tcW w:w="0" w:type="dxa"/>
            <w:vAlign w:val="bottom"/>
          </w:tcPr>
          <w:p>
            <w:pPr>
              <w:spacing w:after="0"/>
              <w:rPr>
                <w:sz w:val="1"/>
                <w:szCs w:val="1"/>
                <w:color w:val="auto"/>
              </w:rPr>
            </w:pPr>
          </w:p>
        </w:tc>
      </w:tr>
      <w:tr>
        <w:trPr>
          <w:trHeight w:val="198"/>
        </w:trPr>
        <w:tc>
          <w:tcPr>
            <w:tcW w:w="100" w:type="dxa"/>
            <w:vAlign w:val="bottom"/>
            <w:tcBorders>
              <w:bottom w:val="single" w:sz="8" w:color="00ABD1"/>
            </w:tcBorders>
          </w:tcPr>
          <w:p>
            <w:pPr>
              <w:ind w:left="60"/>
              <w:spacing w:after="0"/>
              <w:rPr>
                <w:sz w:val="20"/>
                <w:szCs w:val="20"/>
                <w:color w:val="auto"/>
              </w:rPr>
            </w:pPr>
            <w:r>
              <w:rPr>
                <w:rFonts w:ascii="Arial" w:cs="Arial" w:eastAsia="Arial" w:hAnsi="Arial"/>
                <w:sz w:val="14"/>
                <w:szCs w:val="14"/>
                <w:b w:val="1"/>
                <w:bCs w:val="1"/>
                <w:color w:val="00ABD1"/>
              </w:rPr>
              <w:t>​</w:t>
            </w:r>
          </w:p>
        </w:tc>
        <w:tc>
          <w:tcPr>
            <w:tcW w:w="1100" w:type="dxa"/>
            <w:vAlign w:val="bottom"/>
            <w:tcBorders>
              <w:bottom w:val="single" w:sz="8" w:color="00ABD1"/>
            </w:tcBorders>
          </w:tcPr>
          <w:p>
            <w:pPr>
              <w:jc w:val="center"/>
              <w:ind w:left="348"/>
              <w:spacing w:after="0"/>
              <w:rPr>
                <w:sz w:val="20"/>
                <w:szCs w:val="20"/>
                <w:color w:val="auto"/>
              </w:rPr>
            </w:pPr>
            <w:r>
              <w:rPr>
                <w:rFonts w:ascii="Arial" w:cs="Arial" w:eastAsia="Arial" w:hAnsi="Arial"/>
                <w:sz w:val="14"/>
                <w:szCs w:val="14"/>
                <w:b w:val="1"/>
                <w:bCs w:val="1"/>
                <w:color w:val="00ABD1"/>
              </w:rPr>
              <w:t>Name(1)</w:t>
            </w:r>
          </w:p>
        </w:tc>
        <w:tc>
          <w:tcPr>
            <w:tcW w:w="380" w:type="dxa"/>
            <w:vAlign w:val="bottom"/>
            <w:tcBorders>
              <w:bottom w:val="single" w:sz="8" w:color="00ABD1"/>
            </w:tcBorders>
          </w:tcPr>
          <w:p>
            <w:pPr>
              <w:spacing w:after="0"/>
              <w:rPr>
                <w:sz w:val="17"/>
                <w:szCs w:val="17"/>
                <w:color w:val="auto"/>
              </w:rPr>
            </w:pPr>
          </w:p>
        </w:tc>
        <w:tc>
          <w:tcPr>
            <w:tcW w:w="1140" w:type="dxa"/>
            <w:vAlign w:val="bottom"/>
            <w:tcBorders>
              <w:bottom w:val="single" w:sz="8" w:color="00ABD1"/>
            </w:tcBorders>
            <w:gridSpan w:val="5"/>
          </w:tcPr>
          <w:p>
            <w:pPr>
              <w:ind w:left="40"/>
              <w:spacing w:after="0" w:line="199" w:lineRule="exact"/>
              <w:rPr>
                <w:sz w:val="20"/>
                <w:szCs w:val="20"/>
                <w:color w:val="auto"/>
              </w:rPr>
            </w:pPr>
            <w:r>
              <w:rPr>
                <w:rFonts w:ascii="Arial" w:cs="Arial" w:eastAsia="Arial" w:hAnsi="Arial"/>
                <w:sz w:val="22"/>
                <w:szCs w:val="22"/>
                <w:b w:val="1"/>
                <w:bCs w:val="1"/>
                <w:color w:val="00ABD1"/>
                <w:vertAlign w:val="subscript"/>
              </w:rPr>
              <w:t>​​</w:t>
            </w:r>
            <w:r>
              <w:rPr>
                <w:rFonts w:ascii="Arial" w:cs="Arial" w:eastAsia="Arial" w:hAnsi="Arial"/>
                <w:sz w:val="12"/>
                <w:szCs w:val="12"/>
                <w:b w:val="1"/>
                <w:bCs w:val="1"/>
                <w:color w:val="00ABD1"/>
              </w:rPr>
              <w:t xml:space="preserve">Age </w:t>
            </w:r>
            <w:r>
              <w:rPr>
                <w:rFonts w:ascii="Arial" w:cs="Arial" w:eastAsia="Arial" w:hAnsi="Arial"/>
                <w:sz w:val="22"/>
                <w:szCs w:val="22"/>
                <w:b w:val="1"/>
                <w:bCs w:val="1"/>
                <w:color w:val="00ABD1"/>
                <w:vertAlign w:val="subscript"/>
              </w:rPr>
              <w:t>​​</w:t>
            </w:r>
            <w:r>
              <w:rPr>
                <w:rFonts w:ascii="Arial" w:cs="Arial" w:eastAsia="Arial" w:hAnsi="Arial"/>
                <w:sz w:val="12"/>
                <w:szCs w:val="12"/>
                <w:b w:val="1"/>
                <w:bCs w:val="1"/>
                <w:color w:val="00ABD1"/>
              </w:rPr>
              <w:t xml:space="preserve">Since(2) </w:t>
            </w:r>
            <w:r>
              <w:rPr>
                <w:rFonts w:ascii="Arial" w:cs="Arial" w:eastAsia="Arial" w:hAnsi="Arial"/>
                <w:sz w:val="22"/>
                <w:szCs w:val="22"/>
                <w:b w:val="1"/>
                <w:bCs w:val="1"/>
                <w:color w:val="00ABD1"/>
                <w:vertAlign w:val="subscript"/>
              </w:rPr>
              <w:t>​​</w:t>
            </w:r>
          </w:p>
        </w:tc>
        <w:tc>
          <w:tcPr>
            <w:tcW w:w="2420" w:type="dxa"/>
            <w:vAlign w:val="bottom"/>
            <w:tcBorders>
              <w:bottom w:val="single" w:sz="8" w:color="00ABD1"/>
            </w:tcBorders>
          </w:tcPr>
          <w:p>
            <w:pPr>
              <w:jc w:val="center"/>
              <w:spacing w:after="0"/>
              <w:rPr>
                <w:sz w:val="20"/>
                <w:szCs w:val="20"/>
                <w:color w:val="auto"/>
              </w:rPr>
            </w:pPr>
            <w:r>
              <w:rPr>
                <w:rFonts w:ascii="Arial" w:cs="Arial" w:eastAsia="Arial" w:hAnsi="Arial"/>
                <w:sz w:val="14"/>
                <w:szCs w:val="14"/>
                <w:b w:val="1"/>
                <w:bCs w:val="1"/>
                <w:color w:val="00ABD1"/>
                <w:w w:val="98"/>
              </w:rPr>
              <w:t>Occupation</w:t>
            </w:r>
          </w:p>
        </w:tc>
        <w:tc>
          <w:tcPr>
            <w:tcW w:w="160" w:type="dxa"/>
            <w:vAlign w:val="bottom"/>
            <w:tcBorders>
              <w:bottom w:val="single" w:sz="8" w:color="00ABD1"/>
            </w:tcBorders>
          </w:tcPr>
          <w:p>
            <w:pPr>
              <w:jc w:val="right"/>
              <w:spacing w:after="0"/>
              <w:rPr>
                <w:sz w:val="20"/>
                <w:szCs w:val="20"/>
                <w:color w:val="auto"/>
              </w:rPr>
            </w:pPr>
            <w:r>
              <w:rPr>
                <w:rFonts w:ascii="Arial" w:cs="Arial" w:eastAsia="Arial" w:hAnsi="Arial"/>
                <w:sz w:val="14"/>
                <w:szCs w:val="14"/>
                <w:b w:val="1"/>
                <w:bCs w:val="1"/>
                <w:color w:val="00ABD1"/>
              </w:rPr>
              <w:t>​​</w:t>
            </w:r>
          </w:p>
        </w:tc>
        <w:tc>
          <w:tcPr>
            <w:tcW w:w="580" w:type="dxa"/>
            <w:vAlign w:val="bottom"/>
            <w:tcBorders>
              <w:bottom w:val="single" w:sz="8" w:color="00ABD1"/>
            </w:tcBorders>
          </w:tcPr>
          <w:p>
            <w:pPr>
              <w:jc w:val="center"/>
              <w:spacing w:after="0"/>
              <w:rPr>
                <w:sz w:val="20"/>
                <w:szCs w:val="20"/>
                <w:color w:val="auto"/>
              </w:rPr>
            </w:pPr>
            <w:r>
              <w:rPr>
                <w:rFonts w:ascii="Arial" w:cs="Arial" w:eastAsia="Arial" w:hAnsi="Arial"/>
                <w:sz w:val="14"/>
                <w:szCs w:val="14"/>
                <w:b w:val="1"/>
                <w:bCs w:val="1"/>
                <w:color w:val="00ABD1"/>
              </w:rPr>
              <w:t>Expert</w:t>
            </w:r>
          </w:p>
        </w:tc>
        <w:tc>
          <w:tcPr>
            <w:tcW w:w="2320" w:type="dxa"/>
            <w:vAlign w:val="bottom"/>
            <w:tcBorders>
              <w:bottom w:val="single" w:sz="8" w:color="00ABD1"/>
            </w:tcBorders>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1200" w:type="dxa"/>
            <w:vAlign w:val="bottom"/>
            <w:gridSpan w:val="2"/>
            <w:vMerge w:val="restart"/>
          </w:tcPr>
          <w:p>
            <w:pPr>
              <w:ind w:left="60"/>
              <w:spacing w:after="0"/>
              <w:rPr>
                <w:sz w:val="20"/>
                <w:szCs w:val="20"/>
                <w:color w:val="auto"/>
              </w:rPr>
            </w:pPr>
            <w:r>
              <w:rPr>
                <w:rFonts w:ascii="Arial" w:cs="Arial" w:eastAsia="Arial" w:hAnsi="Arial"/>
                <w:sz w:val="14"/>
                <w:szCs w:val="14"/>
                <w:color w:val="auto"/>
              </w:rPr>
              <w:t>​ Scott G. Bruce</w:t>
            </w:r>
          </w:p>
        </w:tc>
        <w:tc>
          <w:tcPr>
            <w:tcW w:w="380" w:type="dxa"/>
            <w:vAlign w:val="bottom"/>
          </w:tcPr>
          <w:p>
            <w:pPr>
              <w:spacing w:after="0"/>
              <w:rPr>
                <w:sz w:val="24"/>
                <w:szCs w:val="24"/>
                <w:color w:val="auto"/>
              </w:rPr>
            </w:pP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center"/>
              <w:spacing w:after="0"/>
              <w:rPr>
                <w:sz w:val="20"/>
                <w:szCs w:val="20"/>
                <w:color w:val="auto"/>
              </w:rPr>
            </w:pPr>
            <w:r>
              <w:rPr>
                <w:rFonts w:ascii="Arial" w:cs="Arial" w:eastAsia="Arial" w:hAnsi="Arial"/>
                <w:sz w:val="14"/>
                <w:szCs w:val="14"/>
                <w:color w:val="auto"/>
              </w:rPr>
              <w:t>64</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rPr>
              <w:t>2025</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20" w:type="dxa"/>
            <w:vAlign w:val="bottom"/>
          </w:tcPr>
          <w:p>
            <w:pPr>
              <w:jc w:val="center"/>
              <w:spacing w:after="0"/>
              <w:rPr>
                <w:sz w:val="20"/>
                <w:szCs w:val="20"/>
                <w:color w:val="auto"/>
              </w:rPr>
            </w:pPr>
            <w:r>
              <w:rPr>
                <w:rFonts w:ascii="Arial" w:cs="Arial" w:eastAsia="Arial" w:hAnsi="Arial"/>
                <w:sz w:val="14"/>
                <w:szCs w:val="14"/>
                <w:color w:val="auto"/>
                <w:w w:val="99"/>
              </w:rPr>
              <w:t>President and Chief Executive Officer</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4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2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9"/>
              </w:rPr>
              <w:t>of Radius Global Infrastructure, Inc.</w:t>
            </w:r>
          </w:p>
        </w:tc>
        <w:tc>
          <w:tcPr>
            <w:tcW w:w="16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00" w:type="dxa"/>
            <w:vAlign w:val="bottom"/>
            <w:tcBorders>
              <w:bottom w:val="single" w:sz="8" w:color="00ABD1"/>
            </w:tcBorders>
            <w:gridSpan w:val="2"/>
          </w:tcPr>
          <w:p>
            <w:pPr>
              <w:spacing w:after="0"/>
              <w:rPr>
                <w:sz w:val="14"/>
                <w:szCs w:val="14"/>
                <w:color w:val="auto"/>
              </w:rPr>
            </w:pPr>
          </w:p>
        </w:tc>
        <w:tc>
          <w:tcPr>
            <w:tcW w:w="380" w:type="dxa"/>
            <w:vAlign w:val="bottom"/>
            <w:tcBorders>
              <w:bottom w:val="single" w:sz="8" w:color="00ABD1"/>
            </w:tcBorders>
          </w:tcPr>
          <w:p>
            <w:pPr>
              <w:spacing w:after="0"/>
              <w:rPr>
                <w:sz w:val="14"/>
                <w:szCs w:val="14"/>
                <w:color w:val="auto"/>
              </w:rPr>
            </w:pPr>
          </w:p>
        </w:tc>
        <w:tc>
          <w:tcPr>
            <w:tcW w:w="140" w:type="dxa"/>
            <w:vAlign w:val="bottom"/>
            <w:tcBorders>
              <w:bottom w:val="single" w:sz="8" w:color="00ABD1"/>
            </w:tcBorders>
          </w:tcPr>
          <w:p>
            <w:pPr>
              <w:spacing w:after="0"/>
              <w:rPr>
                <w:sz w:val="14"/>
                <w:szCs w:val="14"/>
                <w:color w:val="auto"/>
              </w:rPr>
            </w:pPr>
          </w:p>
        </w:tc>
        <w:tc>
          <w:tcPr>
            <w:tcW w:w="220" w:type="dxa"/>
            <w:vAlign w:val="bottom"/>
            <w:tcBorders>
              <w:bottom w:val="single" w:sz="8" w:color="00ABD1"/>
            </w:tcBorders>
          </w:tcPr>
          <w:p>
            <w:pPr>
              <w:spacing w:after="0"/>
              <w:rPr>
                <w:sz w:val="14"/>
                <w:szCs w:val="14"/>
                <w:color w:val="auto"/>
              </w:rPr>
            </w:pPr>
          </w:p>
        </w:tc>
        <w:tc>
          <w:tcPr>
            <w:tcW w:w="160" w:type="dxa"/>
            <w:vAlign w:val="bottom"/>
            <w:tcBorders>
              <w:bottom w:val="single" w:sz="8" w:color="00ABD1"/>
            </w:tcBorders>
          </w:tcPr>
          <w:p>
            <w:pPr>
              <w:spacing w:after="0"/>
              <w:rPr>
                <w:sz w:val="14"/>
                <w:szCs w:val="14"/>
                <w:color w:val="auto"/>
              </w:rPr>
            </w:pPr>
          </w:p>
        </w:tc>
        <w:tc>
          <w:tcPr>
            <w:tcW w:w="500" w:type="dxa"/>
            <w:vAlign w:val="bottom"/>
            <w:tcBorders>
              <w:bottom w:val="single" w:sz="8" w:color="00ABD1"/>
            </w:tcBorders>
          </w:tcPr>
          <w:p>
            <w:pPr>
              <w:spacing w:after="0"/>
              <w:rPr>
                <w:sz w:val="14"/>
                <w:szCs w:val="14"/>
                <w:color w:val="auto"/>
              </w:rPr>
            </w:pPr>
          </w:p>
        </w:tc>
        <w:tc>
          <w:tcPr>
            <w:tcW w:w="120" w:type="dxa"/>
            <w:vAlign w:val="bottom"/>
            <w:tcBorders>
              <w:bottom w:val="single" w:sz="8" w:color="00ABD1"/>
            </w:tcBorders>
          </w:tcPr>
          <w:p>
            <w:pPr>
              <w:spacing w:after="0"/>
              <w:rPr>
                <w:sz w:val="14"/>
                <w:szCs w:val="14"/>
                <w:color w:val="auto"/>
              </w:rPr>
            </w:pPr>
          </w:p>
        </w:tc>
        <w:tc>
          <w:tcPr>
            <w:tcW w:w="2420" w:type="dxa"/>
            <w:vAlign w:val="bottom"/>
            <w:tcBorders>
              <w:bottom w:val="single" w:sz="8" w:color="00ABD1"/>
            </w:tcBorders>
          </w:tcPr>
          <w:p>
            <w:pPr>
              <w:spacing w:after="0"/>
              <w:rPr>
                <w:sz w:val="14"/>
                <w:szCs w:val="14"/>
                <w:color w:val="auto"/>
              </w:rPr>
            </w:pPr>
          </w:p>
        </w:tc>
        <w:tc>
          <w:tcPr>
            <w:tcW w:w="160" w:type="dxa"/>
            <w:vAlign w:val="bottom"/>
            <w:tcBorders>
              <w:bottom w:val="single" w:sz="8" w:color="00ABD1"/>
            </w:tcBorders>
          </w:tcPr>
          <w:p>
            <w:pPr>
              <w:spacing w:after="0"/>
              <w:rPr>
                <w:sz w:val="14"/>
                <w:szCs w:val="14"/>
                <w:color w:val="auto"/>
              </w:rPr>
            </w:pPr>
          </w:p>
        </w:tc>
        <w:tc>
          <w:tcPr>
            <w:tcW w:w="580" w:type="dxa"/>
            <w:vAlign w:val="bottom"/>
            <w:tcBorders>
              <w:bottom w:val="single" w:sz="8" w:color="00ABD1"/>
            </w:tcBorders>
          </w:tcPr>
          <w:p>
            <w:pPr>
              <w:spacing w:after="0"/>
              <w:rPr>
                <w:sz w:val="14"/>
                <w:szCs w:val="14"/>
                <w:color w:val="auto"/>
              </w:rPr>
            </w:pPr>
          </w:p>
        </w:tc>
        <w:tc>
          <w:tcPr>
            <w:tcW w:w="160" w:type="dxa"/>
            <w:vAlign w:val="bottom"/>
            <w:tcBorders>
              <w:bottom w:val="single" w:sz="8" w:color="00ABD1"/>
            </w:tcBorders>
          </w:tcPr>
          <w:p>
            <w:pPr>
              <w:spacing w:after="0"/>
              <w:rPr>
                <w:sz w:val="14"/>
                <w:szCs w:val="14"/>
                <w:color w:val="auto"/>
              </w:rPr>
            </w:pPr>
          </w:p>
        </w:tc>
        <w:tc>
          <w:tcPr>
            <w:tcW w:w="240" w:type="dxa"/>
            <w:vAlign w:val="bottom"/>
            <w:tcBorders>
              <w:bottom w:val="single" w:sz="8" w:color="00ABD1"/>
            </w:tcBorders>
          </w:tcPr>
          <w:p>
            <w:pPr>
              <w:spacing w:after="0"/>
              <w:rPr>
                <w:sz w:val="14"/>
                <w:szCs w:val="14"/>
                <w:color w:val="auto"/>
              </w:rPr>
            </w:pPr>
          </w:p>
        </w:tc>
        <w:tc>
          <w:tcPr>
            <w:tcW w:w="320" w:type="dxa"/>
            <w:vAlign w:val="bottom"/>
            <w:tcBorders>
              <w:bottom w:val="single" w:sz="8" w:color="00ABD1"/>
            </w:tcBorders>
          </w:tcPr>
          <w:p>
            <w:pPr>
              <w:spacing w:after="0"/>
              <w:rPr>
                <w:sz w:val="14"/>
                <w:szCs w:val="14"/>
                <w:color w:val="auto"/>
              </w:rPr>
            </w:pPr>
          </w:p>
        </w:tc>
        <w:tc>
          <w:tcPr>
            <w:tcW w:w="520" w:type="dxa"/>
            <w:vAlign w:val="bottom"/>
            <w:tcBorders>
              <w:bottom w:val="single" w:sz="8" w:color="00ABD1"/>
            </w:tcBorders>
          </w:tcPr>
          <w:p>
            <w:pPr>
              <w:spacing w:after="0"/>
              <w:rPr>
                <w:sz w:val="14"/>
                <w:szCs w:val="14"/>
                <w:color w:val="auto"/>
              </w:rPr>
            </w:pPr>
          </w:p>
        </w:tc>
        <w:tc>
          <w:tcPr>
            <w:tcW w:w="420" w:type="dxa"/>
            <w:vAlign w:val="bottom"/>
            <w:tcBorders>
              <w:bottom w:val="single" w:sz="8" w:color="00ABD1"/>
            </w:tcBorders>
          </w:tcPr>
          <w:p>
            <w:pPr>
              <w:spacing w:after="0"/>
              <w:rPr>
                <w:sz w:val="14"/>
                <w:szCs w:val="14"/>
                <w:color w:val="auto"/>
              </w:rPr>
            </w:pPr>
          </w:p>
        </w:tc>
        <w:tc>
          <w:tcPr>
            <w:tcW w:w="480" w:type="dxa"/>
            <w:vAlign w:val="bottom"/>
            <w:tcBorders>
              <w:bottom w:val="single" w:sz="8" w:color="00ABD1"/>
            </w:tcBorders>
          </w:tcPr>
          <w:p>
            <w:pPr>
              <w:spacing w:after="0"/>
              <w:rPr>
                <w:sz w:val="14"/>
                <w:szCs w:val="14"/>
                <w:color w:val="auto"/>
              </w:rPr>
            </w:pPr>
          </w:p>
        </w:tc>
        <w:tc>
          <w:tcPr>
            <w:tcW w:w="180" w:type="dxa"/>
            <w:vAlign w:val="bottom"/>
            <w:tcBorders>
              <w:bottom w:val="single" w:sz="8" w:color="00ABD1"/>
            </w:tcBorders>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200" w:type="dxa"/>
            <w:vAlign w:val="bottom"/>
            <w:gridSpan w:val="2"/>
          </w:tcPr>
          <w:p>
            <w:pPr>
              <w:ind w:left="60"/>
              <w:spacing w:after="0"/>
              <w:rPr>
                <w:sz w:val="20"/>
                <w:szCs w:val="20"/>
                <w:color w:val="auto"/>
              </w:rPr>
            </w:pPr>
            <w:r>
              <w:rPr>
                <w:rFonts w:ascii="Arial" w:cs="Arial" w:eastAsia="Arial" w:hAnsi="Arial"/>
                <w:sz w:val="14"/>
                <w:szCs w:val="14"/>
                <w:color w:val="auto"/>
              </w:rPr>
              <w:t>​ Randy Dunbar</w:t>
            </w:r>
          </w:p>
        </w:tc>
        <w:tc>
          <w:tcPr>
            <w:tcW w:w="38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20" w:type="dxa"/>
            <w:vAlign w:val="bottom"/>
          </w:tcPr>
          <w:p>
            <w:pPr>
              <w:jc w:val="center"/>
              <w:spacing w:after="0"/>
              <w:rPr>
                <w:sz w:val="20"/>
                <w:szCs w:val="20"/>
                <w:color w:val="auto"/>
              </w:rPr>
            </w:pPr>
            <w:r>
              <w:rPr>
                <w:rFonts w:ascii="Arial" w:cs="Arial" w:eastAsia="Arial" w:hAnsi="Arial"/>
                <w:sz w:val="14"/>
                <w:szCs w:val="14"/>
                <w:color w:val="auto"/>
              </w:rPr>
              <w:t>63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center"/>
              <w:spacing w:after="0"/>
              <w:rPr>
                <w:sz w:val="20"/>
                <w:szCs w:val="20"/>
                <w:color w:val="auto"/>
              </w:rPr>
            </w:pPr>
            <w:r>
              <w:rPr>
                <w:rFonts w:ascii="Arial" w:cs="Arial" w:eastAsia="Arial" w:hAnsi="Arial"/>
                <w:sz w:val="14"/>
                <w:szCs w:val="14"/>
                <w:color w:val="auto"/>
              </w:rPr>
              <w:t>2025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420" w:type="dxa"/>
            <w:vAlign w:val="bottom"/>
          </w:tcPr>
          <w:p>
            <w:pPr>
              <w:jc w:val="center"/>
              <w:spacing w:after="0"/>
              <w:rPr>
                <w:sz w:val="20"/>
                <w:szCs w:val="20"/>
                <w:color w:val="auto"/>
              </w:rPr>
            </w:pPr>
            <w:r>
              <w:rPr>
                <w:rFonts w:ascii="Arial" w:cs="Arial" w:eastAsia="Arial" w:hAnsi="Arial"/>
                <w:sz w:val="14"/>
                <w:szCs w:val="14"/>
                <w:color w:val="auto"/>
              </w:rPr>
              <w:t>Former President, Transport Services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Pr>
          <w:p>
            <w:pPr>
              <w:ind w:left="18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rPr>
              <w:t>of Zayo Group Holdings, Inc.</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00" w:type="dxa"/>
            <w:vAlign w:val="bottom"/>
            <w:tcBorders>
              <w:bottom w:val="single" w:sz="8" w:color="00ABD1"/>
            </w:tcBorders>
          </w:tcPr>
          <w:p>
            <w:pPr>
              <w:spacing w:after="0"/>
              <w:rPr>
                <w:sz w:val="8"/>
                <w:szCs w:val="8"/>
                <w:color w:val="auto"/>
              </w:rPr>
            </w:pPr>
          </w:p>
        </w:tc>
        <w:tc>
          <w:tcPr>
            <w:tcW w:w="1480" w:type="dxa"/>
            <w:vAlign w:val="bottom"/>
            <w:tcBorders>
              <w:bottom w:val="single" w:sz="8" w:color="00ABD1"/>
            </w:tcBorders>
            <w:gridSpan w:val="2"/>
          </w:tcPr>
          <w:p>
            <w:pPr>
              <w:spacing w:after="0"/>
              <w:rPr>
                <w:sz w:val="8"/>
                <w:szCs w:val="8"/>
                <w:color w:val="auto"/>
              </w:rPr>
            </w:pPr>
          </w:p>
        </w:tc>
        <w:tc>
          <w:tcPr>
            <w:tcW w:w="140" w:type="dxa"/>
            <w:vAlign w:val="bottom"/>
            <w:tcBorders>
              <w:bottom w:val="single" w:sz="8" w:color="00ABD1"/>
            </w:tcBorders>
          </w:tcPr>
          <w:p>
            <w:pPr>
              <w:spacing w:after="0"/>
              <w:rPr>
                <w:sz w:val="8"/>
                <w:szCs w:val="8"/>
                <w:color w:val="auto"/>
              </w:rPr>
            </w:pPr>
          </w:p>
        </w:tc>
        <w:tc>
          <w:tcPr>
            <w:tcW w:w="220" w:type="dxa"/>
            <w:vAlign w:val="bottom"/>
            <w:tcBorders>
              <w:bottom w:val="single" w:sz="8" w:color="00ABD1"/>
            </w:tcBorders>
          </w:tcPr>
          <w:p>
            <w:pPr>
              <w:spacing w:after="0"/>
              <w:rPr>
                <w:sz w:val="8"/>
                <w:szCs w:val="8"/>
                <w:color w:val="auto"/>
              </w:rPr>
            </w:pPr>
          </w:p>
        </w:tc>
        <w:tc>
          <w:tcPr>
            <w:tcW w:w="160" w:type="dxa"/>
            <w:vAlign w:val="bottom"/>
            <w:tcBorders>
              <w:bottom w:val="single" w:sz="8" w:color="00ABD1"/>
            </w:tcBorders>
          </w:tcPr>
          <w:p>
            <w:pPr>
              <w:spacing w:after="0"/>
              <w:rPr>
                <w:sz w:val="8"/>
                <w:szCs w:val="8"/>
                <w:color w:val="auto"/>
              </w:rPr>
            </w:pPr>
          </w:p>
        </w:tc>
        <w:tc>
          <w:tcPr>
            <w:tcW w:w="500" w:type="dxa"/>
            <w:vAlign w:val="bottom"/>
            <w:tcBorders>
              <w:bottom w:val="single" w:sz="8" w:color="00ABD1"/>
            </w:tcBorders>
          </w:tcPr>
          <w:p>
            <w:pPr>
              <w:spacing w:after="0"/>
              <w:rPr>
                <w:sz w:val="8"/>
                <w:szCs w:val="8"/>
                <w:color w:val="auto"/>
              </w:rPr>
            </w:pPr>
          </w:p>
        </w:tc>
        <w:tc>
          <w:tcPr>
            <w:tcW w:w="120" w:type="dxa"/>
            <w:vAlign w:val="bottom"/>
            <w:tcBorders>
              <w:bottom w:val="single" w:sz="8" w:color="00ABD1"/>
            </w:tcBorders>
          </w:tcPr>
          <w:p>
            <w:pPr>
              <w:spacing w:after="0"/>
              <w:rPr>
                <w:sz w:val="8"/>
                <w:szCs w:val="8"/>
                <w:color w:val="auto"/>
              </w:rPr>
            </w:pPr>
          </w:p>
        </w:tc>
        <w:tc>
          <w:tcPr>
            <w:tcW w:w="2420" w:type="dxa"/>
            <w:vAlign w:val="bottom"/>
            <w:tcBorders>
              <w:bottom w:val="single" w:sz="8" w:color="00ABD1"/>
            </w:tcBorders>
          </w:tcPr>
          <w:p>
            <w:pPr>
              <w:spacing w:after="0"/>
              <w:rPr>
                <w:sz w:val="8"/>
                <w:szCs w:val="8"/>
                <w:color w:val="auto"/>
              </w:rPr>
            </w:pPr>
          </w:p>
        </w:tc>
        <w:tc>
          <w:tcPr>
            <w:tcW w:w="160" w:type="dxa"/>
            <w:vAlign w:val="bottom"/>
            <w:tcBorders>
              <w:bottom w:val="single" w:sz="8" w:color="00ABD1"/>
            </w:tcBorders>
          </w:tcPr>
          <w:p>
            <w:pPr>
              <w:spacing w:after="0"/>
              <w:rPr>
                <w:sz w:val="8"/>
                <w:szCs w:val="8"/>
                <w:color w:val="auto"/>
              </w:rPr>
            </w:pPr>
          </w:p>
        </w:tc>
        <w:tc>
          <w:tcPr>
            <w:tcW w:w="580" w:type="dxa"/>
            <w:vAlign w:val="bottom"/>
            <w:tcBorders>
              <w:bottom w:val="single" w:sz="8" w:color="00ABD1"/>
            </w:tcBorders>
          </w:tcPr>
          <w:p>
            <w:pPr>
              <w:spacing w:after="0"/>
              <w:rPr>
                <w:sz w:val="8"/>
                <w:szCs w:val="8"/>
                <w:color w:val="auto"/>
              </w:rPr>
            </w:pPr>
          </w:p>
        </w:tc>
        <w:tc>
          <w:tcPr>
            <w:tcW w:w="160" w:type="dxa"/>
            <w:vAlign w:val="bottom"/>
            <w:tcBorders>
              <w:bottom w:val="single" w:sz="8" w:color="00ABD1"/>
            </w:tcBorders>
          </w:tcPr>
          <w:p>
            <w:pPr>
              <w:spacing w:after="0"/>
              <w:rPr>
                <w:sz w:val="8"/>
                <w:szCs w:val="8"/>
                <w:color w:val="auto"/>
              </w:rPr>
            </w:pPr>
          </w:p>
        </w:tc>
        <w:tc>
          <w:tcPr>
            <w:tcW w:w="240" w:type="dxa"/>
            <w:vAlign w:val="bottom"/>
            <w:tcBorders>
              <w:bottom w:val="single" w:sz="8" w:color="00ABD1"/>
            </w:tcBorders>
          </w:tcPr>
          <w:p>
            <w:pPr>
              <w:spacing w:after="0"/>
              <w:rPr>
                <w:sz w:val="8"/>
                <w:szCs w:val="8"/>
                <w:color w:val="auto"/>
              </w:rPr>
            </w:pPr>
          </w:p>
        </w:tc>
        <w:tc>
          <w:tcPr>
            <w:tcW w:w="320" w:type="dxa"/>
            <w:vAlign w:val="bottom"/>
            <w:tcBorders>
              <w:bottom w:val="single" w:sz="8" w:color="00ABD1"/>
            </w:tcBorders>
          </w:tcPr>
          <w:p>
            <w:pPr>
              <w:spacing w:after="0"/>
              <w:rPr>
                <w:sz w:val="8"/>
                <w:szCs w:val="8"/>
                <w:color w:val="auto"/>
              </w:rPr>
            </w:pPr>
          </w:p>
        </w:tc>
        <w:tc>
          <w:tcPr>
            <w:tcW w:w="520" w:type="dxa"/>
            <w:vAlign w:val="bottom"/>
            <w:tcBorders>
              <w:bottom w:val="single" w:sz="8" w:color="00ABD1"/>
            </w:tcBorders>
          </w:tcPr>
          <w:p>
            <w:pPr>
              <w:spacing w:after="0"/>
              <w:rPr>
                <w:sz w:val="8"/>
                <w:szCs w:val="8"/>
                <w:color w:val="auto"/>
              </w:rPr>
            </w:pPr>
          </w:p>
        </w:tc>
        <w:tc>
          <w:tcPr>
            <w:tcW w:w="420" w:type="dxa"/>
            <w:vAlign w:val="bottom"/>
            <w:tcBorders>
              <w:bottom w:val="single" w:sz="8" w:color="00ABD1"/>
            </w:tcBorders>
          </w:tcPr>
          <w:p>
            <w:pPr>
              <w:spacing w:after="0"/>
              <w:rPr>
                <w:sz w:val="8"/>
                <w:szCs w:val="8"/>
                <w:color w:val="auto"/>
              </w:rPr>
            </w:pPr>
          </w:p>
        </w:tc>
        <w:tc>
          <w:tcPr>
            <w:tcW w:w="480" w:type="dxa"/>
            <w:vAlign w:val="bottom"/>
            <w:tcBorders>
              <w:bottom w:val="single" w:sz="8" w:color="00ABD1"/>
            </w:tcBorders>
          </w:tcPr>
          <w:p>
            <w:pPr>
              <w:spacing w:after="0"/>
              <w:rPr>
                <w:sz w:val="8"/>
                <w:szCs w:val="8"/>
                <w:color w:val="auto"/>
              </w:rPr>
            </w:pPr>
          </w:p>
        </w:tc>
        <w:tc>
          <w:tcPr>
            <w:tcW w:w="180" w:type="dxa"/>
            <w:vAlign w:val="bottom"/>
            <w:tcBorders>
              <w:bottom w:val="single" w:sz="8" w:color="00ABD1"/>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Francis X. (“Skip”)</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00" w:type="dxa"/>
            <w:vAlign w:val="bottom"/>
            <w:tcBorders>
              <w:bottom w:val="single" w:sz="8" w:color="00ABD1"/>
            </w:tcBorders>
            <w:gridSpan w:val="2"/>
          </w:tcPr>
          <w:p>
            <w:pPr>
              <w:ind w:left="6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Frantz</w:t>
            </w:r>
          </w:p>
        </w:tc>
        <w:tc>
          <w:tcPr>
            <w:tcW w:w="380" w:type="dxa"/>
            <w:vAlign w:val="bottom"/>
            <w:tcBorders>
              <w:bottom w:val="single" w:sz="8" w:color="00ABD1"/>
            </w:tcBorders>
          </w:tcPr>
          <w:p>
            <w:pPr>
              <w:spacing w:after="0"/>
              <w:rPr>
                <w:sz w:val="24"/>
                <w:szCs w:val="24"/>
                <w:color w:val="auto"/>
              </w:rPr>
            </w:pPr>
          </w:p>
        </w:tc>
        <w:tc>
          <w:tcPr>
            <w:tcW w:w="140" w:type="dxa"/>
            <w:vAlign w:val="bottom"/>
            <w:tcBorders>
              <w:bottom w:val="single" w:sz="8" w:color="00ABD1"/>
            </w:tcBorders>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ABD1"/>
            </w:tcBorders>
          </w:tcPr>
          <w:p>
            <w:pPr>
              <w:jc w:val="center"/>
              <w:spacing w:after="0"/>
              <w:rPr>
                <w:sz w:val="20"/>
                <w:szCs w:val="20"/>
                <w:color w:val="auto"/>
              </w:rPr>
            </w:pPr>
            <w:r>
              <w:rPr>
                <w:rFonts w:ascii="Arial" w:cs="Arial" w:eastAsia="Arial" w:hAnsi="Arial"/>
                <w:sz w:val="14"/>
                <w:szCs w:val="14"/>
                <w:color w:val="auto"/>
              </w:rPr>
              <w:t>72</w:t>
            </w:r>
          </w:p>
        </w:tc>
        <w:tc>
          <w:tcPr>
            <w:tcW w:w="160" w:type="dxa"/>
            <w:vAlign w:val="bottom"/>
            <w:tcBorders>
              <w:bottom w:val="single" w:sz="8" w:color="00ABD1"/>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00ABD1"/>
            </w:tcBorders>
          </w:tcPr>
          <w:p>
            <w:pPr>
              <w:jc w:val="center"/>
              <w:spacing w:after="0"/>
              <w:rPr>
                <w:sz w:val="20"/>
                <w:szCs w:val="20"/>
                <w:color w:val="auto"/>
              </w:rPr>
            </w:pPr>
            <w:r>
              <w:rPr>
                <w:rFonts w:ascii="Arial" w:cs="Arial" w:eastAsia="Arial" w:hAnsi="Arial"/>
                <w:sz w:val="14"/>
                <w:szCs w:val="14"/>
                <w:color w:val="auto"/>
              </w:rPr>
              <w:t>2025</w:t>
            </w:r>
          </w:p>
        </w:tc>
        <w:tc>
          <w:tcPr>
            <w:tcW w:w="120" w:type="dxa"/>
            <w:vAlign w:val="bottom"/>
            <w:tcBorders>
              <w:bottom w:val="single" w:sz="8" w:color="00ABD1"/>
            </w:tcBorders>
          </w:tcPr>
          <w:p>
            <w:pPr>
              <w:jc w:val="right"/>
              <w:spacing w:after="0"/>
              <w:rPr>
                <w:sz w:val="20"/>
                <w:szCs w:val="20"/>
                <w:color w:val="auto"/>
              </w:rPr>
            </w:pPr>
            <w:r>
              <w:rPr>
                <w:rFonts w:ascii="Arial" w:cs="Arial" w:eastAsia="Arial" w:hAnsi="Arial"/>
                <w:sz w:val="14"/>
                <w:szCs w:val="14"/>
                <w:color w:val="auto"/>
              </w:rPr>
              <w:t>​​</w:t>
            </w:r>
          </w:p>
        </w:tc>
        <w:tc>
          <w:tcPr>
            <w:tcW w:w="2420" w:type="dxa"/>
            <w:vAlign w:val="bottom"/>
            <w:tcBorders>
              <w:bottom w:val="single" w:sz="8" w:color="00ABD1"/>
            </w:tcBorders>
          </w:tcPr>
          <w:p>
            <w:pPr>
              <w:jc w:val="center"/>
              <w:spacing w:after="0"/>
              <w:rPr>
                <w:sz w:val="20"/>
                <w:szCs w:val="20"/>
                <w:color w:val="auto"/>
              </w:rPr>
            </w:pPr>
            <w:r>
              <w:rPr>
                <w:rFonts w:ascii="Arial" w:cs="Arial" w:eastAsia="Arial" w:hAnsi="Arial"/>
                <w:sz w:val="14"/>
                <w:szCs w:val="14"/>
                <w:color w:val="auto"/>
                <w:w w:val="99"/>
              </w:rPr>
              <w:t>Chairman of the Board of Uniti</w:t>
            </w:r>
          </w:p>
        </w:tc>
        <w:tc>
          <w:tcPr>
            <w:tcW w:w="160" w:type="dxa"/>
            <w:vAlign w:val="bottom"/>
            <w:tcBorders>
              <w:bottom w:val="single" w:sz="8" w:color="00ABD1"/>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ABD1"/>
            </w:tcBorders>
          </w:tcPr>
          <w:p>
            <w:pPr>
              <w:spacing w:after="0"/>
              <w:rPr>
                <w:sz w:val="24"/>
                <w:szCs w:val="24"/>
                <w:color w:val="auto"/>
              </w:rPr>
            </w:pPr>
          </w:p>
        </w:tc>
        <w:tc>
          <w:tcPr>
            <w:tcW w:w="160" w:type="dxa"/>
            <w:vAlign w:val="bottom"/>
            <w:tcBorders>
              <w:bottom w:val="single" w:sz="8" w:color="00ABD1"/>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00ABD1"/>
            </w:tcBorders>
          </w:tcPr>
          <w:p>
            <w:pPr>
              <w:spacing w:after="0"/>
              <w:rPr>
                <w:sz w:val="24"/>
                <w:szCs w:val="24"/>
                <w:color w:val="auto"/>
              </w:rPr>
            </w:pPr>
          </w:p>
        </w:tc>
        <w:tc>
          <w:tcPr>
            <w:tcW w:w="320" w:type="dxa"/>
            <w:vAlign w:val="bottom"/>
            <w:tcBorders>
              <w:bottom w:val="single" w:sz="8" w:color="00ABD1"/>
            </w:tcBorders>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00ABD1"/>
            </w:tcBorders>
          </w:tcPr>
          <w:p>
            <w:pPr>
              <w:ind w:left="18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00ABD1"/>
            </w:tcBorders>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00ABD1"/>
            </w:tcBorders>
          </w:tcPr>
          <w:p>
            <w:pPr>
              <w:spacing w:after="0"/>
              <w:rPr>
                <w:sz w:val="24"/>
                <w:szCs w:val="24"/>
                <w:color w:val="auto"/>
              </w:rPr>
            </w:pPr>
          </w:p>
        </w:tc>
        <w:tc>
          <w:tcPr>
            <w:tcW w:w="180" w:type="dxa"/>
            <w:vAlign w:val="bottom"/>
            <w:tcBorders>
              <w:bottom w:val="single" w:sz="8" w:color="00ABD1"/>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8"/>
        </w:trPr>
        <w:tc>
          <w:tcPr>
            <w:tcW w:w="1720" w:type="dxa"/>
            <w:vAlign w:val="bottom"/>
            <w:gridSpan w:val="4"/>
          </w:tcPr>
          <w:p>
            <w:pPr>
              <w:ind w:left="60"/>
              <w:spacing w:after="0"/>
              <w:rPr>
                <w:sz w:val="20"/>
                <w:szCs w:val="20"/>
                <w:color w:val="auto"/>
              </w:rPr>
            </w:pPr>
            <w:r>
              <w:rPr>
                <w:rFonts w:ascii="Arial" w:cs="Arial" w:eastAsia="Arial" w:hAnsi="Arial"/>
                <w:sz w:val="14"/>
                <w:szCs w:val="14"/>
                <w:color w:val="auto"/>
              </w:rPr>
              <w:t>​ Kenneth A. Gunderman ​​</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55 ​​</w:t>
            </w:r>
          </w:p>
        </w:tc>
        <w:tc>
          <w:tcPr>
            <w:tcW w:w="500" w:type="dxa"/>
            <w:vAlign w:val="bottom"/>
          </w:tcPr>
          <w:p>
            <w:pPr>
              <w:jc w:val="center"/>
              <w:spacing w:after="0"/>
              <w:rPr>
                <w:sz w:val="20"/>
                <w:szCs w:val="20"/>
                <w:color w:val="auto"/>
              </w:rPr>
            </w:pPr>
            <w:r>
              <w:rPr>
                <w:rFonts w:ascii="Arial" w:cs="Arial" w:eastAsia="Arial" w:hAnsi="Arial"/>
                <w:sz w:val="14"/>
                <w:szCs w:val="14"/>
                <w:color w:val="auto"/>
              </w:rPr>
              <w:t>2025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420" w:type="dxa"/>
            <w:vAlign w:val="bottom"/>
          </w:tcPr>
          <w:p>
            <w:pPr>
              <w:jc w:val="center"/>
              <w:spacing w:after="0"/>
              <w:rPr>
                <w:sz w:val="20"/>
                <w:szCs w:val="20"/>
                <w:color w:val="auto"/>
              </w:rPr>
            </w:pPr>
            <w:r>
              <w:rPr>
                <w:rFonts w:ascii="Arial" w:cs="Arial" w:eastAsia="Arial" w:hAnsi="Arial"/>
                <w:sz w:val="14"/>
                <w:szCs w:val="14"/>
                <w:color w:val="auto"/>
                <w:w w:val="99"/>
              </w:rPr>
              <w:t>President and CEO of Uniti</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Pr>
          <w:p>
            <w:pPr>
              <w:ind w:left="18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ind w:left="14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100" w:type="dxa"/>
            <w:vAlign w:val="bottom"/>
            <w:tcBorders>
              <w:bottom w:val="single" w:sz="8" w:color="00ABD1"/>
            </w:tcBorders>
          </w:tcPr>
          <w:p>
            <w:pPr>
              <w:spacing w:after="0"/>
              <w:rPr>
                <w:sz w:val="20"/>
                <w:szCs w:val="20"/>
                <w:color w:val="auto"/>
              </w:rPr>
            </w:pPr>
          </w:p>
        </w:tc>
        <w:tc>
          <w:tcPr>
            <w:tcW w:w="1100" w:type="dxa"/>
            <w:vAlign w:val="bottom"/>
            <w:tcBorders>
              <w:bottom w:val="single" w:sz="8" w:color="00ABD1"/>
            </w:tcBorders>
          </w:tcPr>
          <w:p>
            <w:pPr>
              <w:spacing w:after="0"/>
              <w:rPr>
                <w:sz w:val="20"/>
                <w:szCs w:val="20"/>
                <w:color w:val="auto"/>
              </w:rPr>
            </w:pPr>
          </w:p>
        </w:tc>
        <w:tc>
          <w:tcPr>
            <w:tcW w:w="380" w:type="dxa"/>
            <w:vAlign w:val="bottom"/>
            <w:tcBorders>
              <w:bottom w:val="single" w:sz="8" w:color="00ABD1"/>
            </w:tcBorders>
          </w:tcPr>
          <w:p>
            <w:pPr>
              <w:spacing w:after="0"/>
              <w:rPr>
                <w:sz w:val="20"/>
                <w:szCs w:val="20"/>
                <w:color w:val="auto"/>
              </w:rPr>
            </w:pPr>
          </w:p>
        </w:tc>
        <w:tc>
          <w:tcPr>
            <w:tcW w:w="140" w:type="dxa"/>
            <w:vAlign w:val="bottom"/>
            <w:tcBorders>
              <w:bottom w:val="single" w:sz="8" w:color="00ABD1"/>
            </w:tcBorders>
          </w:tcPr>
          <w:p>
            <w:pPr>
              <w:spacing w:after="0"/>
              <w:rPr>
                <w:sz w:val="20"/>
                <w:szCs w:val="20"/>
                <w:color w:val="auto"/>
              </w:rPr>
            </w:pPr>
          </w:p>
        </w:tc>
        <w:tc>
          <w:tcPr>
            <w:tcW w:w="220" w:type="dxa"/>
            <w:vAlign w:val="bottom"/>
            <w:tcBorders>
              <w:bottom w:val="single" w:sz="8" w:color="00ABD1"/>
            </w:tcBorders>
          </w:tcPr>
          <w:p>
            <w:pPr>
              <w:spacing w:after="0"/>
              <w:rPr>
                <w:sz w:val="20"/>
                <w:szCs w:val="20"/>
                <w:color w:val="auto"/>
              </w:rPr>
            </w:pPr>
          </w:p>
        </w:tc>
        <w:tc>
          <w:tcPr>
            <w:tcW w:w="160" w:type="dxa"/>
            <w:vAlign w:val="bottom"/>
            <w:tcBorders>
              <w:bottom w:val="single" w:sz="8" w:color="00ABD1"/>
            </w:tcBorders>
          </w:tcPr>
          <w:p>
            <w:pPr>
              <w:spacing w:after="0"/>
              <w:rPr>
                <w:sz w:val="20"/>
                <w:szCs w:val="20"/>
                <w:color w:val="auto"/>
              </w:rPr>
            </w:pPr>
          </w:p>
        </w:tc>
        <w:tc>
          <w:tcPr>
            <w:tcW w:w="500" w:type="dxa"/>
            <w:vAlign w:val="bottom"/>
            <w:tcBorders>
              <w:bottom w:val="single" w:sz="8" w:color="00ABD1"/>
            </w:tcBorders>
          </w:tcPr>
          <w:p>
            <w:pPr>
              <w:spacing w:after="0"/>
              <w:rPr>
                <w:sz w:val="20"/>
                <w:szCs w:val="20"/>
                <w:color w:val="auto"/>
              </w:rPr>
            </w:pPr>
          </w:p>
        </w:tc>
        <w:tc>
          <w:tcPr>
            <w:tcW w:w="120" w:type="dxa"/>
            <w:vAlign w:val="bottom"/>
            <w:tcBorders>
              <w:bottom w:val="single" w:sz="8" w:color="00ABD1"/>
            </w:tcBorders>
          </w:tcPr>
          <w:p>
            <w:pPr>
              <w:spacing w:after="0"/>
              <w:rPr>
                <w:sz w:val="20"/>
                <w:szCs w:val="20"/>
                <w:color w:val="auto"/>
              </w:rPr>
            </w:pPr>
          </w:p>
        </w:tc>
        <w:tc>
          <w:tcPr>
            <w:tcW w:w="2420" w:type="dxa"/>
            <w:vAlign w:val="bottom"/>
            <w:tcBorders>
              <w:bottom w:val="single" w:sz="8" w:color="00ABD1"/>
            </w:tcBorders>
          </w:tcPr>
          <w:p>
            <w:pPr>
              <w:spacing w:after="0"/>
              <w:rPr>
                <w:sz w:val="20"/>
                <w:szCs w:val="20"/>
                <w:color w:val="auto"/>
              </w:rPr>
            </w:pPr>
          </w:p>
        </w:tc>
        <w:tc>
          <w:tcPr>
            <w:tcW w:w="160" w:type="dxa"/>
            <w:vAlign w:val="bottom"/>
            <w:tcBorders>
              <w:bottom w:val="single" w:sz="8" w:color="00ABD1"/>
            </w:tcBorders>
          </w:tcPr>
          <w:p>
            <w:pPr>
              <w:spacing w:after="0"/>
              <w:rPr>
                <w:sz w:val="20"/>
                <w:szCs w:val="20"/>
                <w:color w:val="auto"/>
              </w:rPr>
            </w:pPr>
          </w:p>
        </w:tc>
        <w:tc>
          <w:tcPr>
            <w:tcW w:w="580" w:type="dxa"/>
            <w:vAlign w:val="bottom"/>
            <w:tcBorders>
              <w:bottom w:val="single" w:sz="8" w:color="00ABD1"/>
            </w:tcBorders>
          </w:tcPr>
          <w:p>
            <w:pPr>
              <w:spacing w:after="0"/>
              <w:rPr>
                <w:sz w:val="20"/>
                <w:szCs w:val="20"/>
                <w:color w:val="auto"/>
              </w:rPr>
            </w:pPr>
          </w:p>
        </w:tc>
        <w:tc>
          <w:tcPr>
            <w:tcW w:w="160" w:type="dxa"/>
            <w:vAlign w:val="bottom"/>
            <w:tcBorders>
              <w:bottom w:val="single" w:sz="8" w:color="00ABD1"/>
            </w:tcBorders>
          </w:tcPr>
          <w:p>
            <w:pPr>
              <w:spacing w:after="0"/>
              <w:rPr>
                <w:sz w:val="20"/>
                <w:szCs w:val="20"/>
                <w:color w:val="auto"/>
              </w:rPr>
            </w:pPr>
          </w:p>
        </w:tc>
        <w:tc>
          <w:tcPr>
            <w:tcW w:w="240" w:type="dxa"/>
            <w:vAlign w:val="bottom"/>
            <w:tcBorders>
              <w:bottom w:val="single" w:sz="8" w:color="00ABD1"/>
            </w:tcBorders>
          </w:tcPr>
          <w:p>
            <w:pPr>
              <w:spacing w:after="0"/>
              <w:rPr>
                <w:sz w:val="20"/>
                <w:szCs w:val="20"/>
                <w:color w:val="auto"/>
              </w:rPr>
            </w:pPr>
          </w:p>
        </w:tc>
        <w:tc>
          <w:tcPr>
            <w:tcW w:w="320" w:type="dxa"/>
            <w:vAlign w:val="bottom"/>
            <w:tcBorders>
              <w:bottom w:val="single" w:sz="8" w:color="00ABD1"/>
            </w:tcBorders>
          </w:tcPr>
          <w:p>
            <w:pPr>
              <w:spacing w:after="0"/>
              <w:rPr>
                <w:sz w:val="20"/>
                <w:szCs w:val="20"/>
                <w:color w:val="auto"/>
              </w:rPr>
            </w:pPr>
          </w:p>
        </w:tc>
        <w:tc>
          <w:tcPr>
            <w:tcW w:w="520" w:type="dxa"/>
            <w:vAlign w:val="bottom"/>
            <w:tcBorders>
              <w:bottom w:val="single" w:sz="8" w:color="00ABD1"/>
            </w:tcBorders>
          </w:tcPr>
          <w:p>
            <w:pPr>
              <w:spacing w:after="0"/>
              <w:rPr>
                <w:sz w:val="20"/>
                <w:szCs w:val="20"/>
                <w:color w:val="auto"/>
              </w:rPr>
            </w:pPr>
          </w:p>
        </w:tc>
        <w:tc>
          <w:tcPr>
            <w:tcW w:w="420" w:type="dxa"/>
            <w:vAlign w:val="bottom"/>
            <w:tcBorders>
              <w:bottom w:val="single" w:sz="8" w:color="00ABD1"/>
            </w:tcBorders>
          </w:tcPr>
          <w:p>
            <w:pPr>
              <w:spacing w:after="0"/>
              <w:rPr>
                <w:sz w:val="20"/>
                <w:szCs w:val="20"/>
                <w:color w:val="auto"/>
              </w:rPr>
            </w:pPr>
          </w:p>
        </w:tc>
        <w:tc>
          <w:tcPr>
            <w:tcW w:w="480" w:type="dxa"/>
            <w:vAlign w:val="bottom"/>
            <w:tcBorders>
              <w:bottom w:val="single" w:sz="8" w:color="00ABD1"/>
            </w:tcBorders>
          </w:tcPr>
          <w:p>
            <w:pPr>
              <w:spacing w:after="0"/>
              <w:rPr>
                <w:sz w:val="20"/>
                <w:szCs w:val="20"/>
                <w:color w:val="auto"/>
              </w:rPr>
            </w:pPr>
          </w:p>
        </w:tc>
        <w:tc>
          <w:tcPr>
            <w:tcW w:w="180" w:type="dxa"/>
            <w:vAlign w:val="bottom"/>
            <w:tcBorders>
              <w:bottom w:val="single" w:sz="8" w:color="00ABD1"/>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200" w:type="dxa"/>
            <w:vAlign w:val="bottom"/>
            <w:gridSpan w:val="2"/>
            <w:vMerge w:val="restart"/>
          </w:tcPr>
          <w:p>
            <w:pPr>
              <w:ind w:left="60"/>
              <w:spacing w:after="0"/>
              <w:rPr>
                <w:sz w:val="20"/>
                <w:szCs w:val="20"/>
                <w:color w:val="auto"/>
              </w:rPr>
            </w:pPr>
            <w:r>
              <w:rPr>
                <w:rFonts w:ascii="Arial" w:cs="Arial" w:eastAsia="Arial" w:hAnsi="Arial"/>
                <w:sz w:val="14"/>
                <w:szCs w:val="14"/>
                <w:color w:val="auto"/>
              </w:rPr>
              <w:t>​ Mary McLaughlin</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vMerge w:val="restart"/>
          </w:tcPr>
          <w:p>
            <w:pPr>
              <w:jc w:val="center"/>
              <w:spacing w:after="0"/>
              <w:rPr>
                <w:sz w:val="20"/>
                <w:szCs w:val="20"/>
                <w:color w:val="auto"/>
              </w:rPr>
            </w:pPr>
            <w:r>
              <w:rPr>
                <w:rFonts w:ascii="Arial" w:cs="Arial" w:eastAsia="Arial" w:hAnsi="Arial"/>
                <w:sz w:val="14"/>
                <w:szCs w:val="14"/>
                <w:color w:val="auto"/>
              </w:rPr>
              <w:t>62</w:t>
            </w:r>
          </w:p>
        </w:tc>
        <w:tc>
          <w:tcPr>
            <w:tcW w:w="160" w:type="dxa"/>
            <w:vAlign w:val="bottom"/>
          </w:tcPr>
          <w:p>
            <w:pPr>
              <w:spacing w:after="0"/>
              <w:rPr>
                <w:sz w:val="20"/>
                <w:szCs w:val="2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rPr>
              <w:t>Former Senior Regional Vice</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continue"/>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continue"/>
          </w:tcPr>
          <w:p>
            <w:pPr>
              <w:spacing w:after="0"/>
              <w:rPr>
                <w:sz w:val="15"/>
                <w:szCs w:val="15"/>
                <w:color w:val="auto"/>
              </w:rPr>
            </w:pPr>
          </w:p>
        </w:tc>
        <w:tc>
          <w:tcPr>
            <w:tcW w:w="2700" w:type="dxa"/>
            <w:vAlign w:val="bottom"/>
            <w:gridSpan w:val="3"/>
          </w:tcPr>
          <w:p>
            <w:pPr>
              <w:jc w:val="center"/>
              <w:spacing w:after="0"/>
              <w:rPr>
                <w:sz w:val="20"/>
                <w:szCs w:val="20"/>
                <w:color w:val="auto"/>
              </w:rPr>
            </w:pPr>
            <w:r>
              <w:rPr>
                <w:rFonts w:ascii="Arial" w:cs="Arial" w:eastAsia="Arial" w:hAnsi="Arial"/>
                <w:sz w:val="14"/>
                <w:szCs w:val="14"/>
                <w:color w:val="auto"/>
              </w:rPr>
              <w:t>​​President, Beltway Region, of Comcast ​​</w:t>
            </w:r>
          </w:p>
        </w:tc>
        <w:tc>
          <w:tcPr>
            <w:tcW w:w="5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vMerge w:val="continue"/>
          </w:tcPr>
          <w:p>
            <w:pPr>
              <w:spacing w:after="0"/>
              <w:rPr>
                <w:sz w:val="15"/>
                <w:szCs w:val="15"/>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98"/>
              </w:rPr>
              <w:t>Corporation</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00" w:type="dxa"/>
            <w:vAlign w:val="bottom"/>
            <w:tcBorders>
              <w:bottom w:val="single" w:sz="8" w:color="00ABD1"/>
            </w:tcBorders>
            <w:gridSpan w:val="2"/>
          </w:tcPr>
          <w:p>
            <w:pPr>
              <w:spacing w:after="0"/>
              <w:rPr>
                <w:sz w:val="5"/>
                <w:szCs w:val="5"/>
                <w:color w:val="auto"/>
              </w:rPr>
            </w:pPr>
          </w:p>
        </w:tc>
        <w:tc>
          <w:tcPr>
            <w:tcW w:w="380" w:type="dxa"/>
            <w:vAlign w:val="bottom"/>
            <w:tcBorders>
              <w:bottom w:val="single" w:sz="8" w:color="00ABD1"/>
            </w:tcBorders>
          </w:tcPr>
          <w:p>
            <w:pPr>
              <w:spacing w:after="0"/>
              <w:rPr>
                <w:sz w:val="5"/>
                <w:szCs w:val="5"/>
                <w:color w:val="auto"/>
              </w:rPr>
            </w:pPr>
          </w:p>
        </w:tc>
        <w:tc>
          <w:tcPr>
            <w:tcW w:w="140" w:type="dxa"/>
            <w:vAlign w:val="bottom"/>
            <w:tcBorders>
              <w:bottom w:val="single" w:sz="8" w:color="00ABD1"/>
            </w:tcBorders>
          </w:tcPr>
          <w:p>
            <w:pPr>
              <w:spacing w:after="0"/>
              <w:rPr>
                <w:sz w:val="5"/>
                <w:szCs w:val="5"/>
                <w:color w:val="auto"/>
              </w:rPr>
            </w:pPr>
          </w:p>
        </w:tc>
        <w:tc>
          <w:tcPr>
            <w:tcW w:w="220" w:type="dxa"/>
            <w:vAlign w:val="bottom"/>
            <w:tcBorders>
              <w:bottom w:val="single" w:sz="8" w:color="00ABD1"/>
            </w:tcBorders>
          </w:tcPr>
          <w:p>
            <w:pPr>
              <w:spacing w:after="0"/>
              <w:rPr>
                <w:sz w:val="5"/>
                <w:szCs w:val="5"/>
                <w:color w:val="auto"/>
              </w:rPr>
            </w:pPr>
          </w:p>
        </w:tc>
        <w:tc>
          <w:tcPr>
            <w:tcW w:w="160" w:type="dxa"/>
            <w:vAlign w:val="bottom"/>
            <w:tcBorders>
              <w:bottom w:val="single" w:sz="8" w:color="00ABD1"/>
            </w:tcBorders>
          </w:tcPr>
          <w:p>
            <w:pPr>
              <w:spacing w:after="0"/>
              <w:rPr>
                <w:sz w:val="5"/>
                <w:szCs w:val="5"/>
                <w:color w:val="auto"/>
              </w:rPr>
            </w:pPr>
          </w:p>
        </w:tc>
        <w:tc>
          <w:tcPr>
            <w:tcW w:w="500" w:type="dxa"/>
            <w:vAlign w:val="bottom"/>
            <w:tcBorders>
              <w:bottom w:val="single" w:sz="8" w:color="00ABD1"/>
            </w:tcBorders>
          </w:tcPr>
          <w:p>
            <w:pPr>
              <w:spacing w:after="0"/>
              <w:rPr>
                <w:sz w:val="5"/>
                <w:szCs w:val="5"/>
                <w:color w:val="auto"/>
              </w:rPr>
            </w:pPr>
          </w:p>
        </w:tc>
        <w:tc>
          <w:tcPr>
            <w:tcW w:w="2540" w:type="dxa"/>
            <w:vAlign w:val="bottom"/>
            <w:tcBorders>
              <w:bottom w:val="single" w:sz="8" w:color="00ABD1"/>
            </w:tcBorders>
            <w:gridSpan w:val="2"/>
          </w:tcPr>
          <w:p>
            <w:pPr>
              <w:spacing w:after="0"/>
              <w:rPr>
                <w:sz w:val="5"/>
                <w:szCs w:val="5"/>
                <w:color w:val="auto"/>
              </w:rPr>
            </w:pPr>
          </w:p>
        </w:tc>
        <w:tc>
          <w:tcPr>
            <w:tcW w:w="160" w:type="dxa"/>
            <w:vAlign w:val="bottom"/>
            <w:tcBorders>
              <w:bottom w:val="single" w:sz="8" w:color="00ABD1"/>
            </w:tcBorders>
          </w:tcPr>
          <w:p>
            <w:pPr>
              <w:spacing w:after="0"/>
              <w:rPr>
                <w:sz w:val="5"/>
                <w:szCs w:val="5"/>
                <w:color w:val="auto"/>
              </w:rPr>
            </w:pPr>
          </w:p>
        </w:tc>
        <w:tc>
          <w:tcPr>
            <w:tcW w:w="580" w:type="dxa"/>
            <w:vAlign w:val="bottom"/>
            <w:tcBorders>
              <w:bottom w:val="single" w:sz="8" w:color="00ABD1"/>
            </w:tcBorders>
          </w:tcPr>
          <w:p>
            <w:pPr>
              <w:spacing w:after="0"/>
              <w:rPr>
                <w:sz w:val="5"/>
                <w:szCs w:val="5"/>
                <w:color w:val="auto"/>
              </w:rPr>
            </w:pPr>
          </w:p>
        </w:tc>
        <w:tc>
          <w:tcPr>
            <w:tcW w:w="160" w:type="dxa"/>
            <w:vAlign w:val="bottom"/>
            <w:tcBorders>
              <w:bottom w:val="single" w:sz="8" w:color="00ABD1"/>
            </w:tcBorders>
          </w:tcPr>
          <w:p>
            <w:pPr>
              <w:spacing w:after="0"/>
              <w:rPr>
                <w:sz w:val="5"/>
                <w:szCs w:val="5"/>
                <w:color w:val="auto"/>
              </w:rPr>
            </w:pPr>
          </w:p>
        </w:tc>
        <w:tc>
          <w:tcPr>
            <w:tcW w:w="240" w:type="dxa"/>
            <w:vAlign w:val="bottom"/>
            <w:tcBorders>
              <w:bottom w:val="single" w:sz="8" w:color="00ABD1"/>
            </w:tcBorders>
          </w:tcPr>
          <w:p>
            <w:pPr>
              <w:spacing w:after="0"/>
              <w:rPr>
                <w:sz w:val="5"/>
                <w:szCs w:val="5"/>
                <w:color w:val="auto"/>
              </w:rPr>
            </w:pPr>
          </w:p>
        </w:tc>
        <w:tc>
          <w:tcPr>
            <w:tcW w:w="320" w:type="dxa"/>
            <w:vAlign w:val="bottom"/>
            <w:tcBorders>
              <w:bottom w:val="single" w:sz="8" w:color="00ABD1"/>
            </w:tcBorders>
          </w:tcPr>
          <w:p>
            <w:pPr>
              <w:spacing w:after="0"/>
              <w:rPr>
                <w:sz w:val="5"/>
                <w:szCs w:val="5"/>
                <w:color w:val="auto"/>
              </w:rPr>
            </w:pPr>
          </w:p>
        </w:tc>
        <w:tc>
          <w:tcPr>
            <w:tcW w:w="520" w:type="dxa"/>
            <w:vAlign w:val="bottom"/>
            <w:tcBorders>
              <w:bottom w:val="single" w:sz="8" w:color="00ABD1"/>
            </w:tcBorders>
          </w:tcPr>
          <w:p>
            <w:pPr>
              <w:spacing w:after="0"/>
              <w:rPr>
                <w:sz w:val="5"/>
                <w:szCs w:val="5"/>
                <w:color w:val="auto"/>
              </w:rPr>
            </w:pPr>
          </w:p>
        </w:tc>
        <w:tc>
          <w:tcPr>
            <w:tcW w:w="420" w:type="dxa"/>
            <w:vAlign w:val="bottom"/>
            <w:tcBorders>
              <w:bottom w:val="single" w:sz="8" w:color="00ABD1"/>
            </w:tcBorders>
          </w:tcPr>
          <w:p>
            <w:pPr>
              <w:spacing w:after="0"/>
              <w:rPr>
                <w:sz w:val="5"/>
                <w:szCs w:val="5"/>
                <w:color w:val="auto"/>
              </w:rPr>
            </w:pPr>
          </w:p>
        </w:tc>
        <w:tc>
          <w:tcPr>
            <w:tcW w:w="480" w:type="dxa"/>
            <w:vAlign w:val="bottom"/>
            <w:tcBorders>
              <w:bottom w:val="single" w:sz="8" w:color="00ABD1"/>
            </w:tcBorders>
          </w:tcPr>
          <w:p>
            <w:pPr>
              <w:spacing w:after="0"/>
              <w:rPr>
                <w:sz w:val="5"/>
                <w:szCs w:val="5"/>
                <w:color w:val="auto"/>
              </w:rPr>
            </w:pPr>
          </w:p>
        </w:tc>
        <w:tc>
          <w:tcPr>
            <w:tcW w:w="180" w:type="dxa"/>
            <w:vAlign w:val="bottom"/>
            <w:tcBorders>
              <w:bottom w:val="single" w:sz="8" w:color="00ABD1"/>
            </w:tcBorders>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200" w:type="dxa"/>
            <w:vAlign w:val="bottom"/>
            <w:gridSpan w:val="2"/>
          </w:tcPr>
          <w:p>
            <w:pPr>
              <w:ind w:left="60"/>
              <w:spacing w:after="0"/>
              <w:rPr>
                <w:sz w:val="20"/>
                <w:szCs w:val="20"/>
                <w:color w:val="auto"/>
              </w:rPr>
            </w:pPr>
            <w:r>
              <w:rPr>
                <w:rFonts w:ascii="Arial" w:cs="Arial" w:eastAsia="Arial" w:hAnsi="Arial"/>
                <w:sz w:val="14"/>
                <w:szCs w:val="14"/>
                <w:color w:val="auto"/>
              </w:rPr>
              <w:t>​ Joseph Natale</w:t>
            </w:r>
          </w:p>
        </w:tc>
        <w:tc>
          <w:tcPr>
            <w:tcW w:w="38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20" w:type="dxa"/>
            <w:vAlign w:val="bottom"/>
          </w:tcPr>
          <w:p>
            <w:pPr>
              <w:jc w:val="center"/>
              <w:spacing w:after="0"/>
              <w:rPr>
                <w:sz w:val="20"/>
                <w:szCs w:val="20"/>
                <w:color w:val="auto"/>
              </w:rPr>
            </w:pPr>
            <w:r>
              <w:rPr>
                <w:rFonts w:ascii="Arial" w:cs="Arial" w:eastAsia="Arial" w:hAnsi="Arial"/>
                <w:sz w:val="14"/>
                <w:szCs w:val="14"/>
                <w:color w:val="auto"/>
              </w:rPr>
              <w:t>62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center"/>
              <w:spacing w:after="0"/>
              <w:rPr>
                <w:sz w:val="20"/>
                <w:szCs w:val="20"/>
                <w:color w:val="auto"/>
              </w:rPr>
            </w:pPr>
            <w:r>
              <w:rPr>
                <w:rFonts w:ascii="Arial" w:cs="Arial" w:eastAsia="Arial" w:hAnsi="Arial"/>
                <w:sz w:val="14"/>
                <w:szCs w:val="14"/>
                <w:color w:val="auto"/>
              </w:rPr>
              <w:t>2025</w:t>
            </w:r>
          </w:p>
        </w:tc>
        <w:tc>
          <w:tcPr>
            <w:tcW w:w="2540" w:type="dxa"/>
            <w:vAlign w:val="bottom"/>
            <w:gridSpan w:val="2"/>
          </w:tcPr>
          <w:p>
            <w:pPr>
              <w:ind w:left="20"/>
              <w:spacing w:after="0"/>
              <w:rPr>
                <w:sz w:val="20"/>
                <w:szCs w:val="20"/>
                <w:color w:val="auto"/>
              </w:rPr>
            </w:pPr>
            <w:r>
              <w:rPr>
                <w:rFonts w:ascii="Arial" w:cs="Arial" w:eastAsia="Arial" w:hAnsi="Arial"/>
                <w:sz w:val="14"/>
                <w:szCs w:val="14"/>
                <w:color w:val="auto"/>
              </w:rPr>
              <w:t>​​  Senior Advisor of Altas Partners LP</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ind w:left="14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1580" w:type="dxa"/>
            <w:vAlign w:val="bottom"/>
            <w:tcBorders>
              <w:bottom w:val="single" w:sz="8" w:color="00ABD1"/>
            </w:tcBorders>
            <w:gridSpan w:val="3"/>
          </w:tcPr>
          <w:p>
            <w:pPr>
              <w:spacing w:after="0"/>
              <w:rPr>
                <w:sz w:val="20"/>
                <w:szCs w:val="20"/>
                <w:color w:val="auto"/>
              </w:rPr>
            </w:pPr>
          </w:p>
        </w:tc>
        <w:tc>
          <w:tcPr>
            <w:tcW w:w="140" w:type="dxa"/>
            <w:vAlign w:val="bottom"/>
            <w:tcBorders>
              <w:bottom w:val="single" w:sz="8" w:color="00ABD1"/>
            </w:tcBorders>
          </w:tcPr>
          <w:p>
            <w:pPr>
              <w:spacing w:after="0"/>
              <w:rPr>
                <w:sz w:val="20"/>
                <w:szCs w:val="20"/>
                <w:color w:val="auto"/>
              </w:rPr>
            </w:pPr>
          </w:p>
        </w:tc>
        <w:tc>
          <w:tcPr>
            <w:tcW w:w="220" w:type="dxa"/>
            <w:vAlign w:val="bottom"/>
            <w:tcBorders>
              <w:bottom w:val="single" w:sz="8" w:color="00ABD1"/>
            </w:tcBorders>
          </w:tcPr>
          <w:p>
            <w:pPr>
              <w:spacing w:after="0"/>
              <w:rPr>
                <w:sz w:val="20"/>
                <w:szCs w:val="20"/>
                <w:color w:val="auto"/>
              </w:rPr>
            </w:pPr>
          </w:p>
        </w:tc>
        <w:tc>
          <w:tcPr>
            <w:tcW w:w="160" w:type="dxa"/>
            <w:vAlign w:val="bottom"/>
            <w:tcBorders>
              <w:bottom w:val="single" w:sz="8" w:color="00ABD1"/>
            </w:tcBorders>
          </w:tcPr>
          <w:p>
            <w:pPr>
              <w:spacing w:after="0"/>
              <w:rPr>
                <w:sz w:val="20"/>
                <w:szCs w:val="20"/>
                <w:color w:val="auto"/>
              </w:rPr>
            </w:pPr>
          </w:p>
        </w:tc>
        <w:tc>
          <w:tcPr>
            <w:tcW w:w="500" w:type="dxa"/>
            <w:vAlign w:val="bottom"/>
            <w:tcBorders>
              <w:bottom w:val="single" w:sz="8" w:color="00ABD1"/>
            </w:tcBorders>
          </w:tcPr>
          <w:p>
            <w:pPr>
              <w:spacing w:after="0"/>
              <w:rPr>
                <w:sz w:val="20"/>
                <w:szCs w:val="20"/>
                <w:color w:val="auto"/>
              </w:rPr>
            </w:pPr>
          </w:p>
        </w:tc>
        <w:tc>
          <w:tcPr>
            <w:tcW w:w="2700" w:type="dxa"/>
            <w:vAlign w:val="bottom"/>
            <w:tcBorders>
              <w:bottom w:val="single" w:sz="8" w:color="00ABD1"/>
            </w:tcBorders>
            <w:gridSpan w:val="3"/>
          </w:tcPr>
          <w:p>
            <w:pPr>
              <w:spacing w:after="0"/>
              <w:rPr>
                <w:sz w:val="20"/>
                <w:szCs w:val="20"/>
                <w:color w:val="auto"/>
              </w:rPr>
            </w:pPr>
          </w:p>
        </w:tc>
        <w:tc>
          <w:tcPr>
            <w:tcW w:w="580" w:type="dxa"/>
            <w:vAlign w:val="bottom"/>
            <w:tcBorders>
              <w:bottom w:val="single" w:sz="8" w:color="00ABD1"/>
            </w:tcBorders>
          </w:tcPr>
          <w:p>
            <w:pPr>
              <w:spacing w:after="0"/>
              <w:rPr>
                <w:sz w:val="20"/>
                <w:szCs w:val="20"/>
                <w:color w:val="auto"/>
              </w:rPr>
            </w:pPr>
          </w:p>
        </w:tc>
        <w:tc>
          <w:tcPr>
            <w:tcW w:w="160" w:type="dxa"/>
            <w:vAlign w:val="bottom"/>
            <w:tcBorders>
              <w:bottom w:val="single" w:sz="8" w:color="00ABD1"/>
            </w:tcBorders>
          </w:tcPr>
          <w:p>
            <w:pPr>
              <w:spacing w:after="0"/>
              <w:rPr>
                <w:sz w:val="20"/>
                <w:szCs w:val="20"/>
                <w:color w:val="auto"/>
              </w:rPr>
            </w:pPr>
          </w:p>
        </w:tc>
        <w:tc>
          <w:tcPr>
            <w:tcW w:w="240" w:type="dxa"/>
            <w:vAlign w:val="bottom"/>
            <w:tcBorders>
              <w:bottom w:val="single" w:sz="8" w:color="00ABD1"/>
            </w:tcBorders>
          </w:tcPr>
          <w:p>
            <w:pPr>
              <w:spacing w:after="0"/>
              <w:rPr>
                <w:sz w:val="20"/>
                <w:szCs w:val="20"/>
                <w:color w:val="auto"/>
              </w:rPr>
            </w:pPr>
          </w:p>
        </w:tc>
        <w:tc>
          <w:tcPr>
            <w:tcW w:w="320" w:type="dxa"/>
            <w:vAlign w:val="bottom"/>
            <w:tcBorders>
              <w:bottom w:val="single" w:sz="8" w:color="00ABD1"/>
            </w:tcBorders>
          </w:tcPr>
          <w:p>
            <w:pPr>
              <w:spacing w:after="0"/>
              <w:rPr>
                <w:sz w:val="20"/>
                <w:szCs w:val="20"/>
                <w:color w:val="auto"/>
              </w:rPr>
            </w:pPr>
          </w:p>
        </w:tc>
        <w:tc>
          <w:tcPr>
            <w:tcW w:w="520" w:type="dxa"/>
            <w:vAlign w:val="bottom"/>
            <w:tcBorders>
              <w:bottom w:val="single" w:sz="8" w:color="00ABD1"/>
            </w:tcBorders>
          </w:tcPr>
          <w:p>
            <w:pPr>
              <w:spacing w:after="0"/>
              <w:rPr>
                <w:sz w:val="20"/>
                <w:szCs w:val="20"/>
                <w:color w:val="auto"/>
              </w:rPr>
            </w:pPr>
          </w:p>
        </w:tc>
        <w:tc>
          <w:tcPr>
            <w:tcW w:w="420" w:type="dxa"/>
            <w:vAlign w:val="bottom"/>
            <w:tcBorders>
              <w:bottom w:val="single" w:sz="8" w:color="00ABD1"/>
            </w:tcBorders>
          </w:tcPr>
          <w:p>
            <w:pPr>
              <w:spacing w:after="0"/>
              <w:rPr>
                <w:sz w:val="20"/>
                <w:szCs w:val="20"/>
                <w:color w:val="auto"/>
              </w:rPr>
            </w:pPr>
          </w:p>
        </w:tc>
        <w:tc>
          <w:tcPr>
            <w:tcW w:w="480" w:type="dxa"/>
            <w:vAlign w:val="bottom"/>
            <w:tcBorders>
              <w:bottom w:val="single" w:sz="8" w:color="00ABD1"/>
            </w:tcBorders>
          </w:tcPr>
          <w:p>
            <w:pPr>
              <w:spacing w:after="0"/>
              <w:rPr>
                <w:sz w:val="20"/>
                <w:szCs w:val="20"/>
                <w:color w:val="auto"/>
              </w:rPr>
            </w:pPr>
          </w:p>
        </w:tc>
        <w:tc>
          <w:tcPr>
            <w:tcW w:w="180" w:type="dxa"/>
            <w:vAlign w:val="bottom"/>
            <w:tcBorders>
              <w:bottom w:val="single" w:sz="8" w:color="00ABD1"/>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580" w:type="dxa"/>
            <w:vAlign w:val="bottom"/>
            <w:gridSpan w:val="3"/>
          </w:tcPr>
          <w:p>
            <w:pPr>
              <w:ind w:left="60"/>
              <w:spacing w:after="0"/>
              <w:rPr>
                <w:sz w:val="20"/>
                <w:szCs w:val="20"/>
                <w:color w:val="auto"/>
              </w:rPr>
            </w:pPr>
            <w:r>
              <w:rPr>
                <w:rFonts w:ascii="Arial" w:cs="Arial" w:eastAsia="Arial" w:hAnsi="Arial"/>
                <w:sz w:val="14"/>
                <w:szCs w:val="14"/>
                <w:color w:val="auto"/>
              </w:rPr>
              <w:t>​ Carmen Perez-Carlton</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20" w:type="dxa"/>
            <w:vAlign w:val="bottom"/>
          </w:tcPr>
          <w:p>
            <w:pPr>
              <w:jc w:val="center"/>
              <w:spacing w:after="0"/>
              <w:rPr>
                <w:sz w:val="20"/>
                <w:szCs w:val="20"/>
                <w:color w:val="auto"/>
              </w:rPr>
            </w:pPr>
            <w:r>
              <w:rPr>
                <w:rFonts w:ascii="Arial" w:cs="Arial" w:eastAsia="Arial" w:hAnsi="Arial"/>
                <w:sz w:val="14"/>
                <w:szCs w:val="14"/>
                <w:color w:val="auto"/>
              </w:rPr>
              <w:t>65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center"/>
              <w:spacing w:after="0"/>
              <w:rPr>
                <w:sz w:val="20"/>
                <w:szCs w:val="20"/>
                <w:color w:val="auto"/>
              </w:rPr>
            </w:pPr>
            <w:r>
              <w:rPr>
                <w:rFonts w:ascii="Arial" w:cs="Arial" w:eastAsia="Arial" w:hAnsi="Arial"/>
                <w:sz w:val="14"/>
                <w:szCs w:val="14"/>
                <w:color w:val="auto"/>
              </w:rPr>
              <w:t>2025</w:t>
            </w:r>
          </w:p>
        </w:tc>
        <w:tc>
          <w:tcPr>
            <w:tcW w:w="2700" w:type="dxa"/>
            <w:vAlign w:val="bottom"/>
            <w:gridSpan w:val="3"/>
          </w:tcPr>
          <w:p>
            <w:pPr>
              <w:jc w:val="center"/>
              <w:spacing w:after="0"/>
              <w:rPr>
                <w:sz w:val="20"/>
                <w:szCs w:val="20"/>
                <w:color w:val="auto"/>
              </w:rPr>
            </w:pPr>
            <w:r>
              <w:rPr>
                <w:rFonts w:ascii="Arial" w:cs="Arial" w:eastAsia="Arial" w:hAnsi="Arial"/>
                <w:sz w:val="14"/>
                <w:szCs w:val="14"/>
                <w:color w:val="auto"/>
              </w:rPr>
              <w:t>​​Former President of FPL Fibernet, LLC ​​</w:t>
            </w:r>
          </w:p>
        </w:tc>
        <w:tc>
          <w:tcPr>
            <w:tcW w:w="5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ind w:left="14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100" w:type="dxa"/>
            <w:vAlign w:val="bottom"/>
            <w:tcBorders>
              <w:bottom w:val="single" w:sz="8" w:color="00ABD1"/>
            </w:tcBorders>
          </w:tcPr>
          <w:p>
            <w:pPr>
              <w:spacing w:after="0"/>
              <w:rPr>
                <w:sz w:val="20"/>
                <w:szCs w:val="20"/>
                <w:color w:val="auto"/>
              </w:rPr>
            </w:pPr>
          </w:p>
        </w:tc>
        <w:tc>
          <w:tcPr>
            <w:tcW w:w="1100" w:type="dxa"/>
            <w:vAlign w:val="bottom"/>
            <w:tcBorders>
              <w:bottom w:val="single" w:sz="8" w:color="00ABD1"/>
            </w:tcBorders>
          </w:tcPr>
          <w:p>
            <w:pPr>
              <w:spacing w:after="0"/>
              <w:rPr>
                <w:sz w:val="20"/>
                <w:szCs w:val="20"/>
                <w:color w:val="auto"/>
              </w:rPr>
            </w:pPr>
          </w:p>
        </w:tc>
        <w:tc>
          <w:tcPr>
            <w:tcW w:w="380" w:type="dxa"/>
            <w:vAlign w:val="bottom"/>
            <w:tcBorders>
              <w:bottom w:val="single" w:sz="8" w:color="00ABD1"/>
            </w:tcBorders>
          </w:tcPr>
          <w:p>
            <w:pPr>
              <w:spacing w:after="0"/>
              <w:rPr>
                <w:sz w:val="20"/>
                <w:szCs w:val="20"/>
                <w:color w:val="auto"/>
              </w:rPr>
            </w:pPr>
          </w:p>
        </w:tc>
        <w:tc>
          <w:tcPr>
            <w:tcW w:w="140" w:type="dxa"/>
            <w:vAlign w:val="bottom"/>
            <w:tcBorders>
              <w:bottom w:val="single" w:sz="8" w:color="00ABD1"/>
            </w:tcBorders>
          </w:tcPr>
          <w:p>
            <w:pPr>
              <w:spacing w:after="0"/>
              <w:rPr>
                <w:sz w:val="20"/>
                <w:szCs w:val="20"/>
                <w:color w:val="auto"/>
              </w:rPr>
            </w:pPr>
          </w:p>
        </w:tc>
        <w:tc>
          <w:tcPr>
            <w:tcW w:w="220" w:type="dxa"/>
            <w:vAlign w:val="bottom"/>
            <w:tcBorders>
              <w:bottom w:val="single" w:sz="8" w:color="00ABD1"/>
            </w:tcBorders>
          </w:tcPr>
          <w:p>
            <w:pPr>
              <w:spacing w:after="0"/>
              <w:rPr>
                <w:sz w:val="20"/>
                <w:szCs w:val="20"/>
                <w:color w:val="auto"/>
              </w:rPr>
            </w:pPr>
          </w:p>
        </w:tc>
        <w:tc>
          <w:tcPr>
            <w:tcW w:w="160" w:type="dxa"/>
            <w:vAlign w:val="bottom"/>
            <w:tcBorders>
              <w:bottom w:val="single" w:sz="8" w:color="00ABD1"/>
            </w:tcBorders>
          </w:tcPr>
          <w:p>
            <w:pPr>
              <w:spacing w:after="0"/>
              <w:rPr>
                <w:sz w:val="20"/>
                <w:szCs w:val="20"/>
                <w:color w:val="auto"/>
              </w:rPr>
            </w:pPr>
          </w:p>
        </w:tc>
        <w:tc>
          <w:tcPr>
            <w:tcW w:w="500" w:type="dxa"/>
            <w:vAlign w:val="bottom"/>
            <w:tcBorders>
              <w:bottom w:val="single" w:sz="8" w:color="00ABD1"/>
            </w:tcBorders>
          </w:tcPr>
          <w:p>
            <w:pPr>
              <w:spacing w:after="0"/>
              <w:rPr>
                <w:sz w:val="20"/>
                <w:szCs w:val="20"/>
                <w:color w:val="auto"/>
              </w:rPr>
            </w:pPr>
          </w:p>
        </w:tc>
        <w:tc>
          <w:tcPr>
            <w:tcW w:w="120" w:type="dxa"/>
            <w:vAlign w:val="bottom"/>
            <w:tcBorders>
              <w:bottom w:val="single" w:sz="8" w:color="00ABD1"/>
            </w:tcBorders>
          </w:tcPr>
          <w:p>
            <w:pPr>
              <w:spacing w:after="0"/>
              <w:rPr>
                <w:sz w:val="20"/>
                <w:szCs w:val="20"/>
                <w:color w:val="auto"/>
              </w:rPr>
            </w:pPr>
          </w:p>
        </w:tc>
        <w:tc>
          <w:tcPr>
            <w:tcW w:w="2420" w:type="dxa"/>
            <w:vAlign w:val="bottom"/>
            <w:tcBorders>
              <w:bottom w:val="single" w:sz="8" w:color="00ABD1"/>
            </w:tcBorders>
          </w:tcPr>
          <w:p>
            <w:pPr>
              <w:spacing w:after="0"/>
              <w:rPr>
                <w:sz w:val="20"/>
                <w:szCs w:val="20"/>
                <w:color w:val="auto"/>
              </w:rPr>
            </w:pPr>
          </w:p>
        </w:tc>
        <w:tc>
          <w:tcPr>
            <w:tcW w:w="160" w:type="dxa"/>
            <w:vAlign w:val="bottom"/>
            <w:tcBorders>
              <w:bottom w:val="single" w:sz="8" w:color="00ABD1"/>
            </w:tcBorders>
          </w:tcPr>
          <w:p>
            <w:pPr>
              <w:spacing w:after="0"/>
              <w:rPr>
                <w:sz w:val="20"/>
                <w:szCs w:val="20"/>
                <w:color w:val="auto"/>
              </w:rPr>
            </w:pPr>
          </w:p>
        </w:tc>
        <w:tc>
          <w:tcPr>
            <w:tcW w:w="580" w:type="dxa"/>
            <w:vAlign w:val="bottom"/>
            <w:tcBorders>
              <w:bottom w:val="single" w:sz="8" w:color="00ABD1"/>
            </w:tcBorders>
          </w:tcPr>
          <w:p>
            <w:pPr>
              <w:spacing w:after="0"/>
              <w:rPr>
                <w:sz w:val="20"/>
                <w:szCs w:val="20"/>
                <w:color w:val="auto"/>
              </w:rPr>
            </w:pPr>
          </w:p>
        </w:tc>
        <w:tc>
          <w:tcPr>
            <w:tcW w:w="160" w:type="dxa"/>
            <w:vAlign w:val="bottom"/>
            <w:tcBorders>
              <w:bottom w:val="single" w:sz="8" w:color="00ABD1"/>
            </w:tcBorders>
          </w:tcPr>
          <w:p>
            <w:pPr>
              <w:spacing w:after="0"/>
              <w:rPr>
                <w:sz w:val="20"/>
                <w:szCs w:val="20"/>
                <w:color w:val="auto"/>
              </w:rPr>
            </w:pPr>
          </w:p>
        </w:tc>
        <w:tc>
          <w:tcPr>
            <w:tcW w:w="240" w:type="dxa"/>
            <w:vAlign w:val="bottom"/>
            <w:tcBorders>
              <w:bottom w:val="single" w:sz="8" w:color="00ABD1"/>
            </w:tcBorders>
          </w:tcPr>
          <w:p>
            <w:pPr>
              <w:spacing w:after="0"/>
              <w:rPr>
                <w:sz w:val="20"/>
                <w:szCs w:val="20"/>
                <w:color w:val="auto"/>
              </w:rPr>
            </w:pPr>
          </w:p>
        </w:tc>
        <w:tc>
          <w:tcPr>
            <w:tcW w:w="320" w:type="dxa"/>
            <w:vAlign w:val="bottom"/>
            <w:tcBorders>
              <w:bottom w:val="single" w:sz="8" w:color="00ABD1"/>
            </w:tcBorders>
          </w:tcPr>
          <w:p>
            <w:pPr>
              <w:spacing w:after="0"/>
              <w:rPr>
                <w:sz w:val="20"/>
                <w:szCs w:val="20"/>
                <w:color w:val="auto"/>
              </w:rPr>
            </w:pPr>
          </w:p>
        </w:tc>
        <w:tc>
          <w:tcPr>
            <w:tcW w:w="520" w:type="dxa"/>
            <w:vAlign w:val="bottom"/>
            <w:tcBorders>
              <w:bottom w:val="single" w:sz="8" w:color="00ABD1"/>
            </w:tcBorders>
          </w:tcPr>
          <w:p>
            <w:pPr>
              <w:spacing w:after="0"/>
              <w:rPr>
                <w:sz w:val="20"/>
                <w:szCs w:val="20"/>
                <w:color w:val="auto"/>
              </w:rPr>
            </w:pPr>
          </w:p>
        </w:tc>
        <w:tc>
          <w:tcPr>
            <w:tcW w:w="420" w:type="dxa"/>
            <w:vAlign w:val="bottom"/>
            <w:tcBorders>
              <w:bottom w:val="single" w:sz="8" w:color="00ABD1"/>
            </w:tcBorders>
          </w:tcPr>
          <w:p>
            <w:pPr>
              <w:spacing w:after="0"/>
              <w:rPr>
                <w:sz w:val="20"/>
                <w:szCs w:val="20"/>
                <w:color w:val="auto"/>
              </w:rPr>
            </w:pPr>
          </w:p>
        </w:tc>
        <w:tc>
          <w:tcPr>
            <w:tcW w:w="480" w:type="dxa"/>
            <w:vAlign w:val="bottom"/>
            <w:tcBorders>
              <w:bottom w:val="single" w:sz="8" w:color="00ABD1"/>
            </w:tcBorders>
          </w:tcPr>
          <w:p>
            <w:pPr>
              <w:spacing w:after="0"/>
              <w:rPr>
                <w:sz w:val="20"/>
                <w:szCs w:val="20"/>
                <w:color w:val="auto"/>
              </w:rPr>
            </w:pPr>
          </w:p>
        </w:tc>
        <w:tc>
          <w:tcPr>
            <w:tcW w:w="180" w:type="dxa"/>
            <w:vAlign w:val="bottom"/>
            <w:tcBorders>
              <w:bottom w:val="single" w:sz="8" w:color="00ABD1"/>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rPr>
              <w:t>Former Chairman of the Board and</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00" w:type="dxa"/>
            <w:vAlign w:val="bottom"/>
            <w:tcBorders>
              <w:bottom w:val="single" w:sz="8" w:color="00ABD1"/>
            </w:tcBorders>
            <w:gridSpan w:val="2"/>
          </w:tcPr>
          <w:p>
            <w:pPr>
              <w:ind w:left="60"/>
              <w:spacing w:after="0"/>
              <w:rPr>
                <w:sz w:val="20"/>
                <w:szCs w:val="20"/>
                <w:color w:val="auto"/>
              </w:rPr>
            </w:pPr>
            <w:r>
              <w:rPr>
                <w:rFonts w:ascii="Arial" w:cs="Arial" w:eastAsia="Arial" w:hAnsi="Arial"/>
                <w:sz w:val="14"/>
                <w:szCs w:val="14"/>
                <w:color w:val="auto"/>
              </w:rPr>
              <w:t>​ Paul Sunu</w:t>
            </w:r>
          </w:p>
        </w:tc>
        <w:tc>
          <w:tcPr>
            <w:tcW w:w="380" w:type="dxa"/>
            <w:vAlign w:val="bottom"/>
            <w:tcBorders>
              <w:bottom w:val="single" w:sz="8" w:color="00ABD1"/>
            </w:tcBorders>
          </w:tcPr>
          <w:p>
            <w:pPr>
              <w:spacing w:after="0"/>
              <w:rPr>
                <w:sz w:val="24"/>
                <w:szCs w:val="24"/>
                <w:color w:val="auto"/>
              </w:rPr>
            </w:pPr>
          </w:p>
        </w:tc>
        <w:tc>
          <w:tcPr>
            <w:tcW w:w="140" w:type="dxa"/>
            <w:vAlign w:val="bottom"/>
            <w:tcBorders>
              <w:bottom w:val="single" w:sz="8" w:color="00ABD1"/>
            </w:tcBorders>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ABD1"/>
            </w:tcBorders>
          </w:tcPr>
          <w:p>
            <w:pPr>
              <w:jc w:val="center"/>
              <w:spacing w:after="0"/>
              <w:rPr>
                <w:sz w:val="20"/>
                <w:szCs w:val="20"/>
                <w:color w:val="auto"/>
              </w:rPr>
            </w:pPr>
            <w:r>
              <w:rPr>
                <w:rFonts w:ascii="Arial" w:cs="Arial" w:eastAsia="Arial" w:hAnsi="Arial"/>
                <w:sz w:val="14"/>
                <w:szCs w:val="14"/>
                <w:color w:val="auto"/>
              </w:rPr>
              <w:t>70</w:t>
            </w:r>
          </w:p>
        </w:tc>
        <w:tc>
          <w:tcPr>
            <w:tcW w:w="160" w:type="dxa"/>
            <w:vAlign w:val="bottom"/>
            <w:tcBorders>
              <w:bottom w:val="single" w:sz="8" w:color="00ABD1"/>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00ABD1"/>
            </w:tcBorders>
          </w:tcPr>
          <w:p>
            <w:pPr>
              <w:jc w:val="center"/>
              <w:spacing w:after="0"/>
              <w:rPr>
                <w:sz w:val="20"/>
                <w:szCs w:val="20"/>
                <w:color w:val="auto"/>
              </w:rPr>
            </w:pPr>
            <w:r>
              <w:rPr>
                <w:rFonts w:ascii="Arial" w:cs="Arial" w:eastAsia="Arial" w:hAnsi="Arial"/>
                <w:sz w:val="14"/>
                <w:szCs w:val="14"/>
                <w:color w:val="auto"/>
              </w:rPr>
              <w:t>2025</w:t>
            </w:r>
          </w:p>
        </w:tc>
        <w:tc>
          <w:tcPr>
            <w:tcW w:w="2540" w:type="dxa"/>
            <w:vAlign w:val="bottom"/>
            <w:tcBorders>
              <w:bottom w:val="single" w:sz="8" w:color="00ABD1"/>
            </w:tcBorders>
            <w:gridSpan w:val="2"/>
          </w:tcPr>
          <w:p>
            <w:pPr>
              <w:ind w:left="2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Chief Executive Officer of Windstream</w:t>
            </w:r>
          </w:p>
        </w:tc>
        <w:tc>
          <w:tcPr>
            <w:tcW w:w="160" w:type="dxa"/>
            <w:vAlign w:val="bottom"/>
            <w:tcBorders>
              <w:bottom w:val="single" w:sz="8" w:color="00ABD1"/>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ABD1"/>
            </w:tcBorders>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00ABD1"/>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00ABD1"/>
            </w:tcBorders>
          </w:tcPr>
          <w:p>
            <w:pPr>
              <w:ind w:left="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ABD1"/>
            </w:tcBorders>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00ABD1"/>
            </w:tcBorders>
          </w:tcPr>
          <w:p>
            <w:pPr>
              <w:ind w:left="18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00ABD1"/>
            </w:tcBorders>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00ABD1"/>
            </w:tcBorders>
          </w:tcPr>
          <w:p>
            <w:pPr>
              <w:ind w:lef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ABD1"/>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8"/>
        </w:trPr>
        <w:tc>
          <w:tcPr>
            <w:tcW w:w="1200" w:type="dxa"/>
            <w:vAlign w:val="bottom"/>
            <w:gridSpan w:val="2"/>
          </w:tcPr>
          <w:p>
            <w:pPr>
              <w:ind w:left="60"/>
              <w:spacing w:after="0"/>
              <w:rPr>
                <w:sz w:val="20"/>
                <w:szCs w:val="20"/>
                <w:color w:val="auto"/>
              </w:rPr>
            </w:pPr>
            <w:r>
              <w:rPr>
                <w:rFonts w:ascii="Arial" w:cs="Arial" w:eastAsia="Arial" w:hAnsi="Arial"/>
                <w:sz w:val="14"/>
                <w:szCs w:val="14"/>
                <w:color w:val="auto"/>
              </w:rPr>
              <w:t>​Harold Zeitz</w:t>
            </w:r>
          </w:p>
        </w:tc>
        <w:tc>
          <w:tcPr>
            <w:tcW w:w="38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20" w:type="dxa"/>
            <w:vAlign w:val="bottom"/>
          </w:tcPr>
          <w:p>
            <w:pPr>
              <w:jc w:val="center"/>
              <w:spacing w:after="0"/>
              <w:rPr>
                <w:sz w:val="20"/>
                <w:szCs w:val="20"/>
                <w:color w:val="auto"/>
              </w:rPr>
            </w:pPr>
            <w:r>
              <w:rPr>
                <w:rFonts w:ascii="Arial" w:cs="Arial" w:eastAsia="Arial" w:hAnsi="Arial"/>
                <w:sz w:val="14"/>
                <w:szCs w:val="14"/>
                <w:color w:val="auto"/>
              </w:rPr>
              <w:t>62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center"/>
              <w:spacing w:after="0"/>
              <w:rPr>
                <w:sz w:val="20"/>
                <w:szCs w:val="20"/>
                <w:color w:val="auto"/>
              </w:rPr>
            </w:pPr>
            <w:r>
              <w:rPr>
                <w:rFonts w:ascii="Arial" w:cs="Arial" w:eastAsia="Arial" w:hAnsi="Arial"/>
                <w:sz w:val="14"/>
                <w:szCs w:val="14"/>
                <w:color w:val="auto"/>
              </w:rPr>
              <w:t>2025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420" w:type="dxa"/>
            <w:vAlign w:val="bottom"/>
          </w:tcPr>
          <w:p>
            <w:pPr>
              <w:jc w:val="center"/>
              <w:spacing w:after="0"/>
              <w:rPr>
                <w:sz w:val="20"/>
                <w:szCs w:val="20"/>
                <w:color w:val="auto"/>
              </w:rPr>
            </w:pPr>
            <w:r>
              <w:rPr>
                <w:rFonts w:ascii="Arial" w:cs="Arial" w:eastAsia="Arial" w:hAnsi="Arial"/>
                <w:sz w:val="14"/>
                <w:szCs w:val="14"/>
                <w:color w:val="auto"/>
              </w:rPr>
              <w:t>Chief Executive Officer of Ziply Fiber</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ind w:left="14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100" w:type="dxa"/>
            <w:vAlign w:val="bottom"/>
            <w:tcBorders>
              <w:bottom w:val="single" w:sz="8" w:color="00ABD1"/>
            </w:tcBorders>
          </w:tcPr>
          <w:p>
            <w:pPr>
              <w:spacing w:after="0"/>
              <w:rPr>
                <w:sz w:val="20"/>
                <w:szCs w:val="20"/>
                <w:color w:val="auto"/>
              </w:rPr>
            </w:pPr>
          </w:p>
        </w:tc>
        <w:tc>
          <w:tcPr>
            <w:tcW w:w="1100" w:type="dxa"/>
            <w:vAlign w:val="bottom"/>
            <w:tcBorders>
              <w:bottom w:val="single" w:sz="8" w:color="00ABD1"/>
            </w:tcBorders>
          </w:tcPr>
          <w:p>
            <w:pPr>
              <w:spacing w:after="0"/>
              <w:rPr>
                <w:sz w:val="20"/>
                <w:szCs w:val="20"/>
                <w:color w:val="auto"/>
              </w:rPr>
            </w:pPr>
          </w:p>
        </w:tc>
        <w:tc>
          <w:tcPr>
            <w:tcW w:w="380" w:type="dxa"/>
            <w:vAlign w:val="bottom"/>
            <w:tcBorders>
              <w:bottom w:val="single" w:sz="8" w:color="00ABD1"/>
            </w:tcBorders>
          </w:tcPr>
          <w:p>
            <w:pPr>
              <w:spacing w:after="0"/>
              <w:rPr>
                <w:sz w:val="20"/>
                <w:szCs w:val="20"/>
                <w:color w:val="auto"/>
              </w:rPr>
            </w:pPr>
          </w:p>
        </w:tc>
        <w:tc>
          <w:tcPr>
            <w:tcW w:w="140" w:type="dxa"/>
            <w:vAlign w:val="bottom"/>
            <w:tcBorders>
              <w:bottom w:val="single" w:sz="8" w:color="00ABD1"/>
            </w:tcBorders>
          </w:tcPr>
          <w:p>
            <w:pPr>
              <w:spacing w:after="0"/>
              <w:rPr>
                <w:sz w:val="20"/>
                <w:szCs w:val="20"/>
                <w:color w:val="auto"/>
              </w:rPr>
            </w:pPr>
          </w:p>
        </w:tc>
        <w:tc>
          <w:tcPr>
            <w:tcW w:w="220" w:type="dxa"/>
            <w:vAlign w:val="bottom"/>
            <w:tcBorders>
              <w:bottom w:val="single" w:sz="8" w:color="00ABD1"/>
            </w:tcBorders>
          </w:tcPr>
          <w:p>
            <w:pPr>
              <w:spacing w:after="0"/>
              <w:rPr>
                <w:sz w:val="20"/>
                <w:szCs w:val="20"/>
                <w:color w:val="auto"/>
              </w:rPr>
            </w:pPr>
          </w:p>
        </w:tc>
        <w:tc>
          <w:tcPr>
            <w:tcW w:w="160" w:type="dxa"/>
            <w:vAlign w:val="bottom"/>
            <w:tcBorders>
              <w:bottom w:val="single" w:sz="8" w:color="00ABD1"/>
            </w:tcBorders>
          </w:tcPr>
          <w:p>
            <w:pPr>
              <w:spacing w:after="0"/>
              <w:rPr>
                <w:sz w:val="20"/>
                <w:szCs w:val="20"/>
                <w:color w:val="auto"/>
              </w:rPr>
            </w:pPr>
          </w:p>
        </w:tc>
        <w:tc>
          <w:tcPr>
            <w:tcW w:w="500" w:type="dxa"/>
            <w:vAlign w:val="bottom"/>
            <w:tcBorders>
              <w:bottom w:val="single" w:sz="8" w:color="00ABD1"/>
            </w:tcBorders>
          </w:tcPr>
          <w:p>
            <w:pPr>
              <w:spacing w:after="0"/>
              <w:rPr>
                <w:sz w:val="20"/>
                <w:szCs w:val="20"/>
                <w:color w:val="auto"/>
              </w:rPr>
            </w:pPr>
          </w:p>
        </w:tc>
        <w:tc>
          <w:tcPr>
            <w:tcW w:w="120" w:type="dxa"/>
            <w:vAlign w:val="bottom"/>
            <w:tcBorders>
              <w:bottom w:val="single" w:sz="8" w:color="00ABD1"/>
            </w:tcBorders>
          </w:tcPr>
          <w:p>
            <w:pPr>
              <w:spacing w:after="0"/>
              <w:rPr>
                <w:sz w:val="20"/>
                <w:szCs w:val="20"/>
                <w:color w:val="auto"/>
              </w:rPr>
            </w:pPr>
          </w:p>
        </w:tc>
        <w:tc>
          <w:tcPr>
            <w:tcW w:w="2420" w:type="dxa"/>
            <w:vAlign w:val="bottom"/>
            <w:tcBorders>
              <w:bottom w:val="single" w:sz="8" w:color="00ABD1"/>
            </w:tcBorders>
          </w:tcPr>
          <w:p>
            <w:pPr>
              <w:spacing w:after="0"/>
              <w:rPr>
                <w:sz w:val="20"/>
                <w:szCs w:val="20"/>
                <w:color w:val="auto"/>
              </w:rPr>
            </w:pPr>
          </w:p>
        </w:tc>
        <w:tc>
          <w:tcPr>
            <w:tcW w:w="160" w:type="dxa"/>
            <w:vAlign w:val="bottom"/>
            <w:tcBorders>
              <w:bottom w:val="single" w:sz="8" w:color="00ABD1"/>
            </w:tcBorders>
          </w:tcPr>
          <w:p>
            <w:pPr>
              <w:spacing w:after="0"/>
              <w:rPr>
                <w:sz w:val="20"/>
                <w:szCs w:val="20"/>
                <w:color w:val="auto"/>
              </w:rPr>
            </w:pPr>
          </w:p>
        </w:tc>
        <w:tc>
          <w:tcPr>
            <w:tcW w:w="580" w:type="dxa"/>
            <w:vAlign w:val="bottom"/>
            <w:tcBorders>
              <w:bottom w:val="single" w:sz="8" w:color="00ABD1"/>
            </w:tcBorders>
          </w:tcPr>
          <w:p>
            <w:pPr>
              <w:spacing w:after="0"/>
              <w:rPr>
                <w:sz w:val="20"/>
                <w:szCs w:val="20"/>
                <w:color w:val="auto"/>
              </w:rPr>
            </w:pPr>
          </w:p>
        </w:tc>
        <w:tc>
          <w:tcPr>
            <w:tcW w:w="160" w:type="dxa"/>
            <w:vAlign w:val="bottom"/>
            <w:tcBorders>
              <w:bottom w:val="single" w:sz="8" w:color="00ABD1"/>
            </w:tcBorders>
          </w:tcPr>
          <w:p>
            <w:pPr>
              <w:spacing w:after="0"/>
              <w:rPr>
                <w:sz w:val="20"/>
                <w:szCs w:val="20"/>
                <w:color w:val="auto"/>
              </w:rPr>
            </w:pPr>
          </w:p>
        </w:tc>
        <w:tc>
          <w:tcPr>
            <w:tcW w:w="240" w:type="dxa"/>
            <w:vAlign w:val="bottom"/>
            <w:tcBorders>
              <w:bottom w:val="single" w:sz="8" w:color="00ABD1"/>
            </w:tcBorders>
          </w:tcPr>
          <w:p>
            <w:pPr>
              <w:spacing w:after="0"/>
              <w:rPr>
                <w:sz w:val="20"/>
                <w:szCs w:val="20"/>
                <w:color w:val="auto"/>
              </w:rPr>
            </w:pPr>
          </w:p>
        </w:tc>
        <w:tc>
          <w:tcPr>
            <w:tcW w:w="320" w:type="dxa"/>
            <w:vAlign w:val="bottom"/>
            <w:tcBorders>
              <w:bottom w:val="single" w:sz="8" w:color="00ABD1"/>
            </w:tcBorders>
          </w:tcPr>
          <w:p>
            <w:pPr>
              <w:spacing w:after="0"/>
              <w:rPr>
                <w:sz w:val="20"/>
                <w:szCs w:val="20"/>
                <w:color w:val="auto"/>
              </w:rPr>
            </w:pPr>
          </w:p>
        </w:tc>
        <w:tc>
          <w:tcPr>
            <w:tcW w:w="520" w:type="dxa"/>
            <w:vAlign w:val="bottom"/>
            <w:tcBorders>
              <w:bottom w:val="single" w:sz="8" w:color="00ABD1"/>
            </w:tcBorders>
          </w:tcPr>
          <w:p>
            <w:pPr>
              <w:spacing w:after="0"/>
              <w:rPr>
                <w:sz w:val="20"/>
                <w:szCs w:val="20"/>
                <w:color w:val="auto"/>
              </w:rPr>
            </w:pPr>
          </w:p>
        </w:tc>
        <w:tc>
          <w:tcPr>
            <w:tcW w:w="420" w:type="dxa"/>
            <w:vAlign w:val="bottom"/>
            <w:tcBorders>
              <w:bottom w:val="single" w:sz="8" w:color="00ABD1"/>
            </w:tcBorders>
          </w:tcPr>
          <w:p>
            <w:pPr>
              <w:spacing w:after="0"/>
              <w:rPr>
                <w:sz w:val="20"/>
                <w:szCs w:val="20"/>
                <w:color w:val="auto"/>
              </w:rPr>
            </w:pPr>
          </w:p>
        </w:tc>
        <w:tc>
          <w:tcPr>
            <w:tcW w:w="480" w:type="dxa"/>
            <w:vAlign w:val="bottom"/>
            <w:tcBorders>
              <w:bottom w:val="single" w:sz="8" w:color="00ABD1"/>
            </w:tcBorders>
          </w:tcPr>
          <w:p>
            <w:pPr>
              <w:spacing w:after="0"/>
              <w:rPr>
                <w:sz w:val="20"/>
                <w:szCs w:val="20"/>
                <w:color w:val="auto"/>
              </w:rPr>
            </w:pPr>
          </w:p>
        </w:tc>
        <w:tc>
          <w:tcPr>
            <w:tcW w:w="180" w:type="dxa"/>
            <w:vAlign w:val="bottom"/>
            <w:tcBorders>
              <w:bottom w:val="single" w:sz="8" w:color="00ABD1"/>
            </w:tcBorders>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100" w:type="dxa"/>
            <w:vAlign w:val="bottom"/>
          </w:tcPr>
          <w:p>
            <w:pPr>
              <w:spacing w:after="0"/>
              <w:rPr>
                <w:sz w:val="20"/>
                <w:szCs w:val="20"/>
                <w:color w:val="auto"/>
              </w:rPr>
            </w:pPr>
            <w:r>
              <w:rPr>
                <w:rFonts w:ascii="Arial" w:cs="Arial" w:eastAsia="Arial" w:hAnsi="Arial"/>
                <w:sz w:val="14"/>
                <w:szCs w:val="14"/>
                <w:b w:val="1"/>
                <w:bCs w:val="1"/>
                <w:color w:val="00ABD1"/>
              </w:rPr>
              <w:t>​</w:t>
            </w:r>
          </w:p>
        </w:tc>
        <w:tc>
          <w:tcPr>
            <w:tcW w:w="1100" w:type="dxa"/>
            <w:vAlign w:val="bottom"/>
          </w:tcPr>
          <w:p>
            <w:pPr>
              <w:ind w:left="20"/>
              <w:spacing w:after="0"/>
              <w:rPr>
                <w:sz w:val="20"/>
                <w:szCs w:val="20"/>
                <w:color w:val="auto"/>
              </w:rPr>
            </w:pPr>
            <w:r>
              <w:rPr>
                <w:rFonts w:ascii="Arial" w:cs="Arial" w:eastAsia="Arial" w:hAnsi="Arial"/>
                <w:sz w:val="14"/>
                <w:szCs w:val="14"/>
                <w:b w:val="1"/>
                <w:bCs w:val="1"/>
                <w:color w:val="00ABD1"/>
              </w:rPr>
              <w:t>​</w:t>
            </w:r>
          </w:p>
        </w:tc>
        <w:tc>
          <w:tcPr>
            <w:tcW w:w="38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4"/>
                <w:szCs w:val="14"/>
                <w:b w:val="1"/>
                <w:bCs w:val="1"/>
                <w:color w:val="00ABD1"/>
              </w:rPr>
              <w:t>​​</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00ABD1"/>
              </w:rPr>
              <w:t>​</w:t>
            </w:r>
          </w:p>
        </w:tc>
        <w:tc>
          <w:tcPr>
            <w:tcW w:w="5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00ABD1"/>
              </w:rPr>
              <w:t>​</w:t>
            </w:r>
          </w:p>
        </w:tc>
        <w:tc>
          <w:tcPr>
            <w:tcW w:w="24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00ABD1"/>
              </w:rPr>
              <w:t>​</w:t>
            </w:r>
          </w:p>
        </w:tc>
        <w:tc>
          <w:tcPr>
            <w:tcW w:w="5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00ABD1"/>
              </w:rPr>
              <w:t>​</w:t>
            </w:r>
          </w:p>
        </w:tc>
        <w:tc>
          <w:tcPr>
            <w:tcW w:w="240" w:type="dxa"/>
            <w:vAlign w:val="bottom"/>
          </w:tcPr>
          <w:p>
            <w:pPr>
              <w:spacing w:after="0"/>
              <w:rPr>
                <w:sz w:val="24"/>
                <w:szCs w:val="24"/>
                <w:color w:val="auto"/>
              </w:rPr>
            </w:pPr>
          </w:p>
        </w:tc>
        <w:tc>
          <w:tcPr>
            <w:tcW w:w="320" w:type="dxa"/>
            <w:vAlign w:val="bottom"/>
          </w:tcPr>
          <w:p>
            <w:pPr>
              <w:jc w:val="right"/>
              <w:ind w:right="108"/>
              <w:spacing w:after="0"/>
              <w:rPr>
                <w:sz w:val="20"/>
                <w:szCs w:val="20"/>
                <w:color w:val="auto"/>
              </w:rPr>
            </w:pPr>
            <w:r>
              <w:rPr>
                <w:rFonts w:ascii="Arial" w:cs="Arial" w:eastAsia="Arial" w:hAnsi="Arial"/>
                <w:sz w:val="14"/>
                <w:szCs w:val="14"/>
                <w:b w:val="1"/>
                <w:bCs w:val="1"/>
                <w:color w:val="00ABD1"/>
              </w:rPr>
              <w:t>​</w:t>
            </w:r>
          </w:p>
        </w:tc>
        <w:tc>
          <w:tcPr>
            <w:tcW w:w="520" w:type="dxa"/>
            <w:vAlign w:val="bottom"/>
          </w:tcPr>
          <w:p>
            <w:pPr>
              <w:spacing w:after="0"/>
              <w:rPr>
                <w:sz w:val="24"/>
                <w:szCs w:val="24"/>
                <w:color w:val="auto"/>
              </w:rPr>
            </w:pPr>
          </w:p>
        </w:tc>
        <w:tc>
          <w:tcPr>
            <w:tcW w:w="420" w:type="dxa"/>
            <w:vAlign w:val="bottom"/>
          </w:tcPr>
          <w:p>
            <w:pPr>
              <w:jc w:val="right"/>
              <w:ind w:right="88"/>
              <w:spacing w:after="0"/>
              <w:rPr>
                <w:sz w:val="20"/>
                <w:szCs w:val="20"/>
                <w:color w:val="auto"/>
              </w:rPr>
            </w:pPr>
            <w:r>
              <w:rPr>
                <w:rFonts w:ascii="Arial" w:cs="Arial" w:eastAsia="Arial" w:hAnsi="Arial"/>
                <w:sz w:val="14"/>
                <w:szCs w:val="14"/>
                <w:b w:val="1"/>
                <w:bCs w:val="1"/>
                <w:color w:val="00ABD1"/>
              </w:rPr>
              <w:t>​</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0" w:type="dxa"/>
            <w:vAlign w:val="bottom"/>
          </w:tcPr>
          <w:p>
            <w:pPr>
              <w:spacing w:after="0"/>
              <w:rPr>
                <w:sz w:val="24"/>
                <w:szCs w:val="24"/>
                <w:color w:val="auto"/>
              </w:rPr>
            </w:pPr>
          </w:p>
        </w:tc>
        <w:tc>
          <w:tcPr>
            <w:tcW w:w="1100" w:type="dxa"/>
            <w:vAlign w:val="bottom"/>
          </w:tcPr>
          <w:p>
            <w:pPr>
              <w:ind w:left="120"/>
              <w:spacing w:after="0"/>
              <w:rPr>
                <w:sz w:val="20"/>
                <w:szCs w:val="20"/>
                <w:color w:val="auto"/>
              </w:rPr>
            </w:pPr>
            <w:r>
              <w:rPr>
                <w:rFonts w:ascii="Arial" w:cs="Arial" w:eastAsia="Arial" w:hAnsi="Arial"/>
                <w:sz w:val="14"/>
                <w:szCs w:val="14"/>
                <w:color w:val="auto"/>
              </w:rPr>
              <w:t>  Member</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w w:val="96"/>
              </w:rPr>
              <w:t>  Chairperson</w:t>
            </w:r>
          </w:p>
        </w:tc>
        <w:tc>
          <w:tcPr>
            <w:tcW w:w="3040" w:type="dxa"/>
            <w:vAlign w:val="bottom"/>
            <w:gridSpan w:val="3"/>
          </w:tcPr>
          <w:p>
            <w:pPr>
              <w:ind w:left="320"/>
              <w:spacing w:after="0"/>
              <w:rPr>
                <w:sz w:val="20"/>
                <w:szCs w:val="20"/>
                <w:color w:val="auto"/>
              </w:rPr>
            </w:pPr>
            <w:r>
              <w:rPr>
                <w:rFonts w:ascii="Arial" w:cs="Arial" w:eastAsia="Arial" w:hAnsi="Arial"/>
                <w:sz w:val="14"/>
                <w:szCs w:val="14"/>
                <w:color w:val="auto"/>
              </w:rPr>
              <w:t>  Financial Expert</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1920" w:right="399" w:hanging="642"/>
        <w:spacing w:after="0" w:line="268" w:lineRule="auto"/>
        <w:tabs>
          <w:tab w:leader="none" w:pos="1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Randy Dunbar and Paul Sunu will not stand for re-election, and each of their current terms as a director will end as of the Annual Meeting. We acknowledge with gratitude each director’s service on the Board and their contributions to Uniti and its management team.</w:t>
      </w:r>
    </w:p>
    <w:p>
      <w:pPr>
        <w:spacing w:after="0" w:line="170" w:lineRule="exact"/>
        <w:rPr>
          <w:rFonts w:ascii="Arial" w:cs="Arial" w:eastAsia="Arial" w:hAnsi="Arial"/>
          <w:sz w:val="18"/>
          <w:szCs w:val="18"/>
          <w:color w:val="auto"/>
        </w:rPr>
      </w:pPr>
    </w:p>
    <w:p>
      <w:pPr>
        <w:ind w:left="1920" w:right="399" w:hanging="642"/>
        <w:spacing w:after="0" w:line="268" w:lineRule="auto"/>
        <w:tabs>
          <w:tab w:leader="none" w:pos="1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directors listed above were appointed to serve on the Board on August 1, 2025 in connection with the closing of the Merger. For more information, see the section below titled “Overview of the Merger with Windstream.”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1127760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00ABD1"/>
        </w:rPr>
        <w:t xml:space="preserve">Director Nominees (see page </w:t>
      </w:r>
      <w:r>
        <w:rPr>
          <w:rFonts w:ascii="Arial" w:cs="Arial" w:eastAsia="Arial" w:hAnsi="Arial"/>
          <w:sz w:val="22"/>
          <w:szCs w:val="22"/>
          <w:b w:val="1"/>
          <w:bCs w:val="1"/>
          <w:u w:val="single" w:color="auto"/>
          <w:color w:val="00ABD1"/>
        </w:rPr>
        <w:t>14</w:t>
      </w:r>
      <w:r>
        <w:rPr>
          <w:rFonts w:ascii="Arial" w:cs="Arial" w:eastAsia="Arial" w:hAnsi="Arial"/>
          <w:sz w:val="22"/>
          <w:szCs w:val="22"/>
          <w:b w:val="1"/>
          <w:bCs w:val="1"/>
          <w:color w:val="00ABD1"/>
        </w:rPr>
        <w:t>)</w:t>
      </w:r>
    </w:p>
    <w:p>
      <w:pPr>
        <w:spacing w:after="0" w:line="337" w:lineRule="exact"/>
        <w:rPr>
          <w:sz w:val="20"/>
          <w:szCs w:val="20"/>
          <w:color w:val="auto"/>
        </w:rPr>
      </w:pPr>
    </w:p>
    <w:p>
      <w:pPr>
        <w:ind w:left="1280" w:right="419" w:firstLine="648"/>
        <w:spacing w:after="0" w:line="268" w:lineRule="auto"/>
        <w:rPr>
          <w:sz w:val="20"/>
          <w:szCs w:val="20"/>
          <w:color w:val="auto"/>
        </w:rPr>
      </w:pPr>
      <w:r>
        <w:rPr>
          <w:rFonts w:ascii="Arial" w:cs="Arial" w:eastAsia="Arial" w:hAnsi="Arial"/>
          <w:sz w:val="18"/>
          <w:szCs w:val="18"/>
          <w:color w:val="auto"/>
        </w:rPr>
        <w:t>The following table contains information about the nine candidates who have been nominated for election to the Board. Each nominee (except for Messrs. Appleby and Weber) is currently a director of Uniti.</w:t>
      </w:r>
    </w:p>
    <w:p>
      <w:pPr>
        <w:spacing w:after="0" w:line="248"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00ABD1"/>
              </w:rPr>
              <w:t>Director</w:t>
            </w:r>
          </w:p>
        </w:tc>
        <w:tc>
          <w:tcPr>
            <w:tcW w:w="240" w:type="dxa"/>
            <w:vAlign w:val="bottom"/>
          </w:tcPr>
          <w:p>
            <w:pPr>
              <w:spacing w:after="0"/>
              <w:rPr>
                <w:sz w:val="14"/>
                <w:szCs w:val="14"/>
                <w:color w:val="auto"/>
              </w:rPr>
            </w:pPr>
          </w:p>
        </w:tc>
        <w:tc>
          <w:tcPr>
            <w:tcW w:w="3880" w:type="dxa"/>
            <w:vAlign w:val="bottom"/>
          </w:tcPr>
          <w:p>
            <w:pPr>
              <w:jc w:val="center"/>
              <w:spacing w:after="0"/>
              <w:rPr>
                <w:sz w:val="20"/>
                <w:szCs w:val="20"/>
                <w:color w:val="auto"/>
              </w:rPr>
            </w:pPr>
            <w:r>
              <w:rPr>
                <w:rFonts w:ascii="Arial" w:cs="Arial" w:eastAsia="Arial" w:hAnsi="Arial"/>
                <w:sz w:val="14"/>
                <w:szCs w:val="14"/>
                <w:b w:val="1"/>
                <w:bCs w:val="1"/>
                <w:color w:val="00ABD1"/>
              </w:rPr>
              <w:t>Principal</w:t>
            </w:r>
          </w:p>
        </w:tc>
        <w:tc>
          <w:tcPr>
            <w:tcW w:w="100" w:type="dxa"/>
            <w:vAlign w:val="bottom"/>
          </w:tcPr>
          <w:p>
            <w:pPr>
              <w:spacing w:after="0"/>
              <w:rPr>
                <w:sz w:val="14"/>
                <w:szCs w:val="14"/>
                <w:color w:val="auto"/>
              </w:rPr>
            </w:pPr>
          </w:p>
        </w:tc>
      </w:tr>
      <w:tr>
        <w:trPr>
          <w:trHeight w:val="198"/>
        </w:trPr>
        <w:tc>
          <w:tcPr>
            <w:tcW w:w="1120" w:type="dxa"/>
            <w:vAlign w:val="bottom"/>
            <w:tcBorders>
              <w:bottom w:val="single" w:sz="8" w:color="00ABD1"/>
            </w:tcBorders>
          </w:tcPr>
          <w:p>
            <w:pPr>
              <w:ind w:left="60"/>
              <w:spacing w:after="0"/>
              <w:rPr>
                <w:sz w:val="20"/>
                <w:szCs w:val="20"/>
                <w:color w:val="auto"/>
              </w:rPr>
            </w:pPr>
            <w:r>
              <w:rPr>
                <w:rFonts w:ascii="Arial" w:cs="Arial" w:eastAsia="Arial" w:hAnsi="Arial"/>
                <w:sz w:val="14"/>
                <w:szCs w:val="14"/>
                <w:b w:val="1"/>
                <w:bCs w:val="1"/>
                <w:color w:val="00ABD1"/>
              </w:rPr>
              <w:t>​</w:t>
            </w:r>
          </w:p>
        </w:tc>
        <w:tc>
          <w:tcPr>
            <w:tcW w:w="1240" w:type="dxa"/>
            <w:vAlign w:val="bottom"/>
            <w:tcBorders>
              <w:bottom w:val="single" w:sz="8" w:color="00ABD1"/>
            </w:tcBorders>
          </w:tcPr>
          <w:p>
            <w:pPr>
              <w:ind w:left="80"/>
              <w:spacing w:after="0"/>
              <w:rPr>
                <w:sz w:val="20"/>
                <w:szCs w:val="20"/>
                <w:color w:val="auto"/>
              </w:rPr>
            </w:pPr>
            <w:r>
              <w:rPr>
                <w:rFonts w:ascii="Arial" w:cs="Arial" w:eastAsia="Arial" w:hAnsi="Arial"/>
                <w:sz w:val="14"/>
                <w:szCs w:val="14"/>
                <w:b w:val="1"/>
                <w:bCs w:val="1"/>
                <w:color w:val="00ABD1"/>
              </w:rPr>
              <w:t>Name</w:t>
            </w:r>
          </w:p>
        </w:tc>
        <w:tc>
          <w:tcPr>
            <w:tcW w:w="1020" w:type="dxa"/>
            <w:vAlign w:val="bottom"/>
            <w:tcBorders>
              <w:bottom w:val="single" w:sz="8" w:color="00ABD1"/>
            </w:tcBorders>
            <w:gridSpan w:val="2"/>
          </w:tcPr>
          <w:p>
            <w:pPr>
              <w:ind w:left="360"/>
              <w:spacing w:after="0" w:line="199" w:lineRule="exact"/>
              <w:rPr>
                <w:sz w:val="20"/>
                <w:szCs w:val="20"/>
                <w:color w:val="auto"/>
              </w:rPr>
            </w:pPr>
            <w:r>
              <w:rPr>
                <w:rFonts w:ascii="Arial" w:cs="Arial" w:eastAsia="Arial" w:hAnsi="Arial"/>
                <w:sz w:val="12"/>
                <w:szCs w:val="12"/>
                <w:b w:val="1"/>
                <w:bCs w:val="1"/>
                <w:color w:val="00ABD1"/>
              </w:rPr>
              <w:t xml:space="preserve">​ ​ </w:t>
            </w:r>
            <w:r>
              <w:rPr>
                <w:rFonts w:ascii="Arial" w:cs="Arial" w:eastAsia="Arial" w:hAnsi="Arial"/>
                <w:sz w:val="22"/>
                <w:szCs w:val="22"/>
                <w:b w:val="1"/>
                <w:bCs w:val="1"/>
                <w:color w:val="00ABD1"/>
                <w:vertAlign w:val="superscript"/>
              </w:rPr>
              <w:t>Age</w:t>
            </w:r>
            <w:r>
              <w:rPr>
                <w:rFonts w:ascii="Arial" w:cs="Arial" w:eastAsia="Arial" w:hAnsi="Arial"/>
                <w:sz w:val="12"/>
                <w:szCs w:val="12"/>
                <w:b w:val="1"/>
                <w:bCs w:val="1"/>
                <w:color w:val="00ABD1"/>
              </w:rPr>
              <w:t xml:space="preserve"> ​ ​</w:t>
            </w:r>
          </w:p>
        </w:tc>
        <w:tc>
          <w:tcPr>
            <w:tcW w:w="600" w:type="dxa"/>
            <w:vAlign w:val="bottom"/>
            <w:tcBorders>
              <w:bottom w:val="single" w:sz="8" w:color="00ABD1"/>
            </w:tcBorders>
          </w:tcPr>
          <w:p>
            <w:pPr>
              <w:jc w:val="center"/>
              <w:spacing w:after="0"/>
              <w:rPr>
                <w:sz w:val="20"/>
                <w:szCs w:val="20"/>
                <w:color w:val="auto"/>
              </w:rPr>
            </w:pPr>
            <w:r>
              <w:rPr>
                <w:rFonts w:ascii="Arial" w:cs="Arial" w:eastAsia="Arial" w:hAnsi="Arial"/>
                <w:sz w:val="14"/>
                <w:szCs w:val="14"/>
                <w:b w:val="1"/>
                <w:bCs w:val="1"/>
                <w:color w:val="00ABD1"/>
              </w:rPr>
              <w:t>Since</w:t>
            </w:r>
          </w:p>
        </w:tc>
        <w:tc>
          <w:tcPr>
            <w:tcW w:w="240" w:type="dxa"/>
            <w:vAlign w:val="bottom"/>
            <w:tcBorders>
              <w:bottom w:val="single" w:sz="8" w:color="00ABD1"/>
            </w:tcBorders>
          </w:tcPr>
          <w:p>
            <w:pPr>
              <w:ind w:left="40"/>
              <w:spacing w:after="0"/>
              <w:rPr>
                <w:sz w:val="20"/>
                <w:szCs w:val="20"/>
                <w:color w:val="auto"/>
              </w:rPr>
            </w:pPr>
            <w:r>
              <w:rPr>
                <w:rFonts w:ascii="Arial" w:cs="Arial" w:eastAsia="Arial" w:hAnsi="Arial"/>
                <w:sz w:val="14"/>
                <w:szCs w:val="14"/>
                <w:b w:val="1"/>
                <w:bCs w:val="1"/>
                <w:color w:val="00ABD1"/>
              </w:rPr>
              <w:t>​ ​</w:t>
            </w:r>
          </w:p>
        </w:tc>
        <w:tc>
          <w:tcPr>
            <w:tcW w:w="3880" w:type="dxa"/>
            <w:vAlign w:val="bottom"/>
            <w:tcBorders>
              <w:bottom w:val="single" w:sz="8" w:color="00ABD1"/>
            </w:tcBorders>
          </w:tcPr>
          <w:p>
            <w:pPr>
              <w:jc w:val="center"/>
              <w:spacing w:after="0"/>
              <w:rPr>
                <w:sz w:val="20"/>
                <w:szCs w:val="20"/>
                <w:color w:val="auto"/>
              </w:rPr>
            </w:pPr>
            <w:r>
              <w:rPr>
                <w:rFonts w:ascii="Arial" w:cs="Arial" w:eastAsia="Arial" w:hAnsi="Arial"/>
                <w:sz w:val="14"/>
                <w:szCs w:val="14"/>
                <w:b w:val="1"/>
                <w:bCs w:val="1"/>
                <w:color w:val="00ABD1"/>
              </w:rPr>
              <w:t>Occupation</w:t>
            </w:r>
          </w:p>
        </w:tc>
        <w:tc>
          <w:tcPr>
            <w:tcW w:w="100" w:type="dxa"/>
            <w:vAlign w:val="bottom"/>
            <w:tcBorders>
              <w:bottom w:val="single" w:sz="8" w:color="00ABD1"/>
            </w:tcBorders>
          </w:tcPr>
          <w:p>
            <w:pPr>
              <w:ind w:left="60"/>
              <w:spacing w:after="0"/>
              <w:rPr>
                <w:sz w:val="20"/>
                <w:szCs w:val="20"/>
                <w:color w:val="auto"/>
              </w:rPr>
            </w:pPr>
            <w:r>
              <w:rPr>
                <w:rFonts w:ascii="Arial" w:cs="Arial" w:eastAsia="Arial" w:hAnsi="Arial"/>
                <w:sz w:val="14"/>
                <w:szCs w:val="14"/>
                <w:b w:val="1"/>
                <w:bCs w:val="1"/>
                <w:color w:val="00ABD1"/>
              </w:rPr>
              <w:t>​</w:t>
            </w:r>
          </w:p>
        </w:tc>
      </w:tr>
      <w:tr>
        <w:trPr>
          <w:trHeight w:val="372"/>
        </w:trPr>
        <w:tc>
          <w:tcPr>
            <w:tcW w:w="2360" w:type="dxa"/>
            <w:vAlign w:val="bottom"/>
            <w:gridSpan w:val="2"/>
          </w:tcPr>
          <w:p>
            <w:pPr>
              <w:ind w:left="60"/>
              <w:spacing w:after="0"/>
              <w:rPr>
                <w:sz w:val="20"/>
                <w:szCs w:val="20"/>
                <w:color w:val="auto"/>
              </w:rPr>
            </w:pPr>
            <w:r>
              <w:rPr>
                <w:rFonts w:ascii="Arial" w:cs="Arial" w:eastAsia="Arial" w:hAnsi="Arial"/>
                <w:sz w:val="18"/>
                <w:szCs w:val="18"/>
                <w:color w:val="auto"/>
              </w:rPr>
              <w:t>​Jarrett Appleby</w:t>
            </w:r>
          </w:p>
        </w:tc>
        <w:tc>
          <w:tcPr>
            <w:tcW w:w="820" w:type="dxa"/>
            <w:vAlign w:val="bottom"/>
          </w:tcPr>
          <w:p>
            <w:pPr>
              <w:ind w:left="360"/>
              <w:spacing w:after="0"/>
              <w:rPr>
                <w:sz w:val="20"/>
                <w:szCs w:val="20"/>
                <w:color w:val="auto"/>
              </w:rPr>
            </w:pPr>
            <w:r>
              <w:rPr>
                <w:rFonts w:ascii="Arial" w:cs="Arial" w:eastAsia="Arial" w:hAnsi="Arial"/>
                <w:sz w:val="18"/>
                <w:szCs w:val="18"/>
                <w:color w:val="auto"/>
              </w:rPr>
              <w:t>​ ​ 64</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40" w:type="dxa"/>
            <w:vAlign w:val="bottom"/>
          </w:tcPr>
          <w:p>
            <w:pPr>
              <w:ind w:left="40"/>
              <w:spacing w:after="0"/>
              <w:rPr>
                <w:sz w:val="20"/>
                <w:szCs w:val="20"/>
                <w:color w:val="auto"/>
              </w:rPr>
            </w:pPr>
            <w:r>
              <w:rPr>
                <w:rFonts w:ascii="Arial" w:cs="Arial" w:eastAsia="Arial" w:hAnsi="Arial"/>
                <w:sz w:val="18"/>
                <w:szCs w:val="18"/>
                <w:color w:val="auto"/>
              </w:rPr>
              <w:t>​ ​</w:t>
            </w:r>
          </w:p>
        </w:tc>
        <w:tc>
          <w:tcPr>
            <w:tcW w:w="3880" w:type="dxa"/>
            <w:vAlign w:val="bottom"/>
          </w:tcPr>
          <w:p>
            <w:pPr>
              <w:jc w:val="center"/>
              <w:spacing w:after="0"/>
              <w:rPr>
                <w:sz w:val="20"/>
                <w:szCs w:val="20"/>
                <w:color w:val="auto"/>
              </w:rPr>
            </w:pPr>
            <w:r>
              <w:rPr>
                <w:rFonts w:ascii="Arial" w:cs="Arial" w:eastAsia="Arial" w:hAnsi="Arial"/>
                <w:sz w:val="18"/>
                <w:szCs w:val="18"/>
                <w:color w:val="auto"/>
                <w:w w:val="98"/>
              </w:rPr>
              <w:t>CEO of ASG; Senior Advisor to The Blackstone</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39"/>
        </w:trPr>
        <w:tc>
          <w:tcPr>
            <w:tcW w:w="1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5"/>
              </w:rPr>
              <w:t>Group</w:t>
            </w:r>
          </w:p>
        </w:tc>
        <w:tc>
          <w:tcPr>
            <w:tcW w:w="100" w:type="dxa"/>
            <w:vAlign w:val="bottom"/>
          </w:tcPr>
          <w:p>
            <w:pPr>
              <w:spacing w:after="0"/>
              <w:rPr>
                <w:sz w:val="20"/>
                <w:szCs w:val="20"/>
                <w:color w:val="auto"/>
              </w:rPr>
            </w:pPr>
          </w:p>
        </w:tc>
      </w:tr>
      <w:tr>
        <w:trPr>
          <w:trHeight w:val="45"/>
        </w:trPr>
        <w:tc>
          <w:tcPr>
            <w:tcW w:w="2360" w:type="dxa"/>
            <w:vAlign w:val="bottom"/>
            <w:tcBorders>
              <w:bottom w:val="single" w:sz="8" w:color="00ABD1"/>
            </w:tcBorders>
            <w:gridSpan w:val="2"/>
          </w:tcPr>
          <w:p>
            <w:pPr>
              <w:spacing w:after="0"/>
              <w:rPr>
                <w:sz w:val="3"/>
                <w:szCs w:val="3"/>
                <w:color w:val="auto"/>
              </w:rPr>
            </w:pPr>
          </w:p>
        </w:tc>
        <w:tc>
          <w:tcPr>
            <w:tcW w:w="820" w:type="dxa"/>
            <w:vAlign w:val="bottom"/>
            <w:tcBorders>
              <w:bottom w:val="single" w:sz="8" w:color="00ABD1"/>
            </w:tcBorders>
          </w:tcPr>
          <w:p>
            <w:pPr>
              <w:spacing w:after="0"/>
              <w:rPr>
                <w:sz w:val="3"/>
                <w:szCs w:val="3"/>
                <w:color w:val="auto"/>
              </w:rPr>
            </w:pPr>
          </w:p>
        </w:tc>
        <w:tc>
          <w:tcPr>
            <w:tcW w:w="200" w:type="dxa"/>
            <w:vAlign w:val="bottom"/>
            <w:tcBorders>
              <w:bottom w:val="single" w:sz="8" w:color="00ABD1"/>
            </w:tcBorders>
          </w:tcPr>
          <w:p>
            <w:pPr>
              <w:spacing w:after="0"/>
              <w:rPr>
                <w:sz w:val="3"/>
                <w:szCs w:val="3"/>
                <w:color w:val="auto"/>
              </w:rPr>
            </w:pPr>
          </w:p>
        </w:tc>
        <w:tc>
          <w:tcPr>
            <w:tcW w:w="600" w:type="dxa"/>
            <w:vAlign w:val="bottom"/>
            <w:tcBorders>
              <w:bottom w:val="single" w:sz="8" w:color="00ABD1"/>
            </w:tcBorders>
          </w:tcPr>
          <w:p>
            <w:pPr>
              <w:spacing w:after="0"/>
              <w:rPr>
                <w:sz w:val="3"/>
                <w:szCs w:val="3"/>
                <w:color w:val="auto"/>
              </w:rPr>
            </w:pPr>
          </w:p>
        </w:tc>
        <w:tc>
          <w:tcPr>
            <w:tcW w:w="240" w:type="dxa"/>
            <w:vAlign w:val="bottom"/>
            <w:tcBorders>
              <w:bottom w:val="single" w:sz="8" w:color="00ABD1"/>
            </w:tcBorders>
          </w:tcPr>
          <w:p>
            <w:pPr>
              <w:spacing w:after="0"/>
              <w:rPr>
                <w:sz w:val="3"/>
                <w:szCs w:val="3"/>
                <w:color w:val="auto"/>
              </w:rPr>
            </w:pPr>
          </w:p>
        </w:tc>
        <w:tc>
          <w:tcPr>
            <w:tcW w:w="3880" w:type="dxa"/>
            <w:vAlign w:val="bottom"/>
            <w:tcBorders>
              <w:bottom w:val="single" w:sz="8" w:color="00ABD1"/>
            </w:tcBorders>
          </w:tcPr>
          <w:p>
            <w:pPr>
              <w:spacing w:after="0"/>
              <w:rPr>
                <w:sz w:val="3"/>
                <w:szCs w:val="3"/>
                <w:color w:val="auto"/>
              </w:rPr>
            </w:pPr>
          </w:p>
        </w:tc>
        <w:tc>
          <w:tcPr>
            <w:tcW w:w="100" w:type="dxa"/>
            <w:vAlign w:val="bottom"/>
            <w:tcBorders>
              <w:bottom w:val="single" w:sz="8" w:color="00ABD1"/>
            </w:tcBorders>
          </w:tcPr>
          <w:p>
            <w:pPr>
              <w:spacing w:after="0"/>
              <w:rPr>
                <w:sz w:val="3"/>
                <w:szCs w:val="3"/>
                <w:color w:val="auto"/>
              </w:rPr>
            </w:pPr>
          </w:p>
        </w:tc>
      </w:tr>
      <w:tr>
        <w:trPr>
          <w:trHeight w:val="372"/>
        </w:trPr>
        <w:tc>
          <w:tcPr>
            <w:tcW w:w="2360" w:type="dxa"/>
            <w:vAlign w:val="bottom"/>
            <w:gridSpan w:val="2"/>
          </w:tcPr>
          <w:p>
            <w:pPr>
              <w:ind w:left="60"/>
              <w:spacing w:after="0"/>
              <w:rPr>
                <w:sz w:val="20"/>
                <w:szCs w:val="20"/>
                <w:color w:val="auto"/>
              </w:rPr>
            </w:pPr>
            <w:r>
              <w:rPr>
                <w:rFonts w:ascii="Arial" w:cs="Arial" w:eastAsia="Arial" w:hAnsi="Arial"/>
                <w:sz w:val="18"/>
                <w:szCs w:val="18"/>
                <w:color w:val="auto"/>
              </w:rPr>
              <w:t>​Scott G. Bruce</w:t>
            </w:r>
          </w:p>
        </w:tc>
        <w:tc>
          <w:tcPr>
            <w:tcW w:w="820" w:type="dxa"/>
            <w:vAlign w:val="bottom"/>
          </w:tcPr>
          <w:p>
            <w:pPr>
              <w:ind w:left="360"/>
              <w:spacing w:after="0"/>
              <w:rPr>
                <w:sz w:val="20"/>
                <w:szCs w:val="20"/>
                <w:color w:val="auto"/>
              </w:rPr>
            </w:pPr>
            <w:r>
              <w:rPr>
                <w:rFonts w:ascii="Arial" w:cs="Arial" w:eastAsia="Arial" w:hAnsi="Arial"/>
                <w:sz w:val="18"/>
                <w:szCs w:val="18"/>
                <w:color w:val="auto"/>
              </w:rPr>
              <w:t>​ ​ 64</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240" w:type="dxa"/>
            <w:vAlign w:val="bottom"/>
          </w:tcPr>
          <w:p>
            <w:pPr>
              <w:ind w:left="40"/>
              <w:spacing w:after="0"/>
              <w:rPr>
                <w:sz w:val="20"/>
                <w:szCs w:val="20"/>
                <w:color w:val="auto"/>
              </w:rPr>
            </w:pPr>
            <w:r>
              <w:rPr>
                <w:rFonts w:ascii="Arial" w:cs="Arial" w:eastAsia="Arial" w:hAnsi="Arial"/>
                <w:sz w:val="18"/>
                <w:szCs w:val="18"/>
                <w:color w:val="auto"/>
              </w:rPr>
              <w:t>​ ​</w:t>
            </w:r>
          </w:p>
        </w:tc>
        <w:tc>
          <w:tcPr>
            <w:tcW w:w="3880" w:type="dxa"/>
            <w:vAlign w:val="bottom"/>
          </w:tcPr>
          <w:p>
            <w:pPr>
              <w:jc w:val="center"/>
              <w:spacing w:after="0"/>
              <w:rPr>
                <w:sz w:val="20"/>
                <w:szCs w:val="20"/>
                <w:color w:val="auto"/>
              </w:rPr>
            </w:pPr>
            <w:r>
              <w:rPr>
                <w:rFonts w:ascii="Arial" w:cs="Arial" w:eastAsia="Arial" w:hAnsi="Arial"/>
                <w:sz w:val="18"/>
                <w:szCs w:val="18"/>
                <w:color w:val="auto"/>
                <w:w w:val="97"/>
              </w:rPr>
              <w:t>President and Chief Executive Officer of Radius</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39"/>
        </w:trPr>
        <w:tc>
          <w:tcPr>
            <w:tcW w:w="1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6"/>
              </w:rPr>
              <w:t>Global Infrastructure, Inc.</w:t>
            </w:r>
          </w:p>
        </w:tc>
        <w:tc>
          <w:tcPr>
            <w:tcW w:w="100" w:type="dxa"/>
            <w:vAlign w:val="bottom"/>
          </w:tcPr>
          <w:p>
            <w:pPr>
              <w:spacing w:after="0"/>
              <w:rPr>
                <w:sz w:val="20"/>
                <w:szCs w:val="20"/>
                <w:color w:val="auto"/>
              </w:rPr>
            </w:pPr>
          </w:p>
        </w:tc>
      </w:tr>
      <w:tr>
        <w:trPr>
          <w:trHeight w:val="45"/>
        </w:trPr>
        <w:tc>
          <w:tcPr>
            <w:tcW w:w="2360" w:type="dxa"/>
            <w:vAlign w:val="bottom"/>
            <w:tcBorders>
              <w:bottom w:val="single" w:sz="8" w:color="00ABD1"/>
            </w:tcBorders>
            <w:gridSpan w:val="2"/>
          </w:tcPr>
          <w:p>
            <w:pPr>
              <w:spacing w:after="0"/>
              <w:rPr>
                <w:sz w:val="3"/>
                <w:szCs w:val="3"/>
                <w:color w:val="auto"/>
              </w:rPr>
            </w:pPr>
          </w:p>
        </w:tc>
        <w:tc>
          <w:tcPr>
            <w:tcW w:w="820" w:type="dxa"/>
            <w:vAlign w:val="bottom"/>
            <w:tcBorders>
              <w:bottom w:val="single" w:sz="8" w:color="00ABD1"/>
            </w:tcBorders>
          </w:tcPr>
          <w:p>
            <w:pPr>
              <w:spacing w:after="0"/>
              <w:rPr>
                <w:sz w:val="3"/>
                <w:szCs w:val="3"/>
                <w:color w:val="auto"/>
              </w:rPr>
            </w:pPr>
          </w:p>
        </w:tc>
        <w:tc>
          <w:tcPr>
            <w:tcW w:w="200" w:type="dxa"/>
            <w:vAlign w:val="bottom"/>
            <w:tcBorders>
              <w:bottom w:val="single" w:sz="8" w:color="00ABD1"/>
            </w:tcBorders>
          </w:tcPr>
          <w:p>
            <w:pPr>
              <w:spacing w:after="0"/>
              <w:rPr>
                <w:sz w:val="3"/>
                <w:szCs w:val="3"/>
                <w:color w:val="auto"/>
              </w:rPr>
            </w:pPr>
          </w:p>
        </w:tc>
        <w:tc>
          <w:tcPr>
            <w:tcW w:w="600" w:type="dxa"/>
            <w:vAlign w:val="bottom"/>
            <w:tcBorders>
              <w:bottom w:val="single" w:sz="8" w:color="00ABD1"/>
            </w:tcBorders>
          </w:tcPr>
          <w:p>
            <w:pPr>
              <w:spacing w:after="0"/>
              <w:rPr>
                <w:sz w:val="3"/>
                <w:szCs w:val="3"/>
                <w:color w:val="auto"/>
              </w:rPr>
            </w:pPr>
          </w:p>
        </w:tc>
        <w:tc>
          <w:tcPr>
            <w:tcW w:w="240" w:type="dxa"/>
            <w:vAlign w:val="bottom"/>
            <w:tcBorders>
              <w:bottom w:val="single" w:sz="8" w:color="00ABD1"/>
            </w:tcBorders>
          </w:tcPr>
          <w:p>
            <w:pPr>
              <w:spacing w:after="0"/>
              <w:rPr>
                <w:sz w:val="3"/>
                <w:szCs w:val="3"/>
                <w:color w:val="auto"/>
              </w:rPr>
            </w:pPr>
          </w:p>
        </w:tc>
        <w:tc>
          <w:tcPr>
            <w:tcW w:w="3880" w:type="dxa"/>
            <w:vAlign w:val="bottom"/>
            <w:tcBorders>
              <w:bottom w:val="single" w:sz="8" w:color="00ABD1"/>
            </w:tcBorders>
          </w:tcPr>
          <w:p>
            <w:pPr>
              <w:spacing w:after="0"/>
              <w:rPr>
                <w:sz w:val="3"/>
                <w:szCs w:val="3"/>
                <w:color w:val="auto"/>
              </w:rPr>
            </w:pPr>
          </w:p>
        </w:tc>
        <w:tc>
          <w:tcPr>
            <w:tcW w:w="100" w:type="dxa"/>
            <w:vAlign w:val="bottom"/>
            <w:tcBorders>
              <w:bottom w:val="single" w:sz="8" w:color="00ABD1"/>
            </w:tcBorders>
          </w:tcPr>
          <w:p>
            <w:pPr>
              <w:spacing w:after="0"/>
              <w:rPr>
                <w:sz w:val="3"/>
                <w:szCs w:val="3"/>
                <w:color w:val="auto"/>
              </w:rPr>
            </w:pPr>
          </w:p>
        </w:tc>
      </w:tr>
      <w:tr>
        <w:trPr>
          <w:trHeight w:val="263"/>
        </w:trPr>
        <w:tc>
          <w:tcPr>
            <w:tcW w:w="2360" w:type="dxa"/>
            <w:vAlign w:val="bottom"/>
            <w:gridSpan w:val="2"/>
          </w:tcPr>
          <w:p>
            <w:pPr>
              <w:ind w:left="120"/>
              <w:spacing w:after="0"/>
              <w:rPr>
                <w:sz w:val="20"/>
                <w:szCs w:val="20"/>
                <w:color w:val="auto"/>
              </w:rPr>
            </w:pPr>
            <w:r>
              <w:rPr>
                <w:rFonts w:ascii="Arial" w:cs="Arial" w:eastAsia="Arial" w:hAnsi="Arial"/>
                <w:sz w:val="18"/>
                <w:szCs w:val="18"/>
                <w:color w:val="auto"/>
              </w:rPr>
              <w:t>Francis X. (“Skip”)</w:t>
            </w: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92"/>
        </w:trPr>
        <w:tc>
          <w:tcPr>
            <w:tcW w:w="1120" w:type="dxa"/>
            <w:vAlign w:val="bottom"/>
            <w:tcBorders>
              <w:bottom w:val="single" w:sz="8" w:color="00ABD1"/>
            </w:tcBorders>
          </w:tcPr>
          <w:p>
            <w:pPr>
              <w:ind w:left="60"/>
              <w:spacing w:after="0" w:line="391"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Frantz</w:t>
            </w:r>
          </w:p>
        </w:tc>
        <w:tc>
          <w:tcPr>
            <w:tcW w:w="1240" w:type="dxa"/>
            <w:vAlign w:val="bottom"/>
            <w:tcBorders>
              <w:bottom w:val="single" w:sz="8" w:color="00ABD1"/>
            </w:tcBorders>
          </w:tcPr>
          <w:p>
            <w:pPr>
              <w:spacing w:after="0"/>
              <w:rPr>
                <w:sz w:val="24"/>
                <w:szCs w:val="24"/>
                <w:color w:val="auto"/>
              </w:rPr>
            </w:pPr>
          </w:p>
        </w:tc>
        <w:tc>
          <w:tcPr>
            <w:tcW w:w="820" w:type="dxa"/>
            <w:vAlign w:val="bottom"/>
            <w:tcBorders>
              <w:bottom w:val="single" w:sz="8" w:color="00ABD1"/>
            </w:tcBorders>
          </w:tcPr>
          <w:p>
            <w:pPr>
              <w:ind w:left="360"/>
              <w:spacing w:after="0"/>
              <w:rPr>
                <w:sz w:val="20"/>
                <w:szCs w:val="20"/>
                <w:color w:val="auto"/>
              </w:rPr>
            </w:pPr>
            <w:r>
              <w:rPr>
                <w:rFonts w:ascii="Arial" w:cs="Arial" w:eastAsia="Arial" w:hAnsi="Arial"/>
                <w:sz w:val="18"/>
                <w:szCs w:val="18"/>
                <w:color w:val="auto"/>
              </w:rPr>
              <w:t>​ ​ 72</w:t>
            </w:r>
          </w:p>
        </w:tc>
        <w:tc>
          <w:tcPr>
            <w:tcW w:w="200" w:type="dxa"/>
            <w:vAlign w:val="bottom"/>
            <w:tcBorders>
              <w:bottom w:val="single" w:sz="8" w:color="00ABD1"/>
            </w:tcBorders>
          </w:tcPr>
          <w:p>
            <w:pPr>
              <w:ind w:left="40"/>
              <w:spacing w:after="0"/>
              <w:rPr>
                <w:sz w:val="20"/>
                <w:szCs w:val="20"/>
                <w:color w:val="auto"/>
              </w:rPr>
            </w:pPr>
            <w:r>
              <w:rPr>
                <w:rFonts w:ascii="Arial" w:cs="Arial" w:eastAsia="Arial" w:hAnsi="Arial"/>
                <w:sz w:val="18"/>
                <w:szCs w:val="18"/>
                <w:color w:val="auto"/>
              </w:rPr>
              <w:t>​ ​</w:t>
            </w:r>
          </w:p>
        </w:tc>
        <w:tc>
          <w:tcPr>
            <w:tcW w:w="600" w:type="dxa"/>
            <w:vAlign w:val="bottom"/>
            <w:tcBorders>
              <w:bottom w:val="single" w:sz="8" w:color="00ABD1"/>
            </w:tcBorders>
          </w:tcPr>
          <w:p>
            <w:pPr>
              <w:jc w:val="center"/>
              <w:spacing w:after="0"/>
              <w:rPr>
                <w:sz w:val="20"/>
                <w:szCs w:val="20"/>
                <w:color w:val="auto"/>
              </w:rPr>
            </w:pPr>
            <w:r>
              <w:rPr>
                <w:rFonts w:ascii="Arial" w:cs="Arial" w:eastAsia="Arial" w:hAnsi="Arial"/>
                <w:sz w:val="18"/>
                <w:szCs w:val="18"/>
                <w:color w:val="auto"/>
                <w:w w:val="99"/>
              </w:rPr>
              <w:t>2025</w:t>
            </w:r>
          </w:p>
        </w:tc>
        <w:tc>
          <w:tcPr>
            <w:tcW w:w="240" w:type="dxa"/>
            <w:vAlign w:val="bottom"/>
            <w:tcBorders>
              <w:bottom w:val="single" w:sz="8" w:color="00ABD1"/>
            </w:tcBorders>
          </w:tcPr>
          <w:p>
            <w:pPr>
              <w:ind w:left="40"/>
              <w:spacing w:after="0"/>
              <w:rPr>
                <w:sz w:val="20"/>
                <w:szCs w:val="20"/>
                <w:color w:val="auto"/>
              </w:rPr>
            </w:pPr>
            <w:r>
              <w:rPr>
                <w:rFonts w:ascii="Arial" w:cs="Arial" w:eastAsia="Arial" w:hAnsi="Arial"/>
                <w:sz w:val="18"/>
                <w:szCs w:val="18"/>
                <w:color w:val="auto"/>
              </w:rPr>
              <w:t>​ ​</w:t>
            </w:r>
          </w:p>
        </w:tc>
        <w:tc>
          <w:tcPr>
            <w:tcW w:w="3880" w:type="dxa"/>
            <w:vAlign w:val="bottom"/>
            <w:tcBorders>
              <w:bottom w:val="single" w:sz="8" w:color="00ABD1"/>
            </w:tcBorders>
          </w:tcPr>
          <w:p>
            <w:pPr>
              <w:jc w:val="center"/>
              <w:spacing w:after="0"/>
              <w:rPr>
                <w:sz w:val="20"/>
                <w:szCs w:val="20"/>
                <w:color w:val="auto"/>
              </w:rPr>
            </w:pPr>
            <w:r>
              <w:rPr>
                <w:rFonts w:ascii="Arial" w:cs="Arial" w:eastAsia="Arial" w:hAnsi="Arial"/>
                <w:sz w:val="18"/>
                <w:szCs w:val="18"/>
                <w:color w:val="auto"/>
                <w:w w:val="97"/>
              </w:rPr>
              <w:t>Chairman of the Board of Uniti</w:t>
            </w:r>
          </w:p>
        </w:tc>
        <w:tc>
          <w:tcPr>
            <w:tcW w:w="100" w:type="dxa"/>
            <w:vAlign w:val="bottom"/>
            <w:tcBorders>
              <w:bottom w:val="single" w:sz="8" w:color="00ABD1"/>
            </w:tcBorders>
          </w:tcPr>
          <w:p>
            <w:pPr>
              <w:ind w:left="60"/>
              <w:spacing w:after="0"/>
              <w:rPr>
                <w:sz w:val="20"/>
                <w:szCs w:val="20"/>
                <w:color w:val="auto"/>
              </w:rPr>
            </w:pPr>
            <w:r>
              <w:rPr>
                <w:rFonts w:ascii="Arial" w:cs="Arial" w:eastAsia="Arial" w:hAnsi="Arial"/>
                <w:sz w:val="18"/>
                <w:szCs w:val="18"/>
                <w:color w:val="auto"/>
              </w:rPr>
              <w:t>​</w:t>
            </w:r>
          </w:p>
        </w:tc>
      </w:tr>
      <w:tr>
        <w:trPr>
          <w:trHeight w:val="443"/>
        </w:trPr>
        <w:tc>
          <w:tcPr>
            <w:tcW w:w="2360" w:type="dxa"/>
            <w:vAlign w:val="bottom"/>
            <w:gridSpan w:val="2"/>
          </w:tcPr>
          <w:p>
            <w:pPr>
              <w:ind w:left="60"/>
              <w:spacing w:after="0"/>
              <w:rPr>
                <w:sz w:val="20"/>
                <w:szCs w:val="20"/>
                <w:color w:val="auto"/>
              </w:rPr>
            </w:pPr>
            <w:r>
              <w:rPr>
                <w:rFonts w:ascii="Arial" w:cs="Arial" w:eastAsia="Arial" w:hAnsi="Arial"/>
                <w:sz w:val="18"/>
                <w:szCs w:val="18"/>
                <w:color w:val="auto"/>
              </w:rPr>
              <w:t>​Kenneth A. Gunderman</w:t>
            </w:r>
          </w:p>
        </w:tc>
        <w:tc>
          <w:tcPr>
            <w:tcW w:w="820" w:type="dxa"/>
            <w:vAlign w:val="bottom"/>
          </w:tcPr>
          <w:p>
            <w:pPr>
              <w:ind w:left="360"/>
              <w:spacing w:after="0"/>
              <w:rPr>
                <w:sz w:val="20"/>
                <w:szCs w:val="20"/>
                <w:color w:val="auto"/>
              </w:rPr>
            </w:pPr>
            <w:r>
              <w:rPr>
                <w:rFonts w:ascii="Arial" w:cs="Arial" w:eastAsia="Arial" w:hAnsi="Arial"/>
                <w:sz w:val="18"/>
                <w:szCs w:val="18"/>
                <w:color w:val="auto"/>
              </w:rPr>
              <w:t>​ ​ 55</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240" w:type="dxa"/>
            <w:vAlign w:val="bottom"/>
          </w:tcPr>
          <w:p>
            <w:pPr>
              <w:ind w:left="40"/>
              <w:spacing w:after="0"/>
              <w:rPr>
                <w:sz w:val="20"/>
                <w:szCs w:val="20"/>
                <w:color w:val="auto"/>
              </w:rPr>
            </w:pPr>
            <w:r>
              <w:rPr>
                <w:rFonts w:ascii="Arial" w:cs="Arial" w:eastAsia="Arial" w:hAnsi="Arial"/>
                <w:sz w:val="18"/>
                <w:szCs w:val="18"/>
                <w:color w:val="auto"/>
              </w:rPr>
              <w:t>​ ​</w:t>
            </w:r>
          </w:p>
        </w:tc>
        <w:tc>
          <w:tcPr>
            <w:tcW w:w="3880" w:type="dxa"/>
            <w:vAlign w:val="bottom"/>
          </w:tcPr>
          <w:p>
            <w:pPr>
              <w:jc w:val="center"/>
              <w:spacing w:after="0"/>
              <w:rPr>
                <w:sz w:val="20"/>
                <w:szCs w:val="20"/>
                <w:color w:val="auto"/>
              </w:rPr>
            </w:pPr>
            <w:r>
              <w:rPr>
                <w:rFonts w:ascii="Arial" w:cs="Arial" w:eastAsia="Arial" w:hAnsi="Arial"/>
                <w:sz w:val="18"/>
                <w:szCs w:val="18"/>
                <w:color w:val="auto"/>
                <w:w w:val="98"/>
              </w:rPr>
              <w:t>President and CEO of Uniti</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12"/>
        </w:trPr>
        <w:tc>
          <w:tcPr>
            <w:tcW w:w="2360" w:type="dxa"/>
            <w:vAlign w:val="bottom"/>
            <w:tcBorders>
              <w:bottom w:val="single" w:sz="8" w:color="00ABD1"/>
            </w:tcBorders>
            <w:gridSpan w:val="2"/>
          </w:tcPr>
          <w:p>
            <w:pPr>
              <w:spacing w:after="0"/>
              <w:rPr>
                <w:sz w:val="18"/>
                <w:szCs w:val="18"/>
                <w:color w:val="auto"/>
              </w:rPr>
            </w:pPr>
          </w:p>
        </w:tc>
        <w:tc>
          <w:tcPr>
            <w:tcW w:w="820" w:type="dxa"/>
            <w:vAlign w:val="bottom"/>
            <w:tcBorders>
              <w:bottom w:val="single" w:sz="8" w:color="00ABD1"/>
            </w:tcBorders>
          </w:tcPr>
          <w:p>
            <w:pPr>
              <w:spacing w:after="0"/>
              <w:rPr>
                <w:sz w:val="18"/>
                <w:szCs w:val="18"/>
                <w:color w:val="auto"/>
              </w:rPr>
            </w:pPr>
          </w:p>
        </w:tc>
        <w:tc>
          <w:tcPr>
            <w:tcW w:w="200" w:type="dxa"/>
            <w:vAlign w:val="bottom"/>
            <w:tcBorders>
              <w:bottom w:val="single" w:sz="8" w:color="00ABD1"/>
            </w:tcBorders>
          </w:tcPr>
          <w:p>
            <w:pPr>
              <w:spacing w:after="0"/>
              <w:rPr>
                <w:sz w:val="18"/>
                <w:szCs w:val="18"/>
                <w:color w:val="auto"/>
              </w:rPr>
            </w:pPr>
          </w:p>
        </w:tc>
        <w:tc>
          <w:tcPr>
            <w:tcW w:w="600" w:type="dxa"/>
            <w:vAlign w:val="bottom"/>
            <w:tcBorders>
              <w:bottom w:val="single" w:sz="8" w:color="00ABD1"/>
            </w:tcBorders>
          </w:tcPr>
          <w:p>
            <w:pPr>
              <w:spacing w:after="0"/>
              <w:rPr>
                <w:sz w:val="18"/>
                <w:szCs w:val="18"/>
                <w:color w:val="auto"/>
              </w:rPr>
            </w:pPr>
          </w:p>
        </w:tc>
        <w:tc>
          <w:tcPr>
            <w:tcW w:w="240" w:type="dxa"/>
            <w:vAlign w:val="bottom"/>
            <w:tcBorders>
              <w:bottom w:val="single" w:sz="8" w:color="00ABD1"/>
            </w:tcBorders>
          </w:tcPr>
          <w:p>
            <w:pPr>
              <w:spacing w:after="0"/>
              <w:rPr>
                <w:sz w:val="18"/>
                <w:szCs w:val="18"/>
                <w:color w:val="auto"/>
              </w:rPr>
            </w:pPr>
          </w:p>
        </w:tc>
        <w:tc>
          <w:tcPr>
            <w:tcW w:w="3880" w:type="dxa"/>
            <w:vAlign w:val="bottom"/>
            <w:tcBorders>
              <w:bottom w:val="single" w:sz="8" w:color="00ABD1"/>
            </w:tcBorders>
          </w:tcPr>
          <w:p>
            <w:pPr>
              <w:spacing w:after="0"/>
              <w:rPr>
                <w:sz w:val="18"/>
                <w:szCs w:val="18"/>
                <w:color w:val="auto"/>
              </w:rPr>
            </w:pPr>
          </w:p>
        </w:tc>
        <w:tc>
          <w:tcPr>
            <w:tcW w:w="100" w:type="dxa"/>
            <w:vAlign w:val="bottom"/>
            <w:tcBorders>
              <w:bottom w:val="single" w:sz="8" w:color="00ABD1"/>
            </w:tcBorders>
          </w:tcPr>
          <w:p>
            <w:pPr>
              <w:spacing w:after="0"/>
              <w:rPr>
                <w:sz w:val="18"/>
                <w:szCs w:val="18"/>
                <w:color w:val="auto"/>
              </w:rPr>
            </w:pPr>
          </w:p>
        </w:tc>
      </w:tr>
      <w:tr>
        <w:trPr>
          <w:trHeight w:val="372"/>
        </w:trPr>
        <w:tc>
          <w:tcPr>
            <w:tcW w:w="2360" w:type="dxa"/>
            <w:vAlign w:val="bottom"/>
            <w:gridSpan w:val="2"/>
          </w:tcPr>
          <w:p>
            <w:pPr>
              <w:ind w:left="60"/>
              <w:spacing w:after="0"/>
              <w:rPr>
                <w:sz w:val="20"/>
                <w:szCs w:val="20"/>
                <w:color w:val="auto"/>
              </w:rPr>
            </w:pPr>
            <w:r>
              <w:rPr>
                <w:rFonts w:ascii="Arial" w:cs="Arial" w:eastAsia="Arial" w:hAnsi="Arial"/>
                <w:sz w:val="18"/>
                <w:szCs w:val="18"/>
                <w:color w:val="auto"/>
              </w:rPr>
              <w:t>​Mary McLaughlin</w:t>
            </w:r>
          </w:p>
        </w:tc>
        <w:tc>
          <w:tcPr>
            <w:tcW w:w="820" w:type="dxa"/>
            <w:vAlign w:val="bottom"/>
          </w:tcPr>
          <w:p>
            <w:pPr>
              <w:ind w:left="360"/>
              <w:spacing w:after="0"/>
              <w:rPr>
                <w:sz w:val="20"/>
                <w:szCs w:val="20"/>
                <w:color w:val="auto"/>
              </w:rPr>
            </w:pPr>
            <w:r>
              <w:rPr>
                <w:rFonts w:ascii="Arial" w:cs="Arial" w:eastAsia="Arial" w:hAnsi="Arial"/>
                <w:sz w:val="18"/>
                <w:szCs w:val="18"/>
                <w:color w:val="auto"/>
              </w:rPr>
              <w:t>​ ​ 62</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240" w:type="dxa"/>
            <w:vAlign w:val="bottom"/>
          </w:tcPr>
          <w:p>
            <w:pPr>
              <w:ind w:left="40"/>
              <w:spacing w:after="0"/>
              <w:rPr>
                <w:sz w:val="20"/>
                <w:szCs w:val="20"/>
                <w:color w:val="auto"/>
              </w:rPr>
            </w:pPr>
            <w:r>
              <w:rPr>
                <w:rFonts w:ascii="Arial" w:cs="Arial" w:eastAsia="Arial" w:hAnsi="Arial"/>
                <w:sz w:val="18"/>
                <w:szCs w:val="18"/>
                <w:color w:val="auto"/>
              </w:rPr>
              <w:t>​ ​</w:t>
            </w:r>
          </w:p>
        </w:tc>
        <w:tc>
          <w:tcPr>
            <w:tcW w:w="3880" w:type="dxa"/>
            <w:vAlign w:val="bottom"/>
          </w:tcPr>
          <w:p>
            <w:pPr>
              <w:jc w:val="center"/>
              <w:spacing w:after="0"/>
              <w:rPr>
                <w:sz w:val="20"/>
                <w:szCs w:val="20"/>
                <w:color w:val="auto"/>
              </w:rPr>
            </w:pPr>
            <w:r>
              <w:rPr>
                <w:rFonts w:ascii="Arial" w:cs="Arial" w:eastAsia="Arial" w:hAnsi="Arial"/>
                <w:sz w:val="18"/>
                <w:szCs w:val="18"/>
                <w:color w:val="auto"/>
                <w:w w:val="97"/>
              </w:rPr>
              <w:t>Former Senior Regional Vice President, Beltway</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39"/>
        </w:trPr>
        <w:tc>
          <w:tcPr>
            <w:tcW w:w="1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7"/>
              </w:rPr>
              <w:t>Region, of Comcast Corporation</w:t>
            </w:r>
          </w:p>
        </w:tc>
        <w:tc>
          <w:tcPr>
            <w:tcW w:w="100" w:type="dxa"/>
            <w:vAlign w:val="bottom"/>
          </w:tcPr>
          <w:p>
            <w:pPr>
              <w:spacing w:after="0"/>
              <w:rPr>
                <w:sz w:val="20"/>
                <w:szCs w:val="20"/>
                <w:color w:val="auto"/>
              </w:rPr>
            </w:pPr>
          </w:p>
        </w:tc>
      </w:tr>
      <w:tr>
        <w:trPr>
          <w:trHeight w:val="45"/>
        </w:trPr>
        <w:tc>
          <w:tcPr>
            <w:tcW w:w="2360" w:type="dxa"/>
            <w:vAlign w:val="bottom"/>
            <w:tcBorders>
              <w:bottom w:val="single" w:sz="8" w:color="00ABD1"/>
            </w:tcBorders>
            <w:gridSpan w:val="2"/>
          </w:tcPr>
          <w:p>
            <w:pPr>
              <w:spacing w:after="0"/>
              <w:rPr>
                <w:sz w:val="3"/>
                <w:szCs w:val="3"/>
                <w:color w:val="auto"/>
              </w:rPr>
            </w:pPr>
          </w:p>
        </w:tc>
        <w:tc>
          <w:tcPr>
            <w:tcW w:w="820" w:type="dxa"/>
            <w:vAlign w:val="bottom"/>
            <w:tcBorders>
              <w:bottom w:val="single" w:sz="8" w:color="00ABD1"/>
            </w:tcBorders>
          </w:tcPr>
          <w:p>
            <w:pPr>
              <w:spacing w:after="0"/>
              <w:rPr>
                <w:sz w:val="3"/>
                <w:szCs w:val="3"/>
                <w:color w:val="auto"/>
              </w:rPr>
            </w:pPr>
          </w:p>
        </w:tc>
        <w:tc>
          <w:tcPr>
            <w:tcW w:w="200" w:type="dxa"/>
            <w:vAlign w:val="bottom"/>
            <w:tcBorders>
              <w:bottom w:val="single" w:sz="8" w:color="00ABD1"/>
            </w:tcBorders>
          </w:tcPr>
          <w:p>
            <w:pPr>
              <w:spacing w:after="0"/>
              <w:rPr>
                <w:sz w:val="3"/>
                <w:szCs w:val="3"/>
                <w:color w:val="auto"/>
              </w:rPr>
            </w:pPr>
          </w:p>
        </w:tc>
        <w:tc>
          <w:tcPr>
            <w:tcW w:w="600" w:type="dxa"/>
            <w:vAlign w:val="bottom"/>
            <w:tcBorders>
              <w:bottom w:val="single" w:sz="8" w:color="00ABD1"/>
            </w:tcBorders>
          </w:tcPr>
          <w:p>
            <w:pPr>
              <w:spacing w:after="0"/>
              <w:rPr>
                <w:sz w:val="3"/>
                <w:szCs w:val="3"/>
                <w:color w:val="auto"/>
              </w:rPr>
            </w:pPr>
          </w:p>
        </w:tc>
        <w:tc>
          <w:tcPr>
            <w:tcW w:w="240" w:type="dxa"/>
            <w:vAlign w:val="bottom"/>
            <w:tcBorders>
              <w:bottom w:val="single" w:sz="8" w:color="00ABD1"/>
            </w:tcBorders>
          </w:tcPr>
          <w:p>
            <w:pPr>
              <w:spacing w:after="0"/>
              <w:rPr>
                <w:sz w:val="3"/>
                <w:szCs w:val="3"/>
                <w:color w:val="auto"/>
              </w:rPr>
            </w:pPr>
          </w:p>
        </w:tc>
        <w:tc>
          <w:tcPr>
            <w:tcW w:w="3880" w:type="dxa"/>
            <w:vAlign w:val="bottom"/>
            <w:tcBorders>
              <w:bottom w:val="single" w:sz="8" w:color="00ABD1"/>
            </w:tcBorders>
          </w:tcPr>
          <w:p>
            <w:pPr>
              <w:spacing w:after="0"/>
              <w:rPr>
                <w:sz w:val="3"/>
                <w:szCs w:val="3"/>
                <w:color w:val="auto"/>
              </w:rPr>
            </w:pPr>
          </w:p>
        </w:tc>
        <w:tc>
          <w:tcPr>
            <w:tcW w:w="100" w:type="dxa"/>
            <w:vAlign w:val="bottom"/>
            <w:tcBorders>
              <w:bottom w:val="single" w:sz="8" w:color="00ABD1"/>
            </w:tcBorders>
          </w:tcPr>
          <w:p>
            <w:pPr>
              <w:spacing w:after="0"/>
              <w:rPr>
                <w:sz w:val="3"/>
                <w:szCs w:val="3"/>
                <w:color w:val="auto"/>
              </w:rPr>
            </w:pPr>
          </w:p>
        </w:tc>
      </w:tr>
      <w:tr>
        <w:trPr>
          <w:trHeight w:val="443"/>
        </w:trPr>
        <w:tc>
          <w:tcPr>
            <w:tcW w:w="2360" w:type="dxa"/>
            <w:vAlign w:val="bottom"/>
            <w:gridSpan w:val="2"/>
          </w:tcPr>
          <w:p>
            <w:pPr>
              <w:ind w:left="60"/>
              <w:spacing w:after="0"/>
              <w:rPr>
                <w:sz w:val="20"/>
                <w:szCs w:val="20"/>
                <w:color w:val="auto"/>
              </w:rPr>
            </w:pPr>
            <w:r>
              <w:rPr>
                <w:rFonts w:ascii="Arial" w:cs="Arial" w:eastAsia="Arial" w:hAnsi="Arial"/>
                <w:sz w:val="18"/>
                <w:szCs w:val="18"/>
                <w:color w:val="auto"/>
              </w:rPr>
              <w:t>​Joseph Natale</w:t>
            </w:r>
          </w:p>
        </w:tc>
        <w:tc>
          <w:tcPr>
            <w:tcW w:w="820" w:type="dxa"/>
            <w:vAlign w:val="bottom"/>
          </w:tcPr>
          <w:p>
            <w:pPr>
              <w:ind w:left="360"/>
              <w:spacing w:after="0"/>
              <w:rPr>
                <w:sz w:val="20"/>
                <w:szCs w:val="20"/>
                <w:color w:val="auto"/>
              </w:rPr>
            </w:pPr>
            <w:r>
              <w:rPr>
                <w:rFonts w:ascii="Arial" w:cs="Arial" w:eastAsia="Arial" w:hAnsi="Arial"/>
                <w:sz w:val="18"/>
                <w:szCs w:val="18"/>
                <w:color w:val="auto"/>
              </w:rPr>
              <w:t>​ ​ 62</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240" w:type="dxa"/>
            <w:vAlign w:val="bottom"/>
          </w:tcPr>
          <w:p>
            <w:pPr>
              <w:ind w:left="40"/>
              <w:spacing w:after="0"/>
              <w:rPr>
                <w:sz w:val="20"/>
                <w:szCs w:val="20"/>
                <w:color w:val="auto"/>
              </w:rPr>
            </w:pPr>
            <w:r>
              <w:rPr>
                <w:rFonts w:ascii="Arial" w:cs="Arial" w:eastAsia="Arial" w:hAnsi="Arial"/>
                <w:sz w:val="18"/>
                <w:szCs w:val="18"/>
                <w:color w:val="auto"/>
              </w:rPr>
              <w:t>​ ​</w:t>
            </w:r>
          </w:p>
        </w:tc>
        <w:tc>
          <w:tcPr>
            <w:tcW w:w="3880" w:type="dxa"/>
            <w:vAlign w:val="bottom"/>
          </w:tcPr>
          <w:p>
            <w:pPr>
              <w:jc w:val="center"/>
              <w:spacing w:after="0"/>
              <w:rPr>
                <w:sz w:val="20"/>
                <w:szCs w:val="20"/>
                <w:color w:val="auto"/>
              </w:rPr>
            </w:pPr>
            <w:r>
              <w:rPr>
                <w:rFonts w:ascii="Arial" w:cs="Arial" w:eastAsia="Arial" w:hAnsi="Arial"/>
                <w:sz w:val="18"/>
                <w:szCs w:val="18"/>
                <w:color w:val="auto"/>
                <w:w w:val="97"/>
              </w:rPr>
              <w:t>Senior Advisor of Altas Partners LP</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12"/>
        </w:trPr>
        <w:tc>
          <w:tcPr>
            <w:tcW w:w="2360" w:type="dxa"/>
            <w:vAlign w:val="bottom"/>
            <w:tcBorders>
              <w:bottom w:val="single" w:sz="8" w:color="00ABD1"/>
            </w:tcBorders>
            <w:gridSpan w:val="2"/>
          </w:tcPr>
          <w:p>
            <w:pPr>
              <w:spacing w:after="0"/>
              <w:rPr>
                <w:sz w:val="18"/>
                <w:szCs w:val="18"/>
                <w:color w:val="auto"/>
              </w:rPr>
            </w:pPr>
          </w:p>
        </w:tc>
        <w:tc>
          <w:tcPr>
            <w:tcW w:w="820" w:type="dxa"/>
            <w:vAlign w:val="bottom"/>
            <w:tcBorders>
              <w:bottom w:val="single" w:sz="8" w:color="00ABD1"/>
            </w:tcBorders>
          </w:tcPr>
          <w:p>
            <w:pPr>
              <w:spacing w:after="0"/>
              <w:rPr>
                <w:sz w:val="18"/>
                <w:szCs w:val="18"/>
                <w:color w:val="auto"/>
              </w:rPr>
            </w:pPr>
          </w:p>
        </w:tc>
        <w:tc>
          <w:tcPr>
            <w:tcW w:w="200" w:type="dxa"/>
            <w:vAlign w:val="bottom"/>
            <w:tcBorders>
              <w:bottom w:val="single" w:sz="8" w:color="00ABD1"/>
            </w:tcBorders>
          </w:tcPr>
          <w:p>
            <w:pPr>
              <w:spacing w:after="0"/>
              <w:rPr>
                <w:sz w:val="18"/>
                <w:szCs w:val="18"/>
                <w:color w:val="auto"/>
              </w:rPr>
            </w:pPr>
          </w:p>
        </w:tc>
        <w:tc>
          <w:tcPr>
            <w:tcW w:w="600" w:type="dxa"/>
            <w:vAlign w:val="bottom"/>
            <w:tcBorders>
              <w:bottom w:val="single" w:sz="8" w:color="00ABD1"/>
            </w:tcBorders>
          </w:tcPr>
          <w:p>
            <w:pPr>
              <w:spacing w:after="0"/>
              <w:rPr>
                <w:sz w:val="18"/>
                <w:szCs w:val="18"/>
                <w:color w:val="auto"/>
              </w:rPr>
            </w:pPr>
          </w:p>
        </w:tc>
        <w:tc>
          <w:tcPr>
            <w:tcW w:w="240" w:type="dxa"/>
            <w:vAlign w:val="bottom"/>
            <w:tcBorders>
              <w:bottom w:val="single" w:sz="8" w:color="00ABD1"/>
            </w:tcBorders>
          </w:tcPr>
          <w:p>
            <w:pPr>
              <w:spacing w:after="0"/>
              <w:rPr>
                <w:sz w:val="18"/>
                <w:szCs w:val="18"/>
                <w:color w:val="auto"/>
              </w:rPr>
            </w:pPr>
          </w:p>
        </w:tc>
        <w:tc>
          <w:tcPr>
            <w:tcW w:w="3880" w:type="dxa"/>
            <w:vAlign w:val="bottom"/>
            <w:tcBorders>
              <w:bottom w:val="single" w:sz="8" w:color="00ABD1"/>
            </w:tcBorders>
          </w:tcPr>
          <w:p>
            <w:pPr>
              <w:spacing w:after="0"/>
              <w:rPr>
                <w:sz w:val="18"/>
                <w:szCs w:val="18"/>
                <w:color w:val="auto"/>
              </w:rPr>
            </w:pPr>
          </w:p>
        </w:tc>
        <w:tc>
          <w:tcPr>
            <w:tcW w:w="100" w:type="dxa"/>
            <w:vAlign w:val="bottom"/>
            <w:tcBorders>
              <w:bottom w:val="single" w:sz="8" w:color="00ABD1"/>
            </w:tcBorders>
          </w:tcPr>
          <w:p>
            <w:pPr>
              <w:spacing w:after="0"/>
              <w:rPr>
                <w:sz w:val="18"/>
                <w:szCs w:val="18"/>
                <w:color w:val="auto"/>
              </w:rPr>
            </w:pPr>
          </w:p>
        </w:tc>
      </w:tr>
      <w:tr>
        <w:trPr>
          <w:trHeight w:val="443"/>
        </w:trPr>
        <w:tc>
          <w:tcPr>
            <w:tcW w:w="2360" w:type="dxa"/>
            <w:vAlign w:val="bottom"/>
            <w:gridSpan w:val="2"/>
          </w:tcPr>
          <w:p>
            <w:pPr>
              <w:ind w:left="60"/>
              <w:spacing w:after="0"/>
              <w:rPr>
                <w:sz w:val="20"/>
                <w:szCs w:val="20"/>
                <w:color w:val="auto"/>
              </w:rPr>
            </w:pPr>
            <w:r>
              <w:rPr>
                <w:rFonts w:ascii="Arial" w:cs="Arial" w:eastAsia="Arial" w:hAnsi="Arial"/>
                <w:sz w:val="18"/>
                <w:szCs w:val="18"/>
                <w:color w:val="auto"/>
              </w:rPr>
              <w:t>​Carmen Perez-Carlton</w:t>
            </w:r>
          </w:p>
        </w:tc>
        <w:tc>
          <w:tcPr>
            <w:tcW w:w="820" w:type="dxa"/>
            <w:vAlign w:val="bottom"/>
          </w:tcPr>
          <w:p>
            <w:pPr>
              <w:ind w:left="360"/>
              <w:spacing w:after="0"/>
              <w:rPr>
                <w:sz w:val="20"/>
                <w:szCs w:val="20"/>
                <w:color w:val="auto"/>
              </w:rPr>
            </w:pPr>
            <w:r>
              <w:rPr>
                <w:rFonts w:ascii="Arial" w:cs="Arial" w:eastAsia="Arial" w:hAnsi="Arial"/>
                <w:sz w:val="18"/>
                <w:szCs w:val="18"/>
                <w:color w:val="auto"/>
              </w:rPr>
              <w:t>​ ​ 65</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240" w:type="dxa"/>
            <w:vAlign w:val="bottom"/>
          </w:tcPr>
          <w:p>
            <w:pPr>
              <w:ind w:left="40"/>
              <w:spacing w:after="0"/>
              <w:rPr>
                <w:sz w:val="20"/>
                <w:szCs w:val="20"/>
                <w:color w:val="auto"/>
              </w:rPr>
            </w:pPr>
            <w:r>
              <w:rPr>
                <w:rFonts w:ascii="Arial" w:cs="Arial" w:eastAsia="Arial" w:hAnsi="Arial"/>
                <w:sz w:val="18"/>
                <w:szCs w:val="18"/>
                <w:color w:val="auto"/>
              </w:rPr>
              <w:t>​ ​</w:t>
            </w:r>
          </w:p>
        </w:tc>
        <w:tc>
          <w:tcPr>
            <w:tcW w:w="3880" w:type="dxa"/>
            <w:vAlign w:val="bottom"/>
          </w:tcPr>
          <w:p>
            <w:pPr>
              <w:jc w:val="center"/>
              <w:spacing w:after="0"/>
              <w:rPr>
                <w:sz w:val="20"/>
                <w:szCs w:val="20"/>
                <w:color w:val="auto"/>
              </w:rPr>
            </w:pPr>
            <w:r>
              <w:rPr>
                <w:rFonts w:ascii="Arial" w:cs="Arial" w:eastAsia="Arial" w:hAnsi="Arial"/>
                <w:sz w:val="18"/>
                <w:szCs w:val="18"/>
                <w:color w:val="auto"/>
                <w:w w:val="97"/>
              </w:rPr>
              <w:t>Former President of FPL Fibernet, LLC</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12"/>
        </w:trPr>
        <w:tc>
          <w:tcPr>
            <w:tcW w:w="2360" w:type="dxa"/>
            <w:vAlign w:val="bottom"/>
            <w:tcBorders>
              <w:bottom w:val="single" w:sz="8" w:color="00ABD1"/>
            </w:tcBorders>
            <w:gridSpan w:val="2"/>
          </w:tcPr>
          <w:p>
            <w:pPr>
              <w:spacing w:after="0"/>
              <w:rPr>
                <w:sz w:val="18"/>
                <w:szCs w:val="18"/>
                <w:color w:val="auto"/>
              </w:rPr>
            </w:pPr>
          </w:p>
        </w:tc>
        <w:tc>
          <w:tcPr>
            <w:tcW w:w="820" w:type="dxa"/>
            <w:vAlign w:val="bottom"/>
            <w:tcBorders>
              <w:bottom w:val="single" w:sz="8" w:color="00ABD1"/>
            </w:tcBorders>
          </w:tcPr>
          <w:p>
            <w:pPr>
              <w:spacing w:after="0"/>
              <w:rPr>
                <w:sz w:val="18"/>
                <w:szCs w:val="18"/>
                <w:color w:val="auto"/>
              </w:rPr>
            </w:pPr>
          </w:p>
        </w:tc>
        <w:tc>
          <w:tcPr>
            <w:tcW w:w="200" w:type="dxa"/>
            <w:vAlign w:val="bottom"/>
            <w:tcBorders>
              <w:bottom w:val="single" w:sz="8" w:color="00ABD1"/>
            </w:tcBorders>
          </w:tcPr>
          <w:p>
            <w:pPr>
              <w:spacing w:after="0"/>
              <w:rPr>
                <w:sz w:val="18"/>
                <w:szCs w:val="18"/>
                <w:color w:val="auto"/>
              </w:rPr>
            </w:pPr>
          </w:p>
        </w:tc>
        <w:tc>
          <w:tcPr>
            <w:tcW w:w="600" w:type="dxa"/>
            <w:vAlign w:val="bottom"/>
            <w:tcBorders>
              <w:bottom w:val="single" w:sz="8" w:color="00ABD1"/>
            </w:tcBorders>
          </w:tcPr>
          <w:p>
            <w:pPr>
              <w:spacing w:after="0"/>
              <w:rPr>
                <w:sz w:val="18"/>
                <w:szCs w:val="18"/>
                <w:color w:val="auto"/>
              </w:rPr>
            </w:pPr>
          </w:p>
        </w:tc>
        <w:tc>
          <w:tcPr>
            <w:tcW w:w="4120" w:type="dxa"/>
            <w:vAlign w:val="bottom"/>
            <w:tcBorders>
              <w:bottom w:val="single" w:sz="8" w:color="00ABD1"/>
            </w:tcBorders>
            <w:gridSpan w:val="2"/>
          </w:tcPr>
          <w:p>
            <w:pPr>
              <w:spacing w:after="0"/>
              <w:rPr>
                <w:sz w:val="18"/>
                <w:szCs w:val="18"/>
                <w:color w:val="auto"/>
              </w:rPr>
            </w:pPr>
          </w:p>
        </w:tc>
        <w:tc>
          <w:tcPr>
            <w:tcW w:w="100" w:type="dxa"/>
            <w:vAlign w:val="bottom"/>
            <w:tcBorders>
              <w:bottom w:val="single" w:sz="8" w:color="00ABD1"/>
            </w:tcBorders>
          </w:tcPr>
          <w:p>
            <w:pPr>
              <w:spacing w:after="0"/>
              <w:rPr>
                <w:sz w:val="18"/>
                <w:szCs w:val="18"/>
                <w:color w:val="auto"/>
              </w:rPr>
            </w:pPr>
          </w:p>
        </w:tc>
      </w:tr>
      <w:tr>
        <w:trPr>
          <w:trHeight w:val="443"/>
        </w:trPr>
        <w:tc>
          <w:tcPr>
            <w:tcW w:w="2360" w:type="dxa"/>
            <w:vAlign w:val="bottom"/>
            <w:gridSpan w:val="2"/>
          </w:tcPr>
          <w:p>
            <w:pPr>
              <w:ind w:left="60"/>
              <w:spacing w:after="0"/>
              <w:rPr>
                <w:sz w:val="20"/>
                <w:szCs w:val="20"/>
                <w:color w:val="auto"/>
              </w:rPr>
            </w:pPr>
            <w:r>
              <w:rPr>
                <w:rFonts w:ascii="Arial" w:cs="Arial" w:eastAsia="Arial" w:hAnsi="Arial"/>
                <w:sz w:val="18"/>
                <w:szCs w:val="18"/>
                <w:color w:val="auto"/>
              </w:rPr>
              <w:t>​Johannes Weber</w:t>
            </w:r>
          </w:p>
        </w:tc>
        <w:tc>
          <w:tcPr>
            <w:tcW w:w="820" w:type="dxa"/>
            <w:vAlign w:val="bottom"/>
          </w:tcPr>
          <w:p>
            <w:pPr>
              <w:ind w:left="360"/>
              <w:spacing w:after="0"/>
              <w:rPr>
                <w:sz w:val="20"/>
                <w:szCs w:val="20"/>
                <w:color w:val="auto"/>
              </w:rPr>
            </w:pPr>
            <w:r>
              <w:rPr>
                <w:rFonts w:ascii="Arial" w:cs="Arial" w:eastAsia="Arial" w:hAnsi="Arial"/>
                <w:sz w:val="18"/>
                <w:szCs w:val="18"/>
                <w:color w:val="auto"/>
              </w:rPr>
              <w:t>​ ​ 47</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 ​ Consultant to Elliott Investment Management L.P.</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12"/>
        </w:trPr>
        <w:tc>
          <w:tcPr>
            <w:tcW w:w="1120" w:type="dxa"/>
            <w:vAlign w:val="bottom"/>
            <w:tcBorders>
              <w:bottom w:val="single" w:sz="8" w:color="00ABD1"/>
            </w:tcBorders>
          </w:tcPr>
          <w:p>
            <w:pPr>
              <w:spacing w:after="0"/>
              <w:rPr>
                <w:sz w:val="18"/>
                <w:szCs w:val="18"/>
                <w:color w:val="auto"/>
              </w:rPr>
            </w:pPr>
          </w:p>
        </w:tc>
        <w:tc>
          <w:tcPr>
            <w:tcW w:w="1240" w:type="dxa"/>
            <w:vAlign w:val="bottom"/>
            <w:tcBorders>
              <w:bottom w:val="single" w:sz="8" w:color="00ABD1"/>
            </w:tcBorders>
          </w:tcPr>
          <w:p>
            <w:pPr>
              <w:spacing w:after="0"/>
              <w:rPr>
                <w:sz w:val="18"/>
                <w:szCs w:val="18"/>
                <w:color w:val="auto"/>
              </w:rPr>
            </w:pPr>
          </w:p>
        </w:tc>
        <w:tc>
          <w:tcPr>
            <w:tcW w:w="820" w:type="dxa"/>
            <w:vAlign w:val="bottom"/>
            <w:tcBorders>
              <w:bottom w:val="single" w:sz="8" w:color="00ABD1"/>
            </w:tcBorders>
          </w:tcPr>
          <w:p>
            <w:pPr>
              <w:spacing w:after="0"/>
              <w:rPr>
                <w:sz w:val="18"/>
                <w:szCs w:val="18"/>
                <w:color w:val="auto"/>
              </w:rPr>
            </w:pPr>
          </w:p>
        </w:tc>
        <w:tc>
          <w:tcPr>
            <w:tcW w:w="200" w:type="dxa"/>
            <w:vAlign w:val="bottom"/>
            <w:tcBorders>
              <w:bottom w:val="single" w:sz="8" w:color="00ABD1"/>
            </w:tcBorders>
          </w:tcPr>
          <w:p>
            <w:pPr>
              <w:spacing w:after="0"/>
              <w:rPr>
                <w:sz w:val="18"/>
                <w:szCs w:val="18"/>
                <w:color w:val="auto"/>
              </w:rPr>
            </w:pPr>
          </w:p>
        </w:tc>
        <w:tc>
          <w:tcPr>
            <w:tcW w:w="600" w:type="dxa"/>
            <w:vAlign w:val="bottom"/>
            <w:tcBorders>
              <w:bottom w:val="single" w:sz="8" w:color="00ABD1"/>
            </w:tcBorders>
          </w:tcPr>
          <w:p>
            <w:pPr>
              <w:spacing w:after="0"/>
              <w:rPr>
                <w:sz w:val="18"/>
                <w:szCs w:val="18"/>
                <w:color w:val="auto"/>
              </w:rPr>
            </w:pPr>
          </w:p>
        </w:tc>
        <w:tc>
          <w:tcPr>
            <w:tcW w:w="240" w:type="dxa"/>
            <w:vAlign w:val="bottom"/>
            <w:tcBorders>
              <w:bottom w:val="single" w:sz="8" w:color="00ABD1"/>
            </w:tcBorders>
          </w:tcPr>
          <w:p>
            <w:pPr>
              <w:spacing w:after="0"/>
              <w:rPr>
                <w:sz w:val="18"/>
                <w:szCs w:val="18"/>
                <w:color w:val="auto"/>
              </w:rPr>
            </w:pPr>
          </w:p>
        </w:tc>
        <w:tc>
          <w:tcPr>
            <w:tcW w:w="3880" w:type="dxa"/>
            <w:vAlign w:val="bottom"/>
            <w:tcBorders>
              <w:bottom w:val="single" w:sz="8" w:color="00ABD1"/>
            </w:tcBorders>
          </w:tcPr>
          <w:p>
            <w:pPr>
              <w:spacing w:after="0"/>
              <w:rPr>
                <w:sz w:val="18"/>
                <w:szCs w:val="18"/>
                <w:color w:val="auto"/>
              </w:rPr>
            </w:pPr>
          </w:p>
        </w:tc>
        <w:tc>
          <w:tcPr>
            <w:tcW w:w="100" w:type="dxa"/>
            <w:vAlign w:val="bottom"/>
            <w:tcBorders>
              <w:bottom w:val="single" w:sz="8" w:color="00ABD1"/>
            </w:tcBorders>
          </w:tcPr>
          <w:p>
            <w:pPr>
              <w:spacing w:after="0"/>
              <w:rPr>
                <w:sz w:val="18"/>
                <w:szCs w:val="18"/>
                <w:color w:val="auto"/>
              </w:rPr>
            </w:pPr>
          </w:p>
        </w:tc>
      </w:tr>
      <w:tr>
        <w:trPr>
          <w:trHeight w:val="484"/>
        </w:trPr>
        <w:tc>
          <w:tcPr>
            <w:tcW w:w="1120" w:type="dxa"/>
            <w:vAlign w:val="bottom"/>
          </w:tcPr>
          <w:p>
            <w:pPr>
              <w:ind w:left="60"/>
              <w:spacing w:after="0"/>
              <w:rPr>
                <w:sz w:val="20"/>
                <w:szCs w:val="20"/>
                <w:color w:val="auto"/>
              </w:rPr>
            </w:pPr>
            <w:r>
              <w:rPr>
                <w:rFonts w:ascii="Arial" w:cs="Arial" w:eastAsia="Arial" w:hAnsi="Arial"/>
                <w:sz w:val="18"/>
                <w:szCs w:val="18"/>
                <w:color w:val="auto"/>
              </w:rPr>
              <w:t>​Harold Zeitz</w:t>
            </w:r>
          </w:p>
        </w:tc>
        <w:tc>
          <w:tcPr>
            <w:tcW w:w="124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Arial" w:cs="Arial" w:eastAsia="Arial" w:hAnsi="Arial"/>
                <w:sz w:val="18"/>
                <w:szCs w:val="18"/>
                <w:color w:val="auto"/>
              </w:rPr>
              <w:t>​ ​ 62</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240" w:type="dxa"/>
            <w:vAlign w:val="bottom"/>
          </w:tcPr>
          <w:p>
            <w:pPr>
              <w:ind w:left="40"/>
              <w:spacing w:after="0"/>
              <w:rPr>
                <w:sz w:val="20"/>
                <w:szCs w:val="20"/>
                <w:color w:val="auto"/>
              </w:rPr>
            </w:pPr>
            <w:r>
              <w:rPr>
                <w:rFonts w:ascii="Arial" w:cs="Arial" w:eastAsia="Arial" w:hAnsi="Arial"/>
                <w:sz w:val="18"/>
                <w:szCs w:val="18"/>
                <w:color w:val="auto"/>
              </w:rPr>
              <w:t>​ ​</w:t>
            </w:r>
          </w:p>
        </w:tc>
        <w:tc>
          <w:tcPr>
            <w:tcW w:w="3880" w:type="dxa"/>
            <w:vAlign w:val="bottom"/>
          </w:tcPr>
          <w:p>
            <w:pPr>
              <w:jc w:val="center"/>
              <w:spacing w:after="0"/>
              <w:rPr>
                <w:sz w:val="20"/>
                <w:szCs w:val="20"/>
                <w:color w:val="auto"/>
              </w:rPr>
            </w:pPr>
            <w:r>
              <w:rPr>
                <w:rFonts w:ascii="Arial" w:cs="Arial" w:eastAsia="Arial" w:hAnsi="Arial"/>
                <w:sz w:val="18"/>
                <w:szCs w:val="18"/>
                <w:color w:val="auto"/>
                <w:w w:val="97"/>
              </w:rPr>
              <w:t>Chief Executive Officer of Ziply Fiber</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53"/>
        </w:trPr>
        <w:tc>
          <w:tcPr>
            <w:tcW w:w="1120" w:type="dxa"/>
            <w:vAlign w:val="bottom"/>
            <w:tcBorders>
              <w:bottom w:val="single" w:sz="8" w:color="00ABD1"/>
            </w:tcBorders>
          </w:tcPr>
          <w:p>
            <w:pPr>
              <w:spacing w:after="0"/>
              <w:rPr>
                <w:sz w:val="21"/>
                <w:szCs w:val="21"/>
                <w:color w:val="auto"/>
              </w:rPr>
            </w:pPr>
          </w:p>
        </w:tc>
        <w:tc>
          <w:tcPr>
            <w:tcW w:w="1240" w:type="dxa"/>
            <w:vAlign w:val="bottom"/>
            <w:tcBorders>
              <w:bottom w:val="single" w:sz="8" w:color="00ABD1"/>
            </w:tcBorders>
          </w:tcPr>
          <w:p>
            <w:pPr>
              <w:spacing w:after="0"/>
              <w:rPr>
                <w:sz w:val="21"/>
                <w:szCs w:val="21"/>
                <w:color w:val="auto"/>
              </w:rPr>
            </w:pPr>
          </w:p>
        </w:tc>
        <w:tc>
          <w:tcPr>
            <w:tcW w:w="820" w:type="dxa"/>
            <w:vAlign w:val="bottom"/>
            <w:tcBorders>
              <w:bottom w:val="single" w:sz="8" w:color="00ABD1"/>
            </w:tcBorders>
          </w:tcPr>
          <w:p>
            <w:pPr>
              <w:spacing w:after="0"/>
              <w:rPr>
                <w:sz w:val="21"/>
                <w:szCs w:val="21"/>
                <w:color w:val="auto"/>
              </w:rPr>
            </w:pPr>
          </w:p>
        </w:tc>
        <w:tc>
          <w:tcPr>
            <w:tcW w:w="200" w:type="dxa"/>
            <w:vAlign w:val="bottom"/>
            <w:tcBorders>
              <w:bottom w:val="single" w:sz="8" w:color="00ABD1"/>
            </w:tcBorders>
          </w:tcPr>
          <w:p>
            <w:pPr>
              <w:spacing w:after="0"/>
              <w:rPr>
                <w:sz w:val="21"/>
                <w:szCs w:val="21"/>
                <w:color w:val="auto"/>
              </w:rPr>
            </w:pPr>
          </w:p>
        </w:tc>
        <w:tc>
          <w:tcPr>
            <w:tcW w:w="600" w:type="dxa"/>
            <w:vAlign w:val="bottom"/>
            <w:tcBorders>
              <w:bottom w:val="single" w:sz="8" w:color="00ABD1"/>
            </w:tcBorders>
          </w:tcPr>
          <w:p>
            <w:pPr>
              <w:spacing w:after="0"/>
              <w:rPr>
                <w:sz w:val="21"/>
                <w:szCs w:val="21"/>
                <w:color w:val="auto"/>
              </w:rPr>
            </w:pPr>
          </w:p>
        </w:tc>
        <w:tc>
          <w:tcPr>
            <w:tcW w:w="240" w:type="dxa"/>
            <w:vAlign w:val="bottom"/>
            <w:tcBorders>
              <w:bottom w:val="single" w:sz="8" w:color="00ABD1"/>
            </w:tcBorders>
          </w:tcPr>
          <w:p>
            <w:pPr>
              <w:spacing w:after="0"/>
              <w:rPr>
                <w:sz w:val="21"/>
                <w:szCs w:val="21"/>
                <w:color w:val="auto"/>
              </w:rPr>
            </w:pPr>
          </w:p>
        </w:tc>
        <w:tc>
          <w:tcPr>
            <w:tcW w:w="3880" w:type="dxa"/>
            <w:vAlign w:val="bottom"/>
            <w:tcBorders>
              <w:bottom w:val="single" w:sz="8" w:color="00ABD1"/>
            </w:tcBorders>
          </w:tcPr>
          <w:p>
            <w:pPr>
              <w:spacing w:after="0"/>
              <w:rPr>
                <w:sz w:val="21"/>
                <w:szCs w:val="21"/>
                <w:color w:val="auto"/>
              </w:rPr>
            </w:pPr>
          </w:p>
        </w:tc>
        <w:tc>
          <w:tcPr>
            <w:tcW w:w="100" w:type="dxa"/>
            <w:vAlign w:val="bottom"/>
            <w:tcBorders>
              <w:bottom w:val="single" w:sz="8" w:color="00ABD1"/>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2696210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00ABD1"/>
        </w:rPr>
        <w:t xml:space="preserve">2025 Executive Compensation (see page </w:t>
      </w:r>
      <w:r>
        <w:rPr>
          <w:rFonts w:ascii="Arial" w:cs="Arial" w:eastAsia="Arial" w:hAnsi="Arial"/>
          <w:sz w:val="22"/>
          <w:szCs w:val="22"/>
          <w:b w:val="1"/>
          <w:bCs w:val="1"/>
          <w:u w:val="single" w:color="auto"/>
          <w:color w:val="00ABD1"/>
        </w:rPr>
        <w:t>33</w:t>
      </w:r>
      <w:r>
        <w:rPr>
          <w:rFonts w:ascii="Arial" w:cs="Arial" w:eastAsia="Arial" w:hAnsi="Arial"/>
          <w:sz w:val="22"/>
          <w:szCs w:val="22"/>
          <w:b w:val="1"/>
          <w:bCs w:val="1"/>
          <w:color w:val="00ABD1"/>
        </w:rPr>
        <w:t>)</w:t>
      </w:r>
    </w:p>
    <w:p>
      <w:pPr>
        <w:spacing w:after="0" w:line="337" w:lineRule="exact"/>
        <w:rPr>
          <w:sz w:val="20"/>
          <w:szCs w:val="20"/>
          <w:color w:val="auto"/>
        </w:rPr>
      </w:pPr>
    </w:p>
    <w:p>
      <w:pPr>
        <w:ind w:left="1280" w:right="799" w:firstLine="648"/>
        <w:spacing w:after="0" w:line="261" w:lineRule="auto"/>
        <w:rPr>
          <w:sz w:val="20"/>
          <w:szCs w:val="20"/>
          <w:color w:val="auto"/>
        </w:rPr>
      </w:pPr>
      <w:r>
        <w:rPr>
          <w:rFonts w:ascii="Arial" w:cs="Arial" w:eastAsia="Arial" w:hAnsi="Arial"/>
          <w:sz w:val="18"/>
          <w:szCs w:val="18"/>
          <w:color w:val="auto"/>
        </w:rPr>
        <w:t>Compensation decisions regarding executive compensation are made by the Compensation Committee. The Compensation Committee believes that a sensibly structured, incentive-aligning compensation program is critical to the creation of long-term stockholder value. The following table summarizes certain highlights of our compensation practices:</w:t>
      </w:r>
    </w:p>
    <w:p>
      <w:pPr>
        <w:sectPr>
          <w:pgSz w:w="11900" w:h="16838" w:orient="portrait"/>
          <w:cols w:equalWidth="0" w:num="1">
            <w:col w:w="9879"/>
          </w:cols>
          <w:pgMar w:left="580" w:top="97" w:right="1440" w:bottom="1440" w:gutter="0" w:footer="0" w:header="0"/>
        </w:sectPr>
      </w:pPr>
    </w:p>
    <w:p>
      <w:pPr>
        <w:spacing w:after="0" w:line="3" w:lineRule="exact"/>
        <w:rPr>
          <w:sz w:val="20"/>
          <w:szCs w:val="20"/>
          <w:color w:val="auto"/>
        </w:rPr>
      </w:pPr>
    </w:p>
    <w:tbl>
      <w:tblPr>
        <w:tblLayout w:type="fixed"/>
        <w:tblInd w:w="1280" w:type="dxa"/>
        <w:tblCellMar>
          <w:top w:w="0" w:type="dxa"/>
          <w:left w:w="0" w:type="dxa"/>
          <w:bottom w:w="0" w:type="dxa"/>
          <w:right w:w="0" w:type="dxa"/>
        </w:tblCellMar>
      </w:tblPr>
      <w:tr>
        <w:trPr>
          <w:trHeight w:val="487"/>
        </w:trPr>
        <w:tc>
          <w:tcPr>
            <w:tcW w:w="3940" w:type="dxa"/>
            <w:vAlign w:val="bottom"/>
          </w:tcPr>
          <w:p>
            <w:pPr>
              <w:spacing w:after="0"/>
              <w:rPr>
                <w:sz w:val="20"/>
                <w:szCs w:val="20"/>
                <w:color w:val="auto"/>
              </w:rPr>
            </w:pPr>
            <w:r>
              <w:rPr>
                <w:rFonts w:ascii="Arial" w:cs="Arial" w:eastAsia="Arial" w:hAnsi="Arial"/>
                <w:sz w:val="18"/>
                <w:szCs w:val="18"/>
                <w:b w:val="1"/>
                <w:bCs w:val="1"/>
                <w:color w:val="auto"/>
              </w:rPr>
              <w:t>What We Do:</w:t>
            </w:r>
          </w:p>
        </w:tc>
        <w:tc>
          <w:tcPr>
            <w:tcW w:w="3840" w:type="dxa"/>
            <w:vAlign w:val="bottom"/>
            <w:gridSpan w:val="2"/>
          </w:tcPr>
          <w:p>
            <w:pPr>
              <w:ind w:left="40"/>
              <w:spacing w:after="0"/>
              <w:rPr>
                <w:sz w:val="20"/>
                <w:szCs w:val="20"/>
                <w:color w:val="auto"/>
              </w:rPr>
            </w:pPr>
            <w:r>
              <w:rPr>
                <w:rFonts w:ascii="Arial" w:cs="Arial" w:eastAsia="Arial" w:hAnsi="Arial"/>
                <w:sz w:val="35"/>
                <w:szCs w:val="35"/>
                <w:b w:val="1"/>
                <w:bCs w:val="1"/>
                <w:color w:val="auto"/>
                <w:vertAlign w:val="subscript"/>
              </w:rPr>
              <w:t>​ ​</w:t>
            </w:r>
            <w:r>
              <w:rPr>
                <w:rFonts w:ascii="Arial" w:cs="Arial" w:eastAsia="Arial" w:hAnsi="Arial"/>
                <w:sz w:val="18"/>
                <w:szCs w:val="18"/>
                <w:b w:val="1"/>
                <w:bCs w:val="1"/>
                <w:color w:val="auto"/>
              </w:rPr>
              <w:t xml:space="preserve"> What We Don’t Do:</w:t>
            </w:r>
          </w:p>
        </w:tc>
        <w:tc>
          <w:tcPr>
            <w:tcW w:w="0" w:type="dxa"/>
            <w:vAlign w:val="bottom"/>
          </w:tcPr>
          <w:p>
            <w:pPr>
              <w:spacing w:after="0"/>
              <w:rPr>
                <w:sz w:val="1"/>
                <w:szCs w:val="1"/>
                <w:color w:val="auto"/>
              </w:rPr>
            </w:pPr>
          </w:p>
        </w:tc>
      </w:tr>
      <w:tr>
        <w:trPr>
          <w:trHeight w:val="216"/>
        </w:trPr>
        <w:tc>
          <w:tcPr>
            <w:tcW w:w="3940" w:type="dxa"/>
            <w:vAlign w:val="bottom"/>
          </w:tcPr>
          <w:p>
            <w:pPr>
              <w:ind w:left="660"/>
              <w:spacing w:after="0"/>
              <w:rPr>
                <w:sz w:val="20"/>
                <w:szCs w:val="20"/>
                <w:color w:val="auto"/>
              </w:rPr>
            </w:pPr>
            <w:r>
              <w:rPr>
                <w:rFonts w:ascii="Arial" w:cs="Arial" w:eastAsia="Arial" w:hAnsi="Arial"/>
                <w:sz w:val="18"/>
                <w:szCs w:val="18"/>
                <w:color w:val="auto"/>
              </w:rPr>
              <w:t>Align pay with performance by linking a</w:t>
            </w:r>
          </w:p>
        </w:tc>
        <w:tc>
          <w:tcPr>
            <w:tcW w:w="520" w:type="dxa"/>
            <w:vAlign w:val="bottom"/>
          </w:tcPr>
          <w:p>
            <w:pPr>
              <w:spacing w:after="0"/>
              <w:rPr>
                <w:sz w:val="18"/>
                <w:szCs w:val="18"/>
                <w:color w:val="auto"/>
              </w:rPr>
            </w:pPr>
          </w:p>
        </w:tc>
        <w:tc>
          <w:tcPr>
            <w:tcW w:w="3320" w:type="dxa"/>
            <w:vAlign w:val="bottom"/>
            <w:vMerge w:val="restart"/>
          </w:tcPr>
          <w:p>
            <w:pPr>
              <w:ind w:left="420"/>
              <w:spacing w:after="0"/>
              <w:rPr>
                <w:sz w:val="20"/>
                <w:szCs w:val="20"/>
                <w:color w:val="auto"/>
              </w:rPr>
            </w:pPr>
            <w:r>
              <w:rPr>
                <w:rFonts w:ascii="Arial" w:cs="Arial" w:eastAsia="Arial" w:hAnsi="Arial"/>
                <w:sz w:val="18"/>
                <w:szCs w:val="18"/>
                <w:color w:val="auto"/>
                <w:w w:val="97"/>
              </w:rPr>
              <w:t>Do NOT provide tax gross-ups in any</w:t>
            </w:r>
          </w:p>
        </w:tc>
        <w:tc>
          <w:tcPr>
            <w:tcW w:w="0" w:type="dxa"/>
            <w:vAlign w:val="bottom"/>
          </w:tcPr>
          <w:p>
            <w:pPr>
              <w:spacing w:after="0"/>
              <w:rPr>
                <w:sz w:val="1"/>
                <w:szCs w:val="1"/>
                <w:color w:val="auto"/>
              </w:rPr>
            </w:pPr>
          </w:p>
        </w:tc>
      </w:tr>
      <w:tr>
        <w:trPr>
          <w:trHeight w:val="181"/>
        </w:trPr>
        <w:tc>
          <w:tcPr>
            <w:tcW w:w="3940" w:type="dxa"/>
            <w:vAlign w:val="bottom"/>
          </w:tcPr>
          <w:p>
            <w:pPr>
              <w:ind w:left="660"/>
              <w:spacing w:after="0" w:line="181" w:lineRule="exact"/>
              <w:rPr>
                <w:sz w:val="20"/>
                <w:szCs w:val="20"/>
                <w:color w:val="auto"/>
              </w:rPr>
            </w:pPr>
            <w:r>
              <w:rPr>
                <w:rFonts w:ascii="Arial" w:cs="Arial" w:eastAsia="Arial" w:hAnsi="Arial"/>
                <w:sz w:val="18"/>
                <w:szCs w:val="18"/>
                <w:color w:val="auto"/>
                <w:w w:val="97"/>
              </w:rPr>
              <w:t>substantial portion of compensation to the</w:t>
            </w:r>
          </w:p>
        </w:tc>
        <w:tc>
          <w:tcPr>
            <w:tcW w:w="520" w:type="dxa"/>
            <w:vAlign w:val="bottom"/>
          </w:tcPr>
          <w:p>
            <w:pPr>
              <w:spacing w:after="0"/>
              <w:rPr>
                <w:sz w:val="15"/>
                <w:szCs w:val="15"/>
                <w:color w:val="auto"/>
              </w:rPr>
            </w:pPr>
          </w:p>
        </w:tc>
        <w:tc>
          <w:tcPr>
            <w:tcW w:w="3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3940" w:type="dxa"/>
            <w:vAlign w:val="bottom"/>
          </w:tcPr>
          <w:p>
            <w:pPr>
              <w:ind w:left="50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achievement of predefined performance</w:t>
            </w:r>
          </w:p>
        </w:tc>
        <w:tc>
          <w:tcPr>
            <w:tcW w:w="520" w:type="dxa"/>
            <w:vAlign w:val="bottom"/>
          </w:tcPr>
          <w:p>
            <w:pPr>
              <w:ind w:left="100"/>
              <w:spacing w:after="0"/>
              <w:rPr>
                <w:sz w:val="20"/>
                <w:szCs w:val="20"/>
                <w:color w:val="auto"/>
              </w:rPr>
            </w:pPr>
            <w:r>
              <w:rPr>
                <w:rFonts w:ascii="Arial" w:cs="Arial" w:eastAsia="Arial" w:hAnsi="Arial"/>
                <w:sz w:val="18"/>
                <w:szCs w:val="18"/>
                <w:color w:val="auto"/>
              </w:rPr>
              <w:t>​ ​</w:t>
            </w:r>
          </w:p>
        </w:tc>
        <w:tc>
          <w:tcPr>
            <w:tcW w:w="3320" w:type="dxa"/>
            <w:vAlign w:val="bottom"/>
          </w:tcPr>
          <w:p>
            <w:pPr>
              <w:ind w:left="24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circumstance</w:t>
            </w:r>
          </w:p>
        </w:tc>
        <w:tc>
          <w:tcPr>
            <w:tcW w:w="0" w:type="dxa"/>
            <w:vAlign w:val="bottom"/>
          </w:tcPr>
          <w:p>
            <w:pPr>
              <w:spacing w:after="0"/>
              <w:rPr>
                <w:sz w:val="1"/>
                <w:szCs w:val="1"/>
                <w:color w:val="auto"/>
              </w:rPr>
            </w:pPr>
          </w:p>
        </w:tc>
      </w:tr>
    </w:tbl>
    <w:p>
      <w:pPr>
        <w:ind w:left="1940"/>
        <w:spacing w:after="0"/>
        <w:rPr>
          <w:sz w:val="20"/>
          <w:szCs w:val="20"/>
          <w:color w:val="auto"/>
        </w:rPr>
      </w:pPr>
      <w:r>
        <w:rPr>
          <w:rFonts w:ascii="Arial" w:cs="Arial" w:eastAsia="Arial" w:hAnsi="Arial"/>
          <w:sz w:val="18"/>
          <w:szCs w:val="18"/>
          <w:color w:val="auto"/>
        </w:rPr>
        <w:t>metrics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56" w:lineRule="exact"/>
        <w:rPr>
          <w:sz w:val="20"/>
          <w:szCs w:val="20"/>
          <w:color w:val="auto"/>
        </w:rPr>
      </w:pPr>
    </w:p>
    <w:p>
      <w:pPr>
        <w:sectPr>
          <w:pgSz w:w="11900" w:h="16838" w:orient="portrait"/>
          <w:cols w:equalWidth="0" w:num="2">
            <w:col w:w="9060" w:space="420"/>
            <w:col w:w="399"/>
          </w:cols>
          <w:pgMar w:left="580" w:top="97" w:right="1440" w:bottom="1440" w:gutter="0" w:footer="0" w:header="0"/>
          <w:type w:val="continuous"/>
        </w:sectPr>
      </w:pPr>
    </w:p>
    <w:tbl>
      <w:tblPr>
        <w:tblLayout w:type="fixed"/>
        <w:tblInd w:w="1780" w:type="dxa"/>
        <w:tblCellMar>
          <w:top w:w="0" w:type="dxa"/>
          <w:left w:w="0" w:type="dxa"/>
          <w:bottom w:w="0" w:type="dxa"/>
          <w:right w:w="0" w:type="dxa"/>
        </w:tblCellMar>
      </w:tblPr>
      <w:tr>
        <w:trPr>
          <w:trHeight w:val="279"/>
        </w:trPr>
        <w:tc>
          <w:tcPr>
            <w:tcW w:w="3300" w:type="dxa"/>
            <w:vAlign w:val="bottom"/>
          </w:tcPr>
          <w:p>
            <w:pPr>
              <w:spacing w:after="0" w:line="278"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7"/>
                <w:szCs w:val="17"/>
                <w:color w:val="auto"/>
              </w:rPr>
              <w:t>Retain an independent compensation</w:t>
            </w:r>
          </w:p>
        </w:tc>
        <w:tc>
          <w:tcPr>
            <w:tcW w:w="400" w:type="dxa"/>
            <w:vAlign w:val="bottom"/>
          </w:tcPr>
          <w:p>
            <w:pPr>
              <w:ind w:left="240"/>
              <w:spacing w:after="0"/>
              <w:rPr>
                <w:sz w:val="20"/>
                <w:szCs w:val="20"/>
                <w:color w:val="auto"/>
              </w:rPr>
            </w:pPr>
            <w:r>
              <w:rPr>
                <w:rFonts w:ascii="Arial" w:cs="Arial" w:eastAsia="Arial" w:hAnsi="Arial"/>
                <w:sz w:val="18"/>
                <w:szCs w:val="18"/>
                <w:color w:val="auto"/>
              </w:rPr>
              <w:t>​ ​</w:t>
            </w:r>
          </w:p>
        </w:tc>
      </w:tr>
      <w:tr>
        <w:trPr>
          <w:trHeight w:val="239"/>
        </w:trPr>
        <w:tc>
          <w:tcPr>
            <w:tcW w:w="3300" w:type="dxa"/>
            <w:vAlign w:val="bottom"/>
          </w:tcPr>
          <w:p>
            <w:pPr>
              <w:ind w:left="160"/>
              <w:spacing w:after="0"/>
              <w:rPr>
                <w:sz w:val="20"/>
                <w:szCs w:val="20"/>
                <w:color w:val="auto"/>
              </w:rPr>
            </w:pPr>
            <w:r>
              <w:rPr>
                <w:rFonts w:ascii="Arial" w:cs="Arial" w:eastAsia="Arial" w:hAnsi="Arial"/>
                <w:sz w:val="18"/>
                <w:szCs w:val="18"/>
                <w:color w:val="auto"/>
              </w:rPr>
              <w:t>consultant</w:t>
            </w:r>
          </w:p>
        </w:tc>
        <w:tc>
          <w:tcPr>
            <w:tcW w:w="400" w:type="dxa"/>
            <w:vAlign w:val="bottom"/>
          </w:tcPr>
          <w:p>
            <w:pPr>
              <w:spacing w:after="0"/>
              <w:rPr>
                <w:sz w:val="20"/>
                <w:szCs w:val="20"/>
                <w:color w:val="auto"/>
              </w:rPr>
            </w:pPr>
          </w:p>
        </w:tc>
      </w:tr>
    </w:tbl>
    <w:p>
      <w:pPr>
        <w:spacing w:after="0" w:line="1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Require compliance with stock ownership</w:t>
      </w:r>
    </w:p>
    <w:p>
      <w:pPr>
        <w:spacing w:after="0" w:line="14" w:lineRule="exact"/>
        <w:rPr>
          <w:sz w:val="20"/>
          <w:szCs w:val="20"/>
          <w:color w:val="auto"/>
        </w:rPr>
      </w:pPr>
    </w:p>
    <w:p>
      <w:pPr>
        <w:jc w:val="both"/>
        <w:ind w:left="1940" w:hanging="161"/>
        <w:spacing w:after="0" w:line="261" w:lineRule="auto"/>
        <w:rPr>
          <w:sz w:val="20"/>
          <w:szCs w:val="20"/>
          <w:color w:val="auto"/>
        </w:rPr>
      </w:pPr>
      <w:r>
        <w:rPr>
          <w:rFonts w:ascii="Arial" w:cs="Arial" w:eastAsia="Arial" w:hAnsi="Arial"/>
          <w:sz w:val="18"/>
          <w:szCs w:val="18"/>
          <w:color w:val="auto"/>
        </w:rPr>
        <w:t>​ ​guidelines for executives and non-</w:t>
      </w:r>
      <w:r>
        <w:rPr>
          <w:sz w:val="20"/>
          <w:szCs w:val="20"/>
          <w:color w:val="auto"/>
        </w:rPr>
        <w:t xml:space="preserve"> </w:t>
      </w:r>
      <w:r>
        <w:rPr>
          <w:rFonts w:ascii="Arial" w:cs="Arial" w:eastAsia="Arial" w:hAnsi="Arial"/>
          <w:sz w:val="18"/>
          <w:szCs w:val="18"/>
          <w:color w:val="auto"/>
        </w:rPr>
        <w:t>​ ​ employee directors</w:t>
      </w:r>
    </w:p>
    <w:p>
      <w:pPr>
        <w:spacing w:after="0" w:line="79" w:lineRule="exact"/>
        <w:rPr>
          <w:sz w:val="20"/>
          <w:szCs w:val="20"/>
          <w:color w:val="auto"/>
        </w:rPr>
      </w:pPr>
    </w:p>
    <w:tbl>
      <w:tblPr>
        <w:tblLayout w:type="fixed"/>
        <w:tblInd w:w="1780" w:type="dxa"/>
        <w:tblCellMar>
          <w:top w:w="0" w:type="dxa"/>
          <w:left w:w="0" w:type="dxa"/>
          <w:bottom w:w="0" w:type="dxa"/>
          <w:right w:w="0" w:type="dxa"/>
        </w:tblCellMar>
      </w:tblPr>
      <w:tr>
        <w:trPr>
          <w:trHeight w:val="402"/>
        </w:trPr>
        <w:tc>
          <w:tcPr>
            <w:tcW w:w="3400" w:type="dxa"/>
            <w:vAlign w:val="bottom"/>
          </w:tcPr>
          <w:p>
            <w:pPr>
              <w:spacing w:after="0"/>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Include double-trigger change-in-control</w:t>
            </w:r>
          </w:p>
        </w:tc>
        <w:tc>
          <w:tcPr>
            <w:tcW w:w="300" w:type="dxa"/>
            <w:vAlign w:val="bottom"/>
          </w:tcPr>
          <w:p>
            <w:pPr>
              <w:ind w:left="140"/>
              <w:spacing w:after="0"/>
              <w:rPr>
                <w:sz w:val="20"/>
                <w:szCs w:val="20"/>
                <w:color w:val="auto"/>
              </w:rPr>
            </w:pPr>
            <w:r>
              <w:rPr>
                <w:rFonts w:ascii="Arial" w:cs="Arial" w:eastAsia="Arial" w:hAnsi="Arial"/>
                <w:sz w:val="18"/>
                <w:szCs w:val="18"/>
                <w:color w:val="auto"/>
              </w:rPr>
              <w:t>​ ​</w:t>
            </w:r>
          </w:p>
        </w:tc>
      </w:tr>
      <w:tr>
        <w:trPr>
          <w:trHeight w:val="239"/>
        </w:trPr>
        <w:tc>
          <w:tcPr>
            <w:tcW w:w="3400" w:type="dxa"/>
            <w:vAlign w:val="bottom"/>
          </w:tcPr>
          <w:p>
            <w:pPr>
              <w:ind w:left="160"/>
              <w:spacing w:after="0"/>
              <w:rPr>
                <w:sz w:val="20"/>
                <w:szCs w:val="20"/>
                <w:color w:val="auto"/>
              </w:rPr>
            </w:pPr>
            <w:r>
              <w:rPr>
                <w:rFonts w:ascii="Arial" w:cs="Arial" w:eastAsia="Arial" w:hAnsi="Arial"/>
                <w:sz w:val="18"/>
                <w:szCs w:val="18"/>
                <w:color w:val="auto"/>
              </w:rPr>
              <w:t>provisions in equity awards</w:t>
            </w:r>
          </w:p>
        </w:tc>
        <w:tc>
          <w:tcPr>
            <w:tcW w:w="300" w:type="dxa"/>
            <w:vAlign w:val="bottom"/>
          </w:tcPr>
          <w:p>
            <w:pPr>
              <w:spacing w:after="0"/>
              <w:rPr>
                <w:sz w:val="20"/>
                <w:szCs w:val="20"/>
                <w:color w:val="auto"/>
              </w:rPr>
            </w:pPr>
          </w:p>
        </w:tc>
      </w:tr>
      <w:tr>
        <w:trPr>
          <w:trHeight w:val="216"/>
        </w:trPr>
        <w:tc>
          <w:tcPr>
            <w:tcW w:w="3400" w:type="dxa"/>
            <w:vAlign w:val="bottom"/>
          </w:tcPr>
          <w:p>
            <w:pPr>
              <w:ind w:left="160"/>
              <w:spacing w:after="0"/>
              <w:rPr>
                <w:sz w:val="20"/>
                <w:szCs w:val="20"/>
                <w:color w:val="auto"/>
              </w:rPr>
            </w:pPr>
            <w:r>
              <w:rPr>
                <w:rFonts w:ascii="Arial" w:cs="Arial" w:eastAsia="Arial" w:hAnsi="Arial"/>
                <w:sz w:val="18"/>
                <w:szCs w:val="18"/>
                <w:color w:val="auto"/>
              </w:rPr>
              <w:t>Place caps on incentive award</w:t>
            </w:r>
          </w:p>
        </w:tc>
        <w:tc>
          <w:tcPr>
            <w:tcW w:w="300" w:type="dxa"/>
            <w:vAlign w:val="bottom"/>
          </w:tcPr>
          <w:p>
            <w:pPr>
              <w:spacing w:after="0"/>
              <w:rPr>
                <w:sz w:val="18"/>
                <w:szCs w:val="18"/>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 ​opportunities and conduct annual risk</w:t>
            </w:r>
          </w:p>
        </w:tc>
        <w:tc>
          <w:tcPr>
            <w:tcW w:w="300" w:type="dxa"/>
            <w:vAlign w:val="bottom"/>
          </w:tcPr>
          <w:p>
            <w:pPr>
              <w:ind w:left="140"/>
              <w:spacing w:after="0"/>
              <w:rPr>
                <w:sz w:val="20"/>
                <w:szCs w:val="20"/>
                <w:color w:val="auto"/>
              </w:rPr>
            </w:pPr>
            <w:r>
              <w:rPr>
                <w:rFonts w:ascii="Arial" w:cs="Arial" w:eastAsia="Arial" w:hAnsi="Arial"/>
                <w:sz w:val="18"/>
                <w:szCs w:val="18"/>
                <w:color w:val="auto"/>
              </w:rPr>
              <w:t>​ ​</w:t>
            </w:r>
          </w:p>
        </w:tc>
      </w:tr>
      <w:tr>
        <w:trPr>
          <w:trHeight w:val="239"/>
        </w:trPr>
        <w:tc>
          <w:tcPr>
            <w:tcW w:w="3400" w:type="dxa"/>
            <w:vAlign w:val="bottom"/>
          </w:tcPr>
          <w:p>
            <w:pPr>
              <w:ind w:left="160"/>
              <w:spacing w:after="0"/>
              <w:rPr>
                <w:sz w:val="20"/>
                <w:szCs w:val="20"/>
                <w:color w:val="auto"/>
              </w:rPr>
            </w:pPr>
            <w:r>
              <w:rPr>
                <w:rFonts w:ascii="Arial" w:cs="Arial" w:eastAsia="Arial" w:hAnsi="Arial"/>
                <w:sz w:val="18"/>
                <w:szCs w:val="18"/>
                <w:color w:val="auto"/>
              </w:rPr>
              <w:t>assessment</w:t>
            </w:r>
          </w:p>
        </w:tc>
        <w:tc>
          <w:tcPr>
            <w:tcW w:w="300" w:type="dxa"/>
            <w:vAlign w:val="bottom"/>
          </w:tcPr>
          <w:p>
            <w:pPr>
              <w:spacing w:after="0"/>
              <w:rPr>
                <w:sz w:val="20"/>
                <w:szCs w:val="20"/>
                <w:color w:val="auto"/>
              </w:rPr>
            </w:pPr>
          </w:p>
        </w:tc>
      </w:tr>
      <w:tr>
        <w:trPr>
          <w:trHeight w:val="441"/>
        </w:trPr>
        <w:tc>
          <w:tcPr>
            <w:tcW w:w="3400" w:type="dxa"/>
            <w:vAlign w:val="bottom"/>
          </w:tcPr>
          <w:p>
            <w:pPr>
              <w:ind w:left="180"/>
              <w:spacing w:after="0"/>
              <w:rPr>
                <w:sz w:val="20"/>
                <w:szCs w:val="20"/>
                <w:color w:val="auto"/>
              </w:rPr>
            </w:pPr>
            <w:r>
              <w:rPr>
                <w:rFonts w:ascii="Arial" w:cs="Arial" w:eastAsia="Arial" w:hAnsi="Arial"/>
                <w:sz w:val="18"/>
                <w:szCs w:val="18"/>
                <w:color w:val="auto"/>
              </w:rPr>
              <w:t>Maintain a Nasdaq rule compliant</w:t>
            </w:r>
          </w:p>
        </w:tc>
        <w:tc>
          <w:tcPr>
            <w:tcW w:w="300" w:type="dxa"/>
            <w:vAlign w:val="bottom"/>
          </w:tcPr>
          <w:p>
            <w:pPr>
              <w:spacing w:after="0"/>
              <w:rPr>
                <w:sz w:val="24"/>
                <w:szCs w:val="24"/>
                <w:color w:val="auto"/>
              </w:rPr>
            </w:pPr>
          </w:p>
        </w:tc>
      </w:tr>
      <w:tr>
        <w:trPr>
          <w:trHeight w:val="483"/>
        </w:trPr>
        <w:tc>
          <w:tcPr>
            <w:tcW w:w="3400" w:type="dxa"/>
            <w:vAlign w:val="bottom"/>
          </w:tcPr>
          <w:p>
            <w:pPr>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clawback policy</w:t>
            </w:r>
          </w:p>
        </w:tc>
        <w:tc>
          <w:tcPr>
            <w:tcW w:w="300" w:type="dxa"/>
            <w:vAlign w:val="bottom"/>
          </w:tcPr>
          <w:p>
            <w:pPr>
              <w:ind w:left="140"/>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3898265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71" w:right="20" w:hanging="171"/>
        <w:spacing w:after="0" w:line="187" w:lineRule="auto"/>
        <w:tabs>
          <w:tab w:leader="none" w:pos="117" w:val="left"/>
        </w:tabs>
        <w:numPr>
          <w:ilvl w:val="0"/>
          <w:numId w:val="10"/>
        </w:numPr>
        <w:rPr>
          <w:rFonts w:ascii="Arial" w:cs="Arial" w:eastAsia="Arial" w:hAnsi="Arial"/>
          <w:sz w:val="36"/>
          <w:szCs w:val="36"/>
          <w:color w:val="auto"/>
          <w:vertAlign w:val="subscript"/>
        </w:rPr>
      </w:pPr>
      <w:r>
        <w:rPr>
          <w:rFonts w:ascii="Arial" w:cs="Arial" w:eastAsia="Arial" w:hAnsi="Arial"/>
          <w:sz w:val="35"/>
          <w:szCs w:val="35"/>
          <w:color w:val="auto"/>
          <w:vertAlign w:val="subscript"/>
        </w:rPr>
        <w:t>​</w:t>
      </w:r>
      <w:r>
        <w:rPr>
          <w:rFonts w:ascii="Arial" w:cs="Arial" w:eastAsia="Arial" w:hAnsi="Arial"/>
          <w:sz w:val="18"/>
          <w:szCs w:val="18"/>
          <w:color w:val="auto"/>
        </w:rPr>
        <w:t>Do NOT provide excessive perquisites for executives</w:t>
      </w:r>
    </w:p>
    <w:p>
      <w:pPr>
        <w:spacing w:after="0" w:line="33" w:lineRule="exact"/>
        <w:rPr>
          <w:sz w:val="20"/>
          <w:szCs w:val="20"/>
          <w:color w:val="auto"/>
        </w:rPr>
      </w:pPr>
    </w:p>
    <w:p>
      <w:pPr>
        <w:ind w:left="171"/>
        <w:spacing w:after="0"/>
        <w:rPr>
          <w:sz w:val="20"/>
          <w:szCs w:val="20"/>
          <w:color w:val="auto"/>
        </w:rPr>
      </w:pPr>
      <w:r>
        <w:rPr>
          <w:rFonts w:ascii="Arial" w:cs="Arial" w:eastAsia="Arial" w:hAnsi="Arial"/>
          <w:sz w:val="18"/>
          <w:szCs w:val="18"/>
          <w:color w:val="auto"/>
        </w:rPr>
        <w:t>Do NOT provide guaranteed bonuses</w:t>
      </w:r>
    </w:p>
    <w:p>
      <w:pPr>
        <w:spacing w:after="0" w:line="14" w:lineRule="exact"/>
        <w:rPr>
          <w:sz w:val="20"/>
          <w:szCs w:val="20"/>
          <w:color w:val="auto"/>
        </w:rPr>
      </w:pPr>
    </w:p>
    <w:p>
      <w:pPr>
        <w:ind w:left="171" w:right="340" w:hanging="171"/>
        <w:spacing w:after="0" w:line="261" w:lineRule="auto"/>
        <w:tabs>
          <w:tab w:leader="none" w:pos="117"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 our annual short-term incentive program</w:t>
      </w:r>
    </w:p>
    <w:p>
      <w:pPr>
        <w:ind w:left="171" w:hanging="171"/>
        <w:spacing w:after="0" w:line="187" w:lineRule="auto"/>
        <w:tabs>
          <w:tab w:leader="none" w:pos="117" w:val="left"/>
        </w:tabs>
        <w:numPr>
          <w:ilvl w:val="0"/>
          <w:numId w:val="11"/>
        </w:numPr>
        <w:rPr>
          <w:rFonts w:ascii="Arial" w:cs="Arial" w:eastAsia="Arial" w:hAnsi="Arial"/>
          <w:sz w:val="36"/>
          <w:szCs w:val="36"/>
          <w:color w:val="auto"/>
          <w:vertAlign w:val="subscript"/>
        </w:rPr>
      </w:pPr>
      <w:r>
        <w:rPr>
          <w:rFonts w:ascii="Arial" w:cs="Arial" w:eastAsia="Arial" w:hAnsi="Arial"/>
          <w:sz w:val="35"/>
          <w:szCs w:val="35"/>
          <w:color w:val="auto"/>
          <w:vertAlign w:val="subscript"/>
        </w:rPr>
        <w:t>​</w:t>
      </w:r>
      <w:r>
        <w:rPr>
          <w:rFonts w:ascii="Arial" w:cs="Arial" w:eastAsia="Arial" w:hAnsi="Arial"/>
          <w:sz w:val="18"/>
          <w:szCs w:val="18"/>
          <w:color w:val="auto"/>
        </w:rPr>
        <w:t>Do NOT provide discount stock options or stock appreciation rights</w:t>
      </w:r>
    </w:p>
    <w:p>
      <w:pPr>
        <w:spacing w:after="0" w:line="20" w:lineRule="exact"/>
        <w:rPr>
          <w:sz w:val="20"/>
          <w:szCs w:val="20"/>
          <w:color w:val="auto"/>
        </w:rPr>
      </w:pPr>
    </w:p>
    <w:p>
      <w:pPr>
        <w:ind w:left="171"/>
        <w:spacing w:after="0"/>
        <w:rPr>
          <w:sz w:val="20"/>
          <w:szCs w:val="20"/>
          <w:color w:val="auto"/>
        </w:rPr>
      </w:pPr>
      <w:r>
        <w:rPr>
          <w:rFonts w:ascii="Arial" w:cs="Arial" w:eastAsia="Arial" w:hAnsi="Arial"/>
          <w:sz w:val="18"/>
          <w:szCs w:val="18"/>
          <w:color w:val="auto"/>
        </w:rPr>
        <w:t>Do NOT pay dividends on performance-</w:t>
      </w:r>
    </w:p>
    <w:p>
      <w:pPr>
        <w:spacing w:after="0" w:line="27" w:lineRule="exact"/>
        <w:rPr>
          <w:sz w:val="20"/>
          <w:szCs w:val="20"/>
          <w:color w:val="auto"/>
        </w:rPr>
      </w:pPr>
    </w:p>
    <w:p>
      <w:pPr>
        <w:ind w:left="171" w:right="520" w:hanging="171"/>
        <w:spacing w:after="0" w:line="266" w:lineRule="auto"/>
        <w:tabs>
          <w:tab w:leader="none" w:pos="103"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restricted stock units prior to vesting</w:t>
      </w:r>
    </w:p>
    <w:p>
      <w:pPr>
        <w:spacing w:after="0" w:line="23" w:lineRule="exact"/>
        <w:rPr>
          <w:sz w:val="20"/>
          <w:szCs w:val="20"/>
          <w:color w:val="auto"/>
        </w:rPr>
      </w:pPr>
    </w:p>
    <w:p>
      <w:pPr>
        <w:ind w:left="171" w:right="160"/>
        <w:spacing w:after="0" w:line="226" w:lineRule="auto"/>
        <w:rPr>
          <w:sz w:val="20"/>
          <w:szCs w:val="20"/>
          <w:color w:val="auto"/>
        </w:rPr>
      </w:pPr>
      <w:r>
        <w:rPr>
          <w:rFonts w:ascii="Arial" w:cs="Arial" w:eastAsia="Arial" w:hAnsi="Arial"/>
          <w:sz w:val="17"/>
          <w:szCs w:val="17"/>
          <w:color w:val="auto"/>
        </w:rPr>
        <w:t>Do NOT add back to our equity compensation plan reserves any shares</w:t>
      </w:r>
    </w:p>
    <w:p>
      <w:pPr>
        <w:spacing w:after="0" w:line="1" w:lineRule="exact"/>
        <w:rPr>
          <w:sz w:val="20"/>
          <w:szCs w:val="20"/>
          <w:color w:val="auto"/>
        </w:rPr>
      </w:pPr>
    </w:p>
    <w:p>
      <w:pPr>
        <w:ind w:left="171" w:right="80" w:hanging="171"/>
        <w:spacing w:after="0" w:line="200" w:lineRule="auto"/>
        <w:tabs>
          <w:tab w:leader="none" w:pos="117" w:val="left"/>
        </w:tabs>
        <w:numPr>
          <w:ilvl w:val="0"/>
          <w:numId w:val="13"/>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tendered as payment for shares withheld for taxes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3">
            <w:col w:w="5480" w:space="509"/>
            <w:col w:w="3431" w:space="60"/>
            <w:col w:w="39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gridSpan w:val="17"/>
          </w:tcPr>
          <w:p>
            <w:pPr>
              <w:spacing w:after="0"/>
              <w:rPr>
                <w:sz w:val="20"/>
                <w:szCs w:val="20"/>
                <w:color w:val="auto"/>
              </w:rPr>
            </w:pPr>
            <w:r>
              <w:rPr>
                <w:rFonts w:ascii="Arial" w:cs="Arial" w:eastAsia="Arial" w:hAnsi="Arial"/>
                <w:sz w:val="18"/>
                <w:szCs w:val="18"/>
                <w:color w:val="auto"/>
              </w:rPr>
              <w:t>TABLE OF CONTENTS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5160" w:type="dxa"/>
            <w:vAlign w:val="bottom"/>
            <w:tcBorders>
              <w:bottom w:val="single" w:sz="8" w:color="0000EE"/>
              <w:right w:val="single" w:sz="8" w:color="CCEEFF"/>
            </w:tcBorders>
            <w:gridSpan w:val="24"/>
            <w:shd w:val="clear" w:color="auto" w:fill="CCEEFF"/>
          </w:tcPr>
          <w:p>
            <w:pPr>
              <w:spacing w:after="0" w:line="176" w:lineRule="exact"/>
              <w:rPr>
                <w:sz w:val="20"/>
                <w:szCs w:val="20"/>
                <w:color w:val="auto"/>
              </w:rPr>
            </w:pPr>
            <w:r>
              <w:rPr>
                <w:rFonts w:ascii="Arial" w:cs="Arial" w:eastAsia="Arial" w:hAnsi="Arial"/>
                <w:sz w:val="18"/>
                <w:szCs w:val="18"/>
                <w:color w:val="0000EE"/>
                <w:w w:val="98"/>
              </w:rPr>
              <w:t>QUESTIONS AND ANSWERS ABOUT OUR ANNUAL MEETING</w:t>
            </w:r>
          </w:p>
        </w:tc>
        <w:tc>
          <w:tcPr>
            <w:tcW w:w="2780" w:type="dxa"/>
            <w:vAlign w:val="bottom"/>
            <w:tcBorders>
              <w:bottom w:val="single" w:sz="8" w:color="CCEEFF"/>
            </w:tcBorders>
            <w:gridSpan w:val="7"/>
            <w:shd w:val="clear" w:color="auto" w:fill="CCEEFF"/>
          </w:tcPr>
          <w:p>
            <w:pPr>
              <w:spacing w:after="0"/>
              <w:rPr>
                <w:sz w:val="15"/>
                <w:szCs w:val="15"/>
                <w:color w:val="auto"/>
              </w:rPr>
            </w:pPr>
          </w:p>
        </w:tc>
        <w:tc>
          <w:tcPr>
            <w:tcW w:w="16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0000EE"/>
            </w:tcBorders>
            <w:shd w:val="clear" w:color="auto" w:fill="CCEEFF"/>
          </w:tcPr>
          <w:p>
            <w:pPr>
              <w:ind w:left="20"/>
              <w:spacing w:after="0"/>
              <w:rPr>
                <w:sz w:val="20"/>
                <w:szCs w:val="20"/>
                <w:color w:val="auto"/>
              </w:rPr>
            </w:pPr>
            <w:r>
              <w:rPr>
                <w:rFonts w:ascii="Arial" w:cs="Arial" w:eastAsia="Arial" w:hAnsi="Arial"/>
                <w:sz w:val="15"/>
                <w:szCs w:val="15"/>
                <w:color w:val="0000EE"/>
                <w:w w:val="71"/>
              </w:rPr>
              <w:t>1</w:t>
            </w: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4240" w:type="dxa"/>
            <w:vAlign w:val="bottom"/>
            <w:gridSpan w:val="20"/>
          </w:tcPr>
          <w:p>
            <w:pPr>
              <w:spacing w:after="0"/>
              <w:rPr>
                <w:sz w:val="20"/>
                <w:szCs w:val="20"/>
                <w:color w:val="auto"/>
              </w:rPr>
            </w:pPr>
            <w:r>
              <w:rPr>
                <w:rFonts w:ascii="Arial" w:cs="Arial" w:eastAsia="Arial" w:hAnsi="Arial"/>
                <w:sz w:val="18"/>
                <w:szCs w:val="18"/>
                <w:color w:val="0000EE"/>
                <w:w w:val="97"/>
              </w:rPr>
              <w:t>OVERVIEW OF THE MERGER WITH WINDSTREAM</w:t>
            </w:r>
          </w:p>
        </w:tc>
        <w:tc>
          <w:tcPr>
            <w:tcW w:w="3700" w:type="dxa"/>
            <w:vAlign w:val="bottom"/>
            <w:gridSpan w:val="11"/>
          </w:tcPr>
          <w:p>
            <w:pPr>
              <w:spacing w:after="0"/>
              <w:rPr>
                <w:sz w:val="19"/>
                <w:szCs w:val="19"/>
                <w:color w:val="auto"/>
              </w:rPr>
            </w:pPr>
          </w:p>
        </w:tc>
        <w:tc>
          <w:tcPr>
            <w:tcW w:w="160" w:type="dxa"/>
            <w:vAlign w:val="bottom"/>
            <w:gridSpan w:val="2"/>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0000EE"/>
              </w:rPr>
              <w:t>7</w:t>
            </w: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4240" w:type="dxa"/>
            <w:vAlign w:val="bottom"/>
            <w:tcBorders>
              <w:top w:val="single" w:sz="8" w:color="0000EE"/>
            </w:tcBorders>
            <w:gridSpan w:val="20"/>
            <w:shd w:val="clear" w:color="auto" w:fill="CCEEFF"/>
          </w:tcPr>
          <w:p>
            <w:pPr>
              <w:spacing w:after="0"/>
              <w:rPr>
                <w:sz w:val="20"/>
                <w:szCs w:val="20"/>
                <w:color w:val="auto"/>
              </w:rPr>
            </w:pPr>
            <w:r>
              <w:rPr>
                <w:rFonts w:ascii="Arial" w:cs="Arial" w:eastAsia="Arial" w:hAnsi="Arial"/>
                <w:sz w:val="18"/>
                <w:szCs w:val="18"/>
                <w:color w:val="0000EE"/>
              </w:rPr>
              <w:t>BOARD AND BOARD COMMITTEE MATTERS</w:t>
            </w:r>
          </w:p>
        </w:tc>
        <w:tc>
          <w:tcPr>
            <w:tcW w:w="3700" w:type="dxa"/>
            <w:vAlign w:val="bottom"/>
            <w:gridSpan w:val="11"/>
            <w:shd w:val="clear" w:color="auto" w:fill="CCEEFF"/>
          </w:tcPr>
          <w:p>
            <w:pPr>
              <w:spacing w:after="0"/>
              <w:rPr>
                <w:sz w:val="19"/>
                <w:szCs w:val="19"/>
                <w:color w:val="auto"/>
              </w:rPr>
            </w:pPr>
          </w:p>
        </w:tc>
        <w:tc>
          <w:tcPr>
            <w:tcW w:w="160" w:type="dxa"/>
            <w:vAlign w:val="bottom"/>
            <w:gridSpan w:val="2"/>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ind w:left="20"/>
              <w:spacing w:after="0"/>
              <w:rPr>
                <w:sz w:val="20"/>
                <w:szCs w:val="20"/>
                <w:color w:val="auto"/>
              </w:rPr>
            </w:pPr>
            <w:r>
              <w:rPr>
                <w:rFonts w:ascii="Arial" w:cs="Arial" w:eastAsia="Arial" w:hAnsi="Arial"/>
                <w:sz w:val="15"/>
                <w:szCs w:val="15"/>
                <w:color w:val="0000EE"/>
                <w:w w:val="71"/>
              </w:rPr>
              <w:t>8</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80" w:type="dxa"/>
            <w:vAlign w:val="bottom"/>
            <w:gridSpan w:val="16"/>
          </w:tcPr>
          <w:p>
            <w:pPr>
              <w:spacing w:after="0"/>
              <w:rPr>
                <w:sz w:val="20"/>
                <w:szCs w:val="20"/>
                <w:color w:val="auto"/>
              </w:rPr>
            </w:pPr>
            <w:r>
              <w:rPr>
                <w:rFonts w:ascii="Arial" w:cs="Arial" w:eastAsia="Arial" w:hAnsi="Arial"/>
                <w:sz w:val="18"/>
                <w:szCs w:val="18"/>
                <w:color w:val="0000EE"/>
              </w:rPr>
              <w:t>Director Independence</w:t>
            </w:r>
          </w:p>
        </w:tc>
        <w:tc>
          <w:tcPr>
            <w:tcW w:w="4280" w:type="dxa"/>
            <w:vAlign w:val="bottom"/>
            <w:gridSpan w:val="13"/>
          </w:tcPr>
          <w:p>
            <w:pPr>
              <w:spacing w:after="0"/>
              <w:rPr>
                <w:sz w:val="19"/>
                <w:szCs w:val="19"/>
                <w:color w:val="auto"/>
              </w:rPr>
            </w:pPr>
          </w:p>
        </w:tc>
        <w:tc>
          <w:tcPr>
            <w:tcW w:w="160" w:type="dxa"/>
            <w:vAlign w:val="bottom"/>
            <w:gridSpan w:val="2"/>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0000EE"/>
              </w:rPr>
              <w:t>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7160" w:type="dxa"/>
            <w:vAlign w:val="bottom"/>
            <w:gridSpan w:val="29"/>
            <w:shd w:val="clear" w:color="auto" w:fill="CCEEFF"/>
          </w:tcPr>
          <w:p>
            <w:pPr>
              <w:spacing w:after="0"/>
              <w:rPr>
                <w:sz w:val="20"/>
                <w:szCs w:val="20"/>
                <w:color w:val="auto"/>
              </w:rPr>
            </w:pPr>
            <w:r>
              <w:rPr>
                <w:rFonts w:ascii="Arial" w:cs="Arial" w:eastAsia="Arial" w:hAnsi="Arial"/>
                <w:sz w:val="18"/>
                <w:szCs w:val="18"/>
                <w:color w:val="0000EE"/>
              </w:rPr>
              <w:t>Meetings of the Board of Directors</w:t>
            </w:r>
          </w:p>
        </w:tc>
        <w:tc>
          <w:tcPr>
            <w:tcW w:w="26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0000EE"/>
                <w:w w:val="71"/>
              </w:rPr>
              <w:t>8</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tcBorders>
              <w:right w:val="single" w:sz="8" w:color="0000EE"/>
            </w:tcBorders>
            <w:shd w:val="clear" w:color="auto" w:fill="CCEEFF"/>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80" w:type="dxa"/>
            <w:vAlign w:val="bottom"/>
            <w:gridSpan w:val="16"/>
          </w:tcPr>
          <w:p>
            <w:pPr>
              <w:spacing w:after="0"/>
              <w:rPr>
                <w:sz w:val="20"/>
                <w:szCs w:val="20"/>
                <w:color w:val="auto"/>
              </w:rPr>
            </w:pPr>
            <w:r>
              <w:rPr>
                <w:rFonts w:ascii="Arial" w:cs="Arial" w:eastAsia="Arial" w:hAnsi="Arial"/>
                <w:sz w:val="18"/>
                <w:szCs w:val="18"/>
                <w:color w:val="0000EE"/>
                <w:w w:val="95"/>
              </w:rPr>
              <w:t>Committees of the Board of Directors</w:t>
            </w:r>
          </w:p>
        </w:tc>
        <w:tc>
          <w:tcPr>
            <w:tcW w:w="4280" w:type="dxa"/>
            <w:vAlign w:val="bottom"/>
            <w:gridSpan w:val="13"/>
          </w:tcPr>
          <w:p>
            <w:pPr>
              <w:spacing w:after="0"/>
              <w:rPr>
                <w:sz w:val="19"/>
                <w:szCs w:val="19"/>
                <w:color w:val="auto"/>
              </w:rPr>
            </w:pPr>
          </w:p>
        </w:tc>
        <w:tc>
          <w:tcPr>
            <w:tcW w:w="160" w:type="dxa"/>
            <w:vAlign w:val="bottom"/>
            <w:gridSpan w:val="2"/>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0000EE"/>
              </w:rPr>
              <w:t>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288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Board Leadership Structure</w:t>
            </w:r>
          </w:p>
        </w:tc>
        <w:tc>
          <w:tcPr>
            <w:tcW w:w="4280" w:type="dxa"/>
            <w:vAlign w:val="bottom"/>
            <w:tcBorders>
              <w:left w:val="single" w:sz="8" w:color="CCEEFF"/>
            </w:tcBorders>
            <w:gridSpan w:val="13"/>
            <w:shd w:val="clear" w:color="auto" w:fill="CCEEFF"/>
          </w:tcPr>
          <w:p>
            <w:pPr>
              <w:spacing w:after="0"/>
              <w:rPr>
                <w:sz w:val="19"/>
                <w:szCs w:val="19"/>
                <w:color w:val="auto"/>
              </w:rPr>
            </w:pP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0000EE"/>
                <w:w w:val="79"/>
              </w:rPr>
              <w:t>10</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tcBorders>
              <w:right w:val="single" w:sz="8" w:color="0000EE"/>
            </w:tcBorders>
            <w:shd w:val="clear" w:color="auto" w:fill="CCEEFF"/>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120" w:type="dxa"/>
            <w:vAlign w:val="bottom"/>
            <w:gridSpan w:val="9"/>
          </w:tcPr>
          <w:p>
            <w:pPr>
              <w:spacing w:after="0"/>
              <w:rPr>
                <w:sz w:val="20"/>
                <w:szCs w:val="20"/>
                <w:color w:val="auto"/>
              </w:rPr>
            </w:pPr>
            <w:r>
              <w:rPr>
                <w:rFonts w:ascii="Arial" w:cs="Arial" w:eastAsia="Arial" w:hAnsi="Arial"/>
                <w:sz w:val="18"/>
                <w:szCs w:val="18"/>
                <w:color w:val="0000EE"/>
              </w:rPr>
              <w:t>Executive Sessions</w:t>
            </w:r>
          </w:p>
        </w:tc>
        <w:tc>
          <w:tcPr>
            <w:tcW w:w="5040" w:type="dxa"/>
            <w:vAlign w:val="bottom"/>
            <w:gridSpan w:val="20"/>
          </w:tcPr>
          <w:p>
            <w:pPr>
              <w:spacing w:after="0"/>
              <w:rPr>
                <w:sz w:val="19"/>
                <w:szCs w:val="19"/>
                <w:color w:val="auto"/>
              </w:rPr>
            </w:pPr>
          </w:p>
        </w:tc>
        <w:tc>
          <w:tcPr>
            <w:tcW w:w="1520" w:type="dxa"/>
            <w:vAlign w:val="bottom"/>
            <w:gridSpan w:val="4"/>
          </w:tcPr>
          <w:p>
            <w:pPr>
              <w:ind w:left="80"/>
              <w:spacing w:after="0"/>
              <w:rPr>
                <w:sz w:val="20"/>
                <w:szCs w:val="20"/>
                <w:color w:val="auto"/>
              </w:rPr>
            </w:pPr>
            <w:r>
              <w:rPr>
                <w:rFonts w:ascii="Arial" w:cs="Arial" w:eastAsia="Arial" w:hAnsi="Arial"/>
                <w:sz w:val="18"/>
                <w:szCs w:val="18"/>
                <w:color w:val="0000EE"/>
              </w:rPr>
              <w:t>10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right w:val="single" w:sz="8" w:color="CCEEFF"/>
            </w:tcBorders>
            <w:shd w:val="clear" w:color="auto" w:fill="CCEEFF"/>
          </w:tcPr>
          <w:p>
            <w:pPr>
              <w:spacing w:after="0"/>
              <w:rPr>
                <w:sz w:val="19"/>
                <w:szCs w:val="19"/>
                <w:color w:val="auto"/>
              </w:rPr>
            </w:pPr>
          </w:p>
        </w:tc>
        <w:tc>
          <w:tcPr>
            <w:tcW w:w="2580" w:type="dxa"/>
            <w:vAlign w:val="bottom"/>
            <w:tcBorders>
              <w:bottom w:val="single" w:sz="8" w:color="0000EE"/>
              <w:right w:val="single" w:sz="8" w:color="CCEEFF"/>
            </w:tcBorders>
            <w:gridSpan w:val="13"/>
            <w:shd w:val="clear" w:color="auto" w:fill="CCEEFF"/>
          </w:tcPr>
          <w:p>
            <w:pPr>
              <w:spacing w:after="0"/>
              <w:rPr>
                <w:sz w:val="20"/>
                <w:szCs w:val="20"/>
                <w:color w:val="auto"/>
              </w:rPr>
            </w:pPr>
            <w:r>
              <w:rPr>
                <w:rFonts w:ascii="Arial" w:cs="Arial" w:eastAsia="Arial" w:hAnsi="Arial"/>
                <w:sz w:val="18"/>
                <w:szCs w:val="18"/>
                <w:color w:val="0000EE"/>
                <w:w w:val="96"/>
              </w:rPr>
              <w:t>Board Size, Diversity and Skillset</w:t>
            </w:r>
          </w:p>
        </w:tc>
        <w:tc>
          <w:tcPr>
            <w:tcW w:w="4580" w:type="dxa"/>
            <w:vAlign w:val="bottom"/>
            <w:tcBorders>
              <w:left w:val="single" w:sz="8" w:color="CCEEFF"/>
              <w:bottom w:val="single" w:sz="8" w:color="CCEEFF"/>
            </w:tcBorders>
            <w:gridSpan w:val="16"/>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spacing w:after="0"/>
              <w:rPr>
                <w:sz w:val="20"/>
                <w:szCs w:val="20"/>
                <w:color w:val="auto"/>
              </w:rPr>
            </w:pPr>
            <w:r>
              <w:rPr>
                <w:rFonts w:ascii="Arial" w:cs="Arial" w:eastAsia="Arial" w:hAnsi="Arial"/>
                <w:sz w:val="18"/>
                <w:szCs w:val="18"/>
                <w:color w:val="0000EE"/>
                <w:w w:val="79"/>
              </w:rPr>
              <w:t>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160" w:type="dxa"/>
            <w:vAlign w:val="bottom"/>
            <w:gridSpan w:val="29"/>
          </w:tcPr>
          <w:p>
            <w:pPr>
              <w:spacing w:after="0"/>
              <w:rPr>
                <w:sz w:val="20"/>
                <w:szCs w:val="20"/>
                <w:color w:val="auto"/>
              </w:rPr>
            </w:pPr>
            <w:r>
              <w:rPr>
                <w:rFonts w:ascii="Arial" w:cs="Arial" w:eastAsia="Arial" w:hAnsi="Arial"/>
                <w:sz w:val="18"/>
                <w:szCs w:val="18"/>
                <w:color w:val="0000EE"/>
              </w:rPr>
              <w:t>Corporate Social Responsibility</w:t>
            </w:r>
          </w:p>
        </w:tc>
        <w:tc>
          <w:tcPr>
            <w:tcW w:w="1520" w:type="dxa"/>
            <w:vAlign w:val="bottom"/>
            <w:gridSpan w:val="4"/>
          </w:tcPr>
          <w:p>
            <w:pPr>
              <w:ind w:left="80"/>
              <w:spacing w:after="0"/>
              <w:rPr>
                <w:sz w:val="20"/>
                <w:szCs w:val="20"/>
                <w:color w:val="auto"/>
              </w:rPr>
            </w:pPr>
            <w:r>
              <w:rPr>
                <w:rFonts w:ascii="Arial" w:cs="Arial" w:eastAsia="Arial" w:hAnsi="Arial"/>
                <w:sz w:val="18"/>
                <w:szCs w:val="18"/>
                <w:color w:val="0000EE"/>
              </w:rPr>
              <w:t>11</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3040" w:type="dxa"/>
            <w:vAlign w:val="bottom"/>
            <w:tcBorders>
              <w:right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0000EE"/>
                <w:w w:val="96"/>
              </w:rPr>
              <w:t>Board and Committee Self-Evaluations</w:t>
            </w:r>
          </w:p>
        </w:tc>
        <w:tc>
          <w:tcPr>
            <w:tcW w:w="4120" w:type="dxa"/>
            <w:vAlign w:val="bottom"/>
            <w:gridSpan w:val="12"/>
            <w:shd w:val="clear" w:color="auto" w:fill="CCEEFF"/>
          </w:tcPr>
          <w:p>
            <w:pPr>
              <w:spacing w:after="0"/>
              <w:rPr>
                <w:sz w:val="19"/>
                <w:szCs w:val="19"/>
                <w:color w:val="auto"/>
              </w:rPr>
            </w:pP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0000EE"/>
                <w:w w:val="79"/>
              </w:rPr>
              <w:t>12</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tcBorders>
              <w:right w:val="single" w:sz="8" w:color="0000EE"/>
            </w:tcBorders>
            <w:shd w:val="clear" w:color="auto" w:fill="CCEEFF"/>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40" w:type="dxa"/>
            <w:vAlign w:val="bottom"/>
            <w:gridSpan w:val="17"/>
          </w:tcPr>
          <w:p>
            <w:pPr>
              <w:spacing w:after="0"/>
              <w:rPr>
                <w:sz w:val="20"/>
                <w:szCs w:val="20"/>
                <w:color w:val="auto"/>
              </w:rPr>
            </w:pPr>
            <w:r>
              <w:rPr>
                <w:rFonts w:ascii="Arial" w:cs="Arial" w:eastAsia="Arial" w:hAnsi="Arial"/>
                <w:sz w:val="18"/>
                <w:szCs w:val="18"/>
                <w:color w:val="0000EE"/>
              </w:rPr>
              <w:t>Risk Oversight</w:t>
            </w:r>
          </w:p>
        </w:tc>
        <w:tc>
          <w:tcPr>
            <w:tcW w:w="4120" w:type="dxa"/>
            <w:vAlign w:val="bottom"/>
            <w:gridSpan w:val="12"/>
          </w:tcPr>
          <w:p>
            <w:pPr>
              <w:spacing w:after="0"/>
              <w:rPr>
                <w:sz w:val="19"/>
                <w:szCs w:val="19"/>
                <w:color w:val="auto"/>
              </w:rPr>
            </w:pPr>
          </w:p>
        </w:tc>
        <w:tc>
          <w:tcPr>
            <w:tcW w:w="1520" w:type="dxa"/>
            <w:vAlign w:val="bottom"/>
            <w:gridSpan w:val="4"/>
          </w:tcPr>
          <w:p>
            <w:pPr>
              <w:ind w:left="80"/>
              <w:spacing w:after="0"/>
              <w:rPr>
                <w:sz w:val="20"/>
                <w:szCs w:val="20"/>
                <w:color w:val="auto"/>
              </w:rPr>
            </w:pPr>
            <w:r>
              <w:rPr>
                <w:rFonts w:ascii="Arial" w:cs="Arial" w:eastAsia="Arial" w:hAnsi="Arial"/>
                <w:sz w:val="18"/>
                <w:szCs w:val="18"/>
                <w:color w:val="0000EE"/>
              </w:rPr>
              <w:t>12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2580" w:type="dxa"/>
            <w:vAlign w:val="bottom"/>
            <w:tcBorders>
              <w:right w:val="single" w:sz="8" w:color="CCEEFF"/>
            </w:tcBorders>
            <w:gridSpan w:val="13"/>
            <w:shd w:val="clear" w:color="auto" w:fill="CCEEFF"/>
          </w:tcPr>
          <w:p>
            <w:pPr>
              <w:spacing w:after="0"/>
              <w:rPr>
                <w:sz w:val="20"/>
                <w:szCs w:val="20"/>
                <w:color w:val="auto"/>
              </w:rPr>
            </w:pPr>
            <w:r>
              <w:rPr>
                <w:rFonts w:ascii="Arial" w:cs="Arial" w:eastAsia="Arial" w:hAnsi="Arial"/>
                <w:sz w:val="18"/>
                <w:szCs w:val="18"/>
                <w:color w:val="0000EE"/>
                <w:w w:val="96"/>
              </w:rPr>
              <w:t>Working with Integrity Guidelines</w:t>
            </w:r>
          </w:p>
        </w:tc>
        <w:tc>
          <w:tcPr>
            <w:tcW w:w="4580" w:type="dxa"/>
            <w:vAlign w:val="bottom"/>
            <w:tcBorders>
              <w:left w:val="single" w:sz="8" w:color="CCEEFF"/>
            </w:tcBorders>
            <w:gridSpan w:val="16"/>
            <w:shd w:val="clear" w:color="auto" w:fill="CCEEFF"/>
          </w:tcPr>
          <w:p>
            <w:pPr>
              <w:spacing w:after="0"/>
              <w:rPr>
                <w:sz w:val="19"/>
                <w:szCs w:val="19"/>
                <w:color w:val="auto"/>
              </w:rPr>
            </w:pP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0000EE"/>
                <w:w w:val="79"/>
              </w:rPr>
              <w:t>12</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tcBorders>
              <w:right w:val="single" w:sz="8" w:color="0000EE"/>
            </w:tcBorders>
            <w:shd w:val="clear" w:color="auto" w:fill="CCEEFF"/>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580" w:type="dxa"/>
            <w:vAlign w:val="bottom"/>
            <w:gridSpan w:val="13"/>
          </w:tcPr>
          <w:p>
            <w:pPr>
              <w:spacing w:after="0"/>
              <w:rPr>
                <w:sz w:val="20"/>
                <w:szCs w:val="20"/>
                <w:color w:val="auto"/>
              </w:rPr>
            </w:pPr>
            <w:r>
              <w:rPr>
                <w:rFonts w:ascii="Arial" w:cs="Arial" w:eastAsia="Arial" w:hAnsi="Arial"/>
                <w:sz w:val="18"/>
                <w:szCs w:val="18"/>
                <w:color w:val="0000EE"/>
              </w:rPr>
              <w:t>Insider Trading Policy</w:t>
            </w:r>
          </w:p>
        </w:tc>
        <w:tc>
          <w:tcPr>
            <w:tcW w:w="4580" w:type="dxa"/>
            <w:vAlign w:val="bottom"/>
            <w:gridSpan w:val="16"/>
          </w:tcPr>
          <w:p>
            <w:pPr>
              <w:spacing w:after="0"/>
              <w:rPr>
                <w:sz w:val="19"/>
                <w:szCs w:val="19"/>
                <w:color w:val="auto"/>
              </w:rPr>
            </w:pPr>
          </w:p>
        </w:tc>
        <w:tc>
          <w:tcPr>
            <w:tcW w:w="1520" w:type="dxa"/>
            <w:vAlign w:val="bottom"/>
            <w:gridSpan w:val="4"/>
          </w:tcPr>
          <w:p>
            <w:pPr>
              <w:ind w:left="80"/>
              <w:spacing w:after="0"/>
              <w:rPr>
                <w:sz w:val="20"/>
                <w:szCs w:val="20"/>
                <w:color w:val="auto"/>
              </w:rPr>
            </w:pPr>
            <w:r>
              <w:rPr>
                <w:rFonts w:ascii="Arial" w:cs="Arial" w:eastAsia="Arial" w:hAnsi="Arial"/>
                <w:sz w:val="18"/>
                <w:szCs w:val="18"/>
                <w:color w:val="0000EE"/>
              </w:rPr>
              <w:t>12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1160" w:type="dxa"/>
            <w:vAlign w:val="bottom"/>
            <w:gridSpan w:val="4"/>
            <w:shd w:val="clear" w:color="auto" w:fill="CCEEFF"/>
          </w:tcPr>
          <w:p>
            <w:pPr>
              <w:spacing w:after="0"/>
              <w:rPr>
                <w:sz w:val="20"/>
                <w:szCs w:val="20"/>
                <w:color w:val="auto"/>
              </w:rPr>
            </w:pPr>
            <w:r>
              <w:rPr>
                <w:rFonts w:ascii="Arial" w:cs="Arial" w:eastAsia="Arial" w:hAnsi="Arial"/>
                <w:sz w:val="18"/>
                <w:szCs w:val="18"/>
                <w:color w:val="0000EE"/>
                <w:w w:val="94"/>
              </w:rPr>
              <w:t>Hedging Policy</w:t>
            </w:r>
          </w:p>
        </w:tc>
        <w:tc>
          <w:tcPr>
            <w:tcW w:w="480" w:type="dxa"/>
            <w:vAlign w:val="bottom"/>
            <w:gridSpan w:val="2"/>
            <w:shd w:val="clear" w:color="auto" w:fill="CCEEFF"/>
          </w:tcPr>
          <w:p>
            <w:pPr>
              <w:spacing w:after="0"/>
              <w:rPr>
                <w:sz w:val="19"/>
                <w:szCs w:val="19"/>
                <w:color w:val="auto"/>
              </w:rPr>
            </w:pPr>
          </w:p>
        </w:tc>
        <w:tc>
          <w:tcPr>
            <w:tcW w:w="5520" w:type="dxa"/>
            <w:vAlign w:val="bottom"/>
            <w:tcBorders>
              <w:left w:val="single" w:sz="8" w:color="CCEEFF"/>
            </w:tcBorders>
            <w:gridSpan w:val="23"/>
            <w:shd w:val="clear" w:color="auto" w:fill="CCEEFF"/>
          </w:tcPr>
          <w:p>
            <w:pPr>
              <w:spacing w:after="0"/>
              <w:rPr>
                <w:sz w:val="19"/>
                <w:szCs w:val="19"/>
                <w:color w:val="auto"/>
              </w:rPr>
            </w:pP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0000EE"/>
                <w:w w:val="79"/>
              </w:rPr>
              <w:t>13</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tcBorders>
              <w:right w:val="single" w:sz="8" w:color="0000EE"/>
            </w:tcBorders>
            <w:shd w:val="clear" w:color="auto" w:fill="CCEEFF"/>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60" w:type="dxa"/>
            <w:vAlign w:val="bottom"/>
            <w:gridSpan w:val="7"/>
          </w:tcPr>
          <w:p>
            <w:pPr>
              <w:spacing w:after="0"/>
              <w:rPr>
                <w:sz w:val="20"/>
                <w:szCs w:val="20"/>
                <w:color w:val="auto"/>
              </w:rPr>
            </w:pPr>
            <w:r>
              <w:rPr>
                <w:rFonts w:ascii="Arial" w:cs="Arial" w:eastAsia="Arial" w:hAnsi="Arial"/>
                <w:sz w:val="18"/>
                <w:szCs w:val="18"/>
                <w:color w:val="0000EE"/>
                <w:w w:val="93"/>
              </w:rPr>
              <w:t>Director Compensation</w:t>
            </w:r>
          </w:p>
        </w:tc>
        <w:tc>
          <w:tcPr>
            <w:tcW w:w="5400" w:type="dxa"/>
            <w:vAlign w:val="bottom"/>
            <w:gridSpan w:val="22"/>
          </w:tcPr>
          <w:p>
            <w:pPr>
              <w:spacing w:after="0"/>
              <w:rPr>
                <w:sz w:val="19"/>
                <w:szCs w:val="19"/>
                <w:color w:val="auto"/>
              </w:rPr>
            </w:pPr>
          </w:p>
        </w:tc>
        <w:tc>
          <w:tcPr>
            <w:tcW w:w="1520" w:type="dxa"/>
            <w:vAlign w:val="bottom"/>
            <w:gridSpan w:val="4"/>
          </w:tcPr>
          <w:p>
            <w:pPr>
              <w:ind w:left="80"/>
              <w:spacing w:after="0"/>
              <w:rPr>
                <w:sz w:val="20"/>
                <w:szCs w:val="20"/>
                <w:color w:val="auto"/>
              </w:rPr>
            </w:pPr>
            <w:r>
              <w:rPr>
                <w:rFonts w:ascii="Arial" w:cs="Arial" w:eastAsia="Arial" w:hAnsi="Arial"/>
                <w:sz w:val="18"/>
                <w:szCs w:val="18"/>
                <w:color w:val="0000EE"/>
              </w:rPr>
              <w:t>13</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7940" w:type="dxa"/>
            <w:vAlign w:val="bottom"/>
            <w:gridSpan w:val="31"/>
            <w:shd w:val="clear" w:color="auto" w:fill="CCEEFF"/>
          </w:tcPr>
          <w:p>
            <w:pPr>
              <w:spacing w:after="0"/>
              <w:rPr>
                <w:sz w:val="20"/>
                <w:szCs w:val="20"/>
                <w:color w:val="auto"/>
              </w:rPr>
            </w:pPr>
            <w:r>
              <w:rPr>
                <w:rFonts w:ascii="Arial" w:cs="Arial" w:eastAsia="Arial" w:hAnsi="Arial"/>
                <w:sz w:val="18"/>
                <w:szCs w:val="18"/>
                <w:color w:val="0000EE"/>
              </w:rPr>
              <w:t>PROPOSAL NO. 1 Election of Directors</w:t>
            </w: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0000EE"/>
                <w:w w:val="79"/>
              </w:rPr>
              <w:t>14</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7620" w:type="dxa"/>
            <w:vAlign w:val="bottom"/>
            <w:tcBorders>
              <w:bottom w:val="single" w:sz="8" w:color="0000EE"/>
            </w:tcBorders>
            <w:gridSpan w:val="30"/>
          </w:tcPr>
          <w:p>
            <w:pPr>
              <w:spacing w:after="0"/>
              <w:rPr>
                <w:sz w:val="20"/>
                <w:szCs w:val="20"/>
                <w:color w:val="auto"/>
              </w:rPr>
            </w:pPr>
            <w:r>
              <w:rPr>
                <w:rFonts w:ascii="Arial" w:cs="Arial" w:eastAsia="Arial" w:hAnsi="Arial"/>
                <w:sz w:val="18"/>
                <w:szCs w:val="18"/>
                <w:color w:val="0000EE"/>
                <w:w w:val="97"/>
              </w:rPr>
              <w:t>PROPOSAL NO. 2 Approval of an Increase in the Number of Shares Available for Issuance under</w:t>
            </w:r>
          </w:p>
        </w:tc>
        <w:tc>
          <w:tcPr>
            <w:tcW w:w="320" w:type="dxa"/>
            <w:vAlign w:val="bottom"/>
          </w:tcPr>
          <w:p>
            <w:pPr>
              <w:spacing w:after="0"/>
              <w:rPr>
                <w:sz w:val="18"/>
                <w:szCs w:val="18"/>
                <w:color w:val="auto"/>
              </w:rPr>
            </w:pPr>
          </w:p>
        </w:tc>
        <w:tc>
          <w:tcPr>
            <w:tcW w:w="1520" w:type="dxa"/>
            <w:vAlign w:val="bottom"/>
            <w:gridSpan w:val="4"/>
            <w:vMerge w:val="restart"/>
          </w:tcPr>
          <w:p>
            <w:pPr>
              <w:ind w:left="80"/>
              <w:spacing w:after="0"/>
              <w:rPr>
                <w:sz w:val="20"/>
                <w:szCs w:val="20"/>
                <w:color w:val="auto"/>
              </w:rPr>
            </w:pPr>
            <w:r>
              <w:rPr>
                <w:rFonts w:ascii="Arial" w:cs="Arial" w:eastAsia="Arial" w:hAnsi="Arial"/>
                <w:sz w:val="18"/>
                <w:szCs w:val="18"/>
                <w:color w:val="0000EE"/>
              </w:rPr>
              <w:t>19</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60" w:type="dxa"/>
            <w:vAlign w:val="bottom"/>
            <w:gridSpan w:val="30"/>
          </w:tcPr>
          <w:p>
            <w:pPr>
              <w:spacing w:after="0" w:line="196" w:lineRule="exact"/>
              <w:rPr>
                <w:sz w:val="20"/>
                <w:szCs w:val="20"/>
                <w:color w:val="auto"/>
              </w:rPr>
            </w:pPr>
            <w:r>
              <w:rPr>
                <w:rFonts w:ascii="Arial" w:cs="Arial" w:eastAsia="Arial" w:hAnsi="Arial"/>
                <w:sz w:val="18"/>
                <w:szCs w:val="18"/>
                <w:color w:val="0000EE"/>
              </w:rPr>
              <w:t>the Uniti Group Inc. 2025 Equity Incentive Plan</w:t>
            </w:r>
          </w:p>
        </w:tc>
        <w:tc>
          <w:tcPr>
            <w:tcW w:w="15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60" w:type="dxa"/>
            <w:vAlign w:val="bottom"/>
          </w:tcPr>
          <w:p>
            <w:pPr>
              <w:spacing w:after="0"/>
              <w:rPr>
                <w:sz w:val="19"/>
                <w:szCs w:val="19"/>
                <w:color w:val="auto"/>
              </w:rPr>
            </w:pPr>
          </w:p>
        </w:tc>
        <w:tc>
          <w:tcPr>
            <w:tcW w:w="7940" w:type="dxa"/>
            <w:vAlign w:val="bottom"/>
            <w:gridSpan w:val="31"/>
            <w:shd w:val="clear" w:color="auto" w:fill="CCEEFF"/>
          </w:tcPr>
          <w:p>
            <w:pPr>
              <w:spacing w:after="0"/>
              <w:rPr>
                <w:sz w:val="20"/>
                <w:szCs w:val="20"/>
                <w:color w:val="auto"/>
              </w:rPr>
            </w:pPr>
            <w:r>
              <w:rPr>
                <w:rFonts w:ascii="Arial" w:cs="Arial" w:eastAsia="Arial" w:hAnsi="Arial"/>
                <w:sz w:val="18"/>
                <w:szCs w:val="18"/>
                <w:color w:val="0000EE"/>
              </w:rPr>
              <w:t>SECURITY OWNERSHIP OF CERTAIN BENEFICIAL OWNERS AND MANAGEMENT</w:t>
            </w: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0000EE"/>
                <w:w w:val="79"/>
              </w:rPr>
              <w:t>28</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6800" w:type="dxa"/>
            <w:vAlign w:val="bottom"/>
            <w:gridSpan w:val="27"/>
          </w:tcPr>
          <w:p>
            <w:pPr>
              <w:spacing w:after="0"/>
              <w:rPr>
                <w:sz w:val="20"/>
                <w:szCs w:val="20"/>
                <w:color w:val="auto"/>
              </w:rPr>
            </w:pPr>
            <w:r>
              <w:rPr>
                <w:rFonts w:ascii="Arial" w:cs="Arial" w:eastAsia="Arial" w:hAnsi="Arial"/>
                <w:sz w:val="18"/>
                <w:szCs w:val="18"/>
                <w:color w:val="0000EE"/>
              </w:rPr>
              <w:t>AUDIT COMMITTEE REPORT</w:t>
            </w:r>
          </w:p>
        </w:tc>
        <w:tc>
          <w:tcPr>
            <w:tcW w:w="1140" w:type="dxa"/>
            <w:vAlign w:val="bottom"/>
            <w:gridSpan w:val="4"/>
          </w:tcPr>
          <w:p>
            <w:pPr>
              <w:spacing w:after="0"/>
              <w:rPr>
                <w:sz w:val="20"/>
                <w:szCs w:val="20"/>
                <w:color w:val="auto"/>
              </w:rPr>
            </w:pPr>
          </w:p>
        </w:tc>
        <w:tc>
          <w:tcPr>
            <w:tcW w:w="1520" w:type="dxa"/>
            <w:vAlign w:val="bottom"/>
            <w:gridSpan w:val="4"/>
          </w:tcPr>
          <w:p>
            <w:pPr>
              <w:ind w:left="80"/>
              <w:spacing w:after="0"/>
              <w:rPr>
                <w:sz w:val="20"/>
                <w:szCs w:val="20"/>
                <w:color w:val="auto"/>
              </w:rPr>
            </w:pPr>
            <w:r>
              <w:rPr>
                <w:rFonts w:ascii="Arial" w:cs="Arial" w:eastAsia="Arial" w:hAnsi="Arial"/>
                <w:sz w:val="18"/>
                <w:szCs w:val="18"/>
                <w:color w:val="0000EE"/>
              </w:rPr>
              <w:t>31</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3580" w:type="dxa"/>
            <w:vAlign w:val="bottom"/>
            <w:gridSpan w:val="17"/>
            <w:shd w:val="clear" w:color="auto" w:fill="CCEEFF"/>
          </w:tcPr>
          <w:p>
            <w:pPr>
              <w:spacing w:after="0"/>
              <w:rPr>
                <w:sz w:val="20"/>
                <w:szCs w:val="20"/>
                <w:color w:val="auto"/>
              </w:rPr>
            </w:pPr>
            <w:r>
              <w:rPr>
                <w:rFonts w:ascii="Arial" w:cs="Arial" w:eastAsia="Arial" w:hAnsi="Arial"/>
                <w:sz w:val="18"/>
                <w:szCs w:val="18"/>
                <w:color w:val="0000EE"/>
                <w:w w:val="97"/>
              </w:rPr>
              <w:t>EXECUTIVE OFFICERS OF THE COMPANY</w:t>
            </w:r>
          </w:p>
        </w:tc>
        <w:tc>
          <w:tcPr>
            <w:tcW w:w="4360" w:type="dxa"/>
            <w:vAlign w:val="bottom"/>
            <w:gridSpan w:val="14"/>
            <w:shd w:val="clear" w:color="auto" w:fill="CCEEFF"/>
          </w:tcPr>
          <w:p>
            <w:pPr>
              <w:spacing w:after="0"/>
              <w:rPr>
                <w:sz w:val="20"/>
                <w:szCs w:val="20"/>
                <w:color w:val="auto"/>
              </w:rPr>
            </w:pP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0000EE"/>
                <w:w w:val="79"/>
              </w:rPr>
              <w:t>32</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2420" w:type="dxa"/>
            <w:vAlign w:val="bottom"/>
            <w:gridSpan w:val="8"/>
          </w:tcPr>
          <w:p>
            <w:pPr>
              <w:spacing w:after="0"/>
              <w:rPr>
                <w:sz w:val="20"/>
                <w:szCs w:val="20"/>
                <w:color w:val="auto"/>
              </w:rPr>
            </w:pPr>
            <w:r>
              <w:rPr>
                <w:rFonts w:ascii="Arial" w:cs="Arial" w:eastAsia="Arial" w:hAnsi="Arial"/>
                <w:sz w:val="18"/>
                <w:szCs w:val="18"/>
                <w:color w:val="0000EE"/>
                <w:w w:val="94"/>
              </w:rPr>
              <w:t>EXECUTIVE COMPENSATION</w:t>
            </w:r>
          </w:p>
        </w:tc>
        <w:tc>
          <w:tcPr>
            <w:tcW w:w="1160" w:type="dxa"/>
            <w:vAlign w:val="bottom"/>
            <w:gridSpan w:val="9"/>
          </w:tcPr>
          <w:p>
            <w:pPr>
              <w:spacing w:after="0"/>
              <w:rPr>
                <w:sz w:val="20"/>
                <w:szCs w:val="20"/>
                <w:color w:val="auto"/>
              </w:rPr>
            </w:pPr>
          </w:p>
        </w:tc>
        <w:tc>
          <w:tcPr>
            <w:tcW w:w="4360" w:type="dxa"/>
            <w:vAlign w:val="bottom"/>
            <w:gridSpan w:val="14"/>
          </w:tcPr>
          <w:p>
            <w:pPr>
              <w:spacing w:after="0"/>
              <w:rPr>
                <w:sz w:val="20"/>
                <w:szCs w:val="20"/>
                <w:color w:val="auto"/>
              </w:rPr>
            </w:pPr>
          </w:p>
        </w:tc>
        <w:tc>
          <w:tcPr>
            <w:tcW w:w="1520" w:type="dxa"/>
            <w:vAlign w:val="bottom"/>
            <w:gridSpan w:val="4"/>
          </w:tcPr>
          <w:p>
            <w:pPr>
              <w:ind w:left="80"/>
              <w:spacing w:after="0"/>
              <w:rPr>
                <w:sz w:val="20"/>
                <w:szCs w:val="20"/>
                <w:color w:val="auto"/>
              </w:rPr>
            </w:pPr>
            <w:r>
              <w:rPr>
                <w:rFonts w:ascii="Arial" w:cs="Arial" w:eastAsia="Arial" w:hAnsi="Arial"/>
                <w:sz w:val="18"/>
                <w:szCs w:val="18"/>
                <w:color w:val="0000EE"/>
              </w:rPr>
              <w:t>33</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spacing w:after="0"/>
              <w:rPr>
                <w:sz w:val="20"/>
                <w:szCs w:val="20"/>
                <w:color w:val="auto"/>
              </w:rPr>
            </w:pPr>
          </w:p>
        </w:tc>
        <w:tc>
          <w:tcPr>
            <w:tcW w:w="7160" w:type="dxa"/>
            <w:vAlign w:val="bottom"/>
            <w:gridSpan w:val="29"/>
            <w:shd w:val="clear" w:color="auto" w:fill="CCEEFF"/>
          </w:tcPr>
          <w:p>
            <w:pPr>
              <w:spacing w:after="0"/>
              <w:rPr>
                <w:sz w:val="20"/>
                <w:szCs w:val="20"/>
                <w:color w:val="auto"/>
              </w:rPr>
            </w:pPr>
            <w:r>
              <w:rPr>
                <w:rFonts w:ascii="Arial" w:cs="Arial" w:eastAsia="Arial" w:hAnsi="Arial"/>
                <w:sz w:val="18"/>
                <w:szCs w:val="18"/>
                <w:color w:val="0000EE"/>
              </w:rPr>
              <w:t>Compensation Discussion &amp; Analysis</w:t>
            </w: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0000EE"/>
                <w:w w:val="79"/>
              </w:rPr>
              <w:t>33</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tcBorders>
              <w:right w:val="single" w:sz="8" w:color="0000EE"/>
            </w:tcBorders>
            <w:shd w:val="clear" w:color="auto" w:fill="CCEEFF"/>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40" w:type="dxa"/>
            <w:vAlign w:val="bottom"/>
            <w:gridSpan w:val="24"/>
          </w:tcPr>
          <w:p>
            <w:pPr>
              <w:spacing w:after="0"/>
              <w:rPr>
                <w:sz w:val="20"/>
                <w:szCs w:val="20"/>
                <w:color w:val="auto"/>
              </w:rPr>
            </w:pPr>
            <w:r>
              <w:rPr>
                <w:rFonts w:ascii="Arial" w:cs="Arial" w:eastAsia="Arial" w:hAnsi="Arial"/>
                <w:sz w:val="18"/>
                <w:szCs w:val="18"/>
                <w:color w:val="0000EE"/>
                <w:w w:val="97"/>
              </w:rPr>
              <w:t>Compensation Committee Report on Executive Compensation</w:t>
            </w:r>
          </w:p>
        </w:tc>
        <w:tc>
          <w:tcPr>
            <w:tcW w:w="2320" w:type="dxa"/>
            <w:vAlign w:val="bottom"/>
            <w:gridSpan w:val="5"/>
          </w:tcPr>
          <w:p>
            <w:pPr>
              <w:spacing w:after="0"/>
              <w:rPr>
                <w:sz w:val="20"/>
                <w:szCs w:val="20"/>
                <w:color w:val="auto"/>
              </w:rPr>
            </w:pPr>
          </w:p>
        </w:tc>
        <w:tc>
          <w:tcPr>
            <w:tcW w:w="1520" w:type="dxa"/>
            <w:vAlign w:val="bottom"/>
            <w:gridSpan w:val="4"/>
          </w:tcPr>
          <w:p>
            <w:pPr>
              <w:ind w:left="80"/>
              <w:spacing w:after="0"/>
              <w:rPr>
                <w:sz w:val="20"/>
                <w:szCs w:val="20"/>
                <w:color w:val="auto"/>
              </w:rPr>
            </w:pPr>
            <w:r>
              <w:rPr>
                <w:rFonts w:ascii="Arial" w:cs="Arial" w:eastAsia="Arial" w:hAnsi="Arial"/>
                <w:sz w:val="18"/>
                <w:szCs w:val="18"/>
                <w:color w:val="0000EE"/>
              </w:rPr>
              <w:t>45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spacing w:after="0"/>
              <w:rPr>
                <w:sz w:val="20"/>
                <w:szCs w:val="20"/>
                <w:color w:val="auto"/>
              </w:rPr>
            </w:pPr>
          </w:p>
        </w:tc>
        <w:tc>
          <w:tcPr>
            <w:tcW w:w="4840" w:type="dxa"/>
            <w:vAlign w:val="bottom"/>
            <w:gridSpan w:val="24"/>
            <w:shd w:val="clear" w:color="auto" w:fill="CCEEFF"/>
          </w:tcPr>
          <w:p>
            <w:pPr>
              <w:spacing w:after="0"/>
              <w:rPr>
                <w:sz w:val="20"/>
                <w:szCs w:val="20"/>
                <w:color w:val="auto"/>
              </w:rPr>
            </w:pPr>
            <w:r>
              <w:rPr>
                <w:rFonts w:ascii="Arial" w:cs="Arial" w:eastAsia="Arial" w:hAnsi="Arial"/>
                <w:sz w:val="18"/>
                <w:szCs w:val="18"/>
                <w:color w:val="0000EE"/>
              </w:rPr>
              <w:t>Summary Compensation Table</w:t>
            </w:r>
          </w:p>
        </w:tc>
        <w:tc>
          <w:tcPr>
            <w:tcW w:w="2320" w:type="dxa"/>
            <w:vAlign w:val="bottom"/>
            <w:gridSpan w:val="5"/>
            <w:shd w:val="clear" w:color="auto" w:fill="CCEEFF"/>
          </w:tcPr>
          <w:p>
            <w:pPr>
              <w:spacing w:after="0"/>
              <w:rPr>
                <w:sz w:val="20"/>
                <w:szCs w:val="20"/>
                <w:color w:val="auto"/>
              </w:rPr>
            </w:pP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0000EE"/>
                <w:w w:val="79"/>
              </w:rPr>
              <w:t>46</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tcBorders>
              <w:right w:val="single" w:sz="8" w:color="0000EE"/>
            </w:tcBorders>
            <w:shd w:val="clear" w:color="auto" w:fill="CCEEFF"/>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300" w:type="dxa"/>
            <w:vAlign w:val="bottom"/>
            <w:gridSpan w:val="11"/>
          </w:tcPr>
          <w:p>
            <w:pPr>
              <w:spacing w:after="0"/>
              <w:rPr>
                <w:sz w:val="20"/>
                <w:szCs w:val="20"/>
                <w:color w:val="auto"/>
              </w:rPr>
            </w:pPr>
            <w:r>
              <w:rPr>
                <w:rFonts w:ascii="Arial" w:cs="Arial" w:eastAsia="Arial" w:hAnsi="Arial"/>
                <w:sz w:val="18"/>
                <w:szCs w:val="18"/>
                <w:color w:val="0000EE"/>
                <w:w w:val="95"/>
              </w:rPr>
              <w:t>Grants of Plan-Based Awards</w:t>
            </w:r>
          </w:p>
        </w:tc>
        <w:tc>
          <w:tcPr>
            <w:tcW w:w="120" w:type="dxa"/>
            <w:vAlign w:val="bottom"/>
          </w:tcPr>
          <w:p>
            <w:pPr>
              <w:spacing w:after="0"/>
              <w:rPr>
                <w:sz w:val="20"/>
                <w:szCs w:val="20"/>
                <w:color w:val="auto"/>
              </w:rPr>
            </w:pPr>
          </w:p>
        </w:tc>
        <w:tc>
          <w:tcPr>
            <w:tcW w:w="4740" w:type="dxa"/>
            <w:vAlign w:val="bottom"/>
            <w:gridSpan w:val="17"/>
          </w:tcPr>
          <w:p>
            <w:pPr>
              <w:spacing w:after="0"/>
              <w:rPr>
                <w:sz w:val="20"/>
                <w:szCs w:val="20"/>
                <w:color w:val="auto"/>
              </w:rPr>
            </w:pPr>
          </w:p>
        </w:tc>
        <w:tc>
          <w:tcPr>
            <w:tcW w:w="1520" w:type="dxa"/>
            <w:vAlign w:val="bottom"/>
            <w:gridSpan w:val="4"/>
          </w:tcPr>
          <w:p>
            <w:pPr>
              <w:ind w:left="80"/>
              <w:spacing w:after="0"/>
              <w:rPr>
                <w:sz w:val="20"/>
                <w:szCs w:val="20"/>
                <w:color w:val="auto"/>
              </w:rPr>
            </w:pPr>
            <w:r>
              <w:rPr>
                <w:rFonts w:ascii="Arial" w:cs="Arial" w:eastAsia="Arial" w:hAnsi="Arial"/>
                <w:sz w:val="18"/>
                <w:szCs w:val="18"/>
                <w:color w:val="0000EE"/>
              </w:rPr>
              <w:t>48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spacing w:after="0"/>
              <w:rPr>
                <w:sz w:val="20"/>
                <w:szCs w:val="20"/>
                <w:color w:val="auto"/>
              </w:rPr>
            </w:pPr>
          </w:p>
        </w:tc>
        <w:tc>
          <w:tcPr>
            <w:tcW w:w="3580" w:type="dxa"/>
            <w:vAlign w:val="bottom"/>
            <w:gridSpan w:val="19"/>
            <w:shd w:val="clear" w:color="auto" w:fill="CCEEFF"/>
          </w:tcPr>
          <w:p>
            <w:pPr>
              <w:spacing w:after="0"/>
              <w:rPr>
                <w:sz w:val="20"/>
                <w:szCs w:val="20"/>
                <w:color w:val="auto"/>
              </w:rPr>
            </w:pPr>
            <w:r>
              <w:rPr>
                <w:rFonts w:ascii="Arial" w:cs="Arial" w:eastAsia="Arial" w:hAnsi="Arial"/>
                <w:sz w:val="18"/>
                <w:szCs w:val="18"/>
                <w:color w:val="0000EE"/>
                <w:w w:val="96"/>
              </w:rPr>
              <w:t>Outstanding Equity Awards at Fiscal Year-End</w:t>
            </w:r>
          </w:p>
        </w:tc>
        <w:tc>
          <w:tcPr>
            <w:tcW w:w="3580" w:type="dxa"/>
            <w:vAlign w:val="bottom"/>
            <w:gridSpan w:val="10"/>
            <w:shd w:val="clear" w:color="auto" w:fill="CCEEFF"/>
          </w:tcPr>
          <w:p>
            <w:pPr>
              <w:spacing w:after="0"/>
              <w:rPr>
                <w:sz w:val="20"/>
                <w:szCs w:val="20"/>
                <w:color w:val="auto"/>
              </w:rPr>
            </w:pP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0000EE"/>
                <w:w w:val="79"/>
              </w:rPr>
              <w:t>50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tcBorders>
              <w:right w:val="single" w:sz="8" w:color="0000EE"/>
            </w:tcBorders>
            <w:shd w:val="clear" w:color="auto" w:fill="CCEEFF"/>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580" w:type="dxa"/>
            <w:vAlign w:val="bottom"/>
            <w:gridSpan w:val="19"/>
          </w:tcPr>
          <w:p>
            <w:pPr>
              <w:spacing w:after="0"/>
              <w:rPr>
                <w:sz w:val="20"/>
                <w:szCs w:val="20"/>
                <w:color w:val="auto"/>
              </w:rPr>
            </w:pPr>
            <w:r>
              <w:rPr>
                <w:rFonts w:ascii="Arial" w:cs="Arial" w:eastAsia="Arial" w:hAnsi="Arial"/>
                <w:sz w:val="18"/>
                <w:szCs w:val="18"/>
                <w:color w:val="0000EE"/>
              </w:rPr>
              <w:t>Option Exercises and Stock Vested</w:t>
            </w:r>
          </w:p>
        </w:tc>
        <w:tc>
          <w:tcPr>
            <w:tcW w:w="3580" w:type="dxa"/>
            <w:vAlign w:val="bottom"/>
            <w:gridSpan w:val="10"/>
          </w:tcPr>
          <w:p>
            <w:pPr>
              <w:spacing w:after="0"/>
              <w:rPr>
                <w:sz w:val="20"/>
                <w:szCs w:val="20"/>
                <w:color w:val="auto"/>
              </w:rPr>
            </w:pPr>
          </w:p>
        </w:tc>
        <w:tc>
          <w:tcPr>
            <w:tcW w:w="1520" w:type="dxa"/>
            <w:vAlign w:val="bottom"/>
            <w:gridSpan w:val="4"/>
          </w:tcPr>
          <w:p>
            <w:pPr>
              <w:ind w:left="80"/>
              <w:spacing w:after="0"/>
              <w:rPr>
                <w:sz w:val="20"/>
                <w:szCs w:val="20"/>
                <w:color w:val="auto"/>
              </w:rPr>
            </w:pPr>
            <w:r>
              <w:rPr>
                <w:rFonts w:ascii="Arial" w:cs="Arial" w:eastAsia="Arial" w:hAnsi="Arial"/>
                <w:sz w:val="18"/>
                <w:szCs w:val="18"/>
                <w:color w:val="0000EE"/>
              </w:rPr>
              <w:t>52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spacing w:after="0"/>
              <w:rPr>
                <w:sz w:val="20"/>
                <w:szCs w:val="20"/>
                <w:color w:val="auto"/>
              </w:rPr>
            </w:pPr>
          </w:p>
        </w:tc>
        <w:tc>
          <w:tcPr>
            <w:tcW w:w="3040" w:type="dxa"/>
            <w:vAlign w:val="bottom"/>
            <w:tcBorders>
              <w:right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0000EE"/>
                <w:w w:val="97"/>
              </w:rPr>
              <w:t>Non-Qualified Deferred Compensation</w:t>
            </w:r>
          </w:p>
        </w:tc>
        <w:tc>
          <w:tcPr>
            <w:tcW w:w="4120" w:type="dxa"/>
            <w:vAlign w:val="bottom"/>
            <w:gridSpan w:val="12"/>
            <w:shd w:val="clear" w:color="auto" w:fill="CCEEFF"/>
          </w:tcPr>
          <w:p>
            <w:pPr>
              <w:spacing w:after="0"/>
              <w:rPr>
                <w:sz w:val="20"/>
                <w:szCs w:val="20"/>
                <w:color w:val="auto"/>
              </w:rPr>
            </w:pP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0000EE"/>
                <w:w w:val="79"/>
              </w:rPr>
              <w:t>52</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tcBorders>
              <w:right w:val="single" w:sz="8" w:color="0000EE"/>
            </w:tcBorders>
            <w:shd w:val="clear" w:color="auto" w:fill="CCEEFF"/>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20" w:type="dxa"/>
            <w:vAlign w:val="bottom"/>
            <w:gridSpan w:val="20"/>
          </w:tcPr>
          <w:p>
            <w:pPr>
              <w:spacing w:after="0"/>
              <w:rPr>
                <w:sz w:val="20"/>
                <w:szCs w:val="20"/>
                <w:color w:val="auto"/>
              </w:rPr>
            </w:pPr>
            <w:r>
              <w:rPr>
                <w:rFonts w:ascii="Arial" w:cs="Arial" w:eastAsia="Arial" w:hAnsi="Arial"/>
                <w:sz w:val="18"/>
                <w:szCs w:val="18"/>
                <w:color w:val="0000EE"/>
                <w:w w:val="96"/>
              </w:rPr>
              <w:t>Agreements with Our Named Executive Officers</w:t>
            </w:r>
          </w:p>
        </w:tc>
        <w:tc>
          <w:tcPr>
            <w:tcW w:w="3440" w:type="dxa"/>
            <w:vAlign w:val="bottom"/>
            <w:gridSpan w:val="9"/>
          </w:tcPr>
          <w:p>
            <w:pPr>
              <w:spacing w:after="0"/>
              <w:rPr>
                <w:sz w:val="20"/>
                <w:szCs w:val="20"/>
                <w:color w:val="auto"/>
              </w:rPr>
            </w:pPr>
          </w:p>
        </w:tc>
        <w:tc>
          <w:tcPr>
            <w:tcW w:w="1520" w:type="dxa"/>
            <w:vAlign w:val="bottom"/>
            <w:gridSpan w:val="4"/>
          </w:tcPr>
          <w:p>
            <w:pPr>
              <w:ind w:left="80"/>
              <w:spacing w:after="0"/>
              <w:rPr>
                <w:sz w:val="20"/>
                <w:szCs w:val="20"/>
                <w:color w:val="auto"/>
              </w:rPr>
            </w:pPr>
            <w:r>
              <w:rPr>
                <w:rFonts w:ascii="Arial" w:cs="Arial" w:eastAsia="Arial" w:hAnsi="Arial"/>
                <w:sz w:val="18"/>
                <w:szCs w:val="18"/>
                <w:color w:val="0000EE"/>
              </w:rPr>
              <w:t>53</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spacing w:after="0"/>
              <w:rPr>
                <w:sz w:val="20"/>
                <w:szCs w:val="20"/>
                <w:color w:val="auto"/>
              </w:rPr>
            </w:pPr>
          </w:p>
        </w:tc>
        <w:tc>
          <w:tcPr>
            <w:tcW w:w="7160" w:type="dxa"/>
            <w:vAlign w:val="bottom"/>
            <w:gridSpan w:val="29"/>
            <w:shd w:val="clear" w:color="auto" w:fill="CCEEFF"/>
          </w:tcPr>
          <w:p>
            <w:pPr>
              <w:spacing w:after="0"/>
              <w:rPr>
                <w:sz w:val="20"/>
                <w:szCs w:val="20"/>
                <w:color w:val="auto"/>
              </w:rPr>
            </w:pPr>
            <w:r>
              <w:rPr>
                <w:rFonts w:ascii="Arial" w:cs="Arial" w:eastAsia="Arial" w:hAnsi="Arial"/>
                <w:sz w:val="18"/>
                <w:szCs w:val="18"/>
                <w:color w:val="0000EE"/>
              </w:rPr>
              <w:t>Potential Payments upon Termination or Change in Control</w:t>
            </w: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0000EE"/>
                <w:w w:val="79"/>
              </w:rPr>
              <w:t>55</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tcBorders>
              <w:right w:val="single" w:sz="8" w:color="0000EE"/>
            </w:tcBorders>
            <w:shd w:val="clear" w:color="auto" w:fill="CCEEFF"/>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60" w:type="dxa"/>
            <w:vAlign w:val="bottom"/>
            <w:gridSpan w:val="23"/>
          </w:tcPr>
          <w:p>
            <w:pPr>
              <w:spacing w:after="0"/>
              <w:rPr>
                <w:sz w:val="20"/>
                <w:szCs w:val="20"/>
                <w:color w:val="auto"/>
              </w:rPr>
            </w:pPr>
            <w:r>
              <w:rPr>
                <w:rFonts w:ascii="Arial" w:cs="Arial" w:eastAsia="Arial" w:hAnsi="Arial"/>
                <w:sz w:val="18"/>
                <w:szCs w:val="18"/>
                <w:color w:val="0000EE"/>
              </w:rPr>
              <w:t>Pay Versus Performance</w:t>
            </w:r>
          </w:p>
        </w:tc>
        <w:tc>
          <w:tcPr>
            <w:tcW w:w="2600" w:type="dxa"/>
            <w:vAlign w:val="bottom"/>
            <w:gridSpan w:val="6"/>
          </w:tcPr>
          <w:p>
            <w:pPr>
              <w:spacing w:after="0"/>
              <w:rPr>
                <w:sz w:val="20"/>
                <w:szCs w:val="20"/>
                <w:color w:val="auto"/>
              </w:rPr>
            </w:pPr>
          </w:p>
        </w:tc>
        <w:tc>
          <w:tcPr>
            <w:tcW w:w="1520" w:type="dxa"/>
            <w:vAlign w:val="bottom"/>
            <w:gridSpan w:val="4"/>
          </w:tcPr>
          <w:p>
            <w:pPr>
              <w:ind w:left="80"/>
              <w:spacing w:after="0"/>
              <w:rPr>
                <w:sz w:val="20"/>
                <w:szCs w:val="20"/>
                <w:color w:val="auto"/>
              </w:rPr>
            </w:pPr>
            <w:r>
              <w:rPr>
                <w:rFonts w:ascii="Arial" w:cs="Arial" w:eastAsia="Arial" w:hAnsi="Arial"/>
                <w:sz w:val="18"/>
                <w:szCs w:val="18"/>
                <w:color w:val="0000EE"/>
              </w:rPr>
              <w:t>58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7940" w:type="dxa"/>
            <w:vAlign w:val="bottom"/>
            <w:gridSpan w:val="31"/>
            <w:shd w:val="clear" w:color="auto" w:fill="CCEEFF"/>
          </w:tcPr>
          <w:p>
            <w:pPr>
              <w:spacing w:after="0"/>
              <w:rPr>
                <w:sz w:val="20"/>
                <w:szCs w:val="20"/>
                <w:color w:val="auto"/>
              </w:rPr>
            </w:pPr>
            <w:r>
              <w:rPr>
                <w:rFonts w:ascii="Arial" w:cs="Arial" w:eastAsia="Arial" w:hAnsi="Arial"/>
                <w:sz w:val="18"/>
                <w:szCs w:val="18"/>
                <w:color w:val="0000EE"/>
              </w:rPr>
              <w:t>PROPOSAL NO. 3 Advisory Vote to Approve Compensation of the Company’s Named Executive</w:t>
            </w:r>
          </w:p>
        </w:tc>
        <w:tc>
          <w:tcPr>
            <w:tcW w:w="260" w:type="dxa"/>
            <w:vAlign w:val="bottom"/>
            <w:gridSpan w:val="3"/>
            <w:vMerge w:val="restart"/>
            <w:shd w:val="clear" w:color="auto" w:fill="CCEEFF"/>
          </w:tcPr>
          <w:p>
            <w:pPr>
              <w:ind w:left="80"/>
              <w:spacing w:after="0"/>
              <w:rPr>
                <w:sz w:val="20"/>
                <w:szCs w:val="20"/>
                <w:color w:val="auto"/>
              </w:rPr>
            </w:pPr>
            <w:r>
              <w:rPr>
                <w:rFonts w:ascii="Arial" w:cs="Arial" w:eastAsia="Arial" w:hAnsi="Arial"/>
                <w:sz w:val="18"/>
                <w:szCs w:val="18"/>
                <w:color w:val="0000EE"/>
                <w:w w:val="79"/>
              </w:rPr>
              <w:t>63</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7360" w:type="dxa"/>
            <w:vAlign w:val="bottom"/>
            <w:tcBorders>
              <w:top w:val="single" w:sz="8" w:color="0000EE"/>
            </w:tcBorders>
            <w:gridSpan w:val="28"/>
            <w:shd w:val="clear" w:color="auto" w:fill="CCEEFF"/>
          </w:tcPr>
          <w:p>
            <w:pPr>
              <w:spacing w:after="0" w:line="196" w:lineRule="exact"/>
              <w:rPr>
                <w:sz w:val="20"/>
                <w:szCs w:val="20"/>
                <w:color w:val="auto"/>
              </w:rPr>
            </w:pPr>
            <w:r>
              <w:rPr>
                <w:rFonts w:ascii="Arial" w:cs="Arial" w:eastAsia="Arial" w:hAnsi="Arial"/>
                <w:sz w:val="18"/>
                <w:szCs w:val="18"/>
                <w:color w:val="0000EE"/>
              </w:rPr>
              <w:t>Officers</w:t>
            </w:r>
          </w:p>
        </w:tc>
        <w:tc>
          <w:tcPr>
            <w:tcW w:w="400" w:type="dxa"/>
            <w:vAlign w:val="bottom"/>
            <w:tcBorders>
              <w:top w:val="single" w:sz="8" w:color="CCEEFF"/>
            </w:tcBorders>
            <w:gridSpan w:val="2"/>
            <w:shd w:val="clear" w:color="auto" w:fill="CCEEFF"/>
          </w:tcPr>
          <w:p>
            <w:pPr>
              <w:spacing w:after="0"/>
              <w:rPr>
                <w:sz w:val="17"/>
                <w:szCs w:val="17"/>
                <w:color w:val="auto"/>
              </w:rPr>
            </w:pPr>
          </w:p>
        </w:tc>
        <w:tc>
          <w:tcPr>
            <w:tcW w:w="260" w:type="dxa"/>
            <w:vAlign w:val="bottom"/>
            <w:tcBorders>
              <w:top w:val="single" w:sz="8" w:color="CCEEFF"/>
            </w:tcBorders>
            <w:gridSpan w:val="3"/>
            <w:vMerge w:val="continue"/>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60" w:type="dxa"/>
            <w:vAlign w:val="bottom"/>
          </w:tcPr>
          <w:p>
            <w:pPr>
              <w:spacing w:after="0"/>
              <w:rPr>
                <w:sz w:val="19"/>
                <w:szCs w:val="19"/>
                <w:color w:val="auto"/>
              </w:rPr>
            </w:pPr>
          </w:p>
        </w:tc>
        <w:tc>
          <w:tcPr>
            <w:tcW w:w="7940" w:type="dxa"/>
            <w:vAlign w:val="bottom"/>
            <w:gridSpan w:val="31"/>
          </w:tcPr>
          <w:p>
            <w:pPr>
              <w:spacing w:after="0"/>
              <w:rPr>
                <w:sz w:val="20"/>
                <w:szCs w:val="20"/>
                <w:color w:val="auto"/>
              </w:rPr>
            </w:pPr>
            <w:r>
              <w:rPr>
                <w:rFonts w:ascii="Arial" w:cs="Arial" w:eastAsia="Arial" w:hAnsi="Arial"/>
                <w:sz w:val="18"/>
                <w:szCs w:val="18"/>
                <w:color w:val="0000EE"/>
              </w:rPr>
              <w:t>PROPOSAL NO. 4 Advisory Vote on Frequency of Future Advisory Votes on Executive</w:t>
            </w:r>
          </w:p>
        </w:tc>
        <w:tc>
          <w:tcPr>
            <w:tcW w:w="1520" w:type="dxa"/>
            <w:vAlign w:val="bottom"/>
            <w:gridSpan w:val="4"/>
            <w:vMerge w:val="restart"/>
          </w:tcPr>
          <w:p>
            <w:pPr>
              <w:ind w:left="80"/>
              <w:spacing w:after="0"/>
              <w:rPr>
                <w:sz w:val="20"/>
                <w:szCs w:val="20"/>
                <w:color w:val="auto"/>
              </w:rPr>
            </w:pPr>
            <w:r>
              <w:rPr>
                <w:rFonts w:ascii="Arial" w:cs="Arial" w:eastAsia="Arial" w:hAnsi="Arial"/>
                <w:sz w:val="18"/>
                <w:szCs w:val="18"/>
                <w:color w:val="0000EE"/>
              </w:rPr>
              <w:t>64</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620" w:type="dxa"/>
            <w:vAlign w:val="bottom"/>
            <w:tcBorders>
              <w:top w:val="single" w:sz="8" w:color="0000EE"/>
            </w:tcBorders>
            <w:gridSpan w:val="26"/>
          </w:tcPr>
          <w:p>
            <w:pPr>
              <w:spacing w:after="0" w:line="196" w:lineRule="exact"/>
              <w:rPr>
                <w:sz w:val="20"/>
                <w:szCs w:val="20"/>
                <w:color w:val="auto"/>
              </w:rPr>
            </w:pPr>
            <w:r>
              <w:rPr>
                <w:rFonts w:ascii="Arial" w:cs="Arial" w:eastAsia="Arial" w:hAnsi="Arial"/>
                <w:sz w:val="18"/>
                <w:szCs w:val="18"/>
                <w:color w:val="0000EE"/>
              </w:rPr>
              <w:t>Compensation</w:t>
            </w:r>
          </w:p>
        </w:tc>
        <w:tc>
          <w:tcPr>
            <w:tcW w:w="1140" w:type="dxa"/>
            <w:vAlign w:val="bottom"/>
            <w:gridSpan w:val="4"/>
          </w:tcPr>
          <w:p>
            <w:pPr>
              <w:spacing w:after="0"/>
              <w:rPr>
                <w:sz w:val="17"/>
                <w:szCs w:val="17"/>
                <w:color w:val="auto"/>
              </w:rPr>
            </w:pPr>
          </w:p>
        </w:tc>
        <w:tc>
          <w:tcPr>
            <w:tcW w:w="15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60" w:type="dxa"/>
            <w:vAlign w:val="bottom"/>
          </w:tcPr>
          <w:p>
            <w:pPr>
              <w:spacing w:after="0"/>
              <w:rPr>
                <w:sz w:val="21"/>
                <w:szCs w:val="21"/>
                <w:color w:val="auto"/>
              </w:rPr>
            </w:pPr>
          </w:p>
        </w:tc>
        <w:tc>
          <w:tcPr>
            <w:tcW w:w="7940" w:type="dxa"/>
            <w:vAlign w:val="bottom"/>
            <w:gridSpan w:val="31"/>
            <w:shd w:val="clear" w:color="auto" w:fill="CCEEFF"/>
          </w:tcPr>
          <w:p>
            <w:pPr>
              <w:spacing w:after="0"/>
              <w:rPr>
                <w:sz w:val="20"/>
                <w:szCs w:val="20"/>
                <w:color w:val="auto"/>
              </w:rPr>
            </w:pPr>
            <w:r>
              <w:rPr>
                <w:rFonts w:ascii="Arial" w:cs="Arial" w:eastAsia="Arial" w:hAnsi="Arial"/>
                <w:sz w:val="18"/>
                <w:szCs w:val="18"/>
                <w:color w:val="0000EE"/>
              </w:rPr>
              <w:t>PROPOSAL NO. 5 Ratification of Selection of Independent Registered Public Accountant</w:t>
            </w: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0000EE"/>
                <w:w w:val="79"/>
              </w:rPr>
              <w:t>65</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2280" w:type="dxa"/>
            <w:vAlign w:val="bottom"/>
            <w:gridSpan w:val="7"/>
          </w:tcPr>
          <w:p>
            <w:pPr>
              <w:spacing w:after="0"/>
              <w:rPr>
                <w:sz w:val="20"/>
                <w:szCs w:val="20"/>
                <w:color w:val="auto"/>
              </w:rPr>
            </w:pPr>
            <w:r>
              <w:rPr>
                <w:rFonts w:ascii="Arial" w:cs="Arial" w:eastAsia="Arial" w:hAnsi="Arial"/>
                <w:sz w:val="18"/>
                <w:szCs w:val="18"/>
                <w:color w:val="0000EE"/>
                <w:w w:val="93"/>
              </w:rPr>
              <w:t>ADDITIONAL INFORMATION</w:t>
            </w:r>
          </w:p>
        </w:tc>
        <w:tc>
          <w:tcPr>
            <w:tcW w:w="4660" w:type="dxa"/>
            <w:vAlign w:val="bottom"/>
            <w:gridSpan w:val="21"/>
          </w:tcPr>
          <w:p>
            <w:pPr>
              <w:spacing w:after="0"/>
              <w:rPr>
                <w:sz w:val="20"/>
                <w:szCs w:val="20"/>
                <w:color w:val="auto"/>
              </w:rPr>
            </w:pPr>
          </w:p>
        </w:tc>
        <w:tc>
          <w:tcPr>
            <w:tcW w:w="1000" w:type="dxa"/>
            <w:vAlign w:val="bottom"/>
            <w:gridSpan w:val="3"/>
          </w:tcPr>
          <w:p>
            <w:pPr>
              <w:spacing w:after="0"/>
              <w:rPr>
                <w:sz w:val="20"/>
                <w:szCs w:val="20"/>
                <w:color w:val="auto"/>
              </w:rPr>
            </w:pPr>
          </w:p>
        </w:tc>
        <w:tc>
          <w:tcPr>
            <w:tcW w:w="1520" w:type="dxa"/>
            <w:vAlign w:val="bottom"/>
            <w:gridSpan w:val="4"/>
          </w:tcPr>
          <w:p>
            <w:pPr>
              <w:ind w:left="80"/>
              <w:spacing w:after="0"/>
              <w:rPr>
                <w:sz w:val="20"/>
                <w:szCs w:val="20"/>
                <w:color w:val="auto"/>
              </w:rPr>
            </w:pPr>
            <w:r>
              <w:rPr>
                <w:rFonts w:ascii="Arial" w:cs="Arial" w:eastAsia="Arial" w:hAnsi="Arial"/>
                <w:sz w:val="18"/>
                <w:szCs w:val="18"/>
                <w:color w:val="0000EE"/>
              </w:rPr>
              <w:t>68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spacing w:after="0"/>
              <w:rPr>
                <w:sz w:val="20"/>
                <w:szCs w:val="20"/>
                <w:color w:val="auto"/>
              </w:rPr>
            </w:pPr>
          </w:p>
        </w:tc>
        <w:tc>
          <w:tcPr>
            <w:tcW w:w="7160" w:type="dxa"/>
            <w:vAlign w:val="bottom"/>
            <w:gridSpan w:val="29"/>
            <w:shd w:val="clear" w:color="auto" w:fill="CCEEFF"/>
          </w:tcPr>
          <w:p>
            <w:pPr>
              <w:spacing w:after="0"/>
              <w:rPr>
                <w:sz w:val="20"/>
                <w:szCs w:val="20"/>
                <w:color w:val="auto"/>
              </w:rPr>
            </w:pPr>
            <w:r>
              <w:rPr>
                <w:rFonts w:ascii="Arial" w:cs="Arial" w:eastAsia="Arial" w:hAnsi="Arial"/>
                <w:sz w:val="18"/>
                <w:szCs w:val="18"/>
                <w:color w:val="0000EE"/>
              </w:rPr>
              <w:t>Stockholder Proposals for the 2027 Annual Meeting</w:t>
            </w: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0000EE"/>
                <w:w w:val="79"/>
              </w:rPr>
              <w:t>68</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tcBorders>
              <w:right w:val="single" w:sz="8" w:color="0000EE"/>
            </w:tcBorders>
            <w:shd w:val="clear" w:color="auto" w:fill="CCEEFF"/>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160" w:type="dxa"/>
            <w:vAlign w:val="bottom"/>
            <w:gridSpan w:val="29"/>
          </w:tcPr>
          <w:p>
            <w:pPr>
              <w:spacing w:after="0"/>
              <w:rPr>
                <w:sz w:val="20"/>
                <w:szCs w:val="20"/>
                <w:color w:val="auto"/>
              </w:rPr>
            </w:pPr>
            <w:r>
              <w:rPr>
                <w:rFonts w:ascii="Arial" w:cs="Arial" w:eastAsia="Arial" w:hAnsi="Arial"/>
                <w:sz w:val="18"/>
                <w:szCs w:val="18"/>
                <w:color w:val="0000EE"/>
              </w:rPr>
              <w:t>Stockholder Communications with the Board of Directors</w:t>
            </w:r>
          </w:p>
        </w:tc>
        <w:tc>
          <w:tcPr>
            <w:tcW w:w="1520" w:type="dxa"/>
            <w:vAlign w:val="bottom"/>
            <w:gridSpan w:val="4"/>
          </w:tcPr>
          <w:p>
            <w:pPr>
              <w:ind w:left="80"/>
              <w:spacing w:after="0"/>
              <w:rPr>
                <w:sz w:val="20"/>
                <w:szCs w:val="20"/>
                <w:color w:val="auto"/>
              </w:rPr>
            </w:pPr>
            <w:r>
              <w:rPr>
                <w:rFonts w:ascii="Arial" w:cs="Arial" w:eastAsia="Arial" w:hAnsi="Arial"/>
                <w:sz w:val="18"/>
                <w:szCs w:val="18"/>
                <w:color w:val="0000EE"/>
              </w:rPr>
              <w:t>68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spacing w:after="0"/>
              <w:rPr>
                <w:sz w:val="20"/>
                <w:szCs w:val="20"/>
                <w:color w:val="auto"/>
              </w:rPr>
            </w:pPr>
          </w:p>
        </w:tc>
        <w:tc>
          <w:tcPr>
            <w:tcW w:w="2120" w:type="dxa"/>
            <w:vAlign w:val="bottom"/>
            <w:tcBorders>
              <w:right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0000EE"/>
                <w:w w:val="95"/>
              </w:rPr>
              <w:t>Related Party Transactions</w:t>
            </w:r>
          </w:p>
        </w:tc>
        <w:tc>
          <w:tcPr>
            <w:tcW w:w="2260" w:type="dxa"/>
            <w:vAlign w:val="bottom"/>
            <w:tcBorders>
              <w:right w:val="single" w:sz="8" w:color="CCEEFF"/>
            </w:tcBorders>
            <w:gridSpan w:val="13"/>
            <w:shd w:val="clear" w:color="auto" w:fill="CCEEFF"/>
          </w:tcPr>
          <w:p>
            <w:pPr>
              <w:spacing w:after="0"/>
              <w:rPr>
                <w:sz w:val="20"/>
                <w:szCs w:val="20"/>
                <w:color w:val="auto"/>
              </w:rPr>
            </w:pPr>
          </w:p>
        </w:tc>
        <w:tc>
          <w:tcPr>
            <w:tcW w:w="2780" w:type="dxa"/>
            <w:vAlign w:val="bottom"/>
            <w:gridSpan w:val="7"/>
            <w:shd w:val="clear" w:color="auto" w:fill="CCEEFF"/>
          </w:tcPr>
          <w:p>
            <w:pPr>
              <w:spacing w:after="0"/>
              <w:rPr>
                <w:sz w:val="20"/>
                <w:szCs w:val="20"/>
                <w:color w:val="auto"/>
              </w:rPr>
            </w:pP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0000EE"/>
                <w:w w:val="79"/>
              </w:rPr>
              <w:t>68</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tcBorders>
              <w:right w:val="single" w:sz="8" w:color="0000EE"/>
            </w:tcBorders>
            <w:shd w:val="clear" w:color="auto" w:fill="CCEEFF"/>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160" w:type="dxa"/>
            <w:vAlign w:val="bottom"/>
            <w:gridSpan w:val="29"/>
          </w:tcPr>
          <w:p>
            <w:pPr>
              <w:spacing w:after="0"/>
              <w:rPr>
                <w:sz w:val="20"/>
                <w:szCs w:val="20"/>
                <w:color w:val="auto"/>
              </w:rPr>
            </w:pPr>
            <w:r>
              <w:rPr>
                <w:rFonts w:ascii="Arial" w:cs="Arial" w:eastAsia="Arial" w:hAnsi="Arial"/>
                <w:sz w:val="18"/>
                <w:szCs w:val="18"/>
                <w:color w:val="0000EE"/>
              </w:rPr>
              <w:t>Delinquent Section 16(a) Reports</w:t>
            </w:r>
          </w:p>
        </w:tc>
        <w:tc>
          <w:tcPr>
            <w:tcW w:w="1520" w:type="dxa"/>
            <w:vAlign w:val="bottom"/>
            <w:gridSpan w:val="4"/>
          </w:tcPr>
          <w:p>
            <w:pPr>
              <w:ind w:left="80"/>
              <w:spacing w:after="0"/>
              <w:rPr>
                <w:sz w:val="20"/>
                <w:szCs w:val="20"/>
                <w:color w:val="auto"/>
              </w:rPr>
            </w:pPr>
            <w:r>
              <w:rPr>
                <w:rFonts w:ascii="Arial" w:cs="Arial" w:eastAsia="Arial" w:hAnsi="Arial"/>
                <w:sz w:val="18"/>
                <w:szCs w:val="18"/>
                <w:color w:val="0000EE"/>
              </w:rPr>
              <w:t>69</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spacing w:after="0"/>
              <w:rPr>
                <w:sz w:val="20"/>
                <w:szCs w:val="20"/>
                <w:color w:val="auto"/>
              </w:rPr>
            </w:pPr>
          </w:p>
        </w:tc>
        <w:tc>
          <w:tcPr>
            <w:tcW w:w="2580" w:type="dxa"/>
            <w:vAlign w:val="bottom"/>
            <w:tcBorders>
              <w:right w:val="single" w:sz="8" w:color="CCEEFF"/>
            </w:tcBorders>
            <w:gridSpan w:val="13"/>
            <w:shd w:val="clear" w:color="auto" w:fill="CCEEFF"/>
          </w:tcPr>
          <w:p>
            <w:pPr>
              <w:spacing w:after="0"/>
              <w:rPr>
                <w:sz w:val="20"/>
                <w:szCs w:val="20"/>
                <w:color w:val="auto"/>
              </w:rPr>
            </w:pPr>
            <w:r>
              <w:rPr>
                <w:rFonts w:ascii="Arial" w:cs="Arial" w:eastAsia="Arial" w:hAnsi="Arial"/>
                <w:sz w:val="18"/>
                <w:szCs w:val="18"/>
                <w:color w:val="0000EE"/>
              </w:rPr>
              <w:t>Annual Report/Householding</w:t>
            </w:r>
          </w:p>
        </w:tc>
        <w:tc>
          <w:tcPr>
            <w:tcW w:w="4580" w:type="dxa"/>
            <w:vAlign w:val="bottom"/>
            <w:tcBorders>
              <w:left w:val="single" w:sz="8" w:color="CCEEFF"/>
            </w:tcBorders>
            <w:gridSpan w:val="16"/>
            <w:shd w:val="clear" w:color="auto" w:fill="CCEEFF"/>
          </w:tcPr>
          <w:p>
            <w:pPr>
              <w:spacing w:after="0"/>
              <w:rPr>
                <w:sz w:val="20"/>
                <w:szCs w:val="20"/>
                <w:color w:val="auto"/>
              </w:rPr>
            </w:pP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0000EE"/>
                <w:w w:val="79"/>
              </w:rPr>
              <w:t>69</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tcBorders>
              <w:right w:val="single" w:sz="8" w:color="0000EE"/>
            </w:tcBorders>
            <w:shd w:val="clear" w:color="auto" w:fill="CCEEFF"/>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0000EE"/>
                <w:w w:val="92"/>
              </w:rPr>
              <w:t>Other Matters</w:t>
            </w:r>
          </w:p>
        </w:tc>
        <w:tc>
          <w:tcPr>
            <w:tcW w:w="1160" w:type="dxa"/>
            <w:vAlign w:val="bottom"/>
            <w:gridSpan w:val="7"/>
          </w:tcPr>
          <w:p>
            <w:pPr>
              <w:spacing w:after="0"/>
              <w:rPr>
                <w:sz w:val="20"/>
                <w:szCs w:val="20"/>
                <w:color w:val="auto"/>
              </w:rPr>
            </w:pPr>
          </w:p>
        </w:tc>
        <w:tc>
          <w:tcPr>
            <w:tcW w:w="4940" w:type="dxa"/>
            <w:vAlign w:val="bottom"/>
            <w:gridSpan w:val="19"/>
          </w:tcPr>
          <w:p>
            <w:pPr>
              <w:spacing w:after="0"/>
              <w:rPr>
                <w:sz w:val="20"/>
                <w:szCs w:val="20"/>
                <w:color w:val="auto"/>
              </w:rPr>
            </w:pPr>
          </w:p>
        </w:tc>
        <w:tc>
          <w:tcPr>
            <w:tcW w:w="1520" w:type="dxa"/>
            <w:vAlign w:val="bottom"/>
            <w:gridSpan w:val="4"/>
          </w:tcPr>
          <w:p>
            <w:pPr>
              <w:ind w:left="80"/>
              <w:spacing w:after="0"/>
              <w:rPr>
                <w:sz w:val="20"/>
                <w:szCs w:val="20"/>
                <w:color w:val="auto"/>
              </w:rPr>
            </w:pPr>
            <w:r>
              <w:rPr>
                <w:rFonts w:ascii="Arial" w:cs="Arial" w:eastAsia="Arial" w:hAnsi="Arial"/>
                <w:sz w:val="18"/>
                <w:szCs w:val="18"/>
                <w:color w:val="0000EE"/>
              </w:rPr>
              <w:t>70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7940" w:type="dxa"/>
            <w:vAlign w:val="bottom"/>
            <w:gridSpan w:val="31"/>
            <w:shd w:val="clear" w:color="auto" w:fill="CCEEFF"/>
          </w:tcPr>
          <w:p>
            <w:pPr>
              <w:spacing w:after="0"/>
              <w:rPr>
                <w:sz w:val="20"/>
                <w:szCs w:val="20"/>
                <w:color w:val="auto"/>
              </w:rPr>
            </w:pPr>
            <w:r>
              <w:rPr>
                <w:rFonts w:ascii="Arial" w:cs="Arial" w:eastAsia="Arial" w:hAnsi="Arial"/>
                <w:sz w:val="18"/>
                <w:szCs w:val="18"/>
                <w:color w:val="0000EE"/>
              </w:rPr>
              <w:t>Appendix A</w:t>
            </w:r>
          </w:p>
        </w:tc>
        <w:tc>
          <w:tcPr>
            <w:tcW w:w="260" w:type="dxa"/>
            <w:vAlign w:val="bottom"/>
            <w:gridSpan w:val="3"/>
            <w:shd w:val="clear" w:color="auto" w:fill="CCEEFF"/>
          </w:tcPr>
          <w:p>
            <w:pPr>
              <w:spacing w:after="0"/>
              <w:rPr>
                <w:sz w:val="20"/>
                <w:szCs w:val="20"/>
                <w:color w:val="auto"/>
              </w:rPr>
            </w:pPr>
            <w:r>
              <w:rPr>
                <w:rFonts w:ascii="Arial" w:cs="Arial" w:eastAsia="Arial" w:hAnsi="Arial"/>
                <w:sz w:val="18"/>
                <w:szCs w:val="18"/>
                <w:color w:val="0000EE"/>
                <w:w w:val="85"/>
              </w:rPr>
              <w:t>A-1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5"/>
        </w:trPr>
        <w:tc>
          <w:tcPr>
            <w:tcW w:w="1260" w:type="dxa"/>
            <w:vAlign w:val="bottom"/>
            <w:tcBorders>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118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612775</wp:posOffset>
            </wp:positionV>
            <wp:extent cx="2228850" cy="6343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2885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2101 Riverfront Drive, Suite A</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Little Rock, Arkansas 72202</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Telephone: (501) 850-0820</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00ABD1"/>
        </w:rPr>
        <w:t>www.uniti.com</w:t>
      </w:r>
    </w:p>
    <w:p>
      <w:pPr>
        <w:spacing w:after="0" w:line="197"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00ABD1"/>
        </w:rPr>
        <w:t>PROXY STATEMENT</w:t>
      </w:r>
    </w:p>
    <w:p>
      <w:pPr>
        <w:spacing w:after="0" w:line="229" w:lineRule="exact"/>
        <w:rPr>
          <w:sz w:val="20"/>
          <w:szCs w:val="20"/>
          <w:color w:val="auto"/>
        </w:rPr>
      </w:pPr>
    </w:p>
    <w:p>
      <w:pPr>
        <w:ind w:left="1260" w:right="599" w:firstLine="648"/>
        <w:spacing w:after="0" w:line="282" w:lineRule="auto"/>
        <w:rPr>
          <w:sz w:val="20"/>
          <w:szCs w:val="20"/>
          <w:color w:val="auto"/>
        </w:rPr>
      </w:pPr>
      <w:r>
        <w:rPr>
          <w:rFonts w:ascii="Arial" w:cs="Arial" w:eastAsia="Arial" w:hAnsi="Arial"/>
          <w:sz w:val="17"/>
          <w:szCs w:val="17"/>
          <w:color w:val="auto"/>
        </w:rPr>
        <w:t>This proxy statement (this “Proxy Statement”) is being furnished to stockholders beginning on April 21, 2026 in connection with the solicitation of proxies by Uniti Group Inc. (“Uniti,” “the Company,” “we,” “our” and “us”) to be used at its 2026 annual meeting of stockholders (the “Annual Meeting”) to be held on May 21, 2026 at 8:00 a.m. (Eastern time), and at any postponement or adjournment thereof.</w:t>
      </w:r>
    </w:p>
    <w:p>
      <w:pPr>
        <w:spacing w:after="0" w:line="161" w:lineRule="exact"/>
        <w:rPr>
          <w:sz w:val="20"/>
          <w:szCs w:val="20"/>
          <w:color w:val="auto"/>
        </w:rPr>
      </w:pPr>
    </w:p>
    <w:p>
      <w:pPr>
        <w:ind w:left="1260" w:right="419" w:firstLine="648"/>
        <w:spacing w:after="0" w:line="267" w:lineRule="auto"/>
        <w:rPr>
          <w:sz w:val="20"/>
          <w:szCs w:val="20"/>
          <w:color w:val="auto"/>
        </w:rPr>
      </w:pPr>
      <w:r>
        <w:rPr>
          <w:rFonts w:ascii="Arial" w:cs="Arial" w:eastAsia="Arial" w:hAnsi="Arial"/>
          <w:sz w:val="17"/>
          <w:szCs w:val="17"/>
          <w:color w:val="auto"/>
        </w:rPr>
        <w:t xml:space="preserve">We are excited to offer our stockholders a completely “virtual” Annual Meeting. We believe a virtual Annual Meeting provides our stockholders expanded access to participate in the meeting, improves communication between stockholders and management and results in cost savings for the Company and our stockholders. Hosting a virtual meeting enables increased stockholder attendance and participation, because more stockholders can attend and participate in the Annual Meeting, including the ability to vote and ask questions, from almost any location around the world. You will be able to attend the Annual Meeting as well as vote and submit your questions during the live webcast of the meeting by visiting </w:t>
      </w:r>
      <w:r>
        <w:rPr>
          <w:rFonts w:ascii="Arial" w:cs="Arial" w:eastAsia="Arial" w:hAnsi="Arial"/>
          <w:sz w:val="17"/>
          <w:szCs w:val="17"/>
          <w:b w:val="1"/>
          <w:bCs w:val="1"/>
          <w:color w:val="00ABD1"/>
        </w:rPr>
        <w:t>www.virtualshareholdermeeting.com/UNIT2026</w:t>
      </w:r>
      <w:r>
        <w:rPr>
          <w:rFonts w:ascii="Arial" w:cs="Arial" w:eastAsia="Arial" w:hAnsi="Arial"/>
          <w:sz w:val="17"/>
          <w:szCs w:val="17"/>
          <w:color w:val="auto"/>
        </w:rPr>
        <w:t xml:space="preserve"> and entering the control number included on your proxy card or in the instructions that accompanied your proxy materials. </w:t>
      </w:r>
      <w:r>
        <w:rPr>
          <w:rFonts w:ascii="Arial" w:cs="Arial" w:eastAsia="Arial" w:hAnsi="Arial"/>
          <w:sz w:val="17"/>
          <w:szCs w:val="17"/>
          <w:b w:val="1"/>
          <w:bCs w:val="1"/>
          <w:color w:val="auto"/>
        </w:rPr>
        <w:t>Because the Annual</w:t>
      </w:r>
    </w:p>
    <w:p>
      <w:pPr>
        <w:spacing w:after="0" w:line="5" w:lineRule="exact"/>
        <w:rPr>
          <w:sz w:val="20"/>
          <w:szCs w:val="20"/>
          <w:color w:val="auto"/>
        </w:rPr>
      </w:pPr>
    </w:p>
    <w:p>
      <w:pPr>
        <w:ind w:left="1260" w:right="599"/>
        <w:spacing w:after="0" w:line="275" w:lineRule="auto"/>
        <w:rPr>
          <w:sz w:val="20"/>
          <w:szCs w:val="20"/>
          <w:color w:val="auto"/>
        </w:rPr>
      </w:pPr>
      <w:r>
        <w:rPr>
          <w:rFonts w:ascii="Arial" w:cs="Arial" w:eastAsia="Arial" w:hAnsi="Arial"/>
          <w:sz w:val="18"/>
          <w:szCs w:val="18"/>
          <w:b w:val="1"/>
          <w:bCs w:val="1"/>
          <w:color w:val="auto"/>
        </w:rPr>
        <w:t>Meeting is entirely virtual and being webcast live over the Internet, stockholders will not be able to attend the Annual Meeting in person.</w:t>
      </w:r>
    </w:p>
    <w:p>
      <w:pPr>
        <w:spacing w:after="0" w:line="156" w:lineRule="exact"/>
        <w:rPr>
          <w:sz w:val="20"/>
          <w:szCs w:val="20"/>
          <w:color w:val="auto"/>
        </w:rPr>
      </w:pPr>
    </w:p>
    <w:p>
      <w:pPr>
        <w:ind w:left="1260" w:right="499" w:firstLine="648"/>
        <w:spacing w:after="0" w:line="287" w:lineRule="auto"/>
        <w:rPr>
          <w:sz w:val="20"/>
          <w:szCs w:val="20"/>
          <w:color w:val="auto"/>
        </w:rPr>
      </w:pPr>
      <w:r>
        <w:rPr>
          <w:rFonts w:ascii="Arial" w:cs="Arial" w:eastAsia="Arial" w:hAnsi="Arial"/>
          <w:sz w:val="18"/>
          <w:szCs w:val="18"/>
          <w:color w:val="auto"/>
        </w:rPr>
        <w:t>Please read this Proxy Statement carefully and then vote your shares promptly by telephone, by Internet or by signing, dating and returning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3688080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40"/>
        <w:spacing w:after="0"/>
        <w:rPr>
          <w:sz w:val="20"/>
          <w:szCs w:val="20"/>
          <w:color w:val="auto"/>
        </w:rPr>
      </w:pPr>
      <w:r>
        <w:rPr>
          <w:rFonts w:ascii="Arial" w:cs="Arial" w:eastAsia="Arial" w:hAnsi="Arial"/>
          <w:sz w:val="22"/>
          <w:szCs w:val="22"/>
          <w:b w:val="1"/>
          <w:bCs w:val="1"/>
          <w:color w:val="00ABD1"/>
        </w:rPr>
        <w:t>QUESTIONS AND ANSWERS ABOUT OUR ANNUAL MEETING</w:t>
      </w:r>
    </w:p>
    <w:p>
      <w:pPr>
        <w:spacing w:after="0" w:line="229" w:lineRule="exact"/>
        <w:rPr>
          <w:sz w:val="20"/>
          <w:szCs w:val="20"/>
          <w:color w:val="auto"/>
        </w:rPr>
      </w:pPr>
    </w:p>
    <w:p>
      <w:pPr>
        <w:ind w:left="1900" w:hanging="640"/>
        <w:spacing w:after="0"/>
        <w:tabs>
          <w:tab w:leader="none" w:pos="1900" w:val="left"/>
        </w:tabs>
        <w:numPr>
          <w:ilvl w:val="0"/>
          <w:numId w:val="14"/>
        </w:numPr>
        <w:rPr>
          <w:rFonts w:ascii="Arial" w:cs="Arial" w:eastAsia="Arial" w:hAnsi="Arial"/>
          <w:sz w:val="18"/>
          <w:szCs w:val="18"/>
          <w:b w:val="1"/>
          <w:bCs w:val="1"/>
          <w:color w:val="00ABD1"/>
        </w:rPr>
      </w:pPr>
      <w:r>
        <w:rPr>
          <w:rFonts w:ascii="Arial" w:cs="Arial" w:eastAsia="Arial" w:hAnsi="Arial"/>
          <w:sz w:val="18"/>
          <w:szCs w:val="18"/>
          <w:b w:val="1"/>
          <w:bCs w:val="1"/>
          <w:color w:val="00ABD1"/>
        </w:rPr>
        <w:t>What is included in the proxy materials?</w:t>
      </w:r>
    </w:p>
    <w:p>
      <w:pPr>
        <w:spacing w:after="0" w:line="212" w:lineRule="exact"/>
        <w:rPr>
          <w:sz w:val="20"/>
          <w:szCs w:val="20"/>
          <w:color w:val="auto"/>
        </w:rPr>
      </w:pPr>
    </w:p>
    <w:p>
      <w:pPr>
        <w:ind w:left="1900" w:hanging="640"/>
        <w:spacing w:after="0"/>
        <w:tabs>
          <w:tab w:leader="none" w:pos="1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proxy materials include:</w:t>
      </w:r>
    </w:p>
    <w:p>
      <w:pPr>
        <w:spacing w:after="0" w:line="225" w:lineRule="exact"/>
        <w:rPr>
          <w:rFonts w:ascii="Arial" w:cs="Arial" w:eastAsia="Arial" w:hAnsi="Arial"/>
          <w:sz w:val="18"/>
          <w:szCs w:val="18"/>
          <w:color w:val="auto"/>
        </w:rPr>
      </w:pPr>
    </w:p>
    <w:p>
      <w:pPr>
        <w:ind w:left="2080" w:hanging="172"/>
        <w:spacing w:after="0"/>
        <w:tabs>
          <w:tab w:leader="none" w:pos="2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This Proxy Statement for the Annual Meeting;</w:t>
      </w:r>
    </w:p>
    <w:p>
      <w:pPr>
        <w:spacing w:after="0" w:line="211" w:lineRule="exact"/>
        <w:rPr>
          <w:rFonts w:ascii="Arial" w:cs="Arial" w:eastAsia="Arial" w:hAnsi="Arial"/>
          <w:sz w:val="18"/>
          <w:szCs w:val="18"/>
          <w:color w:val="auto"/>
        </w:rPr>
      </w:pPr>
    </w:p>
    <w:p>
      <w:pPr>
        <w:ind w:left="2080" w:right="639" w:hanging="172"/>
        <w:spacing w:after="0" w:line="287" w:lineRule="auto"/>
        <w:tabs>
          <w:tab w:leader="none" w:pos="2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Our 2025 annual report to stockholders, which includes our Annual Report on Form 10-K for the fiscal year ended December 31, 2025 (the “Annual Report”); and</w:t>
      </w:r>
    </w:p>
    <w:p>
      <w:pPr>
        <w:spacing w:after="0" w:line="152" w:lineRule="exact"/>
        <w:rPr>
          <w:rFonts w:ascii="Arial" w:cs="Arial" w:eastAsia="Arial" w:hAnsi="Arial"/>
          <w:sz w:val="18"/>
          <w:szCs w:val="18"/>
          <w:color w:val="auto"/>
        </w:rPr>
      </w:pPr>
    </w:p>
    <w:p>
      <w:pPr>
        <w:ind w:left="2080" w:hanging="172"/>
        <w:spacing w:after="0"/>
        <w:tabs>
          <w:tab w:leader="none" w:pos="2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proxy card or a voting instruction form for the Annual Meeting.</w:t>
      </w:r>
    </w:p>
    <w:p>
      <w:pPr>
        <w:spacing w:after="0" w:line="225" w:lineRule="exact"/>
        <w:rPr>
          <w:sz w:val="20"/>
          <w:szCs w:val="20"/>
          <w:color w:val="auto"/>
        </w:rPr>
      </w:pPr>
    </w:p>
    <w:p>
      <w:pPr>
        <w:ind w:left="1900" w:hanging="640"/>
        <w:spacing w:after="0"/>
        <w:tabs>
          <w:tab w:leader="none" w:pos="1900" w:val="left"/>
        </w:tabs>
        <w:numPr>
          <w:ilvl w:val="0"/>
          <w:numId w:val="16"/>
        </w:numPr>
        <w:rPr>
          <w:rFonts w:ascii="Arial" w:cs="Arial" w:eastAsia="Arial" w:hAnsi="Arial"/>
          <w:sz w:val="18"/>
          <w:szCs w:val="18"/>
          <w:b w:val="1"/>
          <w:bCs w:val="1"/>
          <w:color w:val="00ABD1"/>
        </w:rPr>
      </w:pPr>
      <w:r>
        <w:rPr>
          <w:rFonts w:ascii="Arial" w:cs="Arial" w:eastAsia="Arial" w:hAnsi="Arial"/>
          <w:sz w:val="18"/>
          <w:szCs w:val="18"/>
          <w:b w:val="1"/>
          <w:bCs w:val="1"/>
          <w:color w:val="00ABD1"/>
        </w:rPr>
        <w:t>What items of business will be conducted at the Annual Meeting?</w:t>
      </w:r>
    </w:p>
    <w:p>
      <w:pPr>
        <w:spacing w:after="0" w:line="212" w:lineRule="exact"/>
        <w:rPr>
          <w:sz w:val="20"/>
          <w:szCs w:val="20"/>
          <w:color w:val="auto"/>
        </w:rPr>
      </w:pPr>
    </w:p>
    <w:p>
      <w:pPr>
        <w:ind w:left="1900" w:right="679" w:hanging="640"/>
        <w:spacing w:after="0" w:line="287" w:lineRule="auto"/>
        <w:tabs>
          <w:tab w:leader="none" w:pos="1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matters will be presented for stockholder consideration and voting at the Annual Meeting:</w:t>
      </w:r>
    </w:p>
    <w:p>
      <w:pPr>
        <w:spacing w:after="0" w:line="152" w:lineRule="exact"/>
        <w:rPr>
          <w:rFonts w:ascii="Arial" w:cs="Arial" w:eastAsia="Arial" w:hAnsi="Arial"/>
          <w:sz w:val="18"/>
          <w:szCs w:val="18"/>
          <w:color w:val="auto"/>
        </w:rPr>
      </w:pPr>
    </w:p>
    <w:p>
      <w:pPr>
        <w:ind w:left="2080" w:right="839" w:hanging="172"/>
        <w:spacing w:after="0" w:line="268" w:lineRule="auto"/>
        <w:tabs>
          <w:tab w:leader="none" w:pos="2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election of nine nominees to serve as directors of the Company until the 2027 annual meeting of stockholders and until successors are duly elected or until the earliest of their removal, resignation or death (Proposal No. 1);</w:t>
      </w:r>
    </w:p>
    <w:p>
      <w:pPr>
        <w:spacing w:after="0" w:line="157" w:lineRule="exact"/>
        <w:rPr>
          <w:rFonts w:ascii="Arial" w:cs="Arial" w:eastAsia="Arial" w:hAnsi="Arial"/>
          <w:sz w:val="18"/>
          <w:szCs w:val="18"/>
          <w:color w:val="auto"/>
        </w:rPr>
      </w:pPr>
    </w:p>
    <w:p>
      <w:pPr>
        <w:ind w:left="2080" w:right="519" w:hanging="172"/>
        <w:spacing w:after="0" w:line="287" w:lineRule="auto"/>
        <w:tabs>
          <w:tab w:leader="none" w:pos="2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proposal to increase the number of shares available for issuance under the Uniti Group Inc. 2025 Equity Incentive Plan (the “2025 Plan”) (Proposal No. 2);</w:t>
      </w:r>
    </w:p>
    <w:p>
      <w:pPr>
        <w:spacing w:after="0" w:line="152" w:lineRule="exact"/>
        <w:rPr>
          <w:rFonts w:ascii="Arial" w:cs="Arial" w:eastAsia="Arial" w:hAnsi="Arial"/>
          <w:sz w:val="18"/>
          <w:szCs w:val="18"/>
          <w:color w:val="auto"/>
        </w:rPr>
      </w:pPr>
    </w:p>
    <w:p>
      <w:pPr>
        <w:ind w:left="2080" w:right="679" w:hanging="172"/>
        <w:spacing w:after="0" w:line="287" w:lineRule="auto"/>
        <w:tabs>
          <w:tab w:leader="none" w:pos="2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 advisory vote to approve the compensation of the Company’s Named Executive Officers (“NEOs”) (Proposal No. 3);</w:t>
      </w:r>
    </w:p>
    <w:p>
      <w:pPr>
        <w:spacing w:after="0" w:line="152" w:lineRule="exact"/>
        <w:rPr>
          <w:rFonts w:ascii="Arial" w:cs="Arial" w:eastAsia="Arial" w:hAnsi="Arial"/>
          <w:sz w:val="18"/>
          <w:szCs w:val="18"/>
          <w:color w:val="auto"/>
        </w:rPr>
      </w:pPr>
    </w:p>
    <w:p>
      <w:pPr>
        <w:ind w:left="2080" w:right="839" w:hanging="172"/>
        <w:spacing w:after="0" w:line="318" w:lineRule="auto"/>
        <w:tabs>
          <w:tab w:leader="none" w:pos="20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 advisory vote approving the frequency at which future advisory votes on executive compensation — like Proposal No. 3 above — should be conducted (Proposal No. 4); and</w:t>
      </w:r>
    </w:p>
    <w:p>
      <w:pPr>
        <w:spacing w:after="0" w:line="116" w:lineRule="exact"/>
        <w:rPr>
          <w:rFonts w:ascii="Arial" w:cs="Arial" w:eastAsia="Arial" w:hAnsi="Arial"/>
          <w:sz w:val="17"/>
          <w:szCs w:val="17"/>
          <w:color w:val="auto"/>
        </w:rPr>
      </w:pPr>
    </w:p>
    <w:p>
      <w:pPr>
        <w:ind w:left="2080" w:right="579" w:hanging="172"/>
        <w:spacing w:after="0" w:line="318" w:lineRule="auto"/>
        <w:tabs>
          <w:tab w:leader="none" w:pos="20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ratification of the appointment of PricewaterhouseCoopers LLP (“PwC”) as our independent public accounting firm for the year ending December 31, 2026 (Proposal No. 5).</w:t>
      </w:r>
    </w:p>
    <w:p>
      <w:pPr>
        <w:spacing w:after="0" w:line="130" w:lineRule="exact"/>
        <w:rPr>
          <w:sz w:val="20"/>
          <w:szCs w:val="20"/>
          <w:color w:val="auto"/>
        </w:rPr>
      </w:pPr>
    </w:p>
    <w:p>
      <w:pPr>
        <w:ind w:left="1900" w:hanging="640"/>
        <w:spacing w:after="0"/>
        <w:tabs>
          <w:tab w:leader="none" w:pos="1900" w:val="left"/>
        </w:tabs>
        <w:numPr>
          <w:ilvl w:val="0"/>
          <w:numId w:val="18"/>
        </w:numPr>
        <w:rPr>
          <w:rFonts w:ascii="Arial" w:cs="Arial" w:eastAsia="Arial" w:hAnsi="Arial"/>
          <w:sz w:val="18"/>
          <w:szCs w:val="18"/>
          <w:b w:val="1"/>
          <w:bCs w:val="1"/>
          <w:color w:val="00ABD1"/>
        </w:rPr>
      </w:pPr>
      <w:r>
        <w:rPr>
          <w:rFonts w:ascii="Arial" w:cs="Arial" w:eastAsia="Arial" w:hAnsi="Arial"/>
          <w:sz w:val="18"/>
          <w:szCs w:val="18"/>
          <w:b w:val="1"/>
          <w:bCs w:val="1"/>
          <w:color w:val="00ABD1"/>
        </w:rPr>
        <w:t>How does the Board of Directors of the Company (the “Board”) recommend that I vote?</w:t>
      </w:r>
    </w:p>
    <w:p>
      <w:pPr>
        <w:spacing w:after="0" w:line="212" w:lineRule="exact"/>
        <w:rPr>
          <w:sz w:val="20"/>
          <w:szCs w:val="20"/>
          <w:color w:val="auto"/>
        </w:rPr>
      </w:pPr>
    </w:p>
    <w:p>
      <w:pPr>
        <w:ind w:left="1900" w:hanging="640"/>
        <w:spacing w:after="0"/>
        <w:tabs>
          <w:tab w:leader="none" w:pos="1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recommends you vote:</w:t>
      </w:r>
    </w:p>
    <w:p>
      <w:pPr>
        <w:spacing w:after="0" w:line="225" w:lineRule="exact"/>
        <w:rPr>
          <w:rFonts w:ascii="Arial" w:cs="Arial" w:eastAsia="Arial" w:hAnsi="Arial"/>
          <w:sz w:val="18"/>
          <w:szCs w:val="18"/>
          <w:color w:val="auto"/>
        </w:rPr>
      </w:pPr>
    </w:p>
    <w:p>
      <w:pPr>
        <w:ind w:left="2080" w:right="1119" w:hanging="172"/>
        <w:spacing w:after="0" w:line="287" w:lineRule="auto"/>
        <w:tabs>
          <w:tab w:leader="none" w:pos="2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00ABD1"/>
        </w:rPr>
        <w:t>FOR</w:t>
      </w:r>
      <w:r>
        <w:rPr>
          <w:rFonts w:ascii="Arial" w:cs="Arial" w:eastAsia="Arial" w:hAnsi="Arial"/>
          <w:sz w:val="18"/>
          <w:szCs w:val="18"/>
          <w:color w:val="auto"/>
        </w:rPr>
        <w:t>” the election of each of the nine nominees to serve as directors of the Company (Proposal No. 1);</w:t>
      </w:r>
    </w:p>
    <w:p>
      <w:pPr>
        <w:spacing w:after="0" w:line="152" w:lineRule="exact"/>
        <w:rPr>
          <w:rFonts w:ascii="Arial" w:cs="Arial" w:eastAsia="Arial" w:hAnsi="Arial"/>
          <w:sz w:val="18"/>
          <w:szCs w:val="18"/>
          <w:color w:val="auto"/>
        </w:rPr>
      </w:pPr>
    </w:p>
    <w:p>
      <w:pPr>
        <w:ind w:left="2080" w:right="679" w:hanging="172"/>
        <w:spacing w:after="0" w:line="287" w:lineRule="auto"/>
        <w:tabs>
          <w:tab w:leader="none" w:pos="2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00ABD1"/>
        </w:rPr>
        <w:t>FOR</w:t>
      </w:r>
      <w:r>
        <w:rPr>
          <w:rFonts w:ascii="Arial" w:cs="Arial" w:eastAsia="Arial" w:hAnsi="Arial"/>
          <w:sz w:val="18"/>
          <w:szCs w:val="18"/>
          <w:color w:val="auto"/>
        </w:rPr>
        <w:t>” the proposal to increase the number of shares available for issuance under the 2025 Plan (Proposal No. 2);</w:t>
      </w:r>
    </w:p>
    <w:p>
      <w:pPr>
        <w:spacing w:after="0" w:line="139" w:lineRule="exact"/>
        <w:rPr>
          <w:rFonts w:ascii="Arial" w:cs="Arial" w:eastAsia="Arial" w:hAnsi="Arial"/>
          <w:sz w:val="18"/>
          <w:szCs w:val="18"/>
          <w:color w:val="auto"/>
        </w:rPr>
      </w:pPr>
    </w:p>
    <w:p>
      <w:pPr>
        <w:ind w:left="2080" w:right="1399" w:hanging="172"/>
        <w:spacing w:after="0" w:line="287" w:lineRule="auto"/>
        <w:tabs>
          <w:tab w:leader="none" w:pos="2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00ABD1"/>
        </w:rPr>
        <w:t>FOR</w:t>
      </w:r>
      <w:r>
        <w:rPr>
          <w:rFonts w:ascii="Arial" w:cs="Arial" w:eastAsia="Arial" w:hAnsi="Arial"/>
          <w:sz w:val="18"/>
          <w:szCs w:val="18"/>
          <w:color w:val="auto"/>
        </w:rPr>
        <w:t>” approval of the resolution regarding compensation of the Company’s NEOs (Proposal No. 3);</w:t>
      </w:r>
    </w:p>
    <w:p>
      <w:pPr>
        <w:spacing w:after="0" w:line="152" w:lineRule="exact"/>
        <w:rPr>
          <w:rFonts w:ascii="Arial" w:cs="Arial" w:eastAsia="Arial" w:hAnsi="Arial"/>
          <w:sz w:val="18"/>
          <w:szCs w:val="18"/>
          <w:color w:val="auto"/>
        </w:rPr>
      </w:pPr>
    </w:p>
    <w:p>
      <w:pPr>
        <w:ind w:left="2080" w:right="1459" w:hanging="172"/>
        <w:spacing w:after="0" w:line="287" w:lineRule="auto"/>
        <w:tabs>
          <w:tab w:leader="none" w:pos="2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For the option of “</w:t>
      </w:r>
      <w:r>
        <w:rPr>
          <w:rFonts w:ascii="Arial" w:cs="Arial" w:eastAsia="Arial" w:hAnsi="Arial"/>
          <w:sz w:val="18"/>
          <w:szCs w:val="18"/>
          <w:b w:val="1"/>
          <w:bCs w:val="1"/>
          <w:color w:val="00ABD1"/>
        </w:rPr>
        <w:t>1 YEAR</w:t>
      </w:r>
      <w:r>
        <w:rPr>
          <w:rFonts w:ascii="Arial" w:cs="Arial" w:eastAsia="Arial" w:hAnsi="Arial"/>
          <w:sz w:val="18"/>
          <w:szCs w:val="18"/>
          <w:color w:val="auto"/>
        </w:rPr>
        <w:t>” as the frequency of future advisory votes on executive compensation (Proposal No. 4); and</w:t>
      </w:r>
    </w:p>
    <w:p>
      <w:pPr>
        <w:spacing w:after="0" w:line="152" w:lineRule="exact"/>
        <w:rPr>
          <w:rFonts w:ascii="Arial" w:cs="Arial" w:eastAsia="Arial" w:hAnsi="Arial"/>
          <w:sz w:val="18"/>
          <w:szCs w:val="18"/>
          <w:color w:val="auto"/>
        </w:rPr>
      </w:pPr>
    </w:p>
    <w:p>
      <w:pPr>
        <w:ind w:left="2080" w:right="479" w:hanging="172"/>
        <w:spacing w:after="0" w:line="287" w:lineRule="auto"/>
        <w:tabs>
          <w:tab w:leader="none" w:pos="2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00ABD1"/>
        </w:rPr>
        <w:t>FOR</w:t>
      </w:r>
      <w:r>
        <w:rPr>
          <w:rFonts w:ascii="Arial" w:cs="Arial" w:eastAsia="Arial" w:hAnsi="Arial"/>
          <w:sz w:val="18"/>
          <w:szCs w:val="18"/>
          <w:color w:val="auto"/>
        </w:rPr>
        <w:t>” the ratification of the appointment of PwC as our independent public accounting firm for the year ending December 31, 2026 (Proposal No. 5).</w:t>
      </w:r>
    </w:p>
    <w:p>
      <w:pPr>
        <w:spacing w:after="0" w:line="153" w:lineRule="exact"/>
        <w:rPr>
          <w:sz w:val="20"/>
          <w:szCs w:val="20"/>
          <w:color w:val="auto"/>
        </w:rPr>
      </w:pPr>
    </w:p>
    <w:p>
      <w:pPr>
        <w:ind w:left="1900" w:hanging="640"/>
        <w:spacing w:after="0"/>
        <w:tabs>
          <w:tab w:leader="none" w:pos="1900" w:val="left"/>
        </w:tabs>
        <w:numPr>
          <w:ilvl w:val="0"/>
          <w:numId w:val="20"/>
        </w:numPr>
        <w:rPr>
          <w:rFonts w:ascii="Arial" w:cs="Arial" w:eastAsia="Arial" w:hAnsi="Arial"/>
          <w:sz w:val="18"/>
          <w:szCs w:val="18"/>
          <w:b w:val="1"/>
          <w:bCs w:val="1"/>
          <w:color w:val="00ABD1"/>
        </w:rPr>
      </w:pPr>
      <w:r>
        <w:rPr>
          <w:rFonts w:ascii="Arial" w:cs="Arial" w:eastAsia="Arial" w:hAnsi="Arial"/>
          <w:sz w:val="18"/>
          <w:szCs w:val="18"/>
          <w:b w:val="1"/>
          <w:bCs w:val="1"/>
          <w:color w:val="00ABD1"/>
        </w:rPr>
        <w:t>Who is entitled to vote at the Annual Meeting?</w:t>
      </w:r>
    </w:p>
    <w:p>
      <w:pPr>
        <w:spacing w:after="0" w:line="212" w:lineRule="exact"/>
        <w:rPr>
          <w:sz w:val="20"/>
          <w:szCs w:val="20"/>
          <w:color w:val="auto"/>
        </w:rPr>
      </w:pPr>
    </w:p>
    <w:p>
      <w:pPr>
        <w:ind w:left="1900" w:hanging="640"/>
        <w:spacing w:after="0"/>
        <w:tabs>
          <w:tab w:leader="none" w:pos="1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share of Uniti common stock is entitled to one vote on each proposal presented at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00" w:right="419"/>
        <w:spacing w:after="0" w:line="259" w:lineRule="auto"/>
        <w:rPr>
          <w:sz w:val="20"/>
          <w:szCs w:val="20"/>
          <w:color w:val="auto"/>
        </w:rPr>
      </w:pPr>
      <w:r>
        <w:rPr>
          <w:rFonts w:ascii="Arial" w:cs="Arial" w:eastAsia="Arial" w:hAnsi="Arial"/>
          <w:sz w:val="18"/>
          <w:szCs w:val="18"/>
          <w:color w:val="auto"/>
        </w:rPr>
        <w:t>Annual Meeting. Holders of record of our common stock at the close of business on March 23, 2026 (the “Record Date” for the Annual Meeting) are entitled to receive notice of the Annual Meeting and to vote their shares of common stock held on that date at the Annual Meeting or any postponements or adjournments of the Annual Meeting. On the Record Date, 242,674,150 shares of common stock of Uniti were outstanding.</w:t>
      </w:r>
    </w:p>
    <w:p>
      <w:pPr>
        <w:spacing w:after="0" w:line="206" w:lineRule="exact"/>
        <w:rPr>
          <w:sz w:val="20"/>
          <w:szCs w:val="20"/>
          <w:color w:val="auto"/>
        </w:rPr>
      </w:pPr>
    </w:p>
    <w:p>
      <w:pPr>
        <w:ind w:left="1900" w:hanging="640"/>
        <w:spacing w:after="0"/>
        <w:tabs>
          <w:tab w:leader="none" w:pos="1900" w:val="left"/>
        </w:tabs>
        <w:numPr>
          <w:ilvl w:val="0"/>
          <w:numId w:val="22"/>
        </w:numPr>
        <w:rPr>
          <w:rFonts w:ascii="Arial" w:cs="Arial" w:eastAsia="Arial" w:hAnsi="Arial"/>
          <w:sz w:val="18"/>
          <w:szCs w:val="18"/>
          <w:b w:val="1"/>
          <w:bCs w:val="1"/>
          <w:color w:val="00ABD1"/>
        </w:rPr>
      </w:pPr>
      <w:r>
        <w:rPr>
          <w:rFonts w:ascii="Arial" w:cs="Arial" w:eastAsia="Arial" w:hAnsi="Arial"/>
          <w:sz w:val="18"/>
          <w:szCs w:val="18"/>
          <w:b w:val="1"/>
          <w:bCs w:val="1"/>
          <w:color w:val="00ABD1"/>
        </w:rPr>
        <w:t>How can I attend and participate in the Annual Meeting?</w:t>
      </w:r>
    </w:p>
    <w:p>
      <w:pPr>
        <w:spacing w:after="0" w:line="239" w:lineRule="exact"/>
        <w:rPr>
          <w:sz w:val="20"/>
          <w:szCs w:val="20"/>
          <w:color w:val="auto"/>
        </w:rPr>
      </w:pPr>
    </w:p>
    <w:p>
      <w:pPr>
        <w:ind w:left="1900" w:right="439" w:hanging="640"/>
        <w:spacing w:after="0" w:line="259" w:lineRule="auto"/>
        <w:tabs>
          <w:tab w:leader="none" w:pos="1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Stockholders may attend and participate in the Annual Meeting online by visiting </w:t>
      </w:r>
      <w:r>
        <w:rPr>
          <w:rFonts w:ascii="Arial" w:cs="Arial" w:eastAsia="Arial" w:hAnsi="Arial"/>
          <w:sz w:val="18"/>
          <w:szCs w:val="18"/>
          <w:b w:val="1"/>
          <w:bCs w:val="1"/>
          <w:color w:val="00ABD1"/>
        </w:rPr>
        <w:t>www.virtualshareholdermeeting.com/UNIT2026</w:t>
      </w:r>
      <w:r>
        <w:rPr>
          <w:rFonts w:ascii="Arial" w:cs="Arial" w:eastAsia="Arial" w:hAnsi="Arial"/>
          <w:sz w:val="18"/>
          <w:szCs w:val="18"/>
          <w:color w:val="000000"/>
        </w:rPr>
        <w:t>. The Annual Meeting will begin promptly at</w:t>
      </w:r>
      <w:r>
        <w:rPr>
          <w:rFonts w:ascii="Arial" w:cs="Arial" w:eastAsia="Arial" w:hAnsi="Arial"/>
          <w:sz w:val="18"/>
          <w:szCs w:val="18"/>
          <w:b w:val="1"/>
          <w:bCs w:val="1"/>
          <w:color w:val="00ABD1"/>
        </w:rPr>
        <w:t xml:space="preserve"> </w:t>
      </w:r>
      <w:r>
        <w:rPr>
          <w:rFonts w:ascii="Arial" w:cs="Arial" w:eastAsia="Arial" w:hAnsi="Arial"/>
          <w:sz w:val="18"/>
          <w:szCs w:val="18"/>
          <w:color w:val="000000"/>
        </w:rPr>
        <w:t>8:00 a.m. (Eastern time). We encourage you to access the Annual Meeting prior to the start time. Online check-in will begin at 7:45 a.m. (Eastern time), and you should allow ample time for the check-in procedures.</w:t>
      </w:r>
    </w:p>
    <w:p>
      <w:pPr>
        <w:spacing w:after="0" w:line="179" w:lineRule="exact"/>
        <w:rPr>
          <w:rFonts w:ascii="Arial" w:cs="Arial" w:eastAsia="Arial" w:hAnsi="Arial"/>
          <w:sz w:val="18"/>
          <w:szCs w:val="18"/>
          <w:color w:val="auto"/>
        </w:rPr>
      </w:pPr>
    </w:p>
    <w:p>
      <w:pPr>
        <w:ind w:left="1900" w:right="479"/>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While all Uniti stockholders will be permitted to attend the Annual Meeting, only stockholders of record and beneficial owners as of the close of business on the Record Date, March 23, 2026, may vote and ask questions during the Annual Meeting. Stockholders logging into the Annual Meeting with their control number will receive the same rights and opportunities to participate in the Annual Meeting as they would if the Annual Meeting was an in-person meeting, including the ability to vote or ask questions throughout the Annual Meeting. In order to vote or submit a question during the meeting, you will need to follow the instructions posted at </w:t>
      </w:r>
      <w:r>
        <w:rPr>
          <w:rFonts w:ascii="Arial" w:cs="Arial" w:eastAsia="Arial" w:hAnsi="Arial"/>
          <w:sz w:val="18"/>
          <w:szCs w:val="18"/>
          <w:b w:val="1"/>
          <w:bCs w:val="1"/>
          <w:color w:val="00ABD1"/>
        </w:rPr>
        <w:t xml:space="preserve">www.virtualshareholdermeeting.com/UNIT2026 </w:t>
      </w:r>
      <w:r>
        <w:rPr>
          <w:rFonts w:ascii="Arial" w:cs="Arial" w:eastAsia="Arial" w:hAnsi="Arial"/>
          <w:sz w:val="18"/>
          <w:szCs w:val="18"/>
          <w:color w:val="000000"/>
        </w:rPr>
        <w:t>and will also need the control number</w:t>
      </w:r>
      <w:r>
        <w:rPr>
          <w:rFonts w:ascii="Arial" w:cs="Arial" w:eastAsia="Arial" w:hAnsi="Arial"/>
          <w:sz w:val="18"/>
          <w:szCs w:val="18"/>
          <w:b w:val="1"/>
          <w:bCs w:val="1"/>
          <w:color w:val="00ABD1"/>
        </w:rPr>
        <w:t xml:space="preserve"> </w:t>
      </w:r>
      <w:r>
        <w:rPr>
          <w:rFonts w:ascii="Arial" w:cs="Arial" w:eastAsia="Arial" w:hAnsi="Arial"/>
          <w:sz w:val="18"/>
          <w:szCs w:val="18"/>
          <w:color w:val="000000"/>
        </w:rPr>
        <w:t>included on your proxy card.</w:t>
      </w:r>
    </w:p>
    <w:p>
      <w:pPr>
        <w:spacing w:after="0" w:line="180" w:lineRule="exact"/>
        <w:rPr>
          <w:rFonts w:ascii="Arial" w:cs="Arial" w:eastAsia="Arial" w:hAnsi="Arial"/>
          <w:sz w:val="18"/>
          <w:szCs w:val="18"/>
          <w:color w:val="auto"/>
        </w:rPr>
      </w:pPr>
    </w:p>
    <w:p>
      <w:pPr>
        <w:ind w:left="1900" w:right="519"/>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At the end of the meeting, we will allot time for a question and answer session during which we intend to answer questions submitted during the Annual Meeting that are pertinent to the business conducted at the Annual Meeting. We will prioritize questions that relate to the proposals considered at the Annual Meeting, and questions on similar topics may be combined and answered together. Stockholders logging into the Annual Meeting with their control number will be able to ask questions at any time during the Annual Meeting. If you would like to submit a question, you must type the question in the dialog box provided at </w:t>
      </w:r>
      <w:r>
        <w:rPr>
          <w:rFonts w:ascii="Arial" w:cs="Arial" w:eastAsia="Arial" w:hAnsi="Arial"/>
          <w:sz w:val="18"/>
          <w:szCs w:val="18"/>
          <w:b w:val="1"/>
          <w:bCs w:val="1"/>
          <w:color w:val="00ABD1"/>
        </w:rPr>
        <w:t xml:space="preserve">www.virtualshareholdermeeting.com/UNIT2026 </w:t>
      </w:r>
      <w:r>
        <w:rPr>
          <w:rFonts w:ascii="Arial" w:cs="Arial" w:eastAsia="Arial" w:hAnsi="Arial"/>
          <w:sz w:val="18"/>
          <w:szCs w:val="18"/>
          <w:color w:val="000000"/>
        </w:rPr>
        <w:t>during the Annual Meeting.</w:t>
      </w:r>
    </w:p>
    <w:p>
      <w:pPr>
        <w:spacing w:after="0" w:line="170" w:lineRule="exact"/>
        <w:rPr>
          <w:rFonts w:ascii="Arial" w:cs="Arial" w:eastAsia="Arial" w:hAnsi="Arial"/>
          <w:sz w:val="18"/>
          <w:szCs w:val="18"/>
          <w:color w:val="auto"/>
        </w:rPr>
      </w:pPr>
    </w:p>
    <w:p>
      <w:pPr>
        <w:ind w:left="1900" w:right="459"/>
        <w:spacing w:after="0" w:line="268" w:lineRule="auto"/>
        <w:rPr>
          <w:rFonts w:ascii="Arial" w:cs="Arial" w:eastAsia="Arial" w:hAnsi="Arial"/>
          <w:sz w:val="18"/>
          <w:szCs w:val="18"/>
          <w:color w:val="auto"/>
        </w:rPr>
      </w:pPr>
      <w:r>
        <w:rPr>
          <w:rFonts w:ascii="Arial" w:cs="Arial" w:eastAsia="Arial" w:hAnsi="Arial"/>
          <w:sz w:val="18"/>
          <w:szCs w:val="18"/>
          <w:color w:val="auto"/>
        </w:rPr>
        <w:t>If you encounter any difficulties while accessing the virtual meeting during the check-in or meeting time, a technical assistance phone number will be made available on the virtual meeting registration page 15 minutes prior to the start of the meeting.</w:t>
      </w:r>
    </w:p>
    <w:p>
      <w:pPr>
        <w:spacing w:after="0" w:line="184" w:lineRule="exact"/>
        <w:rPr>
          <w:sz w:val="20"/>
          <w:szCs w:val="20"/>
          <w:color w:val="auto"/>
        </w:rPr>
      </w:pPr>
    </w:p>
    <w:p>
      <w:pPr>
        <w:ind w:left="1900" w:right="599" w:hanging="640"/>
        <w:spacing w:after="0" w:line="296" w:lineRule="auto"/>
        <w:tabs>
          <w:tab w:leader="none" w:pos="1900" w:val="left"/>
        </w:tabs>
        <w:numPr>
          <w:ilvl w:val="0"/>
          <w:numId w:val="24"/>
        </w:numPr>
        <w:rPr>
          <w:rFonts w:ascii="Arial" w:cs="Arial" w:eastAsia="Arial" w:hAnsi="Arial"/>
          <w:sz w:val="18"/>
          <w:szCs w:val="18"/>
          <w:b w:val="1"/>
          <w:bCs w:val="1"/>
          <w:color w:val="00ABD1"/>
        </w:rPr>
      </w:pPr>
      <w:r>
        <w:rPr>
          <w:rFonts w:ascii="Arial" w:cs="Arial" w:eastAsia="Arial" w:hAnsi="Arial"/>
          <w:sz w:val="18"/>
          <w:szCs w:val="18"/>
          <w:b w:val="1"/>
          <w:bCs w:val="1"/>
          <w:color w:val="00ABD1"/>
        </w:rPr>
        <w:t>What is the difference between a stockholder of record and a beneficial owner of shares held in street name?</w:t>
      </w:r>
    </w:p>
    <w:p>
      <w:pPr>
        <w:spacing w:after="0" w:line="166" w:lineRule="exact"/>
        <w:rPr>
          <w:sz w:val="20"/>
          <w:szCs w:val="20"/>
          <w:color w:val="auto"/>
        </w:rPr>
      </w:pPr>
    </w:p>
    <w:p>
      <w:pPr>
        <w:ind w:left="1900" w:hanging="640"/>
        <w:spacing w:after="0"/>
        <w:tabs>
          <w:tab w:leader="none" w:pos="1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Stockholder of record.</w:t>
      </w:r>
    </w:p>
    <w:p>
      <w:pPr>
        <w:spacing w:after="0" w:line="223" w:lineRule="exact"/>
        <w:rPr>
          <w:rFonts w:ascii="Arial" w:cs="Arial" w:eastAsia="Arial" w:hAnsi="Arial"/>
          <w:sz w:val="18"/>
          <w:szCs w:val="18"/>
          <w:color w:val="auto"/>
        </w:rPr>
      </w:pPr>
    </w:p>
    <w:p>
      <w:pPr>
        <w:ind w:left="1900" w:right="439"/>
        <w:spacing w:after="0" w:line="268" w:lineRule="auto"/>
        <w:rPr>
          <w:rFonts w:ascii="Arial" w:cs="Arial" w:eastAsia="Arial" w:hAnsi="Arial"/>
          <w:sz w:val="18"/>
          <w:szCs w:val="18"/>
          <w:color w:val="auto"/>
        </w:rPr>
      </w:pPr>
      <w:r>
        <w:rPr>
          <w:rFonts w:ascii="Arial" w:cs="Arial" w:eastAsia="Arial" w:hAnsi="Arial"/>
          <w:sz w:val="18"/>
          <w:szCs w:val="18"/>
          <w:color w:val="auto"/>
        </w:rPr>
        <w:t>If your shares are registered directly in your name with our transfer agent, EQ Shareowner Services, you are considered the stockholder of record with respect to those shares, and we sent a printed set of the proxy materials, together with a proxy card, directly to you.</w:t>
      </w:r>
    </w:p>
    <w:p>
      <w:pPr>
        <w:spacing w:after="0" w:line="172"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Beneficial owner of shares held in street name.</w:t>
      </w:r>
    </w:p>
    <w:p>
      <w:pPr>
        <w:spacing w:after="0" w:line="223" w:lineRule="exact"/>
        <w:rPr>
          <w:rFonts w:ascii="Arial" w:cs="Arial" w:eastAsia="Arial" w:hAnsi="Arial"/>
          <w:sz w:val="18"/>
          <w:szCs w:val="18"/>
          <w:color w:val="auto"/>
        </w:rPr>
      </w:pPr>
    </w:p>
    <w:p>
      <w:pPr>
        <w:ind w:left="1900" w:right="419"/>
        <w:spacing w:after="0" w:line="256" w:lineRule="auto"/>
        <w:rPr>
          <w:rFonts w:ascii="Arial" w:cs="Arial" w:eastAsia="Arial" w:hAnsi="Arial"/>
          <w:sz w:val="18"/>
          <w:szCs w:val="18"/>
          <w:color w:val="auto"/>
        </w:rPr>
      </w:pPr>
      <w:r>
        <w:rPr>
          <w:rFonts w:ascii="Arial" w:cs="Arial" w:eastAsia="Arial" w:hAnsi="Arial"/>
          <w:sz w:val="18"/>
          <w:szCs w:val="18"/>
          <w:color w:val="auto"/>
        </w:rPr>
        <w:t>If your shares are held in an account at a broker, bank or other nominee, then you are the beneficial owner of those shares held in “street name,” and a printed set of the proxy materials, together with a voting instruction form, was forwarded to you by your broker, bank or other nominee who is considered the stockholder of record with respect to those shares. As a beneficial owner, you have the right to instruct your broker, bank or other nominee on how to vote the shares held in your account by following the instructions on the voting instruction form you received.</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00" w:hanging="640"/>
        <w:spacing w:after="0"/>
        <w:tabs>
          <w:tab w:leader="none" w:pos="1900" w:val="left"/>
        </w:tabs>
        <w:numPr>
          <w:ilvl w:val="0"/>
          <w:numId w:val="26"/>
        </w:numPr>
        <w:rPr>
          <w:rFonts w:ascii="Arial" w:cs="Arial" w:eastAsia="Arial" w:hAnsi="Arial"/>
          <w:sz w:val="18"/>
          <w:szCs w:val="18"/>
          <w:b w:val="1"/>
          <w:bCs w:val="1"/>
          <w:color w:val="00ABD1"/>
        </w:rPr>
      </w:pPr>
      <w:r>
        <w:rPr>
          <w:rFonts w:ascii="Arial" w:cs="Arial" w:eastAsia="Arial" w:hAnsi="Arial"/>
          <w:sz w:val="18"/>
          <w:szCs w:val="18"/>
          <w:b w:val="1"/>
          <w:bCs w:val="1"/>
          <w:color w:val="00ABD1"/>
        </w:rPr>
        <w:t>How can I vote my shares?</w:t>
      </w:r>
    </w:p>
    <w:p>
      <w:pPr>
        <w:spacing w:after="0" w:line="252" w:lineRule="exact"/>
        <w:rPr>
          <w:sz w:val="20"/>
          <w:szCs w:val="20"/>
          <w:color w:val="auto"/>
        </w:rPr>
      </w:pPr>
    </w:p>
    <w:p>
      <w:pPr>
        <w:ind w:left="1900" w:right="539" w:hanging="640"/>
        <w:spacing w:after="0" w:line="282" w:lineRule="auto"/>
        <w:tabs>
          <w:tab w:leader="none" w:pos="1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process for voting your shares depends on how your shares are held. Generally, as discussed above, you may hold shares as a “record holder” (that​ is, in your own name) or in “street name” (that is, through a nominee, such as a broker or bank). As explained above, if you hold shares in “street name,” you are considered to be the “beneficial owner” of those shares.</w:t>
      </w:r>
    </w:p>
    <w:p>
      <w:pPr>
        <w:spacing w:after="0" w:line="215" w:lineRule="exact"/>
        <w:rPr>
          <w:rFonts w:ascii="Arial" w:cs="Arial" w:eastAsia="Arial" w:hAnsi="Arial"/>
          <w:sz w:val="17"/>
          <w:szCs w:val="17"/>
          <w:color w:val="auto"/>
        </w:rPr>
      </w:pPr>
    </w:p>
    <w:p>
      <w:pPr>
        <w:ind w:left="1900" w:right="539"/>
        <w:spacing w:after="0" w:line="271" w:lineRule="auto"/>
        <w:rPr>
          <w:rFonts w:ascii="Arial" w:cs="Arial" w:eastAsia="Arial" w:hAnsi="Arial"/>
          <w:sz w:val="17"/>
          <w:szCs w:val="17"/>
          <w:color w:val="auto"/>
        </w:rPr>
      </w:pPr>
      <w:r>
        <w:rPr>
          <w:rFonts w:ascii="Arial" w:cs="Arial" w:eastAsia="Arial" w:hAnsi="Arial"/>
          <w:sz w:val="18"/>
          <w:szCs w:val="18"/>
          <w:b w:val="1"/>
          <w:bCs w:val="1"/>
          <w:i w:val="1"/>
          <w:iCs w:val="1"/>
          <w:color w:val="auto"/>
        </w:rPr>
        <w:t xml:space="preserve">Voting by record holders. </w:t>
      </w:r>
      <w:r>
        <w:rPr>
          <w:rFonts w:ascii="Arial" w:cs="Arial" w:eastAsia="Arial" w:hAnsi="Arial"/>
          <w:sz w:val="18"/>
          <w:szCs w:val="18"/>
          <w:color w:val="auto"/>
        </w:rPr>
        <w:t>If you are a record holder, you may vote by proxy prior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Annual Meeting or you may vote during the Annual Meeting by joining the live webcast and following the instructions at </w:t>
      </w:r>
      <w:r>
        <w:rPr>
          <w:rFonts w:ascii="Arial" w:cs="Arial" w:eastAsia="Arial" w:hAnsi="Arial"/>
          <w:sz w:val="18"/>
          <w:szCs w:val="18"/>
          <w:b w:val="1"/>
          <w:bCs w:val="1"/>
          <w:color w:val="00ABD1"/>
        </w:rPr>
        <w:t>www.virtualshareholdermeeting.com/UNIT2026</w:t>
      </w:r>
      <w:r>
        <w:rPr>
          <w:rFonts w:ascii="Arial" w:cs="Arial" w:eastAsia="Arial" w:hAnsi="Arial"/>
          <w:sz w:val="18"/>
          <w:szCs w:val="18"/>
          <w:color w:val="auto"/>
        </w:rPr>
        <w:t>. If you are a record holder and would like to vote your shares by proxy prior to the Annual Meeting, you have three ways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1280160</wp:posOffset>
            </wp:positionH>
            <wp:positionV relativeFrom="paragraph">
              <wp:posOffset>170180</wp:posOffset>
            </wp:positionV>
            <wp:extent cx="266065" cy="248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6065" cy="248920"/>
                    </a:xfrm>
                    <a:prstGeom prst="rect">
                      <a:avLst/>
                    </a:prstGeom>
                    <a:noFill/>
                  </pic:spPr>
                </pic:pic>
              </a:graphicData>
            </a:graphic>
          </wp:anchor>
        </w:drawing>
      </w:r>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go to the website </w:t>
      </w:r>
      <w:r>
        <w:rPr>
          <w:rFonts w:ascii="Arial" w:cs="Arial" w:eastAsia="Arial" w:hAnsi="Arial"/>
          <w:sz w:val="18"/>
          <w:szCs w:val="18"/>
          <w:b w:val="1"/>
          <w:bCs w:val="1"/>
          <w:color w:val="00ABD1"/>
        </w:rPr>
        <w:t>www.proxyvote.com</w:t>
      </w:r>
      <w:r>
        <w:rPr>
          <w:rFonts w:ascii="Arial" w:cs="Arial" w:eastAsia="Arial" w:hAnsi="Arial"/>
          <w:sz w:val="18"/>
          <w:szCs w:val="18"/>
          <w:color w:val="auto"/>
        </w:rPr>
        <w:t xml:space="preserve"> and follow the instructions at that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1348740</wp:posOffset>
            </wp:positionH>
            <wp:positionV relativeFrom="paragraph">
              <wp:posOffset>146050</wp:posOffset>
            </wp:positionV>
            <wp:extent cx="128270"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270" cy="240030"/>
                    </a:xfrm>
                    <a:prstGeom prst="rect">
                      <a:avLst/>
                    </a:prstGeom>
                    <a:noFill/>
                  </pic:spPr>
                </pic:pic>
              </a:graphicData>
            </a:graphic>
          </wp:anchor>
        </w:drawing>
      </w:r>
    </w:p>
    <w:p>
      <w:pPr>
        <w:spacing w:after="0" w:line="27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call 1-800-690-6903 and follow the instructions provided on the call; or</w:t>
      </w:r>
    </w:p>
    <w:p>
      <w:pPr>
        <w:spacing w:after="0" w:line="225" w:lineRule="exact"/>
        <w:rPr>
          <w:sz w:val="20"/>
          <w:szCs w:val="20"/>
          <w:color w:val="auto"/>
        </w:rPr>
      </w:pPr>
    </w:p>
    <w:p>
      <w:pPr>
        <w:ind w:left="2760" w:right="579"/>
        <w:spacing w:after="0" w:line="287" w:lineRule="auto"/>
        <w:rPr>
          <w:sz w:val="20"/>
          <w:szCs w:val="20"/>
          <w:color w:val="auto"/>
        </w:rPr>
      </w:pPr>
      <w:r>
        <w:rPr>
          <w:rFonts w:ascii="Arial" w:cs="Arial" w:eastAsia="Arial" w:hAnsi="Arial"/>
          <w:sz w:val="18"/>
          <w:szCs w:val="18"/>
          <w:color w:val="auto"/>
        </w:rPr>
        <w:t>if you received a proxy card in the mail, complete, sign, date and mail the proxy card in the return envelope provided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-267335</wp:posOffset>
            </wp:positionV>
            <wp:extent cx="231140" cy="2311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268" w:lineRule="exact"/>
        <w:rPr>
          <w:sz w:val="20"/>
          <w:szCs w:val="20"/>
          <w:color w:val="auto"/>
        </w:rPr>
      </w:pPr>
    </w:p>
    <w:p>
      <w:pPr>
        <w:ind w:left="1900" w:right="599"/>
        <w:spacing w:after="0" w:line="273" w:lineRule="auto"/>
        <w:rPr>
          <w:sz w:val="20"/>
          <w:szCs w:val="20"/>
          <w:color w:val="auto"/>
        </w:rPr>
      </w:pPr>
      <w:r>
        <w:rPr>
          <w:rFonts w:ascii="Arial" w:cs="Arial" w:eastAsia="Arial" w:hAnsi="Arial"/>
          <w:sz w:val="18"/>
          <w:szCs w:val="18"/>
          <w:color w:val="auto"/>
        </w:rPr>
        <w:t>Please note that telephone and Internet proxy voting will close at 11:59 p.m. (Eastern time) on May 20, 2026. If you received a proxy card in the mail and wish to vote by completing and returning the proxy card via mail, please note that your completed proxy card must be received before the polls close for voting at the Annual Meeting.</w:t>
      </w:r>
    </w:p>
    <w:p>
      <w:pPr>
        <w:spacing w:after="0" w:line="233" w:lineRule="exact"/>
        <w:rPr>
          <w:sz w:val="20"/>
          <w:szCs w:val="20"/>
          <w:color w:val="auto"/>
        </w:rPr>
      </w:pPr>
    </w:p>
    <w:p>
      <w:pPr>
        <w:ind w:left="1900" w:right="459"/>
        <w:spacing w:after="0" w:line="273" w:lineRule="auto"/>
        <w:rPr>
          <w:sz w:val="20"/>
          <w:szCs w:val="20"/>
          <w:color w:val="auto"/>
        </w:rPr>
      </w:pPr>
      <w:r>
        <w:rPr>
          <w:rFonts w:ascii="Arial" w:cs="Arial" w:eastAsia="Arial" w:hAnsi="Arial"/>
          <w:sz w:val="18"/>
          <w:szCs w:val="18"/>
          <w:b w:val="1"/>
          <w:bCs w:val="1"/>
          <w:i w:val="1"/>
          <w:iCs w:val="1"/>
          <w:color w:val="auto"/>
        </w:rPr>
        <w:t xml:space="preserve">Voting by beneficial owners of shares held in “street name.” </w:t>
      </w:r>
      <w:r>
        <w:rPr>
          <w:rFonts w:ascii="Arial" w:cs="Arial" w:eastAsia="Arial" w:hAnsi="Arial"/>
          <w:sz w:val="18"/>
          <w:szCs w:val="18"/>
          <w:color w:val="auto"/>
        </w:rPr>
        <w:t>If your shares are held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 of a broker, bank or other nominee (that is, your shares are held in “street name”), you should receive separate instructions from your broker, bank or other nominee describing how to vote.</w:t>
      </w:r>
    </w:p>
    <w:p>
      <w:pPr>
        <w:spacing w:after="0" w:line="192" w:lineRule="exact"/>
        <w:rPr>
          <w:sz w:val="20"/>
          <w:szCs w:val="20"/>
          <w:color w:val="auto"/>
        </w:rPr>
      </w:pPr>
    </w:p>
    <w:p>
      <w:pPr>
        <w:ind w:left="1900" w:hanging="640"/>
        <w:spacing w:after="0"/>
        <w:tabs>
          <w:tab w:leader="none" w:pos="1900" w:val="left"/>
        </w:tabs>
        <w:numPr>
          <w:ilvl w:val="0"/>
          <w:numId w:val="28"/>
        </w:numPr>
        <w:rPr>
          <w:rFonts w:ascii="Arial" w:cs="Arial" w:eastAsia="Arial" w:hAnsi="Arial"/>
          <w:sz w:val="18"/>
          <w:szCs w:val="18"/>
          <w:b w:val="1"/>
          <w:bCs w:val="1"/>
          <w:color w:val="00ABD1"/>
        </w:rPr>
      </w:pPr>
      <w:r>
        <w:rPr>
          <w:rFonts w:ascii="Arial" w:cs="Arial" w:eastAsia="Arial" w:hAnsi="Arial"/>
          <w:sz w:val="18"/>
          <w:szCs w:val="18"/>
          <w:b w:val="1"/>
          <w:bCs w:val="1"/>
          <w:color w:val="00ABD1"/>
        </w:rPr>
        <w:t>What constitutes a quorum?</w:t>
      </w:r>
    </w:p>
    <w:p>
      <w:pPr>
        <w:spacing w:after="0" w:line="239" w:lineRule="exact"/>
        <w:rPr>
          <w:sz w:val="20"/>
          <w:szCs w:val="20"/>
          <w:color w:val="auto"/>
        </w:rPr>
      </w:pPr>
    </w:p>
    <w:p>
      <w:pPr>
        <w:ind w:left="1900" w:right="539" w:hanging="640"/>
        <w:spacing w:after="0" w:line="255" w:lineRule="auto"/>
        <w:tabs>
          <w:tab w:leader="none" w:pos="1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presence at the Annual Meeting, virtually or by proxy, of stockholders entitled to cast a majority of all the votes entitled to be cast at the Annual Meeting constitutes a quorum. If a quorum is established, each holder of common stock will be entitled to one vote on each matter to be voted on at the Annual Meeting for each issued and outstanding share of common stock owned on the Record Date. Proxies received but marked as abstentions and broker “non-votes” will be included in the calculation of the number of votes considered to be present at the Annual Meeting and will be counted for quorum purposes. If a quorum is not present, the Annual Meeting may be adjourned until a quorum is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00" w:hanging="640"/>
        <w:spacing w:after="0"/>
        <w:tabs>
          <w:tab w:leader="none" w:pos="1900" w:val="left"/>
        </w:tabs>
        <w:numPr>
          <w:ilvl w:val="0"/>
          <w:numId w:val="30"/>
        </w:numPr>
        <w:rPr>
          <w:rFonts w:ascii="Arial" w:cs="Arial" w:eastAsia="Arial" w:hAnsi="Arial"/>
          <w:sz w:val="18"/>
          <w:szCs w:val="18"/>
          <w:b w:val="1"/>
          <w:bCs w:val="1"/>
          <w:color w:val="00ABD1"/>
        </w:rPr>
      </w:pPr>
      <w:r>
        <w:rPr>
          <w:rFonts w:ascii="Arial" w:cs="Arial" w:eastAsia="Arial" w:hAnsi="Arial"/>
          <w:sz w:val="18"/>
          <w:szCs w:val="18"/>
          <w:b w:val="1"/>
          <w:bCs w:val="1"/>
          <w:color w:val="00ABD1"/>
        </w:rPr>
        <w:t>How many votes are needed to approve each proposal?</w:t>
      </w:r>
    </w:p>
    <w:p>
      <w:pPr>
        <w:spacing w:after="0" w:line="252" w:lineRule="exact"/>
        <w:rPr>
          <w:sz w:val="20"/>
          <w:szCs w:val="20"/>
          <w:color w:val="auto"/>
        </w:rPr>
      </w:pPr>
    </w:p>
    <w:p>
      <w:pPr>
        <w:ind w:left="1900" w:hanging="640"/>
        <w:spacing w:after="0"/>
        <w:tabs>
          <w:tab w:leader="none" w:pos="1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stockholder vote required to approve each proposal is set forth below:</w:t>
      </w:r>
    </w:p>
    <w:p>
      <w:pPr>
        <w:spacing w:after="0" w:line="261" w:lineRule="exact"/>
        <w:rPr>
          <w:sz w:val="20"/>
          <w:szCs w:val="20"/>
          <w:color w:val="auto"/>
        </w:rPr>
      </w:pPr>
    </w:p>
    <w:tbl>
      <w:tblPr>
        <w:tblLayout w:type="fixed"/>
        <w:tblInd w:w="1900" w:type="dxa"/>
        <w:tblCellMar>
          <w:top w:w="0" w:type="dxa"/>
          <w:left w:w="0" w:type="dxa"/>
          <w:bottom w:w="0" w:type="dxa"/>
          <w:right w:w="0" w:type="dxa"/>
        </w:tblCellMar>
      </w:tblPr>
      <w:tr>
        <w:trPr>
          <w:trHeight w:val="207"/>
        </w:trPr>
        <w:tc>
          <w:tcPr>
            <w:tcW w:w="53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00ABD1"/>
              </w:rPr>
              <w:t>Proposals</w:t>
            </w:r>
          </w:p>
        </w:tc>
        <w:tc>
          <w:tcPr>
            <w:tcW w:w="2240" w:type="dxa"/>
            <w:vAlign w:val="bottom"/>
          </w:tcPr>
          <w:p>
            <w:pPr>
              <w:jc w:val="center"/>
              <w:ind w:left="110"/>
              <w:spacing w:after="0"/>
              <w:rPr>
                <w:sz w:val="20"/>
                <w:szCs w:val="20"/>
                <w:color w:val="auto"/>
              </w:rPr>
            </w:pPr>
            <w:r>
              <w:rPr>
                <w:rFonts w:ascii="Arial" w:cs="Arial" w:eastAsia="Arial" w:hAnsi="Arial"/>
                <w:sz w:val="18"/>
                <w:szCs w:val="18"/>
                <w:b w:val="1"/>
                <w:bCs w:val="1"/>
                <w:color w:val="00ABD1"/>
                <w:w w:val="97"/>
              </w:rPr>
              <w:t>Required</w:t>
            </w:r>
          </w:p>
        </w:tc>
        <w:tc>
          <w:tcPr>
            <w:tcW w:w="0" w:type="dxa"/>
            <w:vAlign w:val="bottom"/>
          </w:tcPr>
          <w:p>
            <w:pPr>
              <w:spacing w:after="0"/>
              <w:rPr>
                <w:sz w:val="1"/>
                <w:szCs w:val="1"/>
                <w:color w:val="auto"/>
              </w:rPr>
            </w:pPr>
          </w:p>
        </w:tc>
      </w:tr>
      <w:tr>
        <w:trPr>
          <w:trHeight w:val="152"/>
        </w:trPr>
        <w:tc>
          <w:tcPr>
            <w:tcW w:w="5320" w:type="dxa"/>
            <w:vAlign w:val="bottom"/>
            <w:gridSpan w:val="2"/>
            <w:vMerge w:val="continue"/>
          </w:tcPr>
          <w:p>
            <w:pPr>
              <w:spacing w:after="0"/>
              <w:rPr>
                <w:sz w:val="13"/>
                <w:szCs w:val="13"/>
                <w:color w:val="auto"/>
              </w:rPr>
            </w:pPr>
          </w:p>
        </w:tc>
        <w:tc>
          <w:tcPr>
            <w:tcW w:w="2240" w:type="dxa"/>
            <w:vAlign w:val="bottom"/>
            <w:vMerge w:val="restart"/>
          </w:tcPr>
          <w:p>
            <w:pPr>
              <w:jc w:val="center"/>
              <w:ind w:left="150"/>
              <w:spacing w:after="0"/>
              <w:rPr>
                <w:sz w:val="20"/>
                <w:szCs w:val="20"/>
                <w:color w:val="auto"/>
              </w:rPr>
            </w:pPr>
            <w:r>
              <w:rPr>
                <w:rFonts w:ascii="Arial" w:cs="Arial" w:eastAsia="Arial" w:hAnsi="Arial"/>
                <w:sz w:val="18"/>
                <w:szCs w:val="18"/>
                <w:b w:val="1"/>
                <w:bCs w:val="1"/>
                <w:color w:val="00ABD1"/>
                <w:w w:val="97"/>
              </w:rPr>
              <w:t>Approval</w:t>
            </w:r>
          </w:p>
        </w:tc>
        <w:tc>
          <w:tcPr>
            <w:tcW w:w="0" w:type="dxa"/>
            <w:vAlign w:val="bottom"/>
          </w:tcPr>
          <w:p>
            <w:pPr>
              <w:spacing w:after="0"/>
              <w:rPr>
                <w:sz w:val="1"/>
                <w:szCs w:val="1"/>
                <w:color w:val="auto"/>
              </w:rPr>
            </w:pPr>
          </w:p>
        </w:tc>
      </w:tr>
      <w:tr>
        <w:trPr>
          <w:trHeight w:val="95"/>
        </w:trPr>
        <w:tc>
          <w:tcPr>
            <w:tcW w:w="260" w:type="dxa"/>
            <w:vAlign w:val="bottom"/>
            <w:tcBorders>
              <w:bottom w:val="single" w:sz="8" w:color="00ABD1"/>
            </w:tcBorders>
          </w:tcPr>
          <w:p>
            <w:pPr>
              <w:spacing w:after="0"/>
              <w:rPr>
                <w:sz w:val="8"/>
                <w:szCs w:val="8"/>
                <w:color w:val="auto"/>
              </w:rPr>
            </w:pPr>
          </w:p>
        </w:tc>
        <w:tc>
          <w:tcPr>
            <w:tcW w:w="5060" w:type="dxa"/>
            <w:vAlign w:val="bottom"/>
            <w:tcBorders>
              <w:bottom w:val="single" w:sz="8" w:color="00ABD1"/>
            </w:tcBorders>
          </w:tcPr>
          <w:p>
            <w:pPr>
              <w:spacing w:after="0"/>
              <w:rPr>
                <w:sz w:val="8"/>
                <w:szCs w:val="8"/>
                <w:color w:val="auto"/>
              </w:rPr>
            </w:pPr>
          </w:p>
        </w:tc>
        <w:tc>
          <w:tcPr>
            <w:tcW w:w="2240" w:type="dxa"/>
            <w:vAlign w:val="bottom"/>
            <w:tcBorders>
              <w:bottom w:val="single" w:sz="8" w:color="00ABD1"/>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20"/>
                <w:szCs w:val="20"/>
                <w:color w:val="auto"/>
              </w:rPr>
            </w:pPr>
            <w:r>
              <w:rPr>
                <w:rFonts w:ascii="Arial" w:cs="Arial" w:eastAsia="Arial" w:hAnsi="Arial"/>
                <w:sz w:val="18"/>
                <w:szCs w:val="18"/>
                <w:color w:val="auto"/>
              </w:rPr>
              <w:t>1.</w:t>
            </w:r>
          </w:p>
        </w:tc>
        <w:tc>
          <w:tcPr>
            <w:tcW w:w="5060" w:type="dxa"/>
            <w:vAlign w:val="bottom"/>
          </w:tcPr>
          <w:p>
            <w:pPr>
              <w:ind w:left="100"/>
              <w:spacing w:after="0"/>
              <w:rPr>
                <w:sz w:val="20"/>
                <w:szCs w:val="20"/>
                <w:color w:val="auto"/>
              </w:rPr>
            </w:pPr>
            <w:r>
              <w:rPr>
                <w:rFonts w:ascii="Arial" w:cs="Arial" w:eastAsia="Arial" w:hAnsi="Arial"/>
                <w:sz w:val="18"/>
                <w:szCs w:val="18"/>
                <w:color w:val="auto"/>
              </w:rPr>
              <w:t>Election of directors</w:t>
            </w:r>
          </w:p>
        </w:tc>
        <w:tc>
          <w:tcPr>
            <w:tcW w:w="2240" w:type="dxa"/>
            <w:vAlign w:val="bottom"/>
          </w:tcPr>
          <w:p>
            <w:pPr>
              <w:jc w:val="center"/>
              <w:ind w:left="110"/>
              <w:spacing w:after="0"/>
              <w:rPr>
                <w:sz w:val="20"/>
                <w:szCs w:val="20"/>
                <w:color w:val="auto"/>
              </w:rPr>
            </w:pPr>
            <w:r>
              <w:rPr>
                <w:rFonts w:ascii="Arial" w:cs="Arial" w:eastAsia="Arial" w:hAnsi="Arial"/>
                <w:sz w:val="18"/>
                <w:szCs w:val="18"/>
                <w:color w:val="auto"/>
                <w:w w:val="96"/>
              </w:rPr>
              <w:t>Majority of Votes Cast for</w:t>
            </w: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240" w:type="dxa"/>
            <w:vAlign w:val="bottom"/>
          </w:tcPr>
          <w:p>
            <w:pPr>
              <w:jc w:val="center"/>
              <w:ind w:left="150"/>
              <w:spacing w:after="0"/>
              <w:rPr>
                <w:sz w:val="20"/>
                <w:szCs w:val="20"/>
                <w:color w:val="auto"/>
              </w:rPr>
            </w:pPr>
            <w:r>
              <w:rPr>
                <w:rFonts w:ascii="Arial" w:cs="Arial" w:eastAsia="Arial" w:hAnsi="Arial"/>
                <w:sz w:val="18"/>
                <w:szCs w:val="18"/>
                <w:color w:val="auto"/>
                <w:w w:val="98"/>
              </w:rPr>
              <w:t>Each Nominee</w:t>
            </w:r>
          </w:p>
        </w:tc>
        <w:tc>
          <w:tcPr>
            <w:tcW w:w="0" w:type="dxa"/>
            <w:vAlign w:val="bottom"/>
          </w:tcPr>
          <w:p>
            <w:pPr>
              <w:spacing w:after="0"/>
              <w:rPr>
                <w:sz w:val="1"/>
                <w:szCs w:val="1"/>
                <w:color w:val="auto"/>
              </w:rPr>
            </w:pPr>
          </w:p>
        </w:tc>
      </w:tr>
      <w:tr>
        <w:trPr>
          <w:trHeight w:val="247"/>
        </w:trPr>
        <w:tc>
          <w:tcPr>
            <w:tcW w:w="260" w:type="dxa"/>
            <w:vAlign w:val="bottom"/>
          </w:tcPr>
          <w:p>
            <w:pPr>
              <w:spacing w:after="0"/>
              <w:rPr>
                <w:sz w:val="20"/>
                <w:szCs w:val="20"/>
                <w:color w:val="auto"/>
              </w:rPr>
            </w:pPr>
            <w:r>
              <w:rPr>
                <w:rFonts w:ascii="Arial" w:cs="Arial" w:eastAsia="Arial" w:hAnsi="Arial"/>
                <w:sz w:val="18"/>
                <w:szCs w:val="18"/>
                <w:color w:val="auto"/>
              </w:rPr>
              <w:t>2.</w:t>
            </w:r>
          </w:p>
        </w:tc>
        <w:tc>
          <w:tcPr>
            <w:tcW w:w="5060" w:type="dxa"/>
            <w:vAlign w:val="bottom"/>
          </w:tcPr>
          <w:p>
            <w:pPr>
              <w:ind w:left="100"/>
              <w:spacing w:after="0"/>
              <w:rPr>
                <w:sz w:val="20"/>
                <w:szCs w:val="20"/>
                <w:color w:val="auto"/>
              </w:rPr>
            </w:pPr>
            <w:r>
              <w:rPr>
                <w:rFonts w:ascii="Arial" w:cs="Arial" w:eastAsia="Arial" w:hAnsi="Arial"/>
                <w:sz w:val="18"/>
                <w:szCs w:val="18"/>
                <w:color w:val="auto"/>
              </w:rPr>
              <w:t>Approval of an increase in the number of shares available for</w:t>
            </w:r>
          </w:p>
        </w:tc>
        <w:tc>
          <w:tcPr>
            <w:tcW w:w="2240" w:type="dxa"/>
            <w:vAlign w:val="bottom"/>
          </w:tcPr>
          <w:p>
            <w:pPr>
              <w:jc w:val="center"/>
              <w:ind w:left="150"/>
              <w:spacing w:after="0"/>
              <w:rPr>
                <w:sz w:val="20"/>
                <w:szCs w:val="20"/>
                <w:color w:val="auto"/>
              </w:rPr>
            </w:pPr>
            <w:r>
              <w:rPr>
                <w:rFonts w:ascii="Arial" w:cs="Arial" w:eastAsia="Arial" w:hAnsi="Arial"/>
                <w:sz w:val="18"/>
                <w:szCs w:val="18"/>
                <w:color w:val="auto"/>
                <w:w w:val="97"/>
              </w:rPr>
              <w:t>Majority of Votes Cast</w:t>
            </w: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5060" w:type="dxa"/>
            <w:vAlign w:val="bottom"/>
          </w:tcPr>
          <w:p>
            <w:pPr>
              <w:ind w:left="100"/>
              <w:spacing w:after="0"/>
              <w:rPr>
                <w:sz w:val="20"/>
                <w:szCs w:val="20"/>
                <w:color w:val="auto"/>
              </w:rPr>
            </w:pPr>
            <w:r>
              <w:rPr>
                <w:rFonts w:ascii="Arial" w:cs="Arial" w:eastAsia="Arial" w:hAnsi="Arial"/>
                <w:sz w:val="18"/>
                <w:szCs w:val="18"/>
                <w:color w:val="auto"/>
              </w:rPr>
              <w:t>issuance under the 2025 Plan</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60" w:type="dxa"/>
            <w:vAlign w:val="bottom"/>
          </w:tcPr>
          <w:p>
            <w:pPr>
              <w:spacing w:after="0"/>
              <w:rPr>
                <w:sz w:val="20"/>
                <w:szCs w:val="20"/>
                <w:color w:val="auto"/>
              </w:rPr>
            </w:pPr>
            <w:r>
              <w:rPr>
                <w:rFonts w:ascii="Arial" w:cs="Arial" w:eastAsia="Arial" w:hAnsi="Arial"/>
                <w:sz w:val="18"/>
                <w:szCs w:val="18"/>
                <w:color w:val="auto"/>
              </w:rPr>
              <w:t>3.</w:t>
            </w:r>
          </w:p>
        </w:tc>
        <w:tc>
          <w:tcPr>
            <w:tcW w:w="5060" w:type="dxa"/>
            <w:vAlign w:val="bottom"/>
          </w:tcPr>
          <w:p>
            <w:pPr>
              <w:ind w:left="100"/>
              <w:spacing w:after="0"/>
              <w:rPr>
                <w:sz w:val="20"/>
                <w:szCs w:val="20"/>
                <w:color w:val="auto"/>
              </w:rPr>
            </w:pPr>
            <w:r>
              <w:rPr>
                <w:rFonts w:ascii="Arial" w:cs="Arial" w:eastAsia="Arial" w:hAnsi="Arial"/>
                <w:sz w:val="18"/>
                <w:szCs w:val="18"/>
                <w:color w:val="auto"/>
              </w:rPr>
              <w:t>Advisory vote to approve executive compensation</w:t>
            </w:r>
          </w:p>
        </w:tc>
        <w:tc>
          <w:tcPr>
            <w:tcW w:w="2240" w:type="dxa"/>
            <w:vAlign w:val="bottom"/>
          </w:tcPr>
          <w:p>
            <w:pPr>
              <w:jc w:val="center"/>
              <w:ind w:left="150"/>
              <w:spacing w:after="0"/>
              <w:rPr>
                <w:sz w:val="20"/>
                <w:szCs w:val="20"/>
                <w:color w:val="auto"/>
              </w:rPr>
            </w:pPr>
            <w:r>
              <w:rPr>
                <w:rFonts w:ascii="Arial" w:cs="Arial" w:eastAsia="Arial" w:hAnsi="Arial"/>
                <w:sz w:val="18"/>
                <w:szCs w:val="18"/>
                <w:color w:val="auto"/>
                <w:w w:val="97"/>
              </w:rPr>
              <w:t>Majority of Votes Cast</w:t>
            </w:r>
          </w:p>
        </w:tc>
        <w:tc>
          <w:tcPr>
            <w:tcW w:w="0" w:type="dxa"/>
            <w:vAlign w:val="bottom"/>
          </w:tcPr>
          <w:p>
            <w:pPr>
              <w:spacing w:after="0"/>
              <w:rPr>
                <w:sz w:val="1"/>
                <w:szCs w:val="1"/>
                <w:color w:val="auto"/>
              </w:rPr>
            </w:pPr>
          </w:p>
        </w:tc>
      </w:tr>
      <w:tr>
        <w:trPr>
          <w:trHeight w:val="463"/>
        </w:trPr>
        <w:tc>
          <w:tcPr>
            <w:tcW w:w="260" w:type="dxa"/>
            <w:vAlign w:val="bottom"/>
          </w:tcPr>
          <w:p>
            <w:pPr>
              <w:spacing w:after="0"/>
              <w:rPr>
                <w:sz w:val="20"/>
                <w:szCs w:val="20"/>
                <w:color w:val="auto"/>
              </w:rPr>
            </w:pPr>
            <w:r>
              <w:rPr>
                <w:rFonts w:ascii="Arial" w:cs="Arial" w:eastAsia="Arial" w:hAnsi="Arial"/>
                <w:sz w:val="18"/>
                <w:szCs w:val="18"/>
                <w:color w:val="auto"/>
              </w:rPr>
              <w:t>4.</w:t>
            </w:r>
          </w:p>
        </w:tc>
        <w:tc>
          <w:tcPr>
            <w:tcW w:w="5060" w:type="dxa"/>
            <w:vAlign w:val="bottom"/>
          </w:tcPr>
          <w:p>
            <w:pPr>
              <w:ind w:left="100"/>
              <w:spacing w:after="0"/>
              <w:rPr>
                <w:sz w:val="20"/>
                <w:szCs w:val="20"/>
                <w:color w:val="auto"/>
              </w:rPr>
            </w:pPr>
            <w:r>
              <w:rPr>
                <w:rFonts w:ascii="Arial" w:cs="Arial" w:eastAsia="Arial" w:hAnsi="Arial"/>
                <w:sz w:val="18"/>
                <w:szCs w:val="18"/>
                <w:color w:val="auto"/>
              </w:rPr>
              <w:t>Advisory vote on the frequency of future advisory votes to</w:t>
            </w:r>
          </w:p>
        </w:tc>
        <w:tc>
          <w:tcPr>
            <w:tcW w:w="2240" w:type="dxa"/>
            <w:vAlign w:val="bottom"/>
          </w:tcPr>
          <w:p>
            <w:pPr>
              <w:jc w:val="center"/>
              <w:ind w:left="150"/>
              <w:spacing w:after="0"/>
              <w:rPr>
                <w:sz w:val="20"/>
                <w:szCs w:val="20"/>
                <w:color w:val="auto"/>
              </w:rPr>
            </w:pPr>
            <w:r>
              <w:rPr>
                <w:rFonts w:ascii="Arial" w:cs="Arial" w:eastAsia="Arial" w:hAnsi="Arial"/>
                <w:sz w:val="18"/>
                <w:szCs w:val="18"/>
                <w:color w:val="auto"/>
                <w:w w:val="97"/>
              </w:rPr>
              <w:t>Majority of Votes Cast</w:t>
            </w: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5060" w:type="dxa"/>
            <w:vAlign w:val="bottom"/>
          </w:tcPr>
          <w:p>
            <w:pPr>
              <w:ind w:left="100"/>
              <w:spacing w:after="0"/>
              <w:rPr>
                <w:sz w:val="20"/>
                <w:szCs w:val="20"/>
                <w:color w:val="auto"/>
              </w:rPr>
            </w:pPr>
            <w:r>
              <w:rPr>
                <w:rFonts w:ascii="Arial" w:cs="Arial" w:eastAsia="Arial" w:hAnsi="Arial"/>
                <w:sz w:val="18"/>
                <w:szCs w:val="18"/>
                <w:color w:val="auto"/>
              </w:rPr>
              <w:t>approve executive compensation</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60" w:type="dxa"/>
            <w:vAlign w:val="bottom"/>
          </w:tcPr>
          <w:p>
            <w:pPr>
              <w:spacing w:after="0"/>
              <w:rPr>
                <w:sz w:val="20"/>
                <w:szCs w:val="20"/>
                <w:color w:val="auto"/>
              </w:rPr>
            </w:pPr>
            <w:r>
              <w:rPr>
                <w:rFonts w:ascii="Arial" w:cs="Arial" w:eastAsia="Arial" w:hAnsi="Arial"/>
                <w:sz w:val="18"/>
                <w:szCs w:val="18"/>
                <w:color w:val="auto"/>
              </w:rPr>
              <w:t>5.</w:t>
            </w:r>
          </w:p>
        </w:tc>
        <w:tc>
          <w:tcPr>
            <w:tcW w:w="5060" w:type="dxa"/>
            <w:vAlign w:val="bottom"/>
          </w:tcPr>
          <w:p>
            <w:pPr>
              <w:ind w:left="100"/>
              <w:spacing w:after="0"/>
              <w:rPr>
                <w:sz w:val="20"/>
                <w:szCs w:val="20"/>
                <w:color w:val="auto"/>
              </w:rPr>
            </w:pPr>
            <w:r>
              <w:rPr>
                <w:rFonts w:ascii="Arial" w:cs="Arial" w:eastAsia="Arial" w:hAnsi="Arial"/>
                <w:sz w:val="18"/>
                <w:szCs w:val="18"/>
                <w:color w:val="auto"/>
              </w:rPr>
              <w:t>Ratification of auditor</w:t>
            </w:r>
          </w:p>
        </w:tc>
        <w:tc>
          <w:tcPr>
            <w:tcW w:w="2240" w:type="dxa"/>
            <w:vAlign w:val="bottom"/>
          </w:tcPr>
          <w:p>
            <w:pPr>
              <w:jc w:val="center"/>
              <w:ind w:left="150"/>
              <w:spacing w:after="0"/>
              <w:rPr>
                <w:sz w:val="20"/>
                <w:szCs w:val="20"/>
                <w:color w:val="auto"/>
              </w:rPr>
            </w:pPr>
            <w:r>
              <w:rPr>
                <w:rFonts w:ascii="Arial" w:cs="Arial" w:eastAsia="Arial" w:hAnsi="Arial"/>
                <w:sz w:val="18"/>
                <w:szCs w:val="18"/>
                <w:color w:val="auto"/>
                <w:w w:val="97"/>
              </w:rPr>
              <w:t>Majority of Votes Cast</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900" w:right="439"/>
        <w:spacing w:after="0" w:line="264" w:lineRule="auto"/>
        <w:rPr>
          <w:sz w:val="20"/>
          <w:szCs w:val="20"/>
          <w:color w:val="auto"/>
        </w:rPr>
      </w:pPr>
      <w:r>
        <w:rPr>
          <w:rFonts w:ascii="Arial" w:cs="Arial" w:eastAsia="Arial" w:hAnsi="Arial"/>
          <w:sz w:val="18"/>
          <w:szCs w:val="18"/>
          <w:b w:val="1"/>
          <w:bCs w:val="1"/>
          <w:i w:val="1"/>
          <w:iCs w:val="1"/>
          <w:color w:val="auto"/>
        </w:rPr>
        <w:t xml:space="preserve">Director Resignation Policy. </w:t>
      </w:r>
      <w:r>
        <w:rPr>
          <w:rFonts w:ascii="Arial" w:cs="Arial" w:eastAsia="Arial" w:hAnsi="Arial"/>
          <w:sz w:val="18"/>
          <w:szCs w:val="18"/>
          <w:color w:val="auto"/>
        </w:rPr>
        <w:t>In accordance with our bylaws with respect to an uncontested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election of directors, a director nominee must receive more votes cast “for” than “against” his or her election in order to be elected to the Board. Pursuant to our bylaws and Corporate Governance Guidelines, each director promptly following his or her failure to receive a majority of votes cast for his or her election is required to tender a contingent, irrevocable resignation. If this occurs, the Governance Committee will consider such resignation and make a recommendation to the Board regarding whether to accept or reject such resignation. The Board will act on the Governance Committee’s recommendation within 90 days of the date the election results are certified and publicly disclose its decision.</w:t>
      </w:r>
    </w:p>
    <w:p>
      <w:pPr>
        <w:spacing w:after="0" w:line="192" w:lineRule="exact"/>
        <w:rPr>
          <w:sz w:val="20"/>
          <w:szCs w:val="20"/>
          <w:color w:val="auto"/>
        </w:rPr>
      </w:pPr>
    </w:p>
    <w:p>
      <w:pPr>
        <w:ind w:left="1900" w:right="579"/>
        <w:spacing w:after="0" w:line="265" w:lineRule="auto"/>
        <w:rPr>
          <w:sz w:val="20"/>
          <w:szCs w:val="20"/>
          <w:color w:val="auto"/>
        </w:rPr>
      </w:pPr>
      <w:r>
        <w:rPr>
          <w:rFonts w:ascii="Arial" w:cs="Arial" w:eastAsia="Arial" w:hAnsi="Arial"/>
          <w:sz w:val="18"/>
          <w:szCs w:val="18"/>
          <w:b w:val="1"/>
          <w:bCs w:val="1"/>
          <w:i w:val="1"/>
          <w:iCs w:val="1"/>
          <w:color w:val="auto"/>
        </w:rPr>
        <w:t xml:space="preserve">Advisory Vote to Approve Executive Compensation. </w:t>
      </w:r>
      <w:r>
        <w:rPr>
          <w:rFonts w:ascii="Arial" w:cs="Arial" w:eastAsia="Arial" w:hAnsi="Arial"/>
          <w:sz w:val="18"/>
          <w:szCs w:val="18"/>
          <w:color w:val="auto"/>
        </w:rPr>
        <w:t>As noted above, approval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of our NEOs (Proposal No. 3) and approval of a frequency for future stockholder advisory votes to approve executive compensation (Proposal No. 4) require the affirmative vote of a majority of votes cast. These proposals, however, are merely advisory and are not binding on the Company, the Board or its Compensation Committee. Despite the fact these are non-binding, the Board and the Compensation Committee will take the voting results under advisement when making future decisions regarding the Company’s executive compensation program and the frequency at which advisory votes to approve executive compensation will be conducted. With respect to Proposal No. 4, if a frequency option does not receive a majority support, the option receiving the greatest number of votes will be considered the frequency recommended by the Company’s stockholders.</w:t>
      </w:r>
    </w:p>
    <w:p>
      <w:pPr>
        <w:spacing w:after="0" w:line="173" w:lineRule="exact"/>
        <w:rPr>
          <w:sz w:val="20"/>
          <w:szCs w:val="20"/>
          <w:color w:val="auto"/>
        </w:rPr>
      </w:pPr>
    </w:p>
    <w:p>
      <w:pPr>
        <w:ind w:left="1900" w:right="499"/>
        <w:spacing w:after="0" w:line="270" w:lineRule="auto"/>
        <w:rPr>
          <w:sz w:val="20"/>
          <w:szCs w:val="20"/>
          <w:color w:val="auto"/>
        </w:rPr>
      </w:pPr>
      <w:r>
        <w:rPr>
          <w:rFonts w:ascii="Arial" w:cs="Arial" w:eastAsia="Arial" w:hAnsi="Arial"/>
          <w:sz w:val="18"/>
          <w:szCs w:val="18"/>
          <w:b w:val="1"/>
          <w:bCs w:val="1"/>
          <w:i w:val="1"/>
          <w:iCs w:val="1"/>
          <w:color w:val="auto"/>
        </w:rPr>
        <w:t xml:space="preserve">Ratification of Auditor. </w:t>
      </w:r>
      <w:r>
        <w:rPr>
          <w:rFonts w:ascii="Arial" w:cs="Arial" w:eastAsia="Arial" w:hAnsi="Arial"/>
          <w:sz w:val="18"/>
          <w:szCs w:val="18"/>
          <w:color w:val="auto"/>
        </w:rPr>
        <w:t>As noted above, the ratification of the auditor (Proposal No. 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requires the affirmative vote of a majority of votes cast. If the stockholders fail to ratify the appointment of PwC as Uniti’s independent registered public accountant, the Board will reconsider the appointment. However, even if the selection is ratified, the Audit Committee, in its sole discretion, may change the appointment at any time during the year if it determines that such a change would be in the best interests of Uniti and its stockholders.</w:t>
      </w:r>
    </w:p>
    <w:p>
      <w:pPr>
        <w:spacing w:after="0" w:line="196" w:lineRule="exact"/>
        <w:rPr>
          <w:sz w:val="20"/>
          <w:szCs w:val="20"/>
          <w:color w:val="auto"/>
        </w:rPr>
      </w:pPr>
    </w:p>
    <w:p>
      <w:pPr>
        <w:ind w:left="1900" w:hanging="640"/>
        <w:spacing w:after="0"/>
        <w:tabs>
          <w:tab w:leader="none" w:pos="1900" w:val="left"/>
        </w:tabs>
        <w:numPr>
          <w:ilvl w:val="0"/>
          <w:numId w:val="32"/>
        </w:numPr>
        <w:rPr>
          <w:rFonts w:ascii="Arial" w:cs="Arial" w:eastAsia="Arial" w:hAnsi="Arial"/>
          <w:sz w:val="18"/>
          <w:szCs w:val="18"/>
          <w:b w:val="1"/>
          <w:bCs w:val="1"/>
          <w:color w:val="00ABD1"/>
        </w:rPr>
      </w:pPr>
      <w:r>
        <w:rPr>
          <w:rFonts w:ascii="Arial" w:cs="Arial" w:eastAsia="Arial" w:hAnsi="Arial"/>
          <w:sz w:val="18"/>
          <w:szCs w:val="18"/>
          <w:b w:val="1"/>
          <w:bCs w:val="1"/>
          <w:color w:val="00ABD1"/>
        </w:rPr>
        <w:t>How are proxies voted?</w:t>
      </w:r>
    </w:p>
    <w:p>
      <w:pPr>
        <w:spacing w:after="0" w:line="239" w:lineRule="exact"/>
        <w:rPr>
          <w:sz w:val="20"/>
          <w:szCs w:val="20"/>
          <w:color w:val="auto"/>
        </w:rPr>
      </w:pPr>
    </w:p>
    <w:p>
      <w:pPr>
        <w:jc w:val="both"/>
        <w:ind w:left="1900" w:right="659" w:hanging="640"/>
        <w:spacing w:after="0" w:line="291" w:lineRule="auto"/>
        <w:tabs>
          <w:tab w:leader="none" w:pos="1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 shares represented by valid proxies received prior to the Annual Meeting will be voted, and where a stockholder specifies by means of the proxy a choice with respect to any matter to be acted upon, the shares will be voted in accordance with the stockholder’s instructions.</w:t>
      </w:r>
    </w:p>
    <w:p>
      <w:pPr>
        <w:spacing w:after="0" w:line="34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00" w:hanging="640"/>
        <w:spacing w:after="0"/>
        <w:tabs>
          <w:tab w:leader="none" w:pos="1900" w:val="left"/>
        </w:tabs>
        <w:numPr>
          <w:ilvl w:val="0"/>
          <w:numId w:val="34"/>
        </w:numPr>
        <w:rPr>
          <w:rFonts w:ascii="Arial" w:cs="Arial" w:eastAsia="Arial" w:hAnsi="Arial"/>
          <w:sz w:val="18"/>
          <w:szCs w:val="18"/>
          <w:b w:val="1"/>
          <w:bCs w:val="1"/>
          <w:color w:val="00ABD1"/>
        </w:rPr>
      </w:pPr>
      <w:r>
        <w:rPr>
          <w:rFonts w:ascii="Arial" w:cs="Arial" w:eastAsia="Arial" w:hAnsi="Arial"/>
          <w:sz w:val="18"/>
          <w:szCs w:val="18"/>
          <w:b w:val="1"/>
          <w:bCs w:val="1"/>
          <w:color w:val="00ABD1"/>
        </w:rPr>
        <w:t>What happens if I do not give specific voting instructions?</w:t>
      </w:r>
    </w:p>
    <w:p>
      <w:pPr>
        <w:spacing w:after="0" w:line="252" w:lineRule="exact"/>
        <w:rPr>
          <w:sz w:val="20"/>
          <w:szCs w:val="20"/>
          <w:color w:val="auto"/>
        </w:rPr>
      </w:pPr>
    </w:p>
    <w:p>
      <w:pPr>
        <w:ind w:left="1900" w:hanging="640"/>
        <w:spacing w:after="0"/>
        <w:tabs>
          <w:tab w:leader="none" w:pos="19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Stockholders of record.</w:t>
      </w:r>
    </w:p>
    <w:p>
      <w:pPr>
        <w:spacing w:after="0" w:line="225" w:lineRule="exact"/>
        <w:rPr>
          <w:rFonts w:ascii="Arial" w:cs="Arial" w:eastAsia="Arial" w:hAnsi="Arial"/>
          <w:sz w:val="18"/>
          <w:szCs w:val="18"/>
          <w:color w:val="auto"/>
        </w:rPr>
      </w:pPr>
    </w:p>
    <w:p>
      <w:pPr>
        <w:ind w:left="1900" w:right="439"/>
        <w:spacing w:after="0" w:line="257" w:lineRule="auto"/>
        <w:rPr>
          <w:rFonts w:ascii="Arial" w:cs="Arial" w:eastAsia="Arial" w:hAnsi="Arial"/>
          <w:sz w:val="18"/>
          <w:szCs w:val="18"/>
          <w:color w:val="auto"/>
        </w:rPr>
      </w:pPr>
      <w:r>
        <w:rPr>
          <w:rFonts w:ascii="Arial" w:cs="Arial" w:eastAsia="Arial" w:hAnsi="Arial"/>
          <w:sz w:val="18"/>
          <w:szCs w:val="18"/>
          <w:color w:val="auto"/>
        </w:rPr>
        <w:t>If you are a stockholder of record and you sign and return a proxy card without giving specific voting instructions or you indicate when voting on the Internet or by telephone that you wish to vote as recommended by the Board, then the proxy holders will vote your shares in the manner recommended by the Board on all matters presented in this Proxy Statement and as the proxy holders may determine in their discretion with respect to any other matters properly presented for a vote at the Annual Meeting.</w:t>
      </w:r>
    </w:p>
    <w:p>
      <w:pPr>
        <w:spacing w:after="0" w:line="184"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Beneficial owners of shares held in street name.</w:t>
      </w:r>
    </w:p>
    <w:p>
      <w:pPr>
        <w:spacing w:after="0" w:line="223" w:lineRule="exact"/>
        <w:rPr>
          <w:rFonts w:ascii="Arial" w:cs="Arial" w:eastAsia="Arial" w:hAnsi="Arial"/>
          <w:sz w:val="18"/>
          <w:szCs w:val="18"/>
          <w:color w:val="auto"/>
        </w:rPr>
      </w:pPr>
    </w:p>
    <w:p>
      <w:pPr>
        <w:ind w:left="1900" w:right="439"/>
        <w:spacing w:after="0" w:line="255" w:lineRule="auto"/>
        <w:rPr>
          <w:rFonts w:ascii="Arial" w:cs="Arial" w:eastAsia="Arial" w:hAnsi="Arial"/>
          <w:sz w:val="18"/>
          <w:szCs w:val="18"/>
          <w:color w:val="auto"/>
        </w:rPr>
      </w:pPr>
      <w:r>
        <w:rPr>
          <w:rFonts w:ascii="Arial" w:cs="Arial" w:eastAsia="Arial" w:hAnsi="Arial"/>
          <w:sz w:val="18"/>
          <w:szCs w:val="18"/>
          <w:color w:val="auto"/>
        </w:rPr>
        <w:t>If you are a beneficial owner of shares held in street name and do not join and vote at the Annual Meeting or provide the broker, bank or other nominee that holds your shares with specific voting instructions, under the rules of various national and regional securities exchanges, the broker, bank or other nominee that holds your shares may generally vote on routine matters but cannot vote on non-routine matters. If the broker, bank or other nominee that holds your shares does not receive instructions from you on how to vote your shares on a non-routine matter, the broker, bank or other nominee that holds your shares will inform the inspector of election that it does not have the authority to vote on such matter with respect to your shares. This is generally referred to as a “broker non-vote.”</w:t>
      </w:r>
    </w:p>
    <w:p>
      <w:pPr>
        <w:spacing w:after="0" w:line="194" w:lineRule="exact"/>
        <w:rPr>
          <w:sz w:val="20"/>
          <w:szCs w:val="20"/>
          <w:color w:val="auto"/>
        </w:rPr>
      </w:pPr>
    </w:p>
    <w:p>
      <w:pPr>
        <w:ind w:left="1900" w:hanging="640"/>
        <w:spacing w:after="0"/>
        <w:tabs>
          <w:tab w:leader="none" w:pos="1900" w:val="left"/>
        </w:tabs>
        <w:numPr>
          <w:ilvl w:val="0"/>
          <w:numId w:val="36"/>
        </w:numPr>
        <w:rPr>
          <w:rFonts w:ascii="Arial" w:cs="Arial" w:eastAsia="Arial" w:hAnsi="Arial"/>
          <w:sz w:val="18"/>
          <w:szCs w:val="18"/>
          <w:b w:val="1"/>
          <w:bCs w:val="1"/>
          <w:color w:val="00ABD1"/>
        </w:rPr>
      </w:pPr>
      <w:r>
        <w:rPr>
          <w:rFonts w:ascii="Arial" w:cs="Arial" w:eastAsia="Arial" w:hAnsi="Arial"/>
          <w:sz w:val="18"/>
          <w:szCs w:val="18"/>
          <w:b w:val="1"/>
          <w:bCs w:val="1"/>
          <w:color w:val="00ABD1"/>
        </w:rPr>
        <w:t>Which ballot measures are considered “routine” or “non-routine”?</w:t>
      </w:r>
    </w:p>
    <w:p>
      <w:pPr>
        <w:spacing w:after="0" w:line="239" w:lineRule="exact"/>
        <w:rPr>
          <w:sz w:val="20"/>
          <w:szCs w:val="20"/>
          <w:color w:val="auto"/>
        </w:rPr>
      </w:pPr>
    </w:p>
    <w:p>
      <w:pPr>
        <w:ind w:left="1900" w:right="439" w:hanging="640"/>
        <w:spacing w:after="0" w:line="259" w:lineRule="auto"/>
        <w:tabs>
          <w:tab w:leader="none" w:pos="1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ratification of PwC as our independent registered public accountant for the year ending December 31, 2026 (Proposal No. 5) is considered a routine matter under applicable rules, and no broker non-votes will occur in connection with Proposal No. 5. All other matters to be voted on at the Annual Meeting are considered non-routine matters under applicable rules, and therefore broker non-votes may exist in connection with these proposals.</w:t>
      </w:r>
    </w:p>
    <w:p>
      <w:pPr>
        <w:spacing w:after="0" w:line="193" w:lineRule="exact"/>
        <w:rPr>
          <w:sz w:val="20"/>
          <w:szCs w:val="20"/>
          <w:color w:val="auto"/>
        </w:rPr>
      </w:pPr>
    </w:p>
    <w:p>
      <w:pPr>
        <w:ind w:left="1900" w:hanging="640"/>
        <w:spacing w:after="0"/>
        <w:tabs>
          <w:tab w:leader="none" w:pos="1900" w:val="left"/>
        </w:tabs>
        <w:numPr>
          <w:ilvl w:val="0"/>
          <w:numId w:val="38"/>
        </w:numPr>
        <w:rPr>
          <w:rFonts w:ascii="Arial" w:cs="Arial" w:eastAsia="Arial" w:hAnsi="Arial"/>
          <w:sz w:val="18"/>
          <w:szCs w:val="18"/>
          <w:b w:val="1"/>
          <w:bCs w:val="1"/>
          <w:color w:val="00ABD1"/>
        </w:rPr>
      </w:pPr>
      <w:r>
        <w:rPr>
          <w:rFonts w:ascii="Arial" w:cs="Arial" w:eastAsia="Arial" w:hAnsi="Arial"/>
          <w:sz w:val="18"/>
          <w:szCs w:val="18"/>
          <w:b w:val="1"/>
          <w:bCs w:val="1"/>
          <w:color w:val="00ABD1"/>
        </w:rPr>
        <w:t>How are abstentions and broker non-votes counted?</w:t>
      </w:r>
    </w:p>
    <w:p>
      <w:pPr>
        <w:spacing w:after="0" w:line="252" w:lineRule="exact"/>
        <w:rPr>
          <w:sz w:val="20"/>
          <w:szCs w:val="20"/>
          <w:color w:val="auto"/>
        </w:rPr>
      </w:pPr>
    </w:p>
    <w:p>
      <w:pPr>
        <w:ind w:left="1900" w:right="679" w:hanging="640"/>
        <w:spacing w:after="0" w:line="259" w:lineRule="auto"/>
        <w:tabs>
          <w:tab w:leader="none" w:pos="1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Abstentions and broker non-votes will be counted to determine whether there is a quorum present at the Annual Meeting. With respect to each of the proposals presented in this Proxy Statement, abstentions and broker non-votes will not be considered votes cast for voting purposes and will have no effect on such proposals. The effect of abstentions and broker non-votes on each of the proposals presented in this Proxy Statement is as follows:</w:t>
      </w:r>
    </w:p>
    <w:p>
      <w:pPr>
        <w:spacing w:after="0" w:line="274" w:lineRule="exact"/>
        <w:rPr>
          <w:sz w:val="20"/>
          <w:szCs w:val="20"/>
          <w:color w:val="auto"/>
        </w:rPr>
      </w:pPr>
    </w:p>
    <w:tbl>
      <w:tblPr>
        <w:tblLayout w:type="fixed"/>
        <w:tblInd w:w="1900" w:type="dxa"/>
        <w:tblCellMar>
          <w:top w:w="0" w:type="dxa"/>
          <w:left w:w="0" w:type="dxa"/>
          <w:bottom w:w="0" w:type="dxa"/>
          <w:right w:w="0" w:type="dxa"/>
        </w:tblCellMar>
      </w:tblPr>
      <w:tr>
        <w:trPr>
          <w:trHeight w:val="248"/>
        </w:trPr>
        <w:tc>
          <w:tcPr>
            <w:tcW w:w="4520" w:type="dxa"/>
            <w:vAlign w:val="bottom"/>
            <w:tcBorders>
              <w:bottom w:val="single" w:sz="8" w:color="00ABD1"/>
            </w:tcBorders>
            <w:gridSpan w:val="2"/>
          </w:tcPr>
          <w:p>
            <w:pPr>
              <w:spacing w:after="0"/>
              <w:rPr>
                <w:sz w:val="20"/>
                <w:szCs w:val="20"/>
                <w:color w:val="auto"/>
              </w:rPr>
            </w:pPr>
            <w:r>
              <w:rPr>
                <w:rFonts w:ascii="Arial" w:cs="Arial" w:eastAsia="Arial" w:hAnsi="Arial"/>
                <w:sz w:val="18"/>
                <w:szCs w:val="18"/>
                <w:b w:val="1"/>
                <w:bCs w:val="1"/>
                <w:color w:val="00ABD1"/>
              </w:rPr>
              <w:t>Proposals</w:t>
            </w:r>
          </w:p>
        </w:tc>
        <w:tc>
          <w:tcPr>
            <w:tcW w:w="1400" w:type="dxa"/>
            <w:vAlign w:val="bottom"/>
            <w:tcBorders>
              <w:bottom w:val="single" w:sz="8" w:color="00ABD1"/>
            </w:tcBorders>
          </w:tcPr>
          <w:p>
            <w:pPr>
              <w:jc w:val="center"/>
              <w:ind w:left="50"/>
              <w:spacing w:after="0"/>
              <w:rPr>
                <w:sz w:val="20"/>
                <w:szCs w:val="20"/>
                <w:color w:val="auto"/>
              </w:rPr>
            </w:pPr>
            <w:r>
              <w:rPr>
                <w:rFonts w:ascii="Arial" w:cs="Arial" w:eastAsia="Arial" w:hAnsi="Arial"/>
                <w:sz w:val="18"/>
                <w:szCs w:val="18"/>
                <w:b w:val="1"/>
                <w:bCs w:val="1"/>
                <w:color w:val="00ABD1"/>
                <w:w w:val="98"/>
              </w:rPr>
              <w:t>Abstentions</w:t>
            </w:r>
          </w:p>
        </w:tc>
        <w:tc>
          <w:tcPr>
            <w:tcW w:w="1640" w:type="dxa"/>
            <w:vAlign w:val="bottom"/>
            <w:tcBorders>
              <w:bottom w:val="single" w:sz="8" w:color="00ABD1"/>
            </w:tcBorders>
          </w:tcPr>
          <w:p>
            <w:pPr>
              <w:jc w:val="center"/>
              <w:spacing w:after="0"/>
              <w:rPr>
                <w:sz w:val="20"/>
                <w:szCs w:val="20"/>
                <w:color w:val="auto"/>
              </w:rPr>
            </w:pPr>
            <w:r>
              <w:rPr>
                <w:rFonts w:ascii="Arial" w:cs="Arial" w:eastAsia="Arial" w:hAnsi="Arial"/>
                <w:sz w:val="18"/>
                <w:szCs w:val="18"/>
                <w:b w:val="1"/>
                <w:bCs w:val="1"/>
                <w:color w:val="00ABD1"/>
                <w:w w:val="97"/>
              </w:rPr>
              <w:t>Broker Non-Votes</w:t>
            </w:r>
          </w:p>
        </w:tc>
      </w:tr>
      <w:tr>
        <w:trPr>
          <w:trHeight w:val="255"/>
        </w:trPr>
        <w:tc>
          <w:tcPr>
            <w:tcW w:w="260" w:type="dxa"/>
            <w:vAlign w:val="bottom"/>
          </w:tcPr>
          <w:p>
            <w:pPr>
              <w:spacing w:after="0"/>
              <w:rPr>
                <w:sz w:val="20"/>
                <w:szCs w:val="20"/>
                <w:color w:val="auto"/>
              </w:rPr>
            </w:pPr>
            <w:r>
              <w:rPr>
                <w:rFonts w:ascii="Arial" w:cs="Arial" w:eastAsia="Arial" w:hAnsi="Arial"/>
                <w:sz w:val="18"/>
                <w:szCs w:val="18"/>
                <w:color w:val="auto"/>
              </w:rPr>
              <w:t>1.</w:t>
            </w:r>
          </w:p>
        </w:tc>
        <w:tc>
          <w:tcPr>
            <w:tcW w:w="4260" w:type="dxa"/>
            <w:vAlign w:val="bottom"/>
          </w:tcPr>
          <w:p>
            <w:pPr>
              <w:ind w:left="120"/>
              <w:spacing w:after="0"/>
              <w:rPr>
                <w:sz w:val="20"/>
                <w:szCs w:val="20"/>
                <w:color w:val="auto"/>
              </w:rPr>
            </w:pPr>
            <w:r>
              <w:rPr>
                <w:rFonts w:ascii="Arial" w:cs="Arial" w:eastAsia="Arial" w:hAnsi="Arial"/>
                <w:sz w:val="18"/>
                <w:szCs w:val="18"/>
                <w:color w:val="auto"/>
              </w:rPr>
              <w:t>Election of directors</w:t>
            </w:r>
          </w:p>
        </w:tc>
        <w:tc>
          <w:tcPr>
            <w:tcW w:w="1400" w:type="dxa"/>
            <w:vAlign w:val="bottom"/>
          </w:tcPr>
          <w:p>
            <w:pPr>
              <w:jc w:val="center"/>
              <w:ind w:left="70"/>
              <w:spacing w:after="0"/>
              <w:rPr>
                <w:sz w:val="20"/>
                <w:szCs w:val="20"/>
                <w:color w:val="auto"/>
              </w:rPr>
            </w:pPr>
            <w:r>
              <w:rPr>
                <w:rFonts w:ascii="Arial" w:cs="Arial" w:eastAsia="Arial" w:hAnsi="Arial"/>
                <w:sz w:val="18"/>
                <w:szCs w:val="18"/>
                <w:color w:val="auto"/>
                <w:w w:val="97"/>
              </w:rPr>
              <w:t>No Effect</w:t>
            </w:r>
          </w:p>
        </w:tc>
        <w:tc>
          <w:tcPr>
            <w:tcW w:w="1640" w:type="dxa"/>
            <w:vAlign w:val="bottom"/>
          </w:tcPr>
          <w:p>
            <w:pPr>
              <w:jc w:val="center"/>
              <w:ind w:left="30"/>
              <w:spacing w:after="0"/>
              <w:rPr>
                <w:sz w:val="20"/>
                <w:szCs w:val="20"/>
                <w:color w:val="auto"/>
              </w:rPr>
            </w:pPr>
            <w:r>
              <w:rPr>
                <w:rFonts w:ascii="Arial" w:cs="Arial" w:eastAsia="Arial" w:hAnsi="Arial"/>
                <w:sz w:val="18"/>
                <w:szCs w:val="18"/>
                <w:color w:val="auto"/>
                <w:w w:val="97"/>
              </w:rPr>
              <w:t>No Effect</w:t>
            </w:r>
          </w:p>
        </w:tc>
      </w:tr>
      <w:tr>
        <w:trPr>
          <w:trHeight w:val="531"/>
        </w:trPr>
        <w:tc>
          <w:tcPr>
            <w:tcW w:w="260" w:type="dxa"/>
            <w:vAlign w:val="bottom"/>
          </w:tcPr>
          <w:p>
            <w:pPr>
              <w:spacing w:after="0"/>
              <w:rPr>
                <w:sz w:val="20"/>
                <w:szCs w:val="20"/>
                <w:color w:val="auto"/>
              </w:rPr>
            </w:pPr>
            <w:r>
              <w:rPr>
                <w:rFonts w:ascii="Arial" w:cs="Arial" w:eastAsia="Arial" w:hAnsi="Arial"/>
                <w:sz w:val="18"/>
                <w:szCs w:val="18"/>
                <w:color w:val="auto"/>
              </w:rPr>
              <w:t>2.</w:t>
            </w:r>
          </w:p>
        </w:tc>
        <w:tc>
          <w:tcPr>
            <w:tcW w:w="4260" w:type="dxa"/>
            <w:vAlign w:val="bottom"/>
          </w:tcPr>
          <w:p>
            <w:pPr>
              <w:ind w:left="120"/>
              <w:spacing w:after="0"/>
              <w:rPr>
                <w:sz w:val="20"/>
                <w:szCs w:val="20"/>
                <w:color w:val="auto"/>
              </w:rPr>
            </w:pPr>
            <w:r>
              <w:rPr>
                <w:rFonts w:ascii="Arial" w:cs="Arial" w:eastAsia="Arial" w:hAnsi="Arial"/>
                <w:sz w:val="18"/>
                <w:szCs w:val="18"/>
                <w:color w:val="auto"/>
              </w:rPr>
              <w:t>Approval of an increase in the number of shares</w:t>
            </w:r>
          </w:p>
        </w:tc>
        <w:tc>
          <w:tcPr>
            <w:tcW w:w="1400" w:type="dxa"/>
            <w:vAlign w:val="bottom"/>
          </w:tcPr>
          <w:p>
            <w:pPr>
              <w:jc w:val="center"/>
              <w:ind w:left="70"/>
              <w:spacing w:after="0"/>
              <w:rPr>
                <w:sz w:val="20"/>
                <w:szCs w:val="20"/>
                <w:color w:val="auto"/>
              </w:rPr>
            </w:pPr>
            <w:r>
              <w:rPr>
                <w:rFonts w:ascii="Arial" w:cs="Arial" w:eastAsia="Arial" w:hAnsi="Arial"/>
                <w:sz w:val="18"/>
                <w:szCs w:val="18"/>
                <w:color w:val="auto"/>
                <w:w w:val="97"/>
              </w:rPr>
              <w:t>No Effect</w:t>
            </w:r>
          </w:p>
        </w:tc>
        <w:tc>
          <w:tcPr>
            <w:tcW w:w="1640" w:type="dxa"/>
            <w:vAlign w:val="bottom"/>
          </w:tcPr>
          <w:p>
            <w:pPr>
              <w:jc w:val="center"/>
              <w:ind w:left="30"/>
              <w:spacing w:after="0"/>
              <w:rPr>
                <w:sz w:val="20"/>
                <w:szCs w:val="20"/>
                <w:color w:val="auto"/>
              </w:rPr>
            </w:pPr>
            <w:r>
              <w:rPr>
                <w:rFonts w:ascii="Arial" w:cs="Arial" w:eastAsia="Arial" w:hAnsi="Arial"/>
                <w:sz w:val="18"/>
                <w:szCs w:val="18"/>
                <w:color w:val="auto"/>
                <w:w w:val="97"/>
              </w:rPr>
              <w:t>No Effect</w:t>
            </w:r>
          </w:p>
        </w:tc>
      </w:tr>
      <w:tr>
        <w:trPr>
          <w:trHeight w:val="239"/>
        </w:trPr>
        <w:tc>
          <w:tcPr>
            <w:tcW w:w="260" w:type="dxa"/>
            <w:vAlign w:val="bottom"/>
          </w:tcPr>
          <w:p>
            <w:pPr>
              <w:spacing w:after="0"/>
              <w:rPr>
                <w:sz w:val="20"/>
                <w:szCs w:val="20"/>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available for issuance under the 2025 Plan</w:t>
            </w:r>
          </w:p>
        </w:tc>
        <w:tc>
          <w:tcPr>
            <w:tcW w:w="14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51"/>
        </w:trPr>
        <w:tc>
          <w:tcPr>
            <w:tcW w:w="260" w:type="dxa"/>
            <w:vAlign w:val="bottom"/>
          </w:tcPr>
          <w:p>
            <w:pPr>
              <w:spacing w:after="0"/>
              <w:rPr>
                <w:sz w:val="20"/>
                <w:szCs w:val="20"/>
                <w:color w:val="auto"/>
              </w:rPr>
            </w:pPr>
            <w:r>
              <w:rPr>
                <w:rFonts w:ascii="Arial" w:cs="Arial" w:eastAsia="Arial" w:hAnsi="Arial"/>
                <w:sz w:val="18"/>
                <w:szCs w:val="18"/>
                <w:color w:val="auto"/>
              </w:rPr>
              <w:t>3.</w:t>
            </w:r>
          </w:p>
        </w:tc>
        <w:tc>
          <w:tcPr>
            <w:tcW w:w="4260" w:type="dxa"/>
            <w:vAlign w:val="bottom"/>
          </w:tcPr>
          <w:p>
            <w:pPr>
              <w:ind w:left="120"/>
              <w:spacing w:after="0"/>
              <w:rPr>
                <w:sz w:val="20"/>
                <w:szCs w:val="20"/>
                <w:color w:val="auto"/>
              </w:rPr>
            </w:pPr>
            <w:r>
              <w:rPr>
                <w:rFonts w:ascii="Arial" w:cs="Arial" w:eastAsia="Arial" w:hAnsi="Arial"/>
                <w:sz w:val="18"/>
                <w:szCs w:val="18"/>
                <w:color w:val="auto"/>
              </w:rPr>
              <w:t>Advisory vote to approve executive compensation</w:t>
            </w:r>
          </w:p>
        </w:tc>
        <w:tc>
          <w:tcPr>
            <w:tcW w:w="1400" w:type="dxa"/>
            <w:vAlign w:val="bottom"/>
          </w:tcPr>
          <w:p>
            <w:pPr>
              <w:jc w:val="center"/>
              <w:ind w:left="70"/>
              <w:spacing w:after="0"/>
              <w:rPr>
                <w:sz w:val="20"/>
                <w:szCs w:val="20"/>
                <w:color w:val="auto"/>
              </w:rPr>
            </w:pPr>
            <w:r>
              <w:rPr>
                <w:rFonts w:ascii="Arial" w:cs="Arial" w:eastAsia="Arial" w:hAnsi="Arial"/>
                <w:sz w:val="18"/>
                <w:szCs w:val="18"/>
                <w:color w:val="auto"/>
                <w:w w:val="97"/>
              </w:rPr>
              <w:t>No Effect</w:t>
            </w:r>
          </w:p>
        </w:tc>
        <w:tc>
          <w:tcPr>
            <w:tcW w:w="1640" w:type="dxa"/>
            <w:vAlign w:val="bottom"/>
          </w:tcPr>
          <w:p>
            <w:pPr>
              <w:jc w:val="center"/>
              <w:ind w:left="30"/>
              <w:spacing w:after="0"/>
              <w:rPr>
                <w:sz w:val="20"/>
                <w:szCs w:val="20"/>
                <w:color w:val="auto"/>
              </w:rPr>
            </w:pPr>
            <w:r>
              <w:rPr>
                <w:rFonts w:ascii="Arial" w:cs="Arial" w:eastAsia="Arial" w:hAnsi="Arial"/>
                <w:sz w:val="18"/>
                <w:szCs w:val="18"/>
                <w:color w:val="auto"/>
                <w:w w:val="97"/>
              </w:rPr>
              <w:t>No Effect</w:t>
            </w:r>
          </w:p>
        </w:tc>
      </w:tr>
      <w:tr>
        <w:trPr>
          <w:trHeight w:val="544"/>
        </w:trPr>
        <w:tc>
          <w:tcPr>
            <w:tcW w:w="260" w:type="dxa"/>
            <w:vAlign w:val="bottom"/>
          </w:tcPr>
          <w:p>
            <w:pPr>
              <w:spacing w:after="0"/>
              <w:rPr>
                <w:sz w:val="20"/>
                <w:szCs w:val="20"/>
                <w:color w:val="auto"/>
              </w:rPr>
            </w:pPr>
            <w:r>
              <w:rPr>
                <w:rFonts w:ascii="Arial" w:cs="Arial" w:eastAsia="Arial" w:hAnsi="Arial"/>
                <w:sz w:val="18"/>
                <w:szCs w:val="18"/>
                <w:color w:val="auto"/>
              </w:rPr>
              <w:t>4.</w:t>
            </w:r>
          </w:p>
        </w:tc>
        <w:tc>
          <w:tcPr>
            <w:tcW w:w="4260" w:type="dxa"/>
            <w:vAlign w:val="bottom"/>
          </w:tcPr>
          <w:p>
            <w:pPr>
              <w:ind w:left="120"/>
              <w:spacing w:after="0"/>
              <w:rPr>
                <w:sz w:val="20"/>
                <w:szCs w:val="20"/>
                <w:color w:val="auto"/>
              </w:rPr>
            </w:pPr>
            <w:r>
              <w:rPr>
                <w:rFonts w:ascii="Arial" w:cs="Arial" w:eastAsia="Arial" w:hAnsi="Arial"/>
                <w:sz w:val="18"/>
                <w:szCs w:val="18"/>
                <w:color w:val="auto"/>
              </w:rPr>
              <w:t>Advisory vote on the frequency of future advisory</w:t>
            </w:r>
          </w:p>
        </w:tc>
        <w:tc>
          <w:tcPr>
            <w:tcW w:w="1400" w:type="dxa"/>
            <w:vAlign w:val="bottom"/>
          </w:tcPr>
          <w:p>
            <w:pPr>
              <w:jc w:val="center"/>
              <w:ind w:left="70"/>
              <w:spacing w:after="0"/>
              <w:rPr>
                <w:sz w:val="20"/>
                <w:szCs w:val="20"/>
                <w:color w:val="auto"/>
              </w:rPr>
            </w:pPr>
            <w:r>
              <w:rPr>
                <w:rFonts w:ascii="Arial" w:cs="Arial" w:eastAsia="Arial" w:hAnsi="Arial"/>
                <w:sz w:val="18"/>
                <w:szCs w:val="18"/>
                <w:color w:val="auto"/>
                <w:w w:val="97"/>
              </w:rPr>
              <w:t>No Effect</w:t>
            </w:r>
          </w:p>
        </w:tc>
        <w:tc>
          <w:tcPr>
            <w:tcW w:w="1640" w:type="dxa"/>
            <w:vAlign w:val="bottom"/>
          </w:tcPr>
          <w:p>
            <w:pPr>
              <w:jc w:val="center"/>
              <w:ind w:left="30"/>
              <w:spacing w:after="0"/>
              <w:rPr>
                <w:sz w:val="20"/>
                <w:szCs w:val="20"/>
                <w:color w:val="auto"/>
              </w:rPr>
            </w:pPr>
            <w:r>
              <w:rPr>
                <w:rFonts w:ascii="Arial" w:cs="Arial" w:eastAsia="Arial" w:hAnsi="Arial"/>
                <w:sz w:val="18"/>
                <w:szCs w:val="18"/>
                <w:color w:val="auto"/>
                <w:w w:val="97"/>
              </w:rPr>
              <w:t>No Effect</w:t>
            </w:r>
          </w:p>
        </w:tc>
      </w:tr>
      <w:tr>
        <w:trPr>
          <w:trHeight w:val="239"/>
        </w:trPr>
        <w:tc>
          <w:tcPr>
            <w:tcW w:w="260" w:type="dxa"/>
            <w:vAlign w:val="bottom"/>
          </w:tcPr>
          <w:p>
            <w:pPr>
              <w:spacing w:after="0"/>
              <w:rPr>
                <w:sz w:val="20"/>
                <w:szCs w:val="20"/>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votes to approve executive compensation</w:t>
            </w:r>
          </w:p>
        </w:tc>
        <w:tc>
          <w:tcPr>
            <w:tcW w:w="14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51"/>
        </w:trPr>
        <w:tc>
          <w:tcPr>
            <w:tcW w:w="260" w:type="dxa"/>
            <w:vAlign w:val="bottom"/>
          </w:tcPr>
          <w:p>
            <w:pPr>
              <w:spacing w:after="0"/>
              <w:rPr>
                <w:sz w:val="20"/>
                <w:szCs w:val="20"/>
                <w:color w:val="auto"/>
              </w:rPr>
            </w:pPr>
            <w:r>
              <w:rPr>
                <w:rFonts w:ascii="Arial" w:cs="Arial" w:eastAsia="Arial" w:hAnsi="Arial"/>
                <w:sz w:val="18"/>
                <w:szCs w:val="18"/>
                <w:color w:val="auto"/>
              </w:rPr>
              <w:t>5.</w:t>
            </w:r>
          </w:p>
        </w:tc>
        <w:tc>
          <w:tcPr>
            <w:tcW w:w="4260" w:type="dxa"/>
            <w:vAlign w:val="bottom"/>
          </w:tcPr>
          <w:p>
            <w:pPr>
              <w:ind w:left="120"/>
              <w:spacing w:after="0"/>
              <w:rPr>
                <w:sz w:val="20"/>
                <w:szCs w:val="20"/>
                <w:color w:val="auto"/>
              </w:rPr>
            </w:pPr>
            <w:r>
              <w:rPr>
                <w:rFonts w:ascii="Arial" w:cs="Arial" w:eastAsia="Arial" w:hAnsi="Arial"/>
                <w:sz w:val="18"/>
                <w:szCs w:val="18"/>
                <w:color w:val="auto"/>
              </w:rPr>
              <w:t>Ratification of auditor</w:t>
            </w:r>
          </w:p>
        </w:tc>
        <w:tc>
          <w:tcPr>
            <w:tcW w:w="1400" w:type="dxa"/>
            <w:vAlign w:val="bottom"/>
          </w:tcPr>
          <w:p>
            <w:pPr>
              <w:jc w:val="center"/>
              <w:ind w:left="70"/>
              <w:spacing w:after="0"/>
              <w:rPr>
                <w:sz w:val="20"/>
                <w:szCs w:val="20"/>
                <w:color w:val="auto"/>
              </w:rPr>
            </w:pPr>
            <w:r>
              <w:rPr>
                <w:rFonts w:ascii="Arial" w:cs="Arial" w:eastAsia="Arial" w:hAnsi="Arial"/>
                <w:sz w:val="18"/>
                <w:szCs w:val="18"/>
                <w:color w:val="auto"/>
                <w:w w:val="97"/>
              </w:rPr>
              <w:t>No Effect</w:t>
            </w:r>
          </w:p>
        </w:tc>
        <w:tc>
          <w:tcPr>
            <w:tcW w:w="1640" w:type="dxa"/>
            <w:vAlign w:val="bottom"/>
          </w:tcPr>
          <w:p>
            <w:pPr>
              <w:jc w:val="center"/>
              <w:ind w:left="10"/>
              <w:spacing w:after="0"/>
              <w:rPr>
                <w:sz w:val="20"/>
                <w:szCs w:val="20"/>
                <w:color w:val="auto"/>
              </w:rPr>
            </w:pPr>
            <w:r>
              <w:rPr>
                <w:rFonts w:ascii="Arial" w:cs="Arial" w:eastAsia="Arial" w:hAnsi="Arial"/>
                <w:sz w:val="18"/>
                <w:szCs w:val="18"/>
                <w:color w:val="auto"/>
                <w:w w:val="98"/>
              </w:rPr>
              <w:t>Not Applicable</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00" w:hanging="640"/>
        <w:spacing w:after="0"/>
        <w:tabs>
          <w:tab w:leader="none" w:pos="1900" w:val="left"/>
        </w:tabs>
        <w:numPr>
          <w:ilvl w:val="0"/>
          <w:numId w:val="40"/>
        </w:numPr>
        <w:rPr>
          <w:rFonts w:ascii="Arial" w:cs="Arial" w:eastAsia="Arial" w:hAnsi="Arial"/>
          <w:sz w:val="18"/>
          <w:szCs w:val="18"/>
          <w:b w:val="1"/>
          <w:bCs w:val="1"/>
          <w:color w:val="00ABD1"/>
        </w:rPr>
      </w:pPr>
      <w:r>
        <w:rPr>
          <w:rFonts w:ascii="Arial" w:cs="Arial" w:eastAsia="Arial" w:hAnsi="Arial"/>
          <w:sz w:val="18"/>
          <w:szCs w:val="18"/>
          <w:b w:val="1"/>
          <w:bCs w:val="1"/>
          <w:color w:val="00ABD1"/>
        </w:rPr>
        <w:t>Can I change my vote after I have voted?</w:t>
      </w:r>
    </w:p>
    <w:p>
      <w:pPr>
        <w:spacing w:after="0" w:line="225" w:lineRule="exact"/>
        <w:rPr>
          <w:sz w:val="20"/>
          <w:szCs w:val="20"/>
          <w:color w:val="auto"/>
        </w:rPr>
      </w:pPr>
    </w:p>
    <w:p>
      <w:pPr>
        <w:ind w:left="1900" w:right="499" w:hanging="640"/>
        <w:spacing w:after="0" w:line="255" w:lineRule="auto"/>
        <w:tabs>
          <w:tab w:leader="none" w:pos="1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Yes. You may revoke your proxy and change your vote at any time before the final vote at the Annual Meeting. After you submit your proxy, you may change your vote via the Internet or by telephone (in which case only your latest Internet or telephone proxy submitted prior to the Annual Meeting will be counted), by signing and returning a new proxy card or voting instruction form with a later date, or by attending the Annual Meeting and voting. However, your virtual attendance at the Annual Meeting will not automatically revoke your proxy unless you properly vote during the Annual Meeting or specifically request that your prior proxy be revoked by delivering written notice to Uniti’s Secretary prior to the Annual Meeting at 2101 Riverfront Drive, Suite A, Little Rock, Arkansas 72202.</w:t>
      </w:r>
    </w:p>
    <w:p>
      <w:pPr>
        <w:spacing w:after="0" w:line="181" w:lineRule="exact"/>
        <w:rPr>
          <w:sz w:val="20"/>
          <w:szCs w:val="20"/>
          <w:color w:val="auto"/>
        </w:rPr>
      </w:pPr>
    </w:p>
    <w:p>
      <w:pPr>
        <w:ind w:left="1900" w:hanging="640"/>
        <w:spacing w:after="0"/>
        <w:tabs>
          <w:tab w:leader="none" w:pos="1900" w:val="left"/>
        </w:tabs>
        <w:numPr>
          <w:ilvl w:val="0"/>
          <w:numId w:val="42"/>
        </w:numPr>
        <w:rPr>
          <w:rFonts w:ascii="Arial" w:cs="Arial" w:eastAsia="Arial" w:hAnsi="Arial"/>
          <w:sz w:val="18"/>
          <w:szCs w:val="18"/>
          <w:b w:val="1"/>
          <w:bCs w:val="1"/>
          <w:color w:val="00ABD1"/>
        </w:rPr>
      </w:pPr>
      <w:r>
        <w:rPr>
          <w:rFonts w:ascii="Arial" w:cs="Arial" w:eastAsia="Arial" w:hAnsi="Arial"/>
          <w:sz w:val="18"/>
          <w:szCs w:val="18"/>
          <w:b w:val="1"/>
          <w:bCs w:val="1"/>
          <w:color w:val="00ABD1"/>
        </w:rPr>
        <w:t>What does it mean if I receive more than one proxy card or voting instruction form?</w:t>
      </w:r>
    </w:p>
    <w:p>
      <w:pPr>
        <w:spacing w:after="0" w:line="225" w:lineRule="exact"/>
        <w:rPr>
          <w:sz w:val="20"/>
          <w:szCs w:val="20"/>
          <w:color w:val="auto"/>
        </w:rPr>
      </w:pPr>
    </w:p>
    <w:p>
      <w:pPr>
        <w:ind w:left="1900" w:right="439" w:hanging="640"/>
        <w:spacing w:after="0" w:line="257" w:lineRule="auto"/>
        <w:tabs>
          <w:tab w:leader="none" w:pos="1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your shares are registered differently, or if they are held in more than one account, you will receive more than one proxy card or voting instruction form. Please follow the instructions on each proxy card or voting instruction form to ensure that all of your shares are voted. Please sign each proxy card exactly as your name appears on the card. For joint accounts, each owner must sign the proxy card. When signing as executor, administrator, attorney, trustee, guardian, etc., please print your full title on the proxy card.</w:t>
      </w:r>
    </w:p>
    <w:p>
      <w:pPr>
        <w:spacing w:after="0" w:line="182" w:lineRule="exact"/>
        <w:rPr>
          <w:sz w:val="20"/>
          <w:szCs w:val="20"/>
          <w:color w:val="auto"/>
        </w:rPr>
      </w:pPr>
    </w:p>
    <w:p>
      <w:pPr>
        <w:ind w:left="1900" w:hanging="640"/>
        <w:spacing w:after="0"/>
        <w:tabs>
          <w:tab w:leader="none" w:pos="1900" w:val="left"/>
        </w:tabs>
        <w:numPr>
          <w:ilvl w:val="0"/>
          <w:numId w:val="44"/>
        </w:numPr>
        <w:rPr>
          <w:rFonts w:ascii="Arial" w:cs="Arial" w:eastAsia="Arial" w:hAnsi="Arial"/>
          <w:sz w:val="18"/>
          <w:szCs w:val="18"/>
          <w:b w:val="1"/>
          <w:bCs w:val="1"/>
          <w:color w:val="00ABD1"/>
        </w:rPr>
      </w:pPr>
      <w:r>
        <w:rPr>
          <w:rFonts w:ascii="Arial" w:cs="Arial" w:eastAsia="Arial" w:hAnsi="Arial"/>
          <w:sz w:val="18"/>
          <w:szCs w:val="18"/>
          <w:b w:val="1"/>
          <w:bCs w:val="1"/>
          <w:color w:val="00ABD1"/>
        </w:rPr>
        <w:t>Where can I find the voting results of the Annual Meeting?</w:t>
      </w:r>
    </w:p>
    <w:p>
      <w:pPr>
        <w:spacing w:after="0" w:line="225" w:lineRule="exact"/>
        <w:rPr>
          <w:sz w:val="20"/>
          <w:szCs w:val="20"/>
          <w:color w:val="auto"/>
        </w:rPr>
      </w:pPr>
    </w:p>
    <w:p>
      <w:pPr>
        <w:ind w:left="1900" w:right="459" w:hanging="640"/>
        <w:spacing w:after="0" w:line="268" w:lineRule="auto"/>
        <w:tabs>
          <w:tab w:leader="none" w:pos="1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Uniti will announce preliminary voting results at the Annual Meeting and disclose final results in a Current Report on Form 8-K filed with the U.S. Securities and Exchange Commission (the “SEC”) within four business days after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820"/>
        <w:spacing w:after="0"/>
        <w:rPr>
          <w:sz w:val="20"/>
          <w:szCs w:val="20"/>
          <w:color w:val="auto"/>
        </w:rPr>
      </w:pPr>
      <w:r>
        <w:rPr>
          <w:rFonts w:ascii="Arial" w:cs="Arial" w:eastAsia="Arial" w:hAnsi="Arial"/>
          <w:sz w:val="22"/>
          <w:szCs w:val="22"/>
          <w:b w:val="1"/>
          <w:bCs w:val="1"/>
          <w:color w:val="00ABD1"/>
        </w:rPr>
        <w:t>OVERVIEW OF THE MERGER WITH WINDSTREAM</w:t>
      </w:r>
    </w:p>
    <w:p>
      <w:pPr>
        <w:spacing w:after="0" w:line="162" w:lineRule="exact"/>
        <w:rPr>
          <w:sz w:val="20"/>
          <w:szCs w:val="20"/>
          <w:color w:val="auto"/>
        </w:rPr>
      </w:pPr>
    </w:p>
    <w:p>
      <w:pPr>
        <w:ind w:left="1260" w:right="479" w:firstLine="648"/>
        <w:spacing w:after="0" w:line="257" w:lineRule="auto"/>
        <w:rPr>
          <w:sz w:val="20"/>
          <w:szCs w:val="20"/>
          <w:color w:val="auto"/>
        </w:rPr>
      </w:pPr>
      <w:r>
        <w:rPr>
          <w:rFonts w:ascii="Arial" w:cs="Arial" w:eastAsia="Arial" w:hAnsi="Arial"/>
          <w:sz w:val="17"/>
          <w:szCs w:val="17"/>
          <w:color w:val="auto"/>
        </w:rPr>
        <w:t>On August 1, 2025, pursuant to the previously announced Agreement and Plan of Merger, dated as of May 3, 2024 (as amended) (the “Merger Agreement”), by and between Uniti Group LLC (f/k/a Uniti Group Inc., “Old Uniti”), New Windstream, LLC (“Windstream”) (as successor to Windstream Holdings II, LLC), the Company, New Uniti HoldCo LP and New Windstream Merger Sub, LLC, an indirect wholly owned subsidiary of Windstream (“Merger Sub”), Old Uniti and Windstream completed the following transactions: (a) Windstream merged with and into the Company (at such time, a direct wholly owned subsidiary of Windstream named Windstream Parent, Inc.), with the Company surviving the merger as the ultimate parent company of the combined company, and (b) Merger Sub merged with and into Old Uniti (the “Merger”), with Old Uniti surviving the Merger as an indirect wholly owned subsidiary of the Company. Following the consummation of the Merger, the Company was renamed Uniti Group Inc., Old Uniti ceased to be a REIT, and the Company does not qualify to be a REIT. The common stock of the Company is listed on the Nasdaq Global Select Market under the symbol “UNIT”.</w:t>
      </w:r>
    </w:p>
    <w:p>
      <w:pPr>
        <w:spacing w:after="0" w:line="107" w:lineRule="exact"/>
        <w:rPr>
          <w:sz w:val="20"/>
          <w:szCs w:val="20"/>
          <w:color w:val="auto"/>
        </w:rPr>
      </w:pPr>
    </w:p>
    <w:p>
      <w:pPr>
        <w:ind w:left="1260" w:right="419" w:firstLine="648"/>
        <w:spacing w:after="0" w:line="245" w:lineRule="auto"/>
        <w:rPr>
          <w:sz w:val="20"/>
          <w:szCs w:val="20"/>
          <w:color w:val="auto"/>
        </w:rPr>
      </w:pPr>
      <w:r>
        <w:rPr>
          <w:rFonts w:ascii="Arial" w:cs="Arial" w:eastAsia="Arial" w:hAnsi="Arial"/>
          <w:sz w:val="18"/>
          <w:szCs w:val="18"/>
          <w:color w:val="auto"/>
        </w:rPr>
        <w:t>Subject to the terms and conditions set forth in the Merger Agreement, at the effective time of the Merger (the “Effective Time”), each share of Old Uniti’s common stock, par value $0.0001 per share, that was issued and outstanding immediately prior to the Effective Time of the Merger was automatically cancelled and retired and converted into the right to receive 0.6029 shares of common stock of the Company, par value $0.0001 per share, pursuant to the exchange ratio set forth in the Merger Agreement (the “Exchange Ratio”) with cash issued in lieu of fractional shares. Without giving effect to the conversion of any outstanding convertible securities or warrants, following the consummation of the Merger, pre-closing Old Uniti stockholders held approximately 62% of the outstanding shares of common stock of the Company.</w:t>
      </w:r>
    </w:p>
    <w:p>
      <w:pPr>
        <w:spacing w:after="0" w:line="110" w:lineRule="exact"/>
        <w:rPr>
          <w:sz w:val="20"/>
          <w:szCs w:val="20"/>
          <w:color w:val="auto"/>
        </w:rPr>
      </w:pPr>
    </w:p>
    <w:p>
      <w:pPr>
        <w:ind w:left="1260" w:right="419" w:firstLine="648"/>
        <w:spacing w:after="0" w:line="256" w:lineRule="auto"/>
        <w:rPr>
          <w:sz w:val="20"/>
          <w:szCs w:val="20"/>
          <w:color w:val="auto"/>
        </w:rPr>
      </w:pPr>
      <w:r>
        <w:rPr>
          <w:rFonts w:ascii="Arial" w:cs="Arial" w:eastAsia="Arial" w:hAnsi="Arial"/>
          <w:sz w:val="17"/>
          <w:szCs w:val="17"/>
          <w:color w:val="auto"/>
        </w:rPr>
        <w:t>At the Effective Time, (i) Elliott Investment Management, L.P. (“EIM”), Elliott Associates, L.P. (“Associates”), Elliott International, L.P. (“International” and, together with EIM and Associates, “Elliott”) and certain investment vehicles affiliated with Elliott (the “Investors”, and, together with Elliott, the “Elliott Stockholders”) and (ii) certain other Windstream investors (the “Other Stockholders”), each entered into stockholder agreements with the Company (the “Stockholder Agreements”). Under the Stockholder Agreements, (a) Elliott has the right, subject to certain requirements, to select a number of director designees equal to (1) two (or, in the event the number of directors on the Board is greater than nine, a number that would result in the number of designees representing 20% of the directors then comprising the Board), for so long as Elliott and its controlled affiliates collectively beneficially own at least 50% of the shares of common stock that they held as of the date of the Stockholder Agreements (inclusive of shares of common stock issued or issuable in connection with the exercise of warrants and shares of common stock issued in connection with the redemption, repurchase or conversion of any shares of preferred stock) and (2) one (or, in the event the number of directors on the Board is greater than nine, a number that would result in the number of designees representing 10% of the directors then comprising the Board), for so long as Elliott and its controlled affiliates collectively beneficially own at least 25% but less than 50% of such shares of common stock and (b) the Other Stockholders have the right to select a non-voting observer to attend and participate in meetings of the Board, subject to certain of the Other Stockholders’ affiliates holding at least 5% of the issued and outstanding common stock on a fully-diluted basis (including treating Company warrants on an as-exercised basis) at the closing of the Merger and continuing to hold a certain amount of Company equity.</w:t>
      </w:r>
    </w:p>
    <w:p>
      <w:pPr>
        <w:spacing w:after="0" w:line="109" w:lineRule="exact"/>
        <w:rPr>
          <w:sz w:val="20"/>
          <w:szCs w:val="20"/>
          <w:color w:val="auto"/>
        </w:rPr>
      </w:pPr>
    </w:p>
    <w:p>
      <w:pPr>
        <w:ind w:left="1260" w:right="479" w:firstLine="648"/>
        <w:spacing w:after="0" w:line="245" w:lineRule="auto"/>
        <w:rPr>
          <w:sz w:val="20"/>
          <w:szCs w:val="20"/>
          <w:color w:val="auto"/>
        </w:rPr>
      </w:pPr>
      <w:r>
        <w:rPr>
          <w:rFonts w:ascii="Arial" w:cs="Arial" w:eastAsia="Arial" w:hAnsi="Arial"/>
          <w:sz w:val="18"/>
          <w:szCs w:val="18"/>
          <w:color w:val="auto"/>
        </w:rPr>
        <w:t>In addition, the Elliott Stockholders and Other Stockholders have each entered into customary standstill and confidentiality arrangements. The standstill will terminate on the later of (i) one year after the date of the Stockholder Agreement and (ii) 30 days following the date that (a) in the case of the Elliott Stockholders, Elliott has neither one of its designees serving on the Board nor a right to select a director designee and (b) in the case of the Other Stockholders, the Other Stockholders are no longer entitled to select a board observer. The Elliott Stockholders and Other Stockholders also agreed to customary lock-ups, pursuant to which the Elliott Stockholders and Other Stockholders would not, subject to certain exceptions, transfer any equity securities of the Company for six months after the date of the closing of the Merger.</w:t>
      </w:r>
    </w:p>
    <w:p>
      <w:pPr>
        <w:spacing w:after="0" w:line="177" w:lineRule="exact"/>
        <w:rPr>
          <w:sz w:val="20"/>
          <w:szCs w:val="20"/>
          <w:color w:val="auto"/>
        </w:rPr>
      </w:pPr>
    </w:p>
    <w:p>
      <w:pPr>
        <w:ind w:left="1260" w:right="539" w:firstLine="648"/>
        <w:spacing w:after="0" w:line="261" w:lineRule="auto"/>
        <w:rPr>
          <w:sz w:val="20"/>
          <w:szCs w:val="20"/>
          <w:color w:val="auto"/>
        </w:rPr>
      </w:pPr>
      <w:r>
        <w:rPr>
          <w:rFonts w:ascii="Arial" w:cs="Arial" w:eastAsia="Arial" w:hAnsi="Arial"/>
          <w:sz w:val="18"/>
          <w:szCs w:val="18"/>
          <w:color w:val="auto"/>
        </w:rPr>
        <w:t>References to the “Company,” “Uniti,” “we,” “our” and “us” in this proxy statement refer to the combined company following the closing of the Merger. References to “Old Uniti” are to Uniti Group LLC prior to completion of the Merger.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00ABD1"/>
        </w:rPr>
        <w:t>BOARD AND BOARD COMMITTEE MATTERS</w:t>
      </w:r>
    </w:p>
    <w:p>
      <w:pPr>
        <w:spacing w:after="0" w:line="229" w:lineRule="exact"/>
        <w:rPr>
          <w:sz w:val="20"/>
          <w:szCs w:val="20"/>
          <w:color w:val="auto"/>
        </w:rPr>
      </w:pPr>
    </w:p>
    <w:p>
      <w:pPr>
        <w:ind w:left="1260" w:right="419" w:firstLine="648"/>
        <w:spacing w:after="0" w:line="266" w:lineRule="auto"/>
        <w:rPr>
          <w:sz w:val="20"/>
          <w:szCs w:val="20"/>
          <w:color w:val="auto"/>
        </w:rPr>
      </w:pPr>
      <w:r>
        <w:rPr>
          <w:rFonts w:ascii="Arial" w:cs="Arial" w:eastAsia="Arial" w:hAnsi="Arial"/>
          <w:sz w:val="18"/>
          <w:szCs w:val="18"/>
          <w:color w:val="auto"/>
        </w:rPr>
        <w:t>Our governing documents provide that the Board must consist of not less than two nor more than nine directors. The number of directors who serve on the Board is currently set at nine and may be fixed from time to time by the Board in the manner provided in the Company’s bylaws. The current members of the Board are Scott G. Bruce, Randy Dunbar, Francis X. (“Skip”) Frantz (Chairman), Kenneth A. Gunderman, Mary McLaughlin, Joseph Natale, Carmen Perez-Carlton, Paul Sunu and Harold Zeitz. Each of the current directors, except for Messrs. Dunbar and Sunu, is standing for re-election at the Annual Meeting and biographical information regarding each of the current nominees is available below under “Proposal No. 1 — Election of Directors.”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60325</wp:posOffset>
            </wp:positionV>
            <wp:extent cx="52120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0" w:lineRule="exact"/>
        <w:rPr>
          <w:sz w:val="20"/>
          <w:szCs w:val="20"/>
          <w:color w:val="auto"/>
        </w:rPr>
      </w:pPr>
    </w:p>
    <w:p>
      <w:pPr>
        <w:ind w:left="1260" w:right="539" w:firstLine="648"/>
        <w:spacing w:after="0" w:line="267" w:lineRule="auto"/>
        <w:rPr>
          <w:sz w:val="20"/>
          <w:szCs w:val="20"/>
          <w:color w:val="auto"/>
        </w:rPr>
      </w:pPr>
      <w:r>
        <w:rPr>
          <w:rFonts w:ascii="Arial" w:cs="Arial" w:eastAsia="Arial" w:hAnsi="Arial"/>
          <w:sz w:val="18"/>
          <w:szCs w:val="18"/>
          <w:color w:val="auto"/>
        </w:rPr>
        <w:t>The Board has affirmatively determined that all of our directors and director nominees except Mr. Gunderman qualify as independent directors under applicable Nasdaq listing standards and SEC rules. In making this determination, the Board reviewed each of the director’s and director nominee’s relationships, if any, with Uniti and determined that there are no relationships that would impair any director’s or nominee’s ability to exercise independent judgment in carrying out his or her responsibilities as a director.</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Meetings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27" w:lineRule="exact"/>
        <w:rPr>
          <w:sz w:val="20"/>
          <w:szCs w:val="20"/>
          <w:color w:val="auto"/>
        </w:rPr>
      </w:pPr>
    </w:p>
    <w:p>
      <w:pPr>
        <w:ind w:left="1260" w:right="839" w:firstLine="648"/>
        <w:spacing w:after="0" w:line="267" w:lineRule="auto"/>
        <w:rPr>
          <w:sz w:val="20"/>
          <w:szCs w:val="20"/>
          <w:color w:val="auto"/>
        </w:rPr>
      </w:pPr>
      <w:r>
        <w:rPr>
          <w:rFonts w:ascii="Arial" w:cs="Arial" w:eastAsia="Arial" w:hAnsi="Arial"/>
          <w:sz w:val="18"/>
          <w:szCs w:val="18"/>
          <w:color w:val="auto"/>
        </w:rPr>
        <w:t>From January 1, 2025 to the closing of the Merger on August 1, 2025, Old Uniti’s board of directors met three times, acted by unanimous written consent seven times and held seven standing committee meetings (three audit committee, one governance committee and three compensation committee). All of Old Uniti’s directors attended at least 75% of the meetings of Old Uniti’s board of directors and committees on which they served during the periods in which they served. All of the directors then serving on Old Uniti’s board of directors attended Old Uniti’s 2025 annual meeting of stockholders.</w:t>
      </w:r>
    </w:p>
    <w:p>
      <w:pPr>
        <w:spacing w:after="0" w:line="184" w:lineRule="exact"/>
        <w:rPr>
          <w:sz w:val="20"/>
          <w:szCs w:val="20"/>
          <w:color w:val="auto"/>
        </w:rPr>
      </w:pPr>
    </w:p>
    <w:p>
      <w:pPr>
        <w:ind w:left="1260" w:right="519" w:firstLine="648"/>
        <w:spacing w:after="0" w:line="267" w:lineRule="auto"/>
        <w:rPr>
          <w:sz w:val="20"/>
          <w:szCs w:val="20"/>
          <w:color w:val="auto"/>
        </w:rPr>
      </w:pPr>
      <w:r>
        <w:rPr>
          <w:rFonts w:ascii="Arial" w:cs="Arial" w:eastAsia="Arial" w:hAnsi="Arial"/>
          <w:sz w:val="18"/>
          <w:szCs w:val="18"/>
          <w:color w:val="auto"/>
        </w:rPr>
        <w:t>From August 1, 2025 to December 31, 2025, the Company’s Board met one time and acted by unanimous written consent three times and held three standing committee meetings (one for each of the Audit, Governance and Compensation Committees). All of the current directors attended at least 75% of the meetings of the Company’s Board and the Company’s Board committees on which they served during the periods in which they served. Directors are expected to attend each annual meeting of stockholders. The Company did not hold an annual meeting in 2025.</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27" w:lineRule="exact"/>
        <w:rPr>
          <w:sz w:val="20"/>
          <w:szCs w:val="20"/>
          <w:color w:val="auto"/>
        </w:rPr>
      </w:pPr>
    </w:p>
    <w:p>
      <w:pPr>
        <w:ind w:left="1260" w:right="479" w:firstLine="648"/>
        <w:spacing w:after="0" w:line="270" w:lineRule="auto"/>
        <w:rPr>
          <w:sz w:val="20"/>
          <w:szCs w:val="20"/>
          <w:color w:val="auto"/>
        </w:rPr>
      </w:pPr>
      <w:r>
        <w:rPr>
          <w:rFonts w:ascii="Arial" w:cs="Arial" w:eastAsia="Arial" w:hAnsi="Arial"/>
          <w:sz w:val="18"/>
          <w:szCs w:val="18"/>
          <w:color w:val="auto"/>
        </w:rPr>
        <w:t xml:space="preserve">The Board has three standing committees: the Audit Committee, the Compensation Committee and the Governance Committee. Each committee has a written charter that is available on our website at </w:t>
      </w:r>
      <w:r>
        <w:rPr>
          <w:rFonts w:ascii="Arial" w:cs="Arial" w:eastAsia="Arial" w:hAnsi="Arial"/>
          <w:sz w:val="18"/>
          <w:szCs w:val="18"/>
          <w:b w:val="1"/>
          <w:bCs w:val="1"/>
          <w:color w:val="00ABD1"/>
        </w:rPr>
        <w:t xml:space="preserve">www.uniti.com </w:t>
      </w:r>
      <w:r>
        <w:rPr>
          <w:rFonts w:ascii="Arial" w:cs="Arial" w:eastAsia="Arial" w:hAnsi="Arial"/>
          <w:sz w:val="18"/>
          <w:szCs w:val="18"/>
          <w:color w:val="000000"/>
        </w:rPr>
        <w:t>under the “About Us — Corporate Governance” tab (information on the Company’s</w:t>
      </w:r>
      <w:r>
        <w:rPr>
          <w:rFonts w:ascii="Arial" w:cs="Arial" w:eastAsia="Arial" w:hAnsi="Arial"/>
          <w:sz w:val="18"/>
          <w:szCs w:val="18"/>
          <w:b w:val="1"/>
          <w:bCs w:val="1"/>
          <w:color w:val="00ABD1"/>
        </w:rPr>
        <w:t xml:space="preserve"> </w:t>
      </w:r>
      <w:r>
        <w:rPr>
          <w:rFonts w:ascii="Arial" w:cs="Arial" w:eastAsia="Arial" w:hAnsi="Arial"/>
          <w:sz w:val="18"/>
          <w:szCs w:val="18"/>
          <w:color w:val="000000"/>
        </w:rPr>
        <w:t>website is not incorporated by reference herein) and is comprised entirely of directors whom the Board has determined are independent under applicable Nasdaq listing standards and SEC rules. A brief description of the function of each committee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260" w:type="dxa"/>
        <w:tblCellMar>
          <w:top w:w="0" w:type="dxa"/>
          <w:left w:w="0" w:type="dxa"/>
          <w:bottom w:w="0" w:type="dxa"/>
          <w:right w:w="0" w:type="dxa"/>
        </w:tblCellMar>
      </w:tblPr>
      <w:tr>
        <w:trPr>
          <w:trHeight w:val="226"/>
        </w:trPr>
        <w:tc>
          <w:tcPr>
            <w:tcW w:w="3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60" w:type="dxa"/>
            <w:vAlign w:val="bottom"/>
            <w:tcBorders>
              <w:bottom w:val="single" w:sz="8" w:color="00ABD1"/>
            </w:tcBorders>
          </w:tcPr>
          <w:p>
            <w:pPr>
              <w:spacing w:after="0"/>
              <w:rPr>
                <w:sz w:val="19"/>
                <w:szCs w:val="19"/>
                <w:color w:val="auto"/>
              </w:rPr>
            </w:pPr>
          </w:p>
        </w:tc>
        <w:tc>
          <w:tcPr>
            <w:tcW w:w="2460" w:type="dxa"/>
            <w:vAlign w:val="bottom"/>
            <w:tcBorders>
              <w:bottom w:val="single" w:sz="8" w:color="00ABD1"/>
            </w:tcBorders>
            <w:gridSpan w:val="2"/>
          </w:tcPr>
          <w:p>
            <w:pPr>
              <w:ind w:left="60"/>
              <w:spacing w:after="0"/>
              <w:rPr>
                <w:sz w:val="20"/>
                <w:szCs w:val="20"/>
                <w:color w:val="auto"/>
              </w:rPr>
            </w:pPr>
            <w:r>
              <w:rPr>
                <w:rFonts w:ascii="Arial" w:cs="Arial" w:eastAsia="Arial" w:hAnsi="Arial"/>
                <w:sz w:val="16"/>
                <w:szCs w:val="16"/>
                <w:b w:val="1"/>
                <w:bCs w:val="1"/>
                <w:color w:val="auto"/>
              </w:rPr>
              <w:t>Committee Memberships</w:t>
            </w:r>
          </w:p>
        </w:tc>
        <w:tc>
          <w:tcPr>
            <w:tcW w:w="20" w:type="dxa"/>
            <w:vAlign w:val="bottom"/>
            <w:tcBorders>
              <w:bottom w:val="single" w:sz="8" w:color="00ABD1"/>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3620" w:type="dxa"/>
            <w:vAlign w:val="bottom"/>
            <w:tcBorders>
              <w:bottom w:val="single" w:sz="8" w:color="00ABD1"/>
            </w:tcBorders>
          </w:tcPr>
          <w:p>
            <w:pPr>
              <w:spacing w:after="0"/>
              <w:rPr>
                <w:sz w:val="20"/>
                <w:szCs w:val="20"/>
                <w:color w:val="auto"/>
              </w:rPr>
            </w:pPr>
            <w:r>
              <w:rPr>
                <w:rFonts w:ascii="Arial" w:cs="Arial" w:eastAsia="Arial" w:hAnsi="Arial"/>
                <w:sz w:val="16"/>
                <w:szCs w:val="16"/>
                <w:b w:val="1"/>
                <w:bCs w:val="1"/>
                <w:color w:val="auto"/>
              </w:rPr>
              <w:t>Board Member</w:t>
            </w:r>
          </w:p>
        </w:tc>
        <w:tc>
          <w:tcPr>
            <w:tcW w:w="1560" w:type="dxa"/>
            <w:vAlign w:val="bottom"/>
            <w:tcBorders>
              <w:bottom w:val="single" w:sz="8" w:color="00ABD1"/>
            </w:tcBorders>
          </w:tcPr>
          <w:p>
            <w:pPr>
              <w:jc w:val="center"/>
              <w:ind w:left="31"/>
              <w:spacing w:after="0"/>
              <w:rPr>
                <w:sz w:val="20"/>
                <w:szCs w:val="20"/>
                <w:color w:val="auto"/>
              </w:rPr>
            </w:pPr>
            <w:r>
              <w:rPr>
                <w:rFonts w:ascii="Arial" w:cs="Arial" w:eastAsia="Arial" w:hAnsi="Arial"/>
                <w:sz w:val="16"/>
                <w:szCs w:val="16"/>
                <w:b w:val="1"/>
                <w:bCs w:val="1"/>
                <w:color w:val="auto"/>
              </w:rPr>
              <w:t>Financial Expert</w:t>
            </w:r>
          </w:p>
        </w:tc>
        <w:tc>
          <w:tcPr>
            <w:tcW w:w="560" w:type="dxa"/>
            <w:vAlign w:val="bottom"/>
            <w:tcBorders>
              <w:bottom w:val="single" w:sz="8" w:color="00ABD1"/>
            </w:tcBorders>
          </w:tcPr>
          <w:p>
            <w:pPr>
              <w:ind w:left="120"/>
              <w:spacing w:after="0"/>
              <w:rPr>
                <w:sz w:val="20"/>
                <w:szCs w:val="20"/>
                <w:color w:val="auto"/>
              </w:rPr>
            </w:pPr>
            <w:r>
              <w:rPr>
                <w:rFonts w:ascii="Arial" w:cs="Arial" w:eastAsia="Arial" w:hAnsi="Arial"/>
                <w:sz w:val="16"/>
                <w:szCs w:val="16"/>
                <w:b w:val="1"/>
                <w:bCs w:val="1"/>
                <w:color w:val="auto"/>
              </w:rPr>
              <w:t>Audit</w:t>
            </w:r>
          </w:p>
        </w:tc>
        <w:tc>
          <w:tcPr>
            <w:tcW w:w="1400" w:type="dxa"/>
            <w:vAlign w:val="bottom"/>
            <w:tcBorders>
              <w:bottom w:val="single" w:sz="8" w:color="00ABD1"/>
            </w:tcBorders>
          </w:tcPr>
          <w:p>
            <w:pPr>
              <w:ind w:left="180"/>
              <w:spacing w:after="0"/>
              <w:rPr>
                <w:sz w:val="20"/>
                <w:szCs w:val="20"/>
                <w:color w:val="auto"/>
              </w:rPr>
            </w:pPr>
            <w:r>
              <w:rPr>
                <w:rFonts w:ascii="Arial" w:cs="Arial" w:eastAsia="Arial" w:hAnsi="Arial"/>
                <w:sz w:val="16"/>
                <w:szCs w:val="16"/>
                <w:b w:val="1"/>
                <w:bCs w:val="1"/>
                <w:color w:val="auto"/>
              </w:rPr>
              <w:t>Compensation</w:t>
            </w:r>
          </w:p>
        </w:tc>
        <w:tc>
          <w:tcPr>
            <w:tcW w:w="1060" w:type="dxa"/>
            <w:vAlign w:val="bottom"/>
            <w:tcBorders>
              <w:bottom w:val="single" w:sz="8" w:color="00ABD1"/>
            </w:tcBorders>
          </w:tcPr>
          <w:p>
            <w:pPr>
              <w:ind w:left="120"/>
              <w:spacing w:after="0"/>
              <w:rPr>
                <w:sz w:val="20"/>
                <w:szCs w:val="20"/>
                <w:color w:val="auto"/>
              </w:rPr>
            </w:pPr>
            <w:r>
              <w:rPr>
                <w:rFonts w:ascii="Arial" w:cs="Arial" w:eastAsia="Arial" w:hAnsi="Arial"/>
                <w:sz w:val="16"/>
                <w:szCs w:val="16"/>
                <w:b w:val="1"/>
                <w:bCs w:val="1"/>
                <w:color w:val="auto"/>
                <w:w w:val="99"/>
              </w:rPr>
              <w:t>Governance</w:t>
            </w:r>
          </w:p>
        </w:tc>
        <w:tc>
          <w:tcPr>
            <w:tcW w:w="20" w:type="dxa"/>
            <w:vAlign w:val="bottom"/>
            <w:tcBorders>
              <w:bottom w:val="single" w:sz="8" w:color="00ABD1"/>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3620" w:type="dxa"/>
            <w:vAlign w:val="bottom"/>
          </w:tcPr>
          <w:p>
            <w:pPr>
              <w:spacing w:after="0"/>
              <w:rPr>
                <w:sz w:val="20"/>
                <w:szCs w:val="20"/>
                <w:color w:val="auto"/>
              </w:rPr>
            </w:pPr>
            <w:r>
              <w:rPr>
                <w:rFonts w:ascii="Arial" w:cs="Arial" w:eastAsia="Arial" w:hAnsi="Arial"/>
                <w:sz w:val="18"/>
                <w:szCs w:val="18"/>
                <w:color w:val="auto"/>
              </w:rPr>
              <w:t>Scott G. Bruce</w:t>
            </w:r>
          </w:p>
        </w:tc>
        <w:tc>
          <w:tcPr>
            <w:tcW w:w="1560" w:type="dxa"/>
            <w:vAlign w:val="bottom"/>
            <w:vMerge w:val="restart"/>
          </w:tcPr>
          <w:p>
            <w:pPr>
              <w:jc w:val="center"/>
              <w:ind w:left="91"/>
              <w:spacing w:after="0"/>
              <w:rPr>
                <w:sz w:val="20"/>
                <w:szCs w:val="20"/>
                <w:color w:val="auto"/>
              </w:rPr>
            </w:pPr>
            <w:r>
              <w:rPr>
                <w:rFonts w:ascii="Arial" w:cs="Arial" w:eastAsia="Arial" w:hAnsi="Arial"/>
                <w:sz w:val="18"/>
                <w:szCs w:val="18"/>
                <w:color w:val="auto"/>
              </w:rPr>
              <w:t>​</w:t>
            </w:r>
          </w:p>
        </w:tc>
        <w:tc>
          <w:tcPr>
            <w:tcW w:w="560" w:type="dxa"/>
            <w:vAlign w:val="bottom"/>
          </w:tcPr>
          <w:p>
            <w:pPr>
              <w:jc w:val="center"/>
              <w:ind w:left="11"/>
              <w:spacing w:after="0"/>
              <w:rPr>
                <w:sz w:val="20"/>
                <w:szCs w:val="20"/>
                <w:color w:val="auto"/>
              </w:rPr>
            </w:pPr>
            <w:r>
              <w:rPr>
                <w:rFonts w:ascii="Arial" w:cs="Arial" w:eastAsia="Arial" w:hAnsi="Arial"/>
                <w:sz w:val="18"/>
                <w:szCs w:val="18"/>
                <w:color w:val="auto"/>
                <w:w w:val="99"/>
              </w:rPr>
              <w:t>—</w:t>
            </w: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36"/>
        </w:trPr>
        <w:tc>
          <w:tcPr>
            <w:tcW w:w="3620" w:type="dxa"/>
            <w:vAlign w:val="bottom"/>
            <w:shd w:val="clear" w:color="auto" w:fill="B2B2B2"/>
          </w:tcPr>
          <w:p>
            <w:pPr>
              <w:spacing w:after="0"/>
              <w:rPr>
                <w:sz w:val="20"/>
                <w:szCs w:val="20"/>
                <w:color w:val="auto"/>
              </w:rPr>
            </w:pPr>
            <w:r>
              <w:rPr>
                <w:rFonts w:ascii="Arial" w:cs="Arial" w:eastAsia="Arial" w:hAnsi="Arial"/>
                <w:sz w:val="18"/>
                <w:szCs w:val="18"/>
                <w:color w:val="auto"/>
              </w:rPr>
              <w:t>Randy Dunbar</w:t>
            </w:r>
          </w:p>
        </w:tc>
        <w:tc>
          <w:tcPr>
            <w:tcW w:w="1560" w:type="dxa"/>
            <w:vAlign w:val="bottom"/>
            <w:vMerge w:val="restart"/>
            <w:shd w:val="clear" w:color="auto" w:fill="B2B2B2"/>
          </w:tcPr>
          <w:p>
            <w:pPr>
              <w:jc w:val="center"/>
              <w:ind w:left="91"/>
              <w:spacing w:after="0"/>
              <w:rPr>
                <w:sz w:val="20"/>
                <w:szCs w:val="20"/>
                <w:color w:val="auto"/>
              </w:rPr>
            </w:pPr>
            <w:r>
              <w:rPr>
                <w:rFonts w:ascii="Arial" w:cs="Arial" w:eastAsia="Arial" w:hAnsi="Arial"/>
                <w:sz w:val="18"/>
                <w:szCs w:val="18"/>
                <w:color w:val="auto"/>
              </w:rPr>
              <w:t>​</w:t>
            </w:r>
          </w:p>
        </w:tc>
        <w:tc>
          <w:tcPr>
            <w:tcW w:w="560" w:type="dxa"/>
            <w:vAlign w:val="bottom"/>
            <w:shd w:val="clear" w:color="auto" w:fill="B2B2B2"/>
          </w:tcPr>
          <w:p>
            <w:pPr>
              <w:spacing w:after="0"/>
              <w:rPr>
                <w:sz w:val="24"/>
                <w:szCs w:val="24"/>
                <w:color w:val="auto"/>
              </w:rPr>
            </w:pPr>
          </w:p>
        </w:tc>
        <w:tc>
          <w:tcPr>
            <w:tcW w:w="1400" w:type="dxa"/>
            <w:vAlign w:val="bottom"/>
            <w:shd w:val="clear" w:color="auto" w:fill="B2B2B2"/>
          </w:tcPr>
          <w:p>
            <w:pPr>
              <w:jc w:val="center"/>
              <w:ind w:left="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B2B2B2"/>
          </w:tcPr>
          <w:p>
            <w:pPr>
              <w:spacing w:after="0"/>
              <w:rPr>
                <w:sz w:val="24"/>
                <w:szCs w:val="24"/>
                <w:color w:val="auto"/>
              </w:rPr>
            </w:pPr>
          </w:p>
        </w:tc>
        <w:tc>
          <w:tcPr>
            <w:tcW w:w="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
        </w:trPr>
        <w:tc>
          <w:tcPr>
            <w:tcW w:w="3620" w:type="dxa"/>
            <w:vAlign w:val="bottom"/>
            <w:shd w:val="clear" w:color="auto" w:fill="B2B2B2"/>
          </w:tcPr>
          <w:p>
            <w:pPr>
              <w:spacing w:after="0"/>
              <w:rPr>
                <w:sz w:val="5"/>
                <w:szCs w:val="5"/>
                <w:color w:val="auto"/>
              </w:rPr>
            </w:pPr>
          </w:p>
        </w:tc>
        <w:tc>
          <w:tcPr>
            <w:tcW w:w="1560" w:type="dxa"/>
            <w:vAlign w:val="bottom"/>
            <w:vMerge w:val="continue"/>
            <w:shd w:val="clear" w:color="auto" w:fill="B2B2B2"/>
          </w:tcPr>
          <w:p>
            <w:pPr>
              <w:spacing w:after="0"/>
              <w:rPr>
                <w:sz w:val="5"/>
                <w:szCs w:val="5"/>
                <w:color w:val="auto"/>
              </w:rPr>
            </w:pPr>
          </w:p>
        </w:tc>
        <w:tc>
          <w:tcPr>
            <w:tcW w:w="560" w:type="dxa"/>
            <w:vAlign w:val="bottom"/>
            <w:shd w:val="clear" w:color="auto" w:fill="B2B2B2"/>
          </w:tcPr>
          <w:p>
            <w:pPr>
              <w:spacing w:after="0"/>
              <w:rPr>
                <w:sz w:val="5"/>
                <w:szCs w:val="5"/>
                <w:color w:val="auto"/>
              </w:rPr>
            </w:pPr>
          </w:p>
        </w:tc>
        <w:tc>
          <w:tcPr>
            <w:tcW w:w="1400" w:type="dxa"/>
            <w:vAlign w:val="bottom"/>
            <w:shd w:val="clear" w:color="auto" w:fill="B2B2B2"/>
          </w:tcPr>
          <w:p>
            <w:pPr>
              <w:spacing w:after="0"/>
              <w:rPr>
                <w:sz w:val="5"/>
                <w:szCs w:val="5"/>
                <w:color w:val="auto"/>
              </w:rPr>
            </w:pPr>
          </w:p>
        </w:tc>
        <w:tc>
          <w:tcPr>
            <w:tcW w:w="1060" w:type="dxa"/>
            <w:vAlign w:val="bottom"/>
            <w:shd w:val="clear" w:color="auto" w:fill="B2B2B2"/>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0"/>
        </w:trPr>
        <w:tc>
          <w:tcPr>
            <w:tcW w:w="3620" w:type="dxa"/>
            <w:vAlign w:val="bottom"/>
          </w:tcPr>
          <w:p>
            <w:pPr>
              <w:spacing w:after="0"/>
              <w:rPr>
                <w:sz w:val="20"/>
                <w:szCs w:val="20"/>
                <w:color w:val="auto"/>
              </w:rPr>
            </w:pPr>
            <w:r>
              <w:rPr>
                <w:rFonts w:ascii="Arial" w:cs="Arial" w:eastAsia="Arial" w:hAnsi="Arial"/>
                <w:sz w:val="18"/>
                <w:szCs w:val="18"/>
                <w:color w:val="auto"/>
              </w:rPr>
              <w:t>Francis X. (“Skip”) Frantz</w:t>
            </w: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99"/>
              </w:rPr>
              <w:t>—</w:t>
            </w:r>
          </w:p>
        </w:tc>
        <w:tc>
          <w:tcPr>
            <w:tcW w:w="1060" w:type="dxa"/>
            <w:vAlign w:val="bottom"/>
          </w:tcPr>
          <w:p>
            <w:pPr>
              <w:spacing w:after="0"/>
              <w:rPr>
                <w:sz w:val="24"/>
                <w:szCs w:val="24"/>
                <w:color w:val="auto"/>
              </w:rPr>
            </w:pPr>
          </w:p>
        </w:tc>
        <w:tc>
          <w:tcPr>
            <w:tcW w:w="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7"/>
        </w:trPr>
        <w:tc>
          <w:tcPr>
            <w:tcW w:w="36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620" w:type="dxa"/>
            <w:vAlign w:val="bottom"/>
            <w:shd w:val="clear" w:color="auto" w:fill="B2B2B2"/>
          </w:tcPr>
          <w:p>
            <w:pPr>
              <w:spacing w:after="0"/>
              <w:rPr>
                <w:sz w:val="20"/>
                <w:szCs w:val="20"/>
                <w:color w:val="auto"/>
              </w:rPr>
            </w:pPr>
            <w:r>
              <w:rPr>
                <w:rFonts w:ascii="Arial" w:cs="Arial" w:eastAsia="Arial" w:hAnsi="Arial"/>
                <w:sz w:val="18"/>
                <w:szCs w:val="18"/>
                <w:color w:val="auto"/>
              </w:rPr>
              <w:t>Kenneth A. Gunderman</w:t>
            </w:r>
          </w:p>
        </w:tc>
        <w:tc>
          <w:tcPr>
            <w:tcW w:w="1560" w:type="dxa"/>
            <w:vAlign w:val="bottom"/>
            <w:shd w:val="clear" w:color="auto" w:fill="B2B2B2"/>
          </w:tcPr>
          <w:p>
            <w:pPr>
              <w:jc w:val="center"/>
              <w:ind w:left="91"/>
              <w:spacing w:after="0"/>
              <w:rPr>
                <w:sz w:val="20"/>
                <w:szCs w:val="20"/>
                <w:color w:val="auto"/>
              </w:rPr>
            </w:pPr>
            <w:r>
              <w:rPr>
                <w:rFonts w:ascii="Arial" w:cs="Arial" w:eastAsia="Arial" w:hAnsi="Arial"/>
                <w:sz w:val="18"/>
                <w:szCs w:val="18"/>
                <w:color w:val="auto"/>
              </w:rPr>
              <w:t>​</w:t>
            </w:r>
          </w:p>
        </w:tc>
        <w:tc>
          <w:tcPr>
            <w:tcW w:w="560" w:type="dxa"/>
            <w:vAlign w:val="bottom"/>
            <w:shd w:val="clear" w:color="auto" w:fill="B2B2B2"/>
          </w:tcPr>
          <w:p>
            <w:pPr>
              <w:jc w:val="center"/>
              <w:ind w:left="11"/>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B2B2B2"/>
          </w:tcPr>
          <w:p>
            <w:pPr>
              <w:jc w:val="center"/>
              <w:ind w:left="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B2B2B2"/>
          </w:tcPr>
          <w:p>
            <w:pPr>
              <w:jc w:val="center"/>
              <w:ind w:left="31"/>
              <w:spacing w:after="0"/>
              <w:rPr>
                <w:sz w:val="20"/>
                <w:szCs w:val="20"/>
                <w:color w:val="auto"/>
              </w:rPr>
            </w:pPr>
            <w:r>
              <w:rPr>
                <w:rFonts w:ascii="Arial" w:cs="Arial" w:eastAsia="Arial" w:hAnsi="Arial"/>
                <w:sz w:val="18"/>
                <w:szCs w:val="18"/>
                <w:color w:val="auto"/>
                <w:w w:val="99"/>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9"/>
        </w:trPr>
        <w:tc>
          <w:tcPr>
            <w:tcW w:w="3620" w:type="dxa"/>
            <w:vAlign w:val="bottom"/>
          </w:tcPr>
          <w:p>
            <w:pPr>
              <w:spacing w:after="0"/>
              <w:rPr>
                <w:sz w:val="20"/>
                <w:szCs w:val="20"/>
                <w:color w:val="auto"/>
              </w:rPr>
            </w:pPr>
            <w:r>
              <w:rPr>
                <w:rFonts w:ascii="Arial" w:cs="Arial" w:eastAsia="Arial" w:hAnsi="Arial"/>
                <w:sz w:val="18"/>
                <w:szCs w:val="18"/>
                <w:color w:val="auto"/>
              </w:rPr>
              <w:t>Mary McLaughlin</w:t>
            </w: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99"/>
              </w:rPr>
              <w:t>—</w:t>
            </w:r>
          </w:p>
        </w:tc>
        <w:tc>
          <w:tcPr>
            <w:tcW w:w="1060" w:type="dxa"/>
            <w:vAlign w:val="bottom"/>
          </w:tcPr>
          <w:p>
            <w:pPr>
              <w:spacing w:after="0"/>
              <w:rPr>
                <w:sz w:val="24"/>
                <w:szCs w:val="24"/>
                <w:color w:val="auto"/>
              </w:rPr>
            </w:pPr>
          </w:p>
        </w:tc>
        <w:tc>
          <w:tcPr>
            <w:tcW w:w="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7"/>
        </w:trPr>
        <w:tc>
          <w:tcPr>
            <w:tcW w:w="36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6"/>
        </w:trPr>
        <w:tc>
          <w:tcPr>
            <w:tcW w:w="3620" w:type="dxa"/>
            <w:vAlign w:val="bottom"/>
            <w:shd w:val="clear" w:color="auto" w:fill="B2B2B2"/>
          </w:tcPr>
          <w:p>
            <w:pPr>
              <w:spacing w:after="0"/>
              <w:rPr>
                <w:sz w:val="20"/>
                <w:szCs w:val="20"/>
                <w:color w:val="auto"/>
              </w:rPr>
            </w:pPr>
            <w:r>
              <w:rPr>
                <w:rFonts w:ascii="Arial" w:cs="Arial" w:eastAsia="Arial" w:hAnsi="Arial"/>
                <w:sz w:val="18"/>
                <w:szCs w:val="18"/>
                <w:color w:val="auto"/>
              </w:rPr>
              <w:t>Joseph Natale</w:t>
            </w:r>
          </w:p>
        </w:tc>
        <w:tc>
          <w:tcPr>
            <w:tcW w:w="1560" w:type="dxa"/>
            <w:vAlign w:val="bottom"/>
            <w:vMerge w:val="restart"/>
            <w:shd w:val="clear" w:color="auto" w:fill="B2B2B2"/>
          </w:tcPr>
          <w:p>
            <w:pPr>
              <w:jc w:val="center"/>
              <w:ind w:left="91"/>
              <w:spacing w:after="0"/>
              <w:rPr>
                <w:sz w:val="20"/>
                <w:szCs w:val="20"/>
                <w:color w:val="auto"/>
              </w:rPr>
            </w:pPr>
            <w:r>
              <w:rPr>
                <w:rFonts w:ascii="Arial" w:cs="Arial" w:eastAsia="Arial" w:hAnsi="Arial"/>
                <w:sz w:val="18"/>
                <w:szCs w:val="18"/>
                <w:color w:val="auto"/>
              </w:rPr>
              <w:t>​</w:t>
            </w:r>
          </w:p>
        </w:tc>
        <w:tc>
          <w:tcPr>
            <w:tcW w:w="560" w:type="dxa"/>
            <w:vAlign w:val="bottom"/>
            <w:shd w:val="clear" w:color="auto" w:fill="B2B2B2"/>
          </w:tcPr>
          <w:p>
            <w:pPr>
              <w:jc w:val="center"/>
              <w:ind w:left="11"/>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B2B2B2"/>
          </w:tcPr>
          <w:p>
            <w:pPr>
              <w:spacing w:after="0"/>
              <w:rPr>
                <w:sz w:val="24"/>
                <w:szCs w:val="24"/>
                <w:color w:val="auto"/>
              </w:rPr>
            </w:pPr>
          </w:p>
        </w:tc>
        <w:tc>
          <w:tcPr>
            <w:tcW w:w="1060" w:type="dxa"/>
            <w:vAlign w:val="bottom"/>
            <w:shd w:val="clear" w:color="auto" w:fill="B2B2B2"/>
          </w:tcPr>
          <w:p>
            <w:pPr>
              <w:jc w:val="center"/>
              <w:ind w:left="31"/>
              <w:spacing w:after="0"/>
              <w:rPr>
                <w:sz w:val="20"/>
                <w:szCs w:val="20"/>
                <w:color w:val="auto"/>
              </w:rPr>
            </w:pPr>
            <w:r>
              <w:rPr>
                <w:rFonts w:ascii="Arial" w:cs="Arial" w:eastAsia="Arial" w:hAnsi="Arial"/>
                <w:sz w:val="18"/>
                <w:szCs w:val="18"/>
                <w:color w:val="auto"/>
                <w:w w:val="99"/>
              </w:rPr>
              <w:t>—</w:t>
            </w:r>
          </w:p>
        </w:tc>
        <w:tc>
          <w:tcPr>
            <w:tcW w:w="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
        </w:trPr>
        <w:tc>
          <w:tcPr>
            <w:tcW w:w="3620" w:type="dxa"/>
            <w:vAlign w:val="bottom"/>
            <w:shd w:val="clear" w:color="auto" w:fill="B2B2B2"/>
          </w:tcPr>
          <w:p>
            <w:pPr>
              <w:spacing w:after="0"/>
              <w:rPr>
                <w:sz w:val="5"/>
                <w:szCs w:val="5"/>
                <w:color w:val="auto"/>
              </w:rPr>
            </w:pPr>
          </w:p>
        </w:tc>
        <w:tc>
          <w:tcPr>
            <w:tcW w:w="1560" w:type="dxa"/>
            <w:vAlign w:val="bottom"/>
            <w:vMerge w:val="continue"/>
            <w:shd w:val="clear" w:color="auto" w:fill="B2B2B2"/>
          </w:tcPr>
          <w:p>
            <w:pPr>
              <w:spacing w:after="0"/>
              <w:rPr>
                <w:sz w:val="5"/>
                <w:szCs w:val="5"/>
                <w:color w:val="auto"/>
              </w:rPr>
            </w:pPr>
          </w:p>
        </w:tc>
        <w:tc>
          <w:tcPr>
            <w:tcW w:w="560" w:type="dxa"/>
            <w:vAlign w:val="bottom"/>
            <w:shd w:val="clear" w:color="auto" w:fill="B2B2B2"/>
          </w:tcPr>
          <w:p>
            <w:pPr>
              <w:spacing w:after="0"/>
              <w:rPr>
                <w:sz w:val="5"/>
                <w:szCs w:val="5"/>
                <w:color w:val="auto"/>
              </w:rPr>
            </w:pPr>
          </w:p>
        </w:tc>
        <w:tc>
          <w:tcPr>
            <w:tcW w:w="1400" w:type="dxa"/>
            <w:vAlign w:val="bottom"/>
            <w:shd w:val="clear" w:color="auto" w:fill="B2B2B2"/>
          </w:tcPr>
          <w:p>
            <w:pPr>
              <w:spacing w:after="0"/>
              <w:rPr>
                <w:sz w:val="5"/>
                <w:szCs w:val="5"/>
                <w:color w:val="auto"/>
              </w:rPr>
            </w:pPr>
          </w:p>
        </w:tc>
        <w:tc>
          <w:tcPr>
            <w:tcW w:w="1060" w:type="dxa"/>
            <w:vAlign w:val="bottom"/>
            <w:shd w:val="clear" w:color="auto" w:fill="B2B2B2"/>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0"/>
        </w:trPr>
        <w:tc>
          <w:tcPr>
            <w:tcW w:w="3620" w:type="dxa"/>
            <w:vAlign w:val="bottom"/>
          </w:tcPr>
          <w:p>
            <w:pPr>
              <w:spacing w:after="0"/>
              <w:rPr>
                <w:sz w:val="20"/>
                <w:szCs w:val="20"/>
                <w:color w:val="auto"/>
              </w:rPr>
            </w:pPr>
            <w:r>
              <w:rPr>
                <w:rFonts w:ascii="Arial" w:cs="Arial" w:eastAsia="Arial" w:hAnsi="Arial"/>
                <w:sz w:val="18"/>
                <w:szCs w:val="18"/>
                <w:color w:val="auto"/>
              </w:rPr>
              <w:t>Carmen Perez-Carlton</w:t>
            </w: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jc w:val="center"/>
              <w:ind w:left="31"/>
              <w:spacing w:after="0"/>
              <w:rPr>
                <w:sz w:val="20"/>
                <w:szCs w:val="20"/>
                <w:color w:val="auto"/>
              </w:rPr>
            </w:pPr>
            <w:r>
              <w:rPr>
                <w:rFonts w:ascii="Arial" w:cs="Arial" w:eastAsia="Arial" w:hAnsi="Arial"/>
                <w:sz w:val="18"/>
                <w:szCs w:val="18"/>
                <w:color w:val="auto"/>
                <w:w w:val="99"/>
              </w:rPr>
              <w:t>—</w:t>
            </w:r>
          </w:p>
        </w:tc>
        <w:tc>
          <w:tcPr>
            <w:tcW w:w="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7"/>
        </w:trPr>
        <w:tc>
          <w:tcPr>
            <w:tcW w:w="36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620" w:type="dxa"/>
            <w:vAlign w:val="bottom"/>
            <w:shd w:val="clear" w:color="auto" w:fill="B2B2B2"/>
          </w:tcPr>
          <w:p>
            <w:pPr>
              <w:spacing w:after="0"/>
              <w:rPr>
                <w:sz w:val="20"/>
                <w:szCs w:val="20"/>
                <w:color w:val="auto"/>
              </w:rPr>
            </w:pPr>
            <w:r>
              <w:rPr>
                <w:rFonts w:ascii="Arial" w:cs="Arial" w:eastAsia="Arial" w:hAnsi="Arial"/>
                <w:sz w:val="18"/>
                <w:szCs w:val="18"/>
                <w:color w:val="auto"/>
              </w:rPr>
              <w:t>Paul Sunu</w:t>
            </w:r>
          </w:p>
        </w:tc>
        <w:tc>
          <w:tcPr>
            <w:tcW w:w="1560" w:type="dxa"/>
            <w:vAlign w:val="bottom"/>
            <w:shd w:val="clear" w:color="auto" w:fill="B2B2B2"/>
          </w:tcPr>
          <w:p>
            <w:pPr>
              <w:jc w:val="center"/>
              <w:ind w:left="91"/>
              <w:spacing w:after="0"/>
              <w:rPr>
                <w:sz w:val="20"/>
                <w:szCs w:val="20"/>
                <w:color w:val="auto"/>
              </w:rPr>
            </w:pPr>
            <w:r>
              <w:rPr>
                <w:rFonts w:ascii="Arial" w:cs="Arial" w:eastAsia="Arial" w:hAnsi="Arial"/>
                <w:sz w:val="18"/>
                <w:szCs w:val="18"/>
                <w:color w:val="auto"/>
              </w:rPr>
              <w:t>​</w:t>
            </w:r>
          </w:p>
        </w:tc>
        <w:tc>
          <w:tcPr>
            <w:tcW w:w="560" w:type="dxa"/>
            <w:vAlign w:val="bottom"/>
            <w:shd w:val="clear" w:color="auto" w:fill="B2B2B2"/>
          </w:tcPr>
          <w:p>
            <w:pPr>
              <w:jc w:val="center"/>
              <w:ind w:left="11"/>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B2B2B2"/>
          </w:tcPr>
          <w:p>
            <w:pPr>
              <w:jc w:val="center"/>
              <w:ind w:left="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B2B2B2"/>
          </w:tcPr>
          <w:p>
            <w:pPr>
              <w:jc w:val="center"/>
              <w:ind w:left="31"/>
              <w:spacing w:after="0"/>
              <w:rPr>
                <w:sz w:val="20"/>
                <w:szCs w:val="20"/>
                <w:color w:val="auto"/>
              </w:rPr>
            </w:pPr>
            <w:r>
              <w:rPr>
                <w:rFonts w:ascii="Arial" w:cs="Arial" w:eastAsia="Arial" w:hAnsi="Arial"/>
                <w:sz w:val="18"/>
                <w:szCs w:val="18"/>
                <w:color w:val="auto"/>
                <w:w w:val="99"/>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3"/>
        </w:trPr>
        <w:tc>
          <w:tcPr>
            <w:tcW w:w="3620" w:type="dxa"/>
            <w:vAlign w:val="bottom"/>
          </w:tcPr>
          <w:p>
            <w:pPr>
              <w:spacing w:after="0"/>
              <w:rPr>
                <w:sz w:val="20"/>
                <w:szCs w:val="20"/>
                <w:color w:val="auto"/>
              </w:rPr>
            </w:pPr>
            <w:r>
              <w:rPr>
                <w:rFonts w:ascii="Arial" w:cs="Arial" w:eastAsia="Arial" w:hAnsi="Arial"/>
                <w:sz w:val="18"/>
                <w:szCs w:val="18"/>
                <w:color w:val="auto"/>
              </w:rPr>
              <w:t>Harold Zeitz</w:t>
            </w:r>
          </w:p>
        </w:tc>
        <w:tc>
          <w:tcPr>
            <w:tcW w:w="1560" w:type="dxa"/>
            <w:vAlign w:val="bottom"/>
            <w:vMerge w:val="restart"/>
          </w:tcPr>
          <w:p>
            <w:pPr>
              <w:jc w:val="center"/>
              <w:ind w:left="91"/>
              <w:spacing w:after="0"/>
              <w:rPr>
                <w:sz w:val="20"/>
                <w:szCs w:val="20"/>
                <w:color w:val="auto"/>
              </w:rPr>
            </w:pPr>
            <w:r>
              <w:rPr>
                <w:rFonts w:ascii="Arial" w:cs="Arial" w:eastAsia="Arial" w:hAnsi="Arial"/>
                <w:sz w:val="18"/>
                <w:szCs w:val="18"/>
                <w:color w:val="auto"/>
              </w:rPr>
              <w:t>​</w:t>
            </w:r>
          </w:p>
        </w:tc>
        <w:tc>
          <w:tcPr>
            <w:tcW w:w="560" w:type="dxa"/>
            <w:vAlign w:val="bottom"/>
          </w:tcPr>
          <w:p>
            <w:pPr>
              <w:jc w:val="center"/>
              <w:ind w:left="11"/>
              <w:spacing w:after="0"/>
              <w:rPr>
                <w:sz w:val="20"/>
                <w:szCs w:val="20"/>
                <w:color w:val="auto"/>
              </w:rPr>
            </w:pPr>
            <w:r>
              <w:rPr>
                <w:rFonts w:ascii="Arial" w:cs="Arial" w:eastAsia="Arial" w:hAnsi="Arial"/>
                <w:sz w:val="18"/>
                <w:szCs w:val="18"/>
                <w:color w:val="auto"/>
                <w:w w:val="99"/>
              </w:rPr>
              <w:t>—</w:t>
            </w:r>
          </w:p>
        </w:tc>
        <w:tc>
          <w:tcPr>
            <w:tcW w:w="1400" w:type="dxa"/>
            <w:vAlign w:val="bottom"/>
          </w:tcPr>
          <w:p>
            <w:pPr>
              <w:spacing w:after="0"/>
              <w:rPr>
                <w:sz w:val="24"/>
                <w:szCs w:val="24"/>
                <w:color w:val="auto"/>
              </w:rPr>
            </w:pPr>
          </w:p>
        </w:tc>
        <w:tc>
          <w:tcPr>
            <w:tcW w:w="1060" w:type="dxa"/>
            <w:vAlign w:val="bottom"/>
          </w:tcPr>
          <w:p>
            <w:pPr>
              <w:jc w:val="center"/>
              <w:ind w:left="31"/>
              <w:spacing w:after="0"/>
              <w:rPr>
                <w:sz w:val="20"/>
                <w:szCs w:val="20"/>
                <w:color w:val="auto"/>
              </w:rPr>
            </w:pPr>
            <w:r>
              <w:rPr>
                <w:rFonts w:ascii="Arial" w:cs="Arial" w:eastAsia="Arial" w:hAnsi="Arial"/>
                <w:sz w:val="18"/>
                <w:szCs w:val="18"/>
                <w:color w:val="auto"/>
                <w:w w:val="99"/>
              </w:rPr>
              <w:t>—</w:t>
            </w:r>
          </w:p>
        </w:tc>
        <w:tc>
          <w:tcPr>
            <w:tcW w:w="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7"/>
        </w:trPr>
        <w:tc>
          <w:tcPr>
            <w:tcW w:w="362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3620" w:type="dxa"/>
            <w:vAlign w:val="bottom"/>
            <w:shd w:val="clear" w:color="auto" w:fill="B2B2B2"/>
          </w:tcPr>
          <w:p>
            <w:pPr>
              <w:spacing w:after="0"/>
              <w:rPr>
                <w:sz w:val="20"/>
                <w:szCs w:val="20"/>
                <w:color w:val="auto"/>
              </w:rPr>
            </w:pPr>
            <w:r>
              <w:rPr>
                <w:rFonts w:ascii="Arial" w:cs="Arial" w:eastAsia="Arial" w:hAnsi="Arial"/>
                <w:sz w:val="18"/>
                <w:szCs w:val="18"/>
                <w:color w:val="auto"/>
              </w:rPr>
              <w:t>Number Of Meetings Held In Fiscal 2025(1)</w:t>
            </w:r>
          </w:p>
        </w:tc>
        <w:tc>
          <w:tcPr>
            <w:tcW w:w="1560" w:type="dxa"/>
            <w:vAlign w:val="bottom"/>
            <w:vMerge w:val="restart"/>
            <w:shd w:val="clear" w:color="auto" w:fill="B2B2B2"/>
          </w:tcPr>
          <w:p>
            <w:pPr>
              <w:jc w:val="center"/>
              <w:ind w:left="91"/>
              <w:spacing w:after="0"/>
              <w:rPr>
                <w:sz w:val="20"/>
                <w:szCs w:val="20"/>
                <w:color w:val="auto"/>
              </w:rPr>
            </w:pPr>
            <w:r>
              <w:rPr>
                <w:rFonts w:ascii="Arial" w:cs="Arial" w:eastAsia="Arial" w:hAnsi="Arial"/>
                <w:sz w:val="18"/>
                <w:szCs w:val="18"/>
                <w:color w:val="auto"/>
              </w:rPr>
              <w:t>​</w:t>
            </w:r>
          </w:p>
        </w:tc>
        <w:tc>
          <w:tcPr>
            <w:tcW w:w="560" w:type="dxa"/>
            <w:vAlign w:val="bottom"/>
            <w:shd w:val="clear" w:color="auto" w:fill="B2B2B2"/>
          </w:tcPr>
          <w:p>
            <w:pPr>
              <w:jc w:val="center"/>
              <w:ind w:left="11"/>
              <w:spacing w:after="0"/>
              <w:rPr>
                <w:sz w:val="20"/>
                <w:szCs w:val="20"/>
                <w:color w:val="auto"/>
              </w:rPr>
            </w:pPr>
            <w:r>
              <w:rPr>
                <w:rFonts w:ascii="Arial" w:cs="Arial" w:eastAsia="Arial" w:hAnsi="Arial"/>
                <w:sz w:val="18"/>
                <w:szCs w:val="18"/>
                <w:color w:val="auto"/>
                <w:w w:val="99"/>
              </w:rPr>
              <w:t>4</w:t>
            </w:r>
          </w:p>
        </w:tc>
        <w:tc>
          <w:tcPr>
            <w:tcW w:w="1400" w:type="dxa"/>
            <w:vAlign w:val="bottom"/>
            <w:shd w:val="clear" w:color="auto" w:fill="B2B2B2"/>
          </w:tcPr>
          <w:p>
            <w:pPr>
              <w:jc w:val="center"/>
              <w:ind w:left="12"/>
              <w:spacing w:after="0"/>
              <w:rPr>
                <w:sz w:val="20"/>
                <w:szCs w:val="20"/>
                <w:color w:val="auto"/>
              </w:rPr>
            </w:pPr>
            <w:r>
              <w:rPr>
                <w:rFonts w:ascii="Arial" w:cs="Arial" w:eastAsia="Arial" w:hAnsi="Arial"/>
                <w:sz w:val="18"/>
                <w:szCs w:val="18"/>
                <w:color w:val="auto"/>
                <w:w w:val="99"/>
              </w:rPr>
              <w:t>4</w:t>
            </w:r>
          </w:p>
        </w:tc>
        <w:tc>
          <w:tcPr>
            <w:tcW w:w="1060" w:type="dxa"/>
            <w:vAlign w:val="bottom"/>
            <w:shd w:val="clear" w:color="auto" w:fill="B2B2B2"/>
          </w:tcPr>
          <w:p>
            <w:pPr>
              <w:jc w:val="center"/>
              <w:ind w:left="31"/>
              <w:spacing w:after="0"/>
              <w:rPr>
                <w:sz w:val="20"/>
                <w:szCs w:val="20"/>
                <w:color w:val="auto"/>
              </w:rPr>
            </w:pPr>
            <w:r>
              <w:rPr>
                <w:rFonts w:ascii="Arial" w:cs="Arial" w:eastAsia="Arial" w:hAnsi="Arial"/>
                <w:sz w:val="18"/>
                <w:szCs w:val="18"/>
                <w:color w:val="auto"/>
                <w:w w:val="99"/>
              </w:rPr>
              <w:t>2</w:t>
            </w:r>
          </w:p>
        </w:tc>
        <w:tc>
          <w:tcPr>
            <w:tcW w:w="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3620" w:type="dxa"/>
            <w:vAlign w:val="bottom"/>
            <w:shd w:val="clear" w:color="auto" w:fill="B2B2B2"/>
          </w:tcPr>
          <w:p>
            <w:pPr>
              <w:spacing w:after="0"/>
              <w:rPr>
                <w:sz w:val="4"/>
                <w:szCs w:val="4"/>
                <w:color w:val="auto"/>
              </w:rPr>
            </w:pPr>
          </w:p>
        </w:tc>
        <w:tc>
          <w:tcPr>
            <w:tcW w:w="1560" w:type="dxa"/>
            <w:vAlign w:val="bottom"/>
            <w:vMerge w:val="continue"/>
            <w:shd w:val="clear" w:color="auto" w:fill="B2B2B2"/>
          </w:tcPr>
          <w:p>
            <w:pPr>
              <w:spacing w:after="0"/>
              <w:rPr>
                <w:sz w:val="4"/>
                <w:szCs w:val="4"/>
                <w:color w:val="auto"/>
              </w:rPr>
            </w:pPr>
          </w:p>
        </w:tc>
        <w:tc>
          <w:tcPr>
            <w:tcW w:w="560" w:type="dxa"/>
            <w:vAlign w:val="bottom"/>
            <w:shd w:val="clear" w:color="auto" w:fill="B2B2B2"/>
          </w:tcPr>
          <w:p>
            <w:pPr>
              <w:spacing w:after="0"/>
              <w:rPr>
                <w:sz w:val="4"/>
                <w:szCs w:val="4"/>
                <w:color w:val="auto"/>
              </w:rPr>
            </w:pPr>
          </w:p>
        </w:tc>
        <w:tc>
          <w:tcPr>
            <w:tcW w:w="1400" w:type="dxa"/>
            <w:vAlign w:val="bottom"/>
            <w:shd w:val="clear" w:color="auto" w:fill="B2B2B2"/>
          </w:tcPr>
          <w:p>
            <w:pPr>
              <w:spacing w:after="0"/>
              <w:rPr>
                <w:sz w:val="4"/>
                <w:szCs w:val="4"/>
                <w:color w:val="auto"/>
              </w:rPr>
            </w:pPr>
          </w:p>
        </w:tc>
        <w:tc>
          <w:tcPr>
            <w:tcW w:w="1060" w:type="dxa"/>
            <w:vAlign w:val="bottom"/>
            <w:shd w:val="clear" w:color="auto" w:fill="B2B2B2"/>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12344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-2767965</wp:posOffset>
            </wp:positionV>
            <wp:extent cx="137160" cy="2311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231140"/>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-2767965</wp:posOffset>
            </wp:positionV>
            <wp:extent cx="137160" cy="2311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23114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-2451100</wp:posOffset>
            </wp:positionV>
            <wp:extent cx="137160" cy="2317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231775"/>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-2451100</wp:posOffset>
            </wp:positionV>
            <wp:extent cx="137160" cy="2317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23177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-2125345</wp:posOffset>
            </wp:positionV>
            <wp:extent cx="171450" cy="24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0" cy="24003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-2116455</wp:posOffset>
            </wp:positionV>
            <wp:extent cx="137160" cy="2311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231140"/>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-2116455</wp:posOffset>
            </wp:positionV>
            <wp:extent cx="137160" cy="2311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23114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-1619250</wp:posOffset>
            </wp:positionV>
            <wp:extent cx="171450" cy="240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 cy="24003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-1610995</wp:posOffset>
            </wp:positionV>
            <wp:extent cx="137160" cy="2311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231140"/>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-1610995</wp:posOffset>
            </wp:positionV>
            <wp:extent cx="137160" cy="2311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23114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-1293495</wp:posOffset>
            </wp:positionV>
            <wp:extent cx="137160" cy="2317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23177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-967740</wp:posOffset>
            </wp:positionV>
            <wp:extent cx="171450"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0" cy="24003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-959485</wp:posOffset>
            </wp:positionV>
            <wp:extent cx="137160" cy="2311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23114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-959485</wp:posOffset>
            </wp:positionV>
            <wp:extent cx="137160" cy="2311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23114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-470535</wp:posOffset>
            </wp:positionV>
            <wp:extent cx="137160" cy="2317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231775"/>
                    </a:xfrm>
                    <a:prstGeom prst="rect">
                      <a:avLst/>
                    </a:prstGeom>
                    <a:noFill/>
                  </pic:spPr>
                </pic:pic>
              </a:graphicData>
            </a:graphic>
          </wp:anchor>
        </w:drawing>
      </w:r>
    </w:p>
    <w:p>
      <w:pPr>
        <w:spacing w:after="0" w:line="218" w:lineRule="exact"/>
        <w:rPr>
          <w:sz w:val="20"/>
          <w:szCs w:val="20"/>
          <w:color w:val="auto"/>
        </w:rPr>
      </w:pPr>
    </w:p>
    <w:p>
      <w:pPr>
        <w:ind w:left="1900" w:right="559" w:hanging="640"/>
        <w:spacing w:after="0" w:line="260" w:lineRule="auto"/>
        <w:tabs>
          <w:tab w:leader="none" w:pos="1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the number of committee meetings held before and following the closing of the Merger on August 1, 2025.</w:t>
      </w:r>
    </w:p>
    <w:p>
      <w:pPr>
        <w:spacing w:after="0" w:line="1"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color w:val="auto"/>
        </w:rPr>
        <w:t> </w:t>
      </w:r>
    </w:p>
    <w:p>
      <w:pPr>
        <w:spacing w:after="0" w:line="104" w:lineRule="exact"/>
        <w:rPr>
          <w:sz w:val="20"/>
          <w:szCs w:val="20"/>
          <w:color w:val="auto"/>
        </w:rPr>
      </w:pPr>
    </w:p>
    <w:p>
      <w:pPr>
        <w:ind w:left="1260"/>
        <w:spacing w:after="0"/>
        <w:rPr>
          <w:sz w:val="20"/>
          <w:szCs w:val="20"/>
          <w:color w:val="auto"/>
        </w:rPr>
      </w:pPr>
      <w:r>
        <w:rPr>
          <w:sz w:val="1"/>
          <w:szCs w:val="1"/>
          <w:color w:val="auto"/>
        </w:rPr>
        <w:drawing>
          <wp:inline distT="0" distB="0" distL="0" distR="0">
            <wp:extent cx="137160" cy="23177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231775"/>
                    </a:xfrm>
                    <a:prstGeom prst="rect">
                      <a:avLst/>
                    </a:prstGeom>
                    <a:noFill/>
                    <a:ln>
                      <a:noFill/>
                    </a:ln>
                  </pic:spPr>
                </pic:pic>
              </a:graphicData>
            </a:graphic>
          </wp:inline>
        </w:drawing>
      </w:r>
      <w:r>
        <w:rPr>
          <w:rFonts w:ascii="Arial" w:cs="Arial" w:eastAsia="Arial" w:hAnsi="Arial"/>
          <w:sz w:val="18"/>
          <w:szCs w:val="18"/>
          <w:color w:val="auto"/>
        </w:rPr>
        <w:t xml:space="preserve">  Member    </w:t>
      </w:r>
      <w:r>
        <w:rPr>
          <w:sz w:val="1"/>
          <w:szCs w:val="1"/>
          <w:color w:val="auto"/>
        </w:rPr>
        <w:drawing>
          <wp:inline distT="0" distB="0" distL="0" distR="0">
            <wp:extent cx="137160" cy="23177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231775"/>
                    </a:xfrm>
                    <a:prstGeom prst="rect">
                      <a:avLst/>
                    </a:prstGeom>
                    <a:noFill/>
                    <a:ln>
                      <a:noFill/>
                    </a:ln>
                  </pic:spPr>
                </pic:pic>
              </a:graphicData>
            </a:graphic>
          </wp:inline>
        </w:drawing>
      </w:r>
      <w:r>
        <w:rPr>
          <w:rFonts w:ascii="Arial" w:cs="Arial" w:eastAsia="Arial" w:hAnsi="Arial"/>
          <w:sz w:val="18"/>
          <w:szCs w:val="18"/>
          <w:color w:val="auto"/>
        </w:rPr>
        <w:t xml:space="preserve">  Chairperson    </w:t>
      </w:r>
      <w:r>
        <w:rPr>
          <w:sz w:val="1"/>
          <w:szCs w:val="1"/>
          <w:color w:val="auto"/>
        </w:rPr>
        <w:drawing>
          <wp:inline distT="0" distB="0" distL="0" distR="0">
            <wp:extent cx="137160" cy="18859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188595"/>
                    </a:xfrm>
                    <a:prstGeom prst="rect">
                      <a:avLst/>
                    </a:prstGeom>
                    <a:noFill/>
                    <a:ln>
                      <a:noFill/>
                    </a:ln>
                  </pic:spPr>
                </pic:pic>
              </a:graphicData>
            </a:graphic>
          </wp:inline>
        </w:drawing>
      </w:r>
      <w:r>
        <w:rPr>
          <w:rFonts w:ascii="Arial" w:cs="Arial" w:eastAsia="Arial" w:hAnsi="Arial"/>
          <w:sz w:val="18"/>
          <w:szCs w:val="18"/>
          <w:color w:val="auto"/>
        </w:rPr>
        <w:t>  Financial Expert</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color w:val="00ABD1"/>
        </w:rPr>
        <w:t>Audit Committee</w:t>
      </w:r>
    </w:p>
    <w:p>
      <w:pPr>
        <w:spacing w:after="0" w:line="225" w:lineRule="exact"/>
        <w:rPr>
          <w:sz w:val="20"/>
          <w:szCs w:val="20"/>
          <w:color w:val="auto"/>
        </w:rPr>
      </w:pPr>
    </w:p>
    <w:p>
      <w:pPr>
        <w:ind w:left="1260" w:right="459" w:firstLine="648"/>
        <w:spacing w:after="0" w:line="254" w:lineRule="auto"/>
        <w:rPr>
          <w:sz w:val="20"/>
          <w:szCs w:val="20"/>
          <w:color w:val="auto"/>
        </w:rPr>
      </w:pPr>
      <w:r>
        <w:rPr>
          <w:rFonts w:ascii="Arial" w:cs="Arial" w:eastAsia="Arial" w:hAnsi="Arial"/>
          <w:sz w:val="18"/>
          <w:szCs w:val="18"/>
          <w:color w:val="auto"/>
        </w:rPr>
        <w:t>The primary duties of the Audit Committee include, among other things: (i) overseeing both the external and internal audit processes; (ii) establishing procedures for the receipt of complaints regarding accounting, internal accounting controls or auditing matters; (iii) overseeing and interacting with our independent auditors regarding the auditor’s engagement and/or dismissal, duties, compensation, qualifications and performance; (iv) reviewing and discussing with our independent auditors the scope of audits and our accounting principles, policies and practices; (v) reviewing and discussing our financial statements with our independent auditors and management; (vi) monitoring the ongoing review of the Company’s systems of disclosure controls and procedures and internal control over financial reporting; and (vii) reviewing and approving (or disapproving) related-party transactions. The Board has determined that Mr. Frantz and Mses. McLaughlin and Perez-Carlton are each an “audit committee financial expert,” as defined by the rules of the SEC.</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color w:val="00ABD1"/>
        </w:rPr>
        <w:t>Compensation Committee</w:t>
      </w:r>
    </w:p>
    <w:p>
      <w:pPr>
        <w:spacing w:after="0" w:line="225" w:lineRule="exact"/>
        <w:rPr>
          <w:sz w:val="20"/>
          <w:szCs w:val="20"/>
          <w:color w:val="auto"/>
        </w:rPr>
      </w:pPr>
    </w:p>
    <w:p>
      <w:pPr>
        <w:ind w:left="1260" w:right="419" w:firstLine="648"/>
        <w:spacing w:after="0" w:line="262" w:lineRule="auto"/>
        <w:rPr>
          <w:sz w:val="20"/>
          <w:szCs w:val="20"/>
          <w:color w:val="auto"/>
        </w:rPr>
      </w:pPr>
      <w:r>
        <w:rPr>
          <w:rFonts w:ascii="Arial" w:cs="Arial" w:eastAsia="Arial" w:hAnsi="Arial"/>
          <w:sz w:val="18"/>
          <w:szCs w:val="18"/>
          <w:color w:val="auto"/>
        </w:rPr>
        <w:t>The Compensation Committee assists the Board in fulfilling its oversight responsibility related to the compensation programs, plans and awards for Uniti’s directors and executive officers. For more information regarding the Compensation Committee, see “Compensation Discussion &amp; Analysis” below in this Proxy Statement.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color w:val="00ABD1"/>
        </w:rPr>
        <w:t>Compensation Committee Interlocks and Insider Participation</w:t>
      </w:r>
    </w:p>
    <w:p>
      <w:pPr>
        <w:spacing w:after="0" w:line="225" w:lineRule="exact"/>
        <w:rPr>
          <w:sz w:val="20"/>
          <w:szCs w:val="20"/>
          <w:color w:val="auto"/>
        </w:rPr>
      </w:pPr>
    </w:p>
    <w:p>
      <w:pPr>
        <w:ind w:left="1260" w:right="519" w:firstLine="648"/>
        <w:spacing w:after="0" w:line="268" w:lineRule="auto"/>
        <w:rPr>
          <w:sz w:val="20"/>
          <w:szCs w:val="20"/>
          <w:color w:val="auto"/>
        </w:rPr>
      </w:pPr>
      <w:r>
        <w:rPr>
          <w:rFonts w:ascii="Arial" w:cs="Arial" w:eastAsia="Arial" w:hAnsi="Arial"/>
          <w:sz w:val="18"/>
          <w:szCs w:val="18"/>
          <w:color w:val="auto"/>
        </w:rPr>
        <w:t>No member of the Compensation Committee serving during 2025 had any relationship requiring disclosure under the section titled “Related Party Transactions” in this Proxy Statement. During 2025, none</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318" w:lineRule="auto"/>
        <w:rPr>
          <w:sz w:val="20"/>
          <w:szCs w:val="20"/>
          <w:color w:val="auto"/>
        </w:rPr>
      </w:pPr>
      <w:r>
        <w:rPr>
          <w:rFonts w:ascii="Arial" w:cs="Arial" w:eastAsia="Arial" w:hAnsi="Arial"/>
          <w:sz w:val="17"/>
          <w:szCs w:val="17"/>
          <w:color w:val="auto"/>
        </w:rPr>
        <w:t>of our executive officers served on the compensation committee (or its equivalent) or board of directors of another entity whose executive officer served on either the Compensation Committee or the Board.</w:t>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18"/>
          <w:szCs w:val="18"/>
          <w:color w:val="00ABD1"/>
        </w:rPr>
        <w:t>Governance Committee</w:t>
      </w:r>
    </w:p>
    <w:p>
      <w:pPr>
        <w:spacing w:after="0" w:line="225" w:lineRule="exact"/>
        <w:rPr>
          <w:sz w:val="20"/>
          <w:szCs w:val="20"/>
          <w:color w:val="auto"/>
        </w:rPr>
      </w:pPr>
    </w:p>
    <w:p>
      <w:pPr>
        <w:ind w:left="1260" w:right="579" w:firstLine="648"/>
        <w:spacing w:after="0" w:line="244" w:lineRule="auto"/>
        <w:rPr>
          <w:sz w:val="20"/>
          <w:szCs w:val="20"/>
          <w:color w:val="auto"/>
        </w:rPr>
      </w:pPr>
      <w:r>
        <w:rPr>
          <w:rFonts w:ascii="Arial" w:cs="Arial" w:eastAsia="Arial" w:hAnsi="Arial"/>
          <w:sz w:val="18"/>
          <w:szCs w:val="18"/>
          <w:color w:val="auto"/>
        </w:rPr>
        <w:t>The Governance Committee’s primary duties include, among other things: (i) establishing and reviewing the criteria for the skills and characteristics required of Board members; (ii) identifying individuals qualified to become directors consistent with the Governance Committee’s membership criteria; (iii) recommending director nominees to the Board for election at each annual meeting of stockholders and to fill vacancies; (iv) reviewing Uniti’s Corporate Governance Guidelines; (v) assisting the Chairman of the Board with an annual evaluation of the Board and its committees; and (vi) annually, in consultation with the Chairman of the Board and our Chief Executive Officer, reviewing management succession plans.</w:t>
      </w:r>
    </w:p>
    <w:p>
      <w:pPr>
        <w:spacing w:after="0" w:line="193" w:lineRule="exact"/>
        <w:rPr>
          <w:sz w:val="20"/>
          <w:szCs w:val="20"/>
          <w:color w:val="auto"/>
        </w:rPr>
      </w:pPr>
    </w:p>
    <w:p>
      <w:pPr>
        <w:ind w:left="1260" w:right="419" w:firstLine="648"/>
        <w:spacing w:after="0" w:line="242" w:lineRule="auto"/>
        <w:rPr>
          <w:sz w:val="20"/>
          <w:szCs w:val="20"/>
          <w:color w:val="auto"/>
        </w:rPr>
      </w:pPr>
      <w:r>
        <w:rPr>
          <w:rFonts w:ascii="Arial" w:cs="Arial" w:eastAsia="Arial" w:hAnsi="Arial"/>
          <w:sz w:val="18"/>
          <w:szCs w:val="18"/>
          <w:color w:val="auto"/>
        </w:rPr>
        <w:t>The Governance Committee identifies potential Board candidates through various methods, including recommendations from directors, management and stockholders, and has the sole authority to retain, compensate and terminate search firms to be used to identify director candidates. The Governance Committee periodically reviews, in consultation with our President and Chief Executive Officer, the appropriate skills and characteristics required of Board members in the context of the composition and needs of the Board from time to time. In reviewing potential candidates, the Governance Committee considers applicable Board and Board committee independence requirements imposed by Uniti’s Corporate Governance Guidelines, Nasdaq listing standards and applicable law. The Governance Committee actively seeks candidates with an inquisitive and objective perspective, practical wisdom and mature judgment, who possess high personal and professional ethics, character, integrity and values and who will be committed to representing the long-term interests of the Company’s stockholders. Among the various criteria for selection as a Board member are the level of a potential candidate’s relevant career experience, training and experience at the policy-making level in business, leadership and communication skills, and willingness to devote sufficient time and effort to Board duties. The Governance Committee also seeks candidates who demonstrate a willingness to evaluate management’s performance objectively and who have no activities or interests that could conflict with their responsibilities to Uniti.</w:t>
      </w:r>
    </w:p>
    <w:p>
      <w:pPr>
        <w:spacing w:after="0" w:line="178" w:lineRule="exact"/>
        <w:rPr>
          <w:sz w:val="20"/>
          <w:szCs w:val="20"/>
          <w:color w:val="auto"/>
        </w:rPr>
      </w:pPr>
    </w:p>
    <w:p>
      <w:pPr>
        <w:ind w:left="1260" w:right="419" w:firstLine="648"/>
        <w:spacing w:after="0" w:line="245" w:lineRule="auto"/>
        <w:rPr>
          <w:sz w:val="20"/>
          <w:szCs w:val="20"/>
          <w:color w:val="auto"/>
        </w:rPr>
      </w:pPr>
      <w:r>
        <w:rPr>
          <w:rFonts w:ascii="Arial" w:cs="Arial" w:eastAsia="Arial" w:hAnsi="Arial"/>
          <w:sz w:val="18"/>
          <w:szCs w:val="18"/>
          <w:color w:val="auto"/>
        </w:rPr>
        <w:t>The Governance Committee will consider director candidates recommended by stockholders. To qualify for such consideration, stockholder recommendations must be submitted to the Governance Committee at the address provided below in the section of this Proxy Statement titled “Stockholder Communications with the Board of Directors” and received by the Company’s Secretary no later than 90 calendar days prior to the first anniversary of the mailing date of the proxy statement for the preceding year’s annual meeting. The Governance Committee does not have a specific policy regarding the consideration of stockholder recommendations for director candidates because the Governance Committee intends to evaluate stockholder recommendations in the same manner as it evaluates director candidates recommended by other sources.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0" w:lineRule="exact"/>
        <w:rPr>
          <w:sz w:val="20"/>
          <w:szCs w:val="20"/>
          <w:color w:val="auto"/>
        </w:rPr>
      </w:pPr>
    </w:p>
    <w:p>
      <w:pPr>
        <w:ind w:left="1260" w:right="419" w:firstLine="648"/>
        <w:spacing w:after="0" w:line="248" w:lineRule="auto"/>
        <w:rPr>
          <w:sz w:val="20"/>
          <w:szCs w:val="20"/>
          <w:color w:val="auto"/>
        </w:rPr>
      </w:pPr>
      <w:r>
        <w:rPr>
          <w:rFonts w:ascii="Arial" w:cs="Arial" w:eastAsia="Arial" w:hAnsi="Arial"/>
          <w:sz w:val="18"/>
          <w:szCs w:val="18"/>
          <w:color w:val="auto"/>
        </w:rPr>
        <w:t>The roles of the Chairman of the Board of Directors and Chief Executive Officer are performed by separate individuals. The Board of Directors believes this leadership structure improves the ability of the Board of Directors to exercise its oversight role over management and ensures a significant role for independent directors in the leadership of Uniti. Having an independent Chairman also strengthens Uniti’s corporate governance structure by allowing the Chairman to convene executive sessions with independent directors.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52120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00" w:lineRule="exact"/>
        <w:rPr>
          <w:sz w:val="20"/>
          <w:szCs w:val="20"/>
          <w:color w:val="auto"/>
        </w:rPr>
      </w:pPr>
    </w:p>
    <w:p>
      <w:pPr>
        <w:ind w:left="1260" w:right="599" w:firstLine="648"/>
        <w:spacing w:after="0" w:line="247" w:lineRule="auto"/>
        <w:rPr>
          <w:sz w:val="20"/>
          <w:szCs w:val="20"/>
          <w:color w:val="auto"/>
        </w:rPr>
      </w:pPr>
      <w:r>
        <w:rPr>
          <w:rFonts w:ascii="Arial" w:cs="Arial" w:eastAsia="Arial" w:hAnsi="Arial"/>
          <w:sz w:val="18"/>
          <w:szCs w:val="18"/>
          <w:color w:val="auto"/>
        </w:rPr>
        <w:t>Uniti’s Corporate Governance Guidelines specify that the independent directors of the Board of Directors must meet at regularly scheduled executive sessions without management and that the Chairman of the Board of Directors shall preside at executive sessions of independent directors. During 2025, executive sessions of the independent directors generally occurred at the end of each regular meeting of the Board.</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Board Size, Diversity and Skillset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60325</wp:posOffset>
            </wp:positionV>
            <wp:extent cx="52120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27" w:lineRule="exact"/>
        <w:rPr>
          <w:sz w:val="20"/>
          <w:szCs w:val="20"/>
          <w:color w:val="auto"/>
        </w:rPr>
      </w:pPr>
    </w:p>
    <w:p>
      <w:pPr>
        <w:ind w:left="1260" w:right="739" w:firstLine="648"/>
        <w:spacing w:after="0" w:line="276" w:lineRule="auto"/>
        <w:rPr>
          <w:sz w:val="20"/>
          <w:szCs w:val="20"/>
          <w:color w:val="auto"/>
        </w:rPr>
      </w:pPr>
      <w:r>
        <w:rPr>
          <w:rFonts w:ascii="Arial" w:cs="Arial" w:eastAsia="Arial" w:hAnsi="Arial"/>
          <w:sz w:val="18"/>
          <w:szCs w:val="18"/>
          <w:color w:val="auto"/>
        </w:rPr>
        <w:t>As set forth in Uniti’s Corporate Governance Guidelines, the Board believes that the Board of Directors should be comprised of four to nine members depending upon the relevant circumstances prevailing from time to time. Nine directors currently serve on the Board.</w:t>
      </w:r>
    </w:p>
    <w:p>
      <w:pPr>
        <w:spacing w:after="0" w:line="177" w:lineRule="exact"/>
        <w:rPr>
          <w:sz w:val="20"/>
          <w:szCs w:val="20"/>
          <w:color w:val="auto"/>
        </w:rPr>
      </w:pPr>
    </w:p>
    <w:p>
      <w:pPr>
        <w:ind w:left="1260" w:right="459" w:firstLine="648"/>
        <w:spacing w:after="0" w:line="285" w:lineRule="auto"/>
        <w:rPr>
          <w:sz w:val="20"/>
          <w:szCs w:val="20"/>
          <w:color w:val="auto"/>
        </w:rPr>
      </w:pPr>
      <w:r>
        <w:rPr>
          <w:rFonts w:ascii="Arial" w:cs="Arial" w:eastAsia="Arial" w:hAnsi="Arial"/>
          <w:sz w:val="17"/>
          <w:szCs w:val="17"/>
          <w:color w:val="auto"/>
        </w:rPr>
        <w:t>We believe the Board is most effective when it embodies a diverse range of views, backgrounds and experience. Diversity is considered in the broadest sense, including, among other attributes, age, leadership, experience, skills, perspectives, gender, ethnicity and geography. While the Governance Committee does not have a formal policy on diversity with regard to consideration of director nominees, the Governance Committee considers diversity in its selection of nominees and proactively seeks diverse director candidates to ensure a representation of varied perspectives and experience in the boardroom.</w:t>
      </w:r>
    </w:p>
    <w:p>
      <w:pPr>
        <w:spacing w:after="0" w:line="173" w:lineRule="exact"/>
        <w:rPr>
          <w:sz w:val="20"/>
          <w:szCs w:val="20"/>
          <w:color w:val="auto"/>
        </w:rPr>
      </w:pPr>
    </w:p>
    <w:p>
      <w:pPr>
        <w:ind w:left="1260" w:right="419" w:firstLine="648"/>
        <w:spacing w:after="0" w:line="276" w:lineRule="auto"/>
        <w:rPr>
          <w:sz w:val="20"/>
          <w:szCs w:val="20"/>
          <w:color w:val="auto"/>
        </w:rPr>
      </w:pPr>
      <w:r>
        <w:rPr>
          <w:rFonts w:ascii="Arial" w:cs="Arial" w:eastAsia="Arial" w:hAnsi="Arial"/>
          <w:sz w:val="18"/>
          <w:szCs w:val="18"/>
          <w:color w:val="auto"/>
        </w:rPr>
        <w:t>If each of our nominees is elected at the Annual Meeting, we will have two female directors which represents 22% of our full Board and 25% of our non-employee directors. Our director nominees’ ages range from 47 to 72 and represent a broad range of skills and experience:</w:t>
      </w:r>
    </w:p>
    <w:p>
      <w:pPr>
        <w:spacing w:after="0" w:line="10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center"/>
              <w:ind w:right="61"/>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center"/>
              <w:ind w:left="1"/>
              <w:spacing w:after="0"/>
              <w:rPr>
                <w:sz w:val="20"/>
                <w:szCs w:val="20"/>
                <w:color w:val="auto"/>
              </w:rPr>
            </w:pPr>
            <w:r>
              <w:rPr>
                <w:rFonts w:ascii="Arial" w:cs="Arial" w:eastAsia="Arial" w:hAnsi="Arial"/>
                <w:sz w:val="14"/>
                <w:szCs w:val="14"/>
                <w:b w:val="1"/>
                <w:bCs w:val="1"/>
                <w:color w:val="auto"/>
              </w:rPr>
              <w:t>Senior</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left="180"/>
              <w:spacing w:after="0"/>
              <w:rPr>
                <w:sz w:val="20"/>
                <w:szCs w:val="20"/>
                <w:color w:val="auto"/>
              </w:rPr>
            </w:pPr>
            <w:r>
              <w:rPr>
                <w:rFonts w:ascii="Arial" w:cs="Arial" w:eastAsia="Arial" w:hAnsi="Arial"/>
                <w:sz w:val="14"/>
                <w:szCs w:val="14"/>
                <w:b w:val="1"/>
                <w:bCs w:val="1"/>
                <w:color w:val="auto"/>
              </w:rPr>
              <w:t>Development &amp;</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120"/>
              <w:spacing w:after="0"/>
              <w:rPr>
                <w:sz w:val="20"/>
                <w:szCs w:val="20"/>
                <w:color w:val="auto"/>
              </w:rPr>
            </w:pPr>
            <w:r>
              <w:rPr>
                <w:rFonts w:ascii="Arial" w:cs="Arial" w:eastAsia="Arial" w:hAnsi="Arial"/>
                <w:sz w:val="14"/>
                <w:szCs w:val="14"/>
                <w:b w:val="1"/>
                <w:bCs w:val="1"/>
                <w:color w:val="auto"/>
              </w:rPr>
              <w:t>Corporate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Risk</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Leadership</w:t>
            </w:r>
          </w:p>
        </w:tc>
        <w:tc>
          <w:tcPr>
            <w:tcW w:w="0" w:type="dxa"/>
            <w:vAlign w:val="bottom"/>
          </w:tcPr>
          <w:p>
            <w:pPr>
              <w:spacing w:after="0"/>
              <w:rPr>
                <w:sz w:val="1"/>
                <w:szCs w:val="1"/>
                <w:color w:val="auto"/>
              </w:rPr>
            </w:pPr>
          </w:p>
        </w:tc>
      </w:tr>
      <w:tr>
        <w:trPr>
          <w:trHeight w:val="198"/>
        </w:trPr>
        <w:tc>
          <w:tcPr>
            <w:tcW w:w="1140" w:type="dxa"/>
            <w:vAlign w:val="bottom"/>
            <w:tcBorders>
              <w:bottom w:val="single" w:sz="8" w:color="00ABD1"/>
            </w:tcBorders>
          </w:tcPr>
          <w:p>
            <w:pPr>
              <w:spacing w:after="0"/>
              <w:rPr>
                <w:sz w:val="17"/>
                <w:szCs w:val="17"/>
                <w:color w:val="auto"/>
              </w:rPr>
            </w:pPr>
          </w:p>
        </w:tc>
        <w:tc>
          <w:tcPr>
            <w:tcW w:w="2540" w:type="dxa"/>
            <w:vAlign w:val="bottom"/>
            <w:tcBorders>
              <w:bottom w:val="single" w:sz="8" w:color="00ABD1"/>
            </w:tcBorders>
            <w:gridSpan w:val="6"/>
          </w:tcPr>
          <w:p>
            <w:pPr>
              <w:jc w:val="right"/>
              <w:ind w:right="20"/>
              <w:spacing w:after="0" w:line="199" w:lineRule="exact"/>
              <w:rPr>
                <w:sz w:val="20"/>
                <w:szCs w:val="20"/>
                <w:color w:val="auto"/>
              </w:rPr>
            </w:pPr>
            <w:r>
              <w:rPr>
                <w:rFonts w:ascii="Arial" w:cs="Arial" w:eastAsia="Arial" w:hAnsi="Arial"/>
                <w:sz w:val="12"/>
                <w:szCs w:val="12"/>
                <w:b w:val="1"/>
                <w:bCs w:val="1"/>
                <w:color w:val="auto"/>
              </w:rPr>
              <w:t xml:space="preserve">Telecom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Finance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Accounting </w:t>
            </w:r>
            <w:r>
              <w:rPr>
                <w:rFonts w:ascii="Arial" w:cs="Arial" w:eastAsia="Arial" w:hAnsi="Arial"/>
                <w:sz w:val="22"/>
                <w:szCs w:val="22"/>
                <w:b w:val="1"/>
                <w:bCs w:val="1"/>
                <w:color w:val="auto"/>
                <w:vertAlign w:val="subscript"/>
              </w:rPr>
              <w:t>​ ​</w:t>
            </w:r>
          </w:p>
        </w:tc>
        <w:tc>
          <w:tcPr>
            <w:tcW w:w="980" w:type="dxa"/>
            <w:vAlign w:val="bottom"/>
            <w:tcBorders>
              <w:bottom w:val="single" w:sz="8" w:color="00ABD1"/>
            </w:tcBorders>
          </w:tcPr>
          <w:p>
            <w:pPr>
              <w:jc w:val="center"/>
              <w:ind w:right="21"/>
              <w:spacing w:after="0"/>
              <w:rPr>
                <w:sz w:val="20"/>
                <w:szCs w:val="20"/>
                <w:color w:val="auto"/>
              </w:rPr>
            </w:pPr>
            <w:r>
              <w:rPr>
                <w:rFonts w:ascii="Arial" w:cs="Arial" w:eastAsia="Arial" w:hAnsi="Arial"/>
                <w:sz w:val="14"/>
                <w:szCs w:val="14"/>
                <w:b w:val="1"/>
                <w:bCs w:val="1"/>
                <w:color w:val="auto"/>
                <w:w w:val="99"/>
              </w:rPr>
              <w:t>Strategy</w:t>
            </w:r>
          </w:p>
        </w:tc>
        <w:tc>
          <w:tcPr>
            <w:tcW w:w="1600" w:type="dxa"/>
            <w:vAlign w:val="bottom"/>
            <w:tcBorders>
              <w:bottom w:val="single" w:sz="8" w:color="00ABD1"/>
            </w:tcBorders>
            <w:gridSpan w:val="4"/>
          </w:tcPr>
          <w:p>
            <w:pPr>
              <w:ind w:left="4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Legal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Governance</w:t>
            </w:r>
          </w:p>
        </w:tc>
        <w:tc>
          <w:tcPr>
            <w:tcW w:w="1060" w:type="dxa"/>
            <w:vAlign w:val="bottom"/>
            <w:tcBorders>
              <w:bottom w:val="single" w:sz="8" w:color="00ABD1"/>
            </w:tcBorders>
          </w:tcPr>
          <w:p>
            <w:pPr>
              <w:jc w:val="center"/>
              <w:spacing w:after="0"/>
              <w:rPr>
                <w:sz w:val="20"/>
                <w:szCs w:val="20"/>
                <w:color w:val="auto"/>
              </w:rPr>
            </w:pPr>
            <w:r>
              <w:rPr>
                <w:rFonts w:ascii="Arial" w:cs="Arial" w:eastAsia="Arial" w:hAnsi="Arial"/>
                <w:sz w:val="14"/>
                <w:szCs w:val="14"/>
                <w:b w:val="1"/>
                <w:bCs w:val="1"/>
                <w:color w:val="auto"/>
              </w:rPr>
              <w:t>Management</w:t>
            </w:r>
          </w:p>
        </w:tc>
        <w:tc>
          <w:tcPr>
            <w:tcW w:w="880" w:type="dxa"/>
            <w:vAlign w:val="bottom"/>
            <w:tcBorders>
              <w:bottom w:val="single" w:sz="8" w:color="00ABD1"/>
            </w:tcBorders>
          </w:tcPr>
          <w:p>
            <w:pPr>
              <w:jc w:val="center"/>
              <w:ind w:left="21"/>
              <w:spacing w:after="0"/>
              <w:rPr>
                <w:sz w:val="20"/>
                <w:szCs w:val="20"/>
                <w:color w:val="auto"/>
              </w:rPr>
            </w:pPr>
            <w:r>
              <w:rPr>
                <w:rFonts w:ascii="Arial" w:cs="Arial" w:eastAsia="Arial" w:hAnsi="Arial"/>
                <w:sz w:val="14"/>
                <w:szCs w:val="14"/>
                <w:b w:val="1"/>
                <w:bCs w:val="1"/>
                <w:color w:val="auto"/>
                <w:w w:val="98"/>
              </w:rPr>
              <w:t>Experience</w:t>
            </w:r>
          </w:p>
        </w:tc>
        <w:tc>
          <w:tcPr>
            <w:tcW w:w="0" w:type="dxa"/>
            <w:vAlign w:val="bottom"/>
          </w:tcPr>
          <w:p>
            <w:pPr>
              <w:spacing w:after="0"/>
              <w:rPr>
                <w:sz w:val="1"/>
                <w:szCs w:val="1"/>
                <w:color w:val="auto"/>
              </w:rPr>
            </w:pPr>
          </w:p>
        </w:tc>
      </w:tr>
      <w:tr>
        <w:trPr>
          <w:trHeight w:val="369"/>
        </w:trPr>
        <w:tc>
          <w:tcPr>
            <w:tcW w:w="1140" w:type="dxa"/>
            <w:vAlign w:val="bottom"/>
          </w:tcPr>
          <w:p>
            <w:pPr>
              <w:ind w:left="20"/>
              <w:spacing w:after="0"/>
              <w:rPr>
                <w:sz w:val="20"/>
                <w:szCs w:val="20"/>
                <w:color w:val="auto"/>
              </w:rPr>
            </w:pPr>
            <w:r>
              <w:rPr>
                <w:rFonts w:ascii="Arial" w:cs="Arial" w:eastAsia="Arial" w:hAnsi="Arial"/>
                <w:sz w:val="16"/>
                <w:szCs w:val="16"/>
                <w:color w:val="auto"/>
              </w:rPr>
              <w:t>Jarrett Appleby</w:t>
            </w:r>
          </w:p>
        </w:tc>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380" w:type="dxa"/>
            <w:vAlign w:val="bottom"/>
          </w:tcPr>
          <w:p>
            <w:pPr>
              <w:ind w:left="140"/>
              <w:spacing w:after="0"/>
              <w:rPr>
                <w:sz w:val="20"/>
                <w:szCs w:val="20"/>
                <w:color w:val="auto"/>
              </w:rPr>
            </w:pPr>
            <w:r>
              <w:rPr>
                <w:rFonts w:ascii="Arial" w:cs="Arial" w:eastAsia="Arial" w:hAnsi="Arial"/>
                <w:sz w:val="16"/>
                <w:szCs w:val="16"/>
                <w:color w:val="auto"/>
              </w:rPr>
              <w:t>​ ​</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440" w:type="dxa"/>
            <w:vAlign w:val="bottom"/>
          </w:tcPr>
          <w:p>
            <w:pPr>
              <w:ind w:left="160"/>
              <w:spacing w:after="0"/>
              <w:rPr>
                <w:sz w:val="20"/>
                <w:szCs w:val="20"/>
                <w:color w:val="auto"/>
              </w:rPr>
            </w:pPr>
            <w:r>
              <w:rPr>
                <w:rFonts w:ascii="Arial" w:cs="Arial" w:eastAsia="Arial" w:hAnsi="Arial"/>
                <w:sz w:val="16"/>
                <w:szCs w:val="16"/>
                <w:color w:val="auto"/>
              </w:rPr>
              <w:t>​ ​</w:t>
            </w:r>
          </w:p>
        </w:tc>
        <w:tc>
          <w:tcPr>
            <w:tcW w:w="460" w:type="dxa"/>
            <w:vAlign w:val="bottom"/>
          </w:tcPr>
          <w:p>
            <w:pPr>
              <w:spacing w:after="0"/>
              <w:rPr>
                <w:sz w:val="24"/>
                <w:szCs w:val="24"/>
                <w:color w:val="auto"/>
              </w:rPr>
            </w:pPr>
          </w:p>
        </w:tc>
        <w:tc>
          <w:tcPr>
            <w:tcW w:w="400" w:type="dxa"/>
            <w:vAlign w:val="bottom"/>
          </w:tcPr>
          <w:p>
            <w:pPr>
              <w:jc w:val="right"/>
              <w:ind w:right="20"/>
              <w:spacing w:after="0"/>
              <w:rPr>
                <w:sz w:val="20"/>
                <w:szCs w:val="20"/>
                <w:color w:val="auto"/>
              </w:rPr>
            </w:pPr>
            <w:r>
              <w:rPr>
                <w:rFonts w:ascii="Arial" w:cs="Arial" w:eastAsia="Arial" w:hAnsi="Arial"/>
                <w:sz w:val="16"/>
                <w:szCs w:val="16"/>
                <w:color w:val="auto"/>
              </w:rPr>
              <w:t>​ ​</w:t>
            </w:r>
          </w:p>
        </w:tc>
        <w:tc>
          <w:tcPr>
            <w:tcW w:w="980" w:type="dxa"/>
            <w:vAlign w:val="bottom"/>
          </w:tcPr>
          <w:p>
            <w:pPr>
              <w:jc w:val="center"/>
              <w:ind w:right="41"/>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color w:val="auto"/>
              </w:rPr>
              <w:t>​ ​</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ind w:left="100"/>
              <w:spacing w:after="0"/>
              <w:rPr>
                <w:sz w:val="20"/>
                <w:szCs w:val="20"/>
                <w:color w:val="auto"/>
              </w:rPr>
            </w:pPr>
            <w:r>
              <w:rPr>
                <w:rFonts w:ascii="Arial" w:cs="Arial" w:eastAsia="Arial" w:hAnsi="Arial"/>
                <w:sz w:val="16"/>
                <w:szCs w:val="16"/>
                <w:color w:val="auto"/>
              </w:rPr>
              <w:t>​ ​</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060" w:type="dxa"/>
            <w:vAlign w:val="bottom"/>
          </w:tcPr>
          <w:p>
            <w:pPr>
              <w:jc w:val="center"/>
              <w:spacing w:after="0"/>
              <w:rPr>
                <w:sz w:val="20"/>
                <w:szCs w:val="20"/>
                <w:color w:val="auto"/>
              </w:rPr>
            </w:pPr>
            <w:r>
              <w:rPr>
                <w:rFonts w:ascii="Arial" w:cs="Arial" w:eastAsia="Arial" w:hAnsi="Arial"/>
                <w:sz w:val="16"/>
                <w:szCs w:val="16"/>
                <w:color w:val="auto"/>
              </w:rPr>
              <w:t>•</w:t>
            </w:r>
          </w:p>
        </w:tc>
        <w:tc>
          <w:tcPr>
            <w:tcW w:w="880" w:type="dxa"/>
            <w:vAlign w:val="bottom"/>
          </w:tcPr>
          <w:p>
            <w:pPr>
              <w:jc w:val="center"/>
              <w:ind w:lef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1140" w:type="dxa"/>
            <w:vAlign w:val="bottom"/>
            <w:shd w:val="clear" w:color="auto" w:fill="B2B2B2"/>
          </w:tcPr>
          <w:p>
            <w:pPr>
              <w:ind w:left="20"/>
              <w:spacing w:after="0"/>
              <w:rPr>
                <w:sz w:val="20"/>
                <w:szCs w:val="20"/>
                <w:color w:val="auto"/>
              </w:rPr>
            </w:pPr>
            <w:r>
              <w:rPr>
                <w:rFonts w:ascii="Arial" w:cs="Arial" w:eastAsia="Arial" w:hAnsi="Arial"/>
                <w:sz w:val="16"/>
                <w:szCs w:val="16"/>
                <w:color w:val="auto"/>
              </w:rPr>
              <w:t>Scott Bruce</w:t>
            </w:r>
          </w:p>
        </w:tc>
        <w:tc>
          <w:tcPr>
            <w:tcW w:w="540" w:type="dxa"/>
            <w:vAlign w:val="bottom"/>
            <w:shd w:val="clear" w:color="auto" w:fill="B2B2B2"/>
          </w:tcPr>
          <w:p>
            <w:pPr>
              <w:ind w:left="340"/>
              <w:spacing w:after="0"/>
              <w:rPr>
                <w:sz w:val="20"/>
                <w:szCs w:val="20"/>
                <w:color w:val="auto"/>
              </w:rPr>
            </w:pPr>
            <w:r>
              <w:rPr>
                <w:rFonts w:ascii="Arial" w:cs="Arial" w:eastAsia="Arial" w:hAnsi="Arial"/>
                <w:sz w:val="16"/>
                <w:szCs w:val="16"/>
                <w:color w:val="auto"/>
              </w:rPr>
              <w:t>•</w:t>
            </w:r>
          </w:p>
        </w:tc>
        <w:tc>
          <w:tcPr>
            <w:tcW w:w="380" w:type="dxa"/>
            <w:vAlign w:val="bottom"/>
            <w:shd w:val="clear" w:color="auto" w:fill="B2B2B2"/>
          </w:tcPr>
          <w:p>
            <w:pPr>
              <w:ind w:left="140"/>
              <w:spacing w:after="0"/>
              <w:rPr>
                <w:sz w:val="20"/>
                <w:szCs w:val="20"/>
                <w:color w:val="auto"/>
              </w:rPr>
            </w:pPr>
            <w:r>
              <w:rPr>
                <w:rFonts w:ascii="Arial" w:cs="Arial" w:eastAsia="Arial" w:hAnsi="Arial"/>
                <w:sz w:val="16"/>
                <w:szCs w:val="16"/>
                <w:color w:val="auto"/>
              </w:rPr>
              <w:t>​ ​</w:t>
            </w:r>
          </w:p>
        </w:tc>
        <w:tc>
          <w:tcPr>
            <w:tcW w:w="320" w:type="dxa"/>
            <w:vAlign w:val="bottom"/>
            <w:shd w:val="clear" w:color="auto" w:fill="B2B2B2"/>
          </w:tcPr>
          <w:p>
            <w:pPr>
              <w:ind w:left="120"/>
              <w:spacing w:after="0"/>
              <w:rPr>
                <w:sz w:val="20"/>
                <w:szCs w:val="20"/>
                <w:color w:val="auto"/>
              </w:rPr>
            </w:pPr>
            <w:r>
              <w:rPr>
                <w:rFonts w:ascii="Arial" w:cs="Arial" w:eastAsia="Arial" w:hAnsi="Arial"/>
                <w:sz w:val="16"/>
                <w:szCs w:val="16"/>
                <w:color w:val="auto"/>
              </w:rPr>
              <w:t>•</w:t>
            </w:r>
          </w:p>
        </w:tc>
        <w:tc>
          <w:tcPr>
            <w:tcW w:w="440" w:type="dxa"/>
            <w:vAlign w:val="bottom"/>
            <w:shd w:val="clear" w:color="auto" w:fill="B2B2B2"/>
          </w:tcPr>
          <w:p>
            <w:pPr>
              <w:ind w:left="160"/>
              <w:spacing w:after="0"/>
              <w:rPr>
                <w:sz w:val="20"/>
                <w:szCs w:val="20"/>
                <w:color w:val="auto"/>
              </w:rPr>
            </w:pPr>
            <w:r>
              <w:rPr>
                <w:rFonts w:ascii="Arial" w:cs="Arial" w:eastAsia="Arial" w:hAnsi="Arial"/>
                <w:sz w:val="16"/>
                <w:szCs w:val="16"/>
                <w:color w:val="auto"/>
              </w:rPr>
              <w:t>​ ​</w:t>
            </w:r>
          </w:p>
        </w:tc>
        <w:tc>
          <w:tcPr>
            <w:tcW w:w="460" w:type="dxa"/>
            <w:vAlign w:val="bottom"/>
            <w:shd w:val="clear" w:color="auto" w:fill="B2B2B2"/>
          </w:tcPr>
          <w:p>
            <w:pPr>
              <w:ind w:lef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B2B2B2"/>
          </w:tcPr>
          <w:p>
            <w:pPr>
              <w:jc w:val="right"/>
              <w:ind w:right="20"/>
              <w:spacing w:after="0"/>
              <w:rPr>
                <w:sz w:val="20"/>
                <w:szCs w:val="20"/>
                <w:color w:val="auto"/>
              </w:rPr>
            </w:pPr>
            <w:r>
              <w:rPr>
                <w:rFonts w:ascii="Arial" w:cs="Arial" w:eastAsia="Arial" w:hAnsi="Arial"/>
                <w:sz w:val="16"/>
                <w:szCs w:val="16"/>
                <w:color w:val="auto"/>
              </w:rPr>
              <w:t>​ ​</w:t>
            </w:r>
          </w:p>
        </w:tc>
        <w:tc>
          <w:tcPr>
            <w:tcW w:w="980" w:type="dxa"/>
            <w:vAlign w:val="bottom"/>
            <w:shd w:val="clear" w:color="auto" w:fill="B2B2B2"/>
          </w:tcPr>
          <w:p>
            <w:pPr>
              <w:jc w:val="center"/>
              <w:ind w:right="41"/>
              <w:spacing w:after="0"/>
              <w:rPr>
                <w:sz w:val="20"/>
                <w:szCs w:val="20"/>
                <w:color w:val="auto"/>
              </w:rPr>
            </w:pPr>
            <w:r>
              <w:rPr>
                <w:rFonts w:ascii="Arial" w:cs="Arial" w:eastAsia="Arial" w:hAnsi="Arial"/>
                <w:sz w:val="16"/>
                <w:szCs w:val="16"/>
                <w:color w:val="auto"/>
              </w:rPr>
              <w:t>•</w:t>
            </w:r>
          </w:p>
        </w:tc>
        <w:tc>
          <w:tcPr>
            <w:tcW w:w="220" w:type="dxa"/>
            <w:vAlign w:val="bottom"/>
            <w:shd w:val="clear" w:color="auto" w:fill="B2B2B2"/>
          </w:tcPr>
          <w:p>
            <w:pPr>
              <w:ind w:left="40"/>
              <w:spacing w:after="0"/>
              <w:rPr>
                <w:sz w:val="20"/>
                <w:szCs w:val="20"/>
                <w:color w:val="auto"/>
              </w:rPr>
            </w:pPr>
            <w:r>
              <w:rPr>
                <w:rFonts w:ascii="Arial" w:cs="Arial" w:eastAsia="Arial" w:hAnsi="Arial"/>
                <w:sz w:val="16"/>
                <w:szCs w:val="16"/>
                <w:color w:val="auto"/>
              </w:rPr>
              <w:t>​ ​</w:t>
            </w:r>
          </w:p>
        </w:tc>
        <w:tc>
          <w:tcPr>
            <w:tcW w:w="240" w:type="dxa"/>
            <w:vAlign w:val="bottom"/>
            <w:shd w:val="clear" w:color="auto" w:fill="B2B2B2"/>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B2B2B2"/>
          </w:tcPr>
          <w:p>
            <w:pPr>
              <w:ind w:left="100"/>
              <w:spacing w:after="0"/>
              <w:rPr>
                <w:sz w:val="20"/>
                <w:szCs w:val="20"/>
                <w:color w:val="auto"/>
              </w:rPr>
            </w:pPr>
            <w:r>
              <w:rPr>
                <w:rFonts w:ascii="Arial" w:cs="Arial" w:eastAsia="Arial" w:hAnsi="Arial"/>
                <w:sz w:val="16"/>
                <w:szCs w:val="16"/>
                <w:color w:val="auto"/>
              </w:rPr>
              <w:t>​ ​</w:t>
            </w:r>
          </w:p>
        </w:tc>
        <w:tc>
          <w:tcPr>
            <w:tcW w:w="900" w:type="dxa"/>
            <w:vAlign w:val="bottom"/>
            <w:shd w:val="clear" w:color="auto" w:fill="B2B2B2"/>
          </w:tcPr>
          <w:p>
            <w:pPr>
              <w:jc w:val="right"/>
              <w:ind w:right="4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B2B2B2"/>
          </w:tcPr>
          <w:p>
            <w:pPr>
              <w:jc w:val="center"/>
              <w:spacing w:after="0"/>
              <w:rPr>
                <w:sz w:val="20"/>
                <w:szCs w:val="20"/>
                <w:color w:val="auto"/>
              </w:rPr>
            </w:pPr>
            <w:r>
              <w:rPr>
                <w:rFonts w:ascii="Arial" w:cs="Arial" w:eastAsia="Arial" w:hAnsi="Arial"/>
                <w:sz w:val="16"/>
                <w:szCs w:val="16"/>
                <w:color w:val="auto"/>
              </w:rPr>
              <w:t>•</w:t>
            </w:r>
          </w:p>
        </w:tc>
        <w:tc>
          <w:tcPr>
            <w:tcW w:w="880" w:type="dxa"/>
            <w:vAlign w:val="bottom"/>
            <w:shd w:val="clear" w:color="auto" w:fill="B2B2B2"/>
          </w:tcPr>
          <w:p>
            <w:pPr>
              <w:jc w:val="center"/>
              <w:ind w:lef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1140" w:type="dxa"/>
            <w:vAlign w:val="bottom"/>
            <w:shd w:val="clear" w:color="auto" w:fill="B2B2B2"/>
          </w:tcPr>
          <w:p>
            <w:pPr>
              <w:spacing w:after="0"/>
              <w:rPr>
                <w:sz w:val="17"/>
                <w:szCs w:val="17"/>
                <w:color w:val="auto"/>
              </w:rPr>
            </w:pPr>
          </w:p>
        </w:tc>
        <w:tc>
          <w:tcPr>
            <w:tcW w:w="540" w:type="dxa"/>
            <w:vAlign w:val="bottom"/>
            <w:shd w:val="clear" w:color="auto" w:fill="B2B2B2"/>
          </w:tcPr>
          <w:p>
            <w:pPr>
              <w:spacing w:after="0"/>
              <w:rPr>
                <w:sz w:val="17"/>
                <w:szCs w:val="17"/>
                <w:color w:val="auto"/>
              </w:rPr>
            </w:pPr>
          </w:p>
        </w:tc>
        <w:tc>
          <w:tcPr>
            <w:tcW w:w="380" w:type="dxa"/>
            <w:vAlign w:val="bottom"/>
            <w:shd w:val="clear" w:color="auto" w:fill="B2B2B2"/>
          </w:tcPr>
          <w:p>
            <w:pPr>
              <w:spacing w:after="0"/>
              <w:rPr>
                <w:sz w:val="17"/>
                <w:szCs w:val="17"/>
                <w:color w:val="auto"/>
              </w:rPr>
            </w:pPr>
          </w:p>
        </w:tc>
        <w:tc>
          <w:tcPr>
            <w:tcW w:w="320" w:type="dxa"/>
            <w:vAlign w:val="bottom"/>
            <w:shd w:val="clear" w:color="auto" w:fill="B2B2B2"/>
          </w:tcPr>
          <w:p>
            <w:pPr>
              <w:spacing w:after="0"/>
              <w:rPr>
                <w:sz w:val="17"/>
                <w:szCs w:val="17"/>
                <w:color w:val="auto"/>
              </w:rPr>
            </w:pPr>
          </w:p>
        </w:tc>
        <w:tc>
          <w:tcPr>
            <w:tcW w:w="440" w:type="dxa"/>
            <w:vAlign w:val="bottom"/>
            <w:shd w:val="clear" w:color="auto" w:fill="B2B2B2"/>
          </w:tcPr>
          <w:p>
            <w:pPr>
              <w:spacing w:after="0"/>
              <w:rPr>
                <w:sz w:val="17"/>
                <w:szCs w:val="17"/>
                <w:color w:val="auto"/>
              </w:rPr>
            </w:pPr>
          </w:p>
        </w:tc>
        <w:tc>
          <w:tcPr>
            <w:tcW w:w="460" w:type="dxa"/>
            <w:vAlign w:val="bottom"/>
            <w:shd w:val="clear" w:color="auto" w:fill="B2B2B2"/>
          </w:tcPr>
          <w:p>
            <w:pPr>
              <w:spacing w:after="0"/>
              <w:rPr>
                <w:sz w:val="17"/>
                <w:szCs w:val="17"/>
                <w:color w:val="auto"/>
              </w:rPr>
            </w:pPr>
          </w:p>
        </w:tc>
        <w:tc>
          <w:tcPr>
            <w:tcW w:w="400" w:type="dxa"/>
            <w:vAlign w:val="bottom"/>
            <w:shd w:val="clear" w:color="auto" w:fill="B2B2B2"/>
          </w:tcPr>
          <w:p>
            <w:pPr>
              <w:spacing w:after="0"/>
              <w:rPr>
                <w:sz w:val="17"/>
                <w:szCs w:val="17"/>
                <w:color w:val="auto"/>
              </w:rPr>
            </w:pPr>
          </w:p>
        </w:tc>
        <w:tc>
          <w:tcPr>
            <w:tcW w:w="98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240" w:type="dxa"/>
            <w:vAlign w:val="bottom"/>
            <w:shd w:val="clear" w:color="auto" w:fill="B2B2B2"/>
          </w:tcPr>
          <w:p>
            <w:pPr>
              <w:spacing w:after="0"/>
              <w:rPr>
                <w:sz w:val="17"/>
                <w:szCs w:val="17"/>
                <w:color w:val="auto"/>
              </w:rPr>
            </w:pPr>
          </w:p>
        </w:tc>
        <w:tc>
          <w:tcPr>
            <w:tcW w:w="240" w:type="dxa"/>
            <w:vAlign w:val="bottom"/>
            <w:shd w:val="clear" w:color="auto" w:fill="B2B2B2"/>
          </w:tcPr>
          <w:p>
            <w:pPr>
              <w:spacing w:after="0"/>
              <w:rPr>
                <w:sz w:val="17"/>
                <w:szCs w:val="17"/>
                <w:color w:val="auto"/>
              </w:rPr>
            </w:pPr>
          </w:p>
        </w:tc>
        <w:tc>
          <w:tcPr>
            <w:tcW w:w="900" w:type="dxa"/>
            <w:vAlign w:val="bottom"/>
            <w:shd w:val="clear" w:color="auto" w:fill="B2B2B2"/>
          </w:tcPr>
          <w:p>
            <w:pPr>
              <w:spacing w:after="0"/>
              <w:rPr>
                <w:sz w:val="17"/>
                <w:szCs w:val="17"/>
                <w:color w:val="auto"/>
              </w:rPr>
            </w:pPr>
          </w:p>
        </w:tc>
        <w:tc>
          <w:tcPr>
            <w:tcW w:w="1060" w:type="dxa"/>
            <w:vAlign w:val="bottom"/>
            <w:shd w:val="clear" w:color="auto" w:fill="B2B2B2"/>
          </w:tcPr>
          <w:p>
            <w:pPr>
              <w:spacing w:after="0"/>
              <w:rPr>
                <w:sz w:val="17"/>
                <w:szCs w:val="17"/>
                <w:color w:val="auto"/>
              </w:rPr>
            </w:pPr>
          </w:p>
        </w:tc>
        <w:tc>
          <w:tcPr>
            <w:tcW w:w="880" w:type="dxa"/>
            <w:vAlign w:val="bottom"/>
            <w:shd w:val="clear" w:color="auto" w:fill="B2B2B2"/>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1140" w:type="dxa"/>
            <w:vAlign w:val="bottom"/>
          </w:tcPr>
          <w:p>
            <w:pPr>
              <w:ind w:left="20"/>
              <w:spacing w:after="0"/>
              <w:rPr>
                <w:sz w:val="20"/>
                <w:szCs w:val="20"/>
                <w:color w:val="auto"/>
              </w:rPr>
            </w:pPr>
            <w:r>
              <w:rPr>
                <w:rFonts w:ascii="Arial" w:cs="Arial" w:eastAsia="Arial" w:hAnsi="Arial"/>
                <w:sz w:val="16"/>
                <w:szCs w:val="16"/>
                <w:color w:val="auto"/>
              </w:rPr>
              <w:t>Francis “Skip”</w:t>
            </w:r>
          </w:p>
        </w:tc>
        <w:tc>
          <w:tcPr>
            <w:tcW w:w="54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ind w:left="140"/>
              <w:spacing w:after="0"/>
              <w:rPr>
                <w:sz w:val="20"/>
                <w:szCs w:val="20"/>
                <w:color w:val="auto"/>
              </w:rPr>
            </w:pPr>
            <w:r>
              <w:rPr>
                <w:rFonts w:ascii="Arial" w:cs="Arial" w:eastAsia="Arial" w:hAnsi="Arial"/>
                <w:sz w:val="16"/>
                <w:szCs w:val="16"/>
                <w:color w:val="auto"/>
              </w:rPr>
              <w:t>​ ​</w:t>
            </w:r>
          </w:p>
        </w:tc>
        <w:tc>
          <w:tcPr>
            <w:tcW w:w="320" w:type="dxa"/>
            <w:vAlign w:val="bottom"/>
          </w:tcPr>
          <w:p>
            <w:pPr>
              <w:spacing w:after="0"/>
              <w:rPr>
                <w:sz w:val="24"/>
                <w:szCs w:val="24"/>
                <w:color w:val="auto"/>
              </w:rPr>
            </w:pPr>
          </w:p>
        </w:tc>
        <w:tc>
          <w:tcPr>
            <w:tcW w:w="440" w:type="dxa"/>
            <w:vAlign w:val="bottom"/>
            <w:vMerge w:val="restart"/>
          </w:tcPr>
          <w:p>
            <w:pPr>
              <w:ind w:left="160"/>
              <w:spacing w:after="0"/>
              <w:rPr>
                <w:sz w:val="20"/>
                <w:szCs w:val="20"/>
                <w:color w:val="auto"/>
              </w:rPr>
            </w:pPr>
            <w:r>
              <w:rPr>
                <w:rFonts w:ascii="Arial" w:cs="Arial" w:eastAsia="Arial" w:hAnsi="Arial"/>
                <w:sz w:val="16"/>
                <w:szCs w:val="16"/>
                <w:color w:val="auto"/>
              </w:rPr>
              <w:t>​ ​</w:t>
            </w:r>
          </w:p>
        </w:tc>
        <w:tc>
          <w:tcPr>
            <w:tcW w:w="460" w:type="dxa"/>
            <w:vAlign w:val="bottom"/>
          </w:tcPr>
          <w:p>
            <w:pPr>
              <w:spacing w:after="0"/>
              <w:rPr>
                <w:sz w:val="24"/>
                <w:szCs w:val="24"/>
                <w:color w:val="auto"/>
              </w:rPr>
            </w:pPr>
          </w:p>
        </w:tc>
        <w:tc>
          <w:tcPr>
            <w:tcW w:w="400" w:type="dxa"/>
            <w:vAlign w:val="bottom"/>
            <w:vMerge w:val="restart"/>
          </w:tcPr>
          <w:p>
            <w:pPr>
              <w:jc w:val="right"/>
              <w:ind w:right="20"/>
              <w:spacing w:after="0"/>
              <w:rPr>
                <w:sz w:val="20"/>
                <w:szCs w:val="20"/>
                <w:color w:val="auto"/>
              </w:rPr>
            </w:pPr>
            <w:r>
              <w:rPr>
                <w:rFonts w:ascii="Arial" w:cs="Arial" w:eastAsia="Arial" w:hAnsi="Arial"/>
                <w:sz w:val="16"/>
                <w:szCs w:val="16"/>
                <w:color w:val="auto"/>
              </w:rPr>
              <w:t>​ ​</w:t>
            </w:r>
          </w:p>
        </w:tc>
        <w:tc>
          <w:tcPr>
            <w:tcW w:w="980" w:type="dxa"/>
            <w:vAlign w:val="bottom"/>
            <w:vMerge w:val="restart"/>
          </w:tcPr>
          <w:p>
            <w:pPr>
              <w:jc w:val="center"/>
              <w:ind w:right="41"/>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100"/>
              <w:spacing w:after="0"/>
              <w:rPr>
                <w:sz w:val="20"/>
                <w:szCs w:val="20"/>
                <w:color w:val="auto"/>
              </w:rPr>
            </w:pPr>
            <w:r>
              <w:rPr>
                <w:rFonts w:ascii="Arial" w:cs="Arial" w:eastAsia="Arial" w:hAnsi="Arial"/>
                <w:sz w:val="16"/>
                <w:szCs w:val="16"/>
                <w:color w:val="auto"/>
              </w:rPr>
              <w:t>​ ​</w:t>
            </w:r>
          </w:p>
        </w:tc>
        <w:tc>
          <w:tcPr>
            <w:tcW w:w="900" w:type="dxa"/>
            <w:vAlign w:val="bottom"/>
            <w:vMerge w:val="restart"/>
          </w:tcPr>
          <w:p>
            <w:pPr>
              <w:jc w:val="right"/>
              <w:ind w:right="400"/>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center"/>
              <w:ind w:lef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7"/>
        </w:trPr>
        <w:tc>
          <w:tcPr>
            <w:tcW w:w="1140" w:type="dxa"/>
            <w:vAlign w:val="bottom"/>
            <w:vMerge w:val="restart"/>
          </w:tcPr>
          <w:p>
            <w:pPr>
              <w:ind w:left="20"/>
              <w:spacing w:after="0"/>
              <w:rPr>
                <w:sz w:val="20"/>
                <w:szCs w:val="20"/>
                <w:color w:val="auto"/>
              </w:rPr>
            </w:pPr>
            <w:r>
              <w:rPr>
                <w:rFonts w:ascii="Arial" w:cs="Arial" w:eastAsia="Arial" w:hAnsi="Arial"/>
                <w:sz w:val="16"/>
                <w:szCs w:val="16"/>
                <w:color w:val="auto"/>
              </w:rPr>
              <w:t>Frantz</w:t>
            </w:r>
          </w:p>
        </w:tc>
        <w:tc>
          <w:tcPr>
            <w:tcW w:w="54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140" w:type="dxa"/>
            <w:vAlign w:val="bottom"/>
            <w:shd w:val="clear" w:color="auto" w:fill="B2B2B2"/>
          </w:tcPr>
          <w:p>
            <w:pPr>
              <w:ind w:left="20"/>
              <w:spacing w:after="0"/>
              <w:rPr>
                <w:sz w:val="20"/>
                <w:szCs w:val="20"/>
                <w:color w:val="auto"/>
              </w:rPr>
            </w:pPr>
            <w:r>
              <w:rPr>
                <w:rFonts w:ascii="Arial" w:cs="Arial" w:eastAsia="Arial" w:hAnsi="Arial"/>
                <w:sz w:val="16"/>
                <w:szCs w:val="16"/>
                <w:color w:val="auto"/>
              </w:rPr>
              <w:t>Kenny</w:t>
            </w:r>
          </w:p>
        </w:tc>
        <w:tc>
          <w:tcPr>
            <w:tcW w:w="540" w:type="dxa"/>
            <w:vAlign w:val="bottom"/>
            <w:vMerge w:val="restart"/>
            <w:shd w:val="clear" w:color="auto" w:fill="B2B2B2"/>
          </w:tcPr>
          <w:p>
            <w:pPr>
              <w:ind w:left="340"/>
              <w:spacing w:after="0"/>
              <w:rPr>
                <w:sz w:val="20"/>
                <w:szCs w:val="20"/>
                <w:color w:val="auto"/>
              </w:rPr>
            </w:pPr>
            <w:r>
              <w:rPr>
                <w:rFonts w:ascii="Arial" w:cs="Arial" w:eastAsia="Arial" w:hAnsi="Arial"/>
                <w:sz w:val="16"/>
                <w:szCs w:val="16"/>
                <w:color w:val="auto"/>
              </w:rPr>
              <w:t>•</w:t>
            </w:r>
          </w:p>
        </w:tc>
        <w:tc>
          <w:tcPr>
            <w:tcW w:w="380" w:type="dxa"/>
            <w:vAlign w:val="bottom"/>
            <w:vMerge w:val="restart"/>
            <w:shd w:val="clear" w:color="auto" w:fill="B2B2B2"/>
          </w:tcPr>
          <w:p>
            <w:pPr>
              <w:ind w:left="140"/>
              <w:spacing w:after="0"/>
              <w:rPr>
                <w:sz w:val="20"/>
                <w:szCs w:val="20"/>
                <w:color w:val="auto"/>
              </w:rPr>
            </w:pPr>
            <w:r>
              <w:rPr>
                <w:rFonts w:ascii="Arial" w:cs="Arial" w:eastAsia="Arial" w:hAnsi="Arial"/>
                <w:sz w:val="16"/>
                <w:szCs w:val="16"/>
                <w:color w:val="auto"/>
              </w:rPr>
              <w:t>​ ​</w:t>
            </w:r>
          </w:p>
        </w:tc>
        <w:tc>
          <w:tcPr>
            <w:tcW w:w="320" w:type="dxa"/>
            <w:vAlign w:val="bottom"/>
            <w:vMerge w:val="restart"/>
            <w:shd w:val="clear" w:color="auto" w:fill="B2B2B2"/>
          </w:tcPr>
          <w:p>
            <w:pPr>
              <w:ind w:left="120"/>
              <w:spacing w:after="0"/>
              <w:rPr>
                <w:sz w:val="20"/>
                <w:szCs w:val="20"/>
                <w:color w:val="auto"/>
              </w:rPr>
            </w:pPr>
            <w:r>
              <w:rPr>
                <w:rFonts w:ascii="Arial" w:cs="Arial" w:eastAsia="Arial" w:hAnsi="Arial"/>
                <w:sz w:val="16"/>
                <w:szCs w:val="16"/>
                <w:color w:val="auto"/>
              </w:rPr>
              <w:t>•</w:t>
            </w:r>
          </w:p>
        </w:tc>
        <w:tc>
          <w:tcPr>
            <w:tcW w:w="440" w:type="dxa"/>
            <w:vAlign w:val="bottom"/>
            <w:vMerge w:val="restart"/>
            <w:shd w:val="clear" w:color="auto" w:fill="B2B2B2"/>
          </w:tcPr>
          <w:p>
            <w:pPr>
              <w:ind w:left="160"/>
              <w:spacing w:after="0"/>
              <w:rPr>
                <w:sz w:val="20"/>
                <w:szCs w:val="20"/>
                <w:color w:val="auto"/>
              </w:rPr>
            </w:pPr>
            <w:r>
              <w:rPr>
                <w:rFonts w:ascii="Arial" w:cs="Arial" w:eastAsia="Arial" w:hAnsi="Arial"/>
                <w:sz w:val="16"/>
                <w:szCs w:val="16"/>
                <w:color w:val="auto"/>
              </w:rPr>
              <w:t>​ ​</w:t>
            </w:r>
          </w:p>
        </w:tc>
        <w:tc>
          <w:tcPr>
            <w:tcW w:w="460" w:type="dxa"/>
            <w:vAlign w:val="bottom"/>
            <w:vMerge w:val="restart"/>
            <w:shd w:val="clear" w:color="auto" w:fill="B2B2B2"/>
          </w:tcPr>
          <w:p>
            <w:pPr>
              <w:ind w:left="180"/>
              <w:spacing w:after="0"/>
              <w:rPr>
                <w:sz w:val="20"/>
                <w:szCs w:val="20"/>
                <w:color w:val="auto"/>
              </w:rPr>
            </w:pPr>
            <w:r>
              <w:rPr>
                <w:rFonts w:ascii="Arial" w:cs="Arial" w:eastAsia="Arial" w:hAnsi="Arial"/>
                <w:sz w:val="16"/>
                <w:szCs w:val="16"/>
                <w:color w:val="auto"/>
              </w:rPr>
              <w:t>•</w:t>
            </w:r>
          </w:p>
        </w:tc>
        <w:tc>
          <w:tcPr>
            <w:tcW w:w="400" w:type="dxa"/>
            <w:vAlign w:val="bottom"/>
            <w:vMerge w:val="restart"/>
            <w:shd w:val="clear" w:color="auto" w:fill="B2B2B2"/>
          </w:tcPr>
          <w:p>
            <w:pPr>
              <w:jc w:val="right"/>
              <w:ind w:right="20"/>
              <w:spacing w:after="0"/>
              <w:rPr>
                <w:sz w:val="20"/>
                <w:szCs w:val="20"/>
                <w:color w:val="auto"/>
              </w:rPr>
            </w:pPr>
            <w:r>
              <w:rPr>
                <w:rFonts w:ascii="Arial" w:cs="Arial" w:eastAsia="Arial" w:hAnsi="Arial"/>
                <w:sz w:val="16"/>
                <w:szCs w:val="16"/>
                <w:color w:val="auto"/>
              </w:rPr>
              <w:t>​ ​</w:t>
            </w:r>
          </w:p>
        </w:tc>
        <w:tc>
          <w:tcPr>
            <w:tcW w:w="980" w:type="dxa"/>
            <w:vAlign w:val="bottom"/>
            <w:vMerge w:val="restart"/>
            <w:shd w:val="clear" w:color="auto" w:fill="B2B2B2"/>
          </w:tcPr>
          <w:p>
            <w:pPr>
              <w:jc w:val="center"/>
              <w:ind w:right="41"/>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B2B2B2"/>
          </w:tcPr>
          <w:p>
            <w:pPr>
              <w:ind w:left="40"/>
              <w:spacing w:after="0"/>
              <w:rPr>
                <w:sz w:val="20"/>
                <w:szCs w:val="20"/>
                <w:color w:val="auto"/>
              </w:rPr>
            </w:pPr>
            <w:r>
              <w:rPr>
                <w:rFonts w:ascii="Arial" w:cs="Arial" w:eastAsia="Arial" w:hAnsi="Arial"/>
                <w:sz w:val="16"/>
                <w:szCs w:val="16"/>
                <w:color w:val="auto"/>
              </w:rPr>
              <w:t>​ ​</w:t>
            </w:r>
          </w:p>
        </w:tc>
        <w:tc>
          <w:tcPr>
            <w:tcW w:w="240" w:type="dxa"/>
            <w:vAlign w:val="bottom"/>
            <w:vMerge w:val="restart"/>
            <w:shd w:val="clear" w:color="auto" w:fill="B2B2B2"/>
          </w:tcPr>
          <w:p>
            <w:pPr>
              <w:jc w:val="right"/>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B2B2B2"/>
          </w:tcPr>
          <w:p>
            <w:pPr>
              <w:ind w:left="100"/>
              <w:spacing w:after="0"/>
              <w:rPr>
                <w:sz w:val="20"/>
                <w:szCs w:val="20"/>
                <w:color w:val="auto"/>
              </w:rPr>
            </w:pPr>
            <w:r>
              <w:rPr>
                <w:rFonts w:ascii="Arial" w:cs="Arial" w:eastAsia="Arial" w:hAnsi="Arial"/>
                <w:sz w:val="16"/>
                <w:szCs w:val="16"/>
                <w:color w:val="auto"/>
              </w:rPr>
              <w:t>​ ​</w:t>
            </w:r>
          </w:p>
        </w:tc>
        <w:tc>
          <w:tcPr>
            <w:tcW w:w="900" w:type="dxa"/>
            <w:vAlign w:val="bottom"/>
            <w:vMerge w:val="restart"/>
            <w:shd w:val="clear" w:color="auto" w:fill="B2B2B2"/>
          </w:tcPr>
          <w:p>
            <w:pPr>
              <w:jc w:val="right"/>
              <w:ind w:right="400"/>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B2B2B2"/>
          </w:tcPr>
          <w:p>
            <w:pPr>
              <w:jc w:val="center"/>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B2B2B2"/>
          </w:tcPr>
          <w:p>
            <w:pPr>
              <w:jc w:val="center"/>
              <w:ind w:lef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7"/>
        </w:trPr>
        <w:tc>
          <w:tcPr>
            <w:tcW w:w="1140" w:type="dxa"/>
            <w:vAlign w:val="bottom"/>
            <w:vMerge w:val="restart"/>
            <w:shd w:val="clear" w:color="auto" w:fill="B2B2B2"/>
          </w:tcPr>
          <w:p>
            <w:pPr>
              <w:ind w:left="20"/>
              <w:spacing w:after="0"/>
              <w:rPr>
                <w:sz w:val="20"/>
                <w:szCs w:val="20"/>
                <w:color w:val="auto"/>
              </w:rPr>
            </w:pPr>
            <w:r>
              <w:rPr>
                <w:rFonts w:ascii="Arial" w:cs="Arial" w:eastAsia="Arial" w:hAnsi="Arial"/>
                <w:sz w:val="16"/>
                <w:szCs w:val="16"/>
                <w:color w:val="auto"/>
              </w:rPr>
              <w:t>Gunderman</w:t>
            </w:r>
          </w:p>
        </w:tc>
        <w:tc>
          <w:tcPr>
            <w:tcW w:w="540" w:type="dxa"/>
            <w:vAlign w:val="bottom"/>
            <w:vMerge w:val="continue"/>
            <w:shd w:val="clear" w:color="auto" w:fill="B2B2B2"/>
          </w:tcPr>
          <w:p>
            <w:pPr>
              <w:spacing w:after="0"/>
              <w:rPr>
                <w:sz w:val="9"/>
                <w:szCs w:val="9"/>
                <w:color w:val="auto"/>
              </w:rPr>
            </w:pPr>
          </w:p>
        </w:tc>
        <w:tc>
          <w:tcPr>
            <w:tcW w:w="380" w:type="dxa"/>
            <w:vAlign w:val="bottom"/>
            <w:vMerge w:val="continue"/>
            <w:shd w:val="clear" w:color="auto" w:fill="B2B2B2"/>
          </w:tcPr>
          <w:p>
            <w:pPr>
              <w:spacing w:after="0"/>
              <w:rPr>
                <w:sz w:val="9"/>
                <w:szCs w:val="9"/>
                <w:color w:val="auto"/>
              </w:rPr>
            </w:pPr>
          </w:p>
        </w:tc>
        <w:tc>
          <w:tcPr>
            <w:tcW w:w="320" w:type="dxa"/>
            <w:vAlign w:val="bottom"/>
            <w:vMerge w:val="continue"/>
            <w:shd w:val="clear" w:color="auto" w:fill="B2B2B2"/>
          </w:tcPr>
          <w:p>
            <w:pPr>
              <w:spacing w:after="0"/>
              <w:rPr>
                <w:sz w:val="9"/>
                <w:szCs w:val="9"/>
                <w:color w:val="auto"/>
              </w:rPr>
            </w:pPr>
          </w:p>
        </w:tc>
        <w:tc>
          <w:tcPr>
            <w:tcW w:w="440" w:type="dxa"/>
            <w:vAlign w:val="bottom"/>
            <w:vMerge w:val="continue"/>
            <w:shd w:val="clear" w:color="auto" w:fill="B2B2B2"/>
          </w:tcPr>
          <w:p>
            <w:pPr>
              <w:spacing w:after="0"/>
              <w:rPr>
                <w:sz w:val="9"/>
                <w:szCs w:val="9"/>
                <w:color w:val="auto"/>
              </w:rPr>
            </w:pPr>
          </w:p>
        </w:tc>
        <w:tc>
          <w:tcPr>
            <w:tcW w:w="460" w:type="dxa"/>
            <w:vAlign w:val="bottom"/>
            <w:vMerge w:val="continue"/>
            <w:shd w:val="clear" w:color="auto" w:fill="B2B2B2"/>
          </w:tcPr>
          <w:p>
            <w:pPr>
              <w:spacing w:after="0"/>
              <w:rPr>
                <w:sz w:val="9"/>
                <w:szCs w:val="9"/>
                <w:color w:val="auto"/>
              </w:rPr>
            </w:pPr>
          </w:p>
        </w:tc>
        <w:tc>
          <w:tcPr>
            <w:tcW w:w="400" w:type="dxa"/>
            <w:vAlign w:val="bottom"/>
            <w:vMerge w:val="continue"/>
            <w:shd w:val="clear" w:color="auto" w:fill="B2B2B2"/>
          </w:tcPr>
          <w:p>
            <w:pPr>
              <w:spacing w:after="0"/>
              <w:rPr>
                <w:sz w:val="9"/>
                <w:szCs w:val="9"/>
                <w:color w:val="auto"/>
              </w:rPr>
            </w:pPr>
          </w:p>
        </w:tc>
        <w:tc>
          <w:tcPr>
            <w:tcW w:w="980" w:type="dxa"/>
            <w:vAlign w:val="bottom"/>
            <w:vMerge w:val="continue"/>
            <w:shd w:val="clear" w:color="auto" w:fill="B2B2B2"/>
          </w:tcPr>
          <w:p>
            <w:pPr>
              <w:spacing w:after="0"/>
              <w:rPr>
                <w:sz w:val="9"/>
                <w:szCs w:val="9"/>
                <w:color w:val="auto"/>
              </w:rPr>
            </w:pPr>
          </w:p>
        </w:tc>
        <w:tc>
          <w:tcPr>
            <w:tcW w:w="220" w:type="dxa"/>
            <w:vAlign w:val="bottom"/>
            <w:vMerge w:val="continue"/>
            <w:shd w:val="clear" w:color="auto" w:fill="B2B2B2"/>
          </w:tcPr>
          <w:p>
            <w:pPr>
              <w:spacing w:after="0"/>
              <w:rPr>
                <w:sz w:val="9"/>
                <w:szCs w:val="9"/>
                <w:color w:val="auto"/>
              </w:rPr>
            </w:pPr>
          </w:p>
        </w:tc>
        <w:tc>
          <w:tcPr>
            <w:tcW w:w="240" w:type="dxa"/>
            <w:vAlign w:val="bottom"/>
            <w:vMerge w:val="continue"/>
            <w:shd w:val="clear" w:color="auto" w:fill="B2B2B2"/>
          </w:tcPr>
          <w:p>
            <w:pPr>
              <w:spacing w:after="0"/>
              <w:rPr>
                <w:sz w:val="9"/>
                <w:szCs w:val="9"/>
                <w:color w:val="auto"/>
              </w:rPr>
            </w:pPr>
          </w:p>
        </w:tc>
        <w:tc>
          <w:tcPr>
            <w:tcW w:w="240" w:type="dxa"/>
            <w:vAlign w:val="bottom"/>
            <w:vMerge w:val="continue"/>
            <w:shd w:val="clear" w:color="auto" w:fill="B2B2B2"/>
          </w:tcPr>
          <w:p>
            <w:pPr>
              <w:spacing w:after="0"/>
              <w:rPr>
                <w:sz w:val="9"/>
                <w:szCs w:val="9"/>
                <w:color w:val="auto"/>
              </w:rPr>
            </w:pPr>
          </w:p>
        </w:tc>
        <w:tc>
          <w:tcPr>
            <w:tcW w:w="900" w:type="dxa"/>
            <w:vAlign w:val="bottom"/>
            <w:vMerge w:val="continue"/>
            <w:shd w:val="clear" w:color="auto" w:fill="B2B2B2"/>
          </w:tcPr>
          <w:p>
            <w:pPr>
              <w:spacing w:after="0"/>
              <w:rPr>
                <w:sz w:val="9"/>
                <w:szCs w:val="9"/>
                <w:color w:val="auto"/>
              </w:rPr>
            </w:pPr>
          </w:p>
        </w:tc>
        <w:tc>
          <w:tcPr>
            <w:tcW w:w="1060" w:type="dxa"/>
            <w:vAlign w:val="bottom"/>
            <w:vMerge w:val="continue"/>
            <w:shd w:val="clear" w:color="auto" w:fill="B2B2B2"/>
          </w:tcPr>
          <w:p>
            <w:pPr>
              <w:spacing w:after="0"/>
              <w:rPr>
                <w:sz w:val="9"/>
                <w:szCs w:val="9"/>
                <w:color w:val="auto"/>
              </w:rPr>
            </w:pPr>
          </w:p>
        </w:tc>
        <w:tc>
          <w:tcPr>
            <w:tcW w:w="880" w:type="dxa"/>
            <w:vAlign w:val="bottom"/>
            <w:vMerge w:val="continue"/>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40" w:type="dxa"/>
            <w:vAlign w:val="bottom"/>
            <w:vMerge w:val="continue"/>
            <w:shd w:val="clear" w:color="auto" w:fill="B2B2B2"/>
          </w:tcPr>
          <w:p>
            <w:pPr>
              <w:spacing w:after="0"/>
              <w:rPr>
                <w:sz w:val="9"/>
                <w:szCs w:val="9"/>
                <w:color w:val="auto"/>
              </w:rPr>
            </w:pPr>
          </w:p>
        </w:tc>
        <w:tc>
          <w:tcPr>
            <w:tcW w:w="540" w:type="dxa"/>
            <w:vAlign w:val="bottom"/>
            <w:shd w:val="clear" w:color="auto" w:fill="B2B2B2"/>
          </w:tcPr>
          <w:p>
            <w:pPr>
              <w:spacing w:after="0"/>
              <w:rPr>
                <w:sz w:val="9"/>
                <w:szCs w:val="9"/>
                <w:color w:val="auto"/>
              </w:rPr>
            </w:pPr>
          </w:p>
        </w:tc>
        <w:tc>
          <w:tcPr>
            <w:tcW w:w="380" w:type="dxa"/>
            <w:vAlign w:val="bottom"/>
            <w:shd w:val="clear" w:color="auto" w:fill="B2B2B2"/>
          </w:tcPr>
          <w:p>
            <w:pPr>
              <w:spacing w:after="0"/>
              <w:rPr>
                <w:sz w:val="9"/>
                <w:szCs w:val="9"/>
                <w:color w:val="auto"/>
              </w:rPr>
            </w:pPr>
          </w:p>
        </w:tc>
        <w:tc>
          <w:tcPr>
            <w:tcW w:w="320" w:type="dxa"/>
            <w:vAlign w:val="bottom"/>
            <w:shd w:val="clear" w:color="auto" w:fill="B2B2B2"/>
          </w:tcPr>
          <w:p>
            <w:pPr>
              <w:spacing w:after="0"/>
              <w:rPr>
                <w:sz w:val="9"/>
                <w:szCs w:val="9"/>
                <w:color w:val="auto"/>
              </w:rPr>
            </w:pPr>
          </w:p>
        </w:tc>
        <w:tc>
          <w:tcPr>
            <w:tcW w:w="440" w:type="dxa"/>
            <w:vAlign w:val="bottom"/>
            <w:shd w:val="clear" w:color="auto" w:fill="B2B2B2"/>
          </w:tcPr>
          <w:p>
            <w:pPr>
              <w:spacing w:after="0"/>
              <w:rPr>
                <w:sz w:val="9"/>
                <w:szCs w:val="9"/>
                <w:color w:val="auto"/>
              </w:rPr>
            </w:pPr>
          </w:p>
        </w:tc>
        <w:tc>
          <w:tcPr>
            <w:tcW w:w="460" w:type="dxa"/>
            <w:vAlign w:val="bottom"/>
            <w:shd w:val="clear" w:color="auto" w:fill="B2B2B2"/>
          </w:tcPr>
          <w:p>
            <w:pPr>
              <w:spacing w:after="0"/>
              <w:rPr>
                <w:sz w:val="9"/>
                <w:szCs w:val="9"/>
                <w:color w:val="auto"/>
              </w:rPr>
            </w:pPr>
          </w:p>
        </w:tc>
        <w:tc>
          <w:tcPr>
            <w:tcW w:w="400" w:type="dxa"/>
            <w:vAlign w:val="bottom"/>
            <w:shd w:val="clear" w:color="auto" w:fill="B2B2B2"/>
          </w:tcPr>
          <w:p>
            <w:pPr>
              <w:spacing w:after="0"/>
              <w:rPr>
                <w:sz w:val="9"/>
                <w:szCs w:val="9"/>
                <w:color w:val="auto"/>
              </w:rPr>
            </w:pPr>
          </w:p>
        </w:tc>
        <w:tc>
          <w:tcPr>
            <w:tcW w:w="980" w:type="dxa"/>
            <w:vAlign w:val="bottom"/>
            <w:shd w:val="clear" w:color="auto" w:fill="B2B2B2"/>
          </w:tcPr>
          <w:p>
            <w:pPr>
              <w:spacing w:after="0"/>
              <w:rPr>
                <w:sz w:val="9"/>
                <w:szCs w:val="9"/>
                <w:color w:val="auto"/>
              </w:rPr>
            </w:pPr>
          </w:p>
        </w:tc>
        <w:tc>
          <w:tcPr>
            <w:tcW w:w="220" w:type="dxa"/>
            <w:vAlign w:val="bottom"/>
            <w:shd w:val="clear" w:color="auto" w:fill="B2B2B2"/>
          </w:tcPr>
          <w:p>
            <w:pPr>
              <w:spacing w:after="0"/>
              <w:rPr>
                <w:sz w:val="9"/>
                <w:szCs w:val="9"/>
                <w:color w:val="auto"/>
              </w:rPr>
            </w:pPr>
          </w:p>
        </w:tc>
        <w:tc>
          <w:tcPr>
            <w:tcW w:w="240" w:type="dxa"/>
            <w:vAlign w:val="bottom"/>
            <w:shd w:val="clear" w:color="auto" w:fill="B2B2B2"/>
          </w:tcPr>
          <w:p>
            <w:pPr>
              <w:spacing w:after="0"/>
              <w:rPr>
                <w:sz w:val="9"/>
                <w:szCs w:val="9"/>
                <w:color w:val="auto"/>
              </w:rPr>
            </w:pPr>
          </w:p>
        </w:tc>
        <w:tc>
          <w:tcPr>
            <w:tcW w:w="240" w:type="dxa"/>
            <w:vAlign w:val="bottom"/>
            <w:shd w:val="clear" w:color="auto" w:fill="B2B2B2"/>
          </w:tcPr>
          <w:p>
            <w:pPr>
              <w:spacing w:after="0"/>
              <w:rPr>
                <w:sz w:val="9"/>
                <w:szCs w:val="9"/>
                <w:color w:val="auto"/>
              </w:rPr>
            </w:pPr>
          </w:p>
        </w:tc>
        <w:tc>
          <w:tcPr>
            <w:tcW w:w="900" w:type="dxa"/>
            <w:vAlign w:val="bottom"/>
            <w:shd w:val="clear" w:color="auto" w:fill="B2B2B2"/>
          </w:tcPr>
          <w:p>
            <w:pPr>
              <w:spacing w:after="0"/>
              <w:rPr>
                <w:sz w:val="9"/>
                <w:szCs w:val="9"/>
                <w:color w:val="auto"/>
              </w:rPr>
            </w:pPr>
          </w:p>
        </w:tc>
        <w:tc>
          <w:tcPr>
            <w:tcW w:w="1060" w:type="dxa"/>
            <w:vAlign w:val="bottom"/>
            <w:shd w:val="clear" w:color="auto" w:fill="B2B2B2"/>
          </w:tcPr>
          <w:p>
            <w:pPr>
              <w:spacing w:after="0"/>
              <w:rPr>
                <w:sz w:val="9"/>
                <w:szCs w:val="9"/>
                <w:color w:val="auto"/>
              </w:rPr>
            </w:pPr>
          </w:p>
        </w:tc>
        <w:tc>
          <w:tcPr>
            <w:tcW w:w="880" w:type="dxa"/>
            <w:vAlign w:val="bottom"/>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140" w:type="dxa"/>
            <w:vAlign w:val="bottom"/>
            <w:shd w:val="clear" w:color="auto" w:fill="B2B2B2"/>
          </w:tcPr>
          <w:p>
            <w:pPr>
              <w:spacing w:after="0"/>
              <w:rPr>
                <w:sz w:val="7"/>
                <w:szCs w:val="7"/>
                <w:color w:val="auto"/>
              </w:rPr>
            </w:pPr>
          </w:p>
        </w:tc>
        <w:tc>
          <w:tcPr>
            <w:tcW w:w="540" w:type="dxa"/>
            <w:vAlign w:val="bottom"/>
            <w:shd w:val="clear" w:color="auto" w:fill="B2B2B2"/>
          </w:tcPr>
          <w:p>
            <w:pPr>
              <w:spacing w:after="0"/>
              <w:rPr>
                <w:sz w:val="7"/>
                <w:szCs w:val="7"/>
                <w:color w:val="auto"/>
              </w:rPr>
            </w:pPr>
          </w:p>
        </w:tc>
        <w:tc>
          <w:tcPr>
            <w:tcW w:w="380" w:type="dxa"/>
            <w:vAlign w:val="bottom"/>
            <w:shd w:val="clear" w:color="auto" w:fill="B2B2B2"/>
          </w:tcPr>
          <w:p>
            <w:pPr>
              <w:spacing w:after="0"/>
              <w:rPr>
                <w:sz w:val="7"/>
                <w:szCs w:val="7"/>
                <w:color w:val="auto"/>
              </w:rPr>
            </w:pPr>
          </w:p>
        </w:tc>
        <w:tc>
          <w:tcPr>
            <w:tcW w:w="320" w:type="dxa"/>
            <w:vAlign w:val="bottom"/>
            <w:shd w:val="clear" w:color="auto" w:fill="B2B2B2"/>
          </w:tcPr>
          <w:p>
            <w:pPr>
              <w:spacing w:after="0"/>
              <w:rPr>
                <w:sz w:val="7"/>
                <w:szCs w:val="7"/>
                <w:color w:val="auto"/>
              </w:rPr>
            </w:pPr>
          </w:p>
        </w:tc>
        <w:tc>
          <w:tcPr>
            <w:tcW w:w="440" w:type="dxa"/>
            <w:vAlign w:val="bottom"/>
            <w:shd w:val="clear" w:color="auto" w:fill="B2B2B2"/>
          </w:tcPr>
          <w:p>
            <w:pPr>
              <w:spacing w:after="0"/>
              <w:rPr>
                <w:sz w:val="7"/>
                <w:szCs w:val="7"/>
                <w:color w:val="auto"/>
              </w:rPr>
            </w:pPr>
          </w:p>
        </w:tc>
        <w:tc>
          <w:tcPr>
            <w:tcW w:w="460" w:type="dxa"/>
            <w:vAlign w:val="bottom"/>
            <w:shd w:val="clear" w:color="auto" w:fill="B2B2B2"/>
          </w:tcPr>
          <w:p>
            <w:pPr>
              <w:spacing w:after="0"/>
              <w:rPr>
                <w:sz w:val="7"/>
                <w:szCs w:val="7"/>
                <w:color w:val="auto"/>
              </w:rPr>
            </w:pPr>
          </w:p>
        </w:tc>
        <w:tc>
          <w:tcPr>
            <w:tcW w:w="400" w:type="dxa"/>
            <w:vAlign w:val="bottom"/>
            <w:shd w:val="clear" w:color="auto" w:fill="B2B2B2"/>
          </w:tcPr>
          <w:p>
            <w:pPr>
              <w:spacing w:after="0"/>
              <w:rPr>
                <w:sz w:val="7"/>
                <w:szCs w:val="7"/>
                <w:color w:val="auto"/>
              </w:rPr>
            </w:pPr>
          </w:p>
        </w:tc>
        <w:tc>
          <w:tcPr>
            <w:tcW w:w="980" w:type="dxa"/>
            <w:vAlign w:val="bottom"/>
            <w:shd w:val="clear" w:color="auto" w:fill="B2B2B2"/>
          </w:tcPr>
          <w:p>
            <w:pPr>
              <w:spacing w:after="0"/>
              <w:rPr>
                <w:sz w:val="7"/>
                <w:szCs w:val="7"/>
                <w:color w:val="auto"/>
              </w:rPr>
            </w:pPr>
          </w:p>
        </w:tc>
        <w:tc>
          <w:tcPr>
            <w:tcW w:w="220" w:type="dxa"/>
            <w:vAlign w:val="bottom"/>
            <w:shd w:val="clear" w:color="auto" w:fill="B2B2B2"/>
          </w:tcPr>
          <w:p>
            <w:pPr>
              <w:spacing w:after="0"/>
              <w:rPr>
                <w:sz w:val="7"/>
                <w:szCs w:val="7"/>
                <w:color w:val="auto"/>
              </w:rPr>
            </w:pPr>
          </w:p>
        </w:tc>
        <w:tc>
          <w:tcPr>
            <w:tcW w:w="240" w:type="dxa"/>
            <w:vAlign w:val="bottom"/>
            <w:shd w:val="clear" w:color="auto" w:fill="B2B2B2"/>
          </w:tcPr>
          <w:p>
            <w:pPr>
              <w:spacing w:after="0"/>
              <w:rPr>
                <w:sz w:val="7"/>
                <w:szCs w:val="7"/>
                <w:color w:val="auto"/>
              </w:rPr>
            </w:pPr>
          </w:p>
        </w:tc>
        <w:tc>
          <w:tcPr>
            <w:tcW w:w="240" w:type="dxa"/>
            <w:vAlign w:val="bottom"/>
            <w:shd w:val="clear" w:color="auto" w:fill="B2B2B2"/>
          </w:tcPr>
          <w:p>
            <w:pPr>
              <w:spacing w:after="0"/>
              <w:rPr>
                <w:sz w:val="7"/>
                <w:szCs w:val="7"/>
                <w:color w:val="auto"/>
              </w:rPr>
            </w:pPr>
          </w:p>
        </w:tc>
        <w:tc>
          <w:tcPr>
            <w:tcW w:w="900" w:type="dxa"/>
            <w:vAlign w:val="bottom"/>
            <w:shd w:val="clear" w:color="auto" w:fill="B2B2B2"/>
          </w:tcPr>
          <w:p>
            <w:pPr>
              <w:spacing w:after="0"/>
              <w:rPr>
                <w:sz w:val="7"/>
                <w:szCs w:val="7"/>
                <w:color w:val="auto"/>
              </w:rPr>
            </w:pPr>
          </w:p>
        </w:tc>
        <w:tc>
          <w:tcPr>
            <w:tcW w:w="1060" w:type="dxa"/>
            <w:vAlign w:val="bottom"/>
            <w:shd w:val="clear" w:color="auto" w:fill="B2B2B2"/>
          </w:tcPr>
          <w:p>
            <w:pPr>
              <w:spacing w:after="0"/>
              <w:rPr>
                <w:sz w:val="7"/>
                <w:szCs w:val="7"/>
                <w:color w:val="auto"/>
              </w:rPr>
            </w:pPr>
          </w:p>
        </w:tc>
        <w:tc>
          <w:tcPr>
            <w:tcW w:w="880" w:type="dxa"/>
            <w:vAlign w:val="bottom"/>
            <w:shd w:val="clear" w:color="auto" w:fill="B2B2B2"/>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140" w:type="dxa"/>
            <w:vAlign w:val="bottom"/>
          </w:tcPr>
          <w:p>
            <w:pPr>
              <w:ind w:left="20"/>
              <w:spacing w:after="0"/>
              <w:rPr>
                <w:sz w:val="20"/>
                <w:szCs w:val="20"/>
                <w:color w:val="auto"/>
              </w:rPr>
            </w:pPr>
            <w:r>
              <w:rPr>
                <w:rFonts w:ascii="Arial" w:cs="Arial" w:eastAsia="Arial" w:hAnsi="Arial"/>
                <w:sz w:val="16"/>
                <w:szCs w:val="16"/>
                <w:color w:val="auto"/>
              </w:rPr>
              <w:t>Mary</w:t>
            </w:r>
          </w:p>
        </w:tc>
        <w:tc>
          <w:tcPr>
            <w:tcW w:w="54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ind w:left="140"/>
              <w:spacing w:after="0"/>
              <w:rPr>
                <w:sz w:val="20"/>
                <w:szCs w:val="20"/>
                <w:color w:val="auto"/>
              </w:rPr>
            </w:pPr>
            <w:r>
              <w:rPr>
                <w:rFonts w:ascii="Arial" w:cs="Arial" w:eastAsia="Arial" w:hAnsi="Arial"/>
                <w:sz w:val="16"/>
                <w:szCs w:val="16"/>
                <w:color w:val="auto"/>
              </w:rPr>
              <w:t>​ ​</w:t>
            </w:r>
          </w:p>
        </w:tc>
        <w:tc>
          <w:tcPr>
            <w:tcW w:w="3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ind w:left="160"/>
              <w:spacing w:after="0"/>
              <w:rPr>
                <w:sz w:val="20"/>
                <w:szCs w:val="20"/>
                <w:color w:val="auto"/>
              </w:rPr>
            </w:pPr>
            <w:r>
              <w:rPr>
                <w:rFonts w:ascii="Arial" w:cs="Arial" w:eastAsia="Arial" w:hAnsi="Arial"/>
                <w:sz w:val="16"/>
                <w:szCs w:val="16"/>
                <w:color w:val="auto"/>
              </w:rPr>
              <w:t>​ ​</w:t>
            </w:r>
          </w:p>
        </w:tc>
        <w:tc>
          <w:tcPr>
            <w:tcW w:w="460" w:type="dxa"/>
            <w:vAlign w:val="bottom"/>
          </w:tcPr>
          <w:p>
            <w:pPr>
              <w:spacing w:after="0"/>
              <w:rPr>
                <w:sz w:val="24"/>
                <w:szCs w:val="24"/>
                <w:color w:val="auto"/>
              </w:rPr>
            </w:pPr>
          </w:p>
        </w:tc>
        <w:tc>
          <w:tcPr>
            <w:tcW w:w="400" w:type="dxa"/>
            <w:vAlign w:val="bottom"/>
            <w:vMerge w:val="restart"/>
          </w:tcPr>
          <w:p>
            <w:pPr>
              <w:jc w:val="right"/>
              <w:ind w:right="20"/>
              <w:spacing w:after="0"/>
              <w:rPr>
                <w:sz w:val="20"/>
                <w:szCs w:val="20"/>
                <w:color w:val="auto"/>
              </w:rPr>
            </w:pPr>
            <w:r>
              <w:rPr>
                <w:rFonts w:ascii="Arial" w:cs="Arial" w:eastAsia="Arial" w:hAnsi="Arial"/>
                <w:sz w:val="16"/>
                <w:szCs w:val="16"/>
                <w:color w:val="auto"/>
              </w:rPr>
              <w:t>​ ​</w:t>
            </w:r>
          </w:p>
        </w:tc>
        <w:tc>
          <w:tcPr>
            <w:tcW w:w="980" w:type="dxa"/>
            <w:vAlign w:val="bottom"/>
            <w:vMerge w:val="restart"/>
          </w:tcPr>
          <w:p>
            <w:pPr>
              <w:jc w:val="center"/>
              <w:ind w:right="41"/>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100"/>
              <w:spacing w:after="0"/>
              <w:rPr>
                <w:sz w:val="20"/>
                <w:szCs w:val="20"/>
                <w:color w:val="auto"/>
              </w:rPr>
            </w:pPr>
            <w:r>
              <w:rPr>
                <w:rFonts w:ascii="Arial" w:cs="Arial" w:eastAsia="Arial" w:hAnsi="Arial"/>
                <w:sz w:val="16"/>
                <w:szCs w:val="16"/>
                <w:color w:val="auto"/>
              </w:rPr>
              <w:t>​ ​</w:t>
            </w:r>
          </w:p>
        </w:tc>
        <w:tc>
          <w:tcPr>
            <w:tcW w:w="900" w:type="dxa"/>
            <w:vAlign w:val="bottom"/>
            <w:vMerge w:val="restart"/>
          </w:tcPr>
          <w:p>
            <w:pPr>
              <w:jc w:val="right"/>
              <w:ind w:right="400"/>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center"/>
              <w:ind w:lef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7"/>
        </w:trPr>
        <w:tc>
          <w:tcPr>
            <w:tcW w:w="1140" w:type="dxa"/>
            <w:vAlign w:val="bottom"/>
            <w:vMerge w:val="restart"/>
          </w:tcPr>
          <w:p>
            <w:pPr>
              <w:ind w:left="20"/>
              <w:spacing w:after="0"/>
              <w:rPr>
                <w:sz w:val="20"/>
                <w:szCs w:val="20"/>
                <w:color w:val="auto"/>
              </w:rPr>
            </w:pPr>
            <w:r>
              <w:rPr>
                <w:rFonts w:ascii="Arial" w:cs="Arial" w:eastAsia="Arial" w:hAnsi="Arial"/>
                <w:sz w:val="16"/>
                <w:szCs w:val="16"/>
                <w:color w:val="auto"/>
              </w:rPr>
              <w:t>McLaughlin</w:t>
            </w:r>
          </w:p>
        </w:tc>
        <w:tc>
          <w:tcPr>
            <w:tcW w:w="54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140" w:type="dxa"/>
            <w:vAlign w:val="bottom"/>
            <w:shd w:val="clear" w:color="auto" w:fill="B2B2B2"/>
          </w:tcPr>
          <w:p>
            <w:pPr>
              <w:ind w:left="20"/>
              <w:spacing w:after="0"/>
              <w:rPr>
                <w:sz w:val="20"/>
                <w:szCs w:val="20"/>
                <w:color w:val="auto"/>
              </w:rPr>
            </w:pPr>
            <w:r>
              <w:rPr>
                <w:rFonts w:ascii="Arial" w:cs="Arial" w:eastAsia="Arial" w:hAnsi="Arial"/>
                <w:sz w:val="16"/>
                <w:szCs w:val="16"/>
                <w:color w:val="auto"/>
              </w:rPr>
              <w:t>Joesph</w:t>
            </w:r>
          </w:p>
        </w:tc>
        <w:tc>
          <w:tcPr>
            <w:tcW w:w="540" w:type="dxa"/>
            <w:vAlign w:val="bottom"/>
            <w:vMerge w:val="restart"/>
            <w:shd w:val="clear" w:color="auto" w:fill="B2B2B2"/>
          </w:tcPr>
          <w:p>
            <w:pPr>
              <w:ind w:left="340"/>
              <w:spacing w:after="0"/>
              <w:rPr>
                <w:sz w:val="20"/>
                <w:szCs w:val="20"/>
                <w:color w:val="auto"/>
              </w:rPr>
            </w:pPr>
            <w:r>
              <w:rPr>
                <w:rFonts w:ascii="Arial" w:cs="Arial" w:eastAsia="Arial" w:hAnsi="Arial"/>
                <w:sz w:val="16"/>
                <w:szCs w:val="16"/>
                <w:color w:val="auto"/>
              </w:rPr>
              <w:t>•</w:t>
            </w:r>
          </w:p>
        </w:tc>
        <w:tc>
          <w:tcPr>
            <w:tcW w:w="380" w:type="dxa"/>
            <w:vAlign w:val="bottom"/>
            <w:vMerge w:val="restart"/>
            <w:shd w:val="clear" w:color="auto" w:fill="B2B2B2"/>
          </w:tcPr>
          <w:p>
            <w:pPr>
              <w:ind w:left="140"/>
              <w:spacing w:after="0"/>
              <w:rPr>
                <w:sz w:val="20"/>
                <w:szCs w:val="20"/>
                <w:color w:val="auto"/>
              </w:rPr>
            </w:pPr>
            <w:r>
              <w:rPr>
                <w:rFonts w:ascii="Arial" w:cs="Arial" w:eastAsia="Arial" w:hAnsi="Arial"/>
                <w:sz w:val="16"/>
                <w:szCs w:val="16"/>
                <w:color w:val="auto"/>
              </w:rPr>
              <w:t>​ ​</w:t>
            </w:r>
          </w:p>
        </w:tc>
        <w:tc>
          <w:tcPr>
            <w:tcW w:w="320" w:type="dxa"/>
            <w:vAlign w:val="bottom"/>
            <w:vMerge w:val="restart"/>
            <w:shd w:val="clear" w:color="auto" w:fill="B2B2B2"/>
          </w:tcPr>
          <w:p>
            <w:pPr>
              <w:ind w:left="120"/>
              <w:spacing w:after="0"/>
              <w:rPr>
                <w:sz w:val="20"/>
                <w:szCs w:val="20"/>
                <w:color w:val="auto"/>
              </w:rPr>
            </w:pPr>
            <w:r>
              <w:rPr>
                <w:rFonts w:ascii="Arial" w:cs="Arial" w:eastAsia="Arial" w:hAnsi="Arial"/>
                <w:sz w:val="16"/>
                <w:szCs w:val="16"/>
                <w:color w:val="auto"/>
              </w:rPr>
              <w:t>•</w:t>
            </w:r>
          </w:p>
        </w:tc>
        <w:tc>
          <w:tcPr>
            <w:tcW w:w="440" w:type="dxa"/>
            <w:vAlign w:val="bottom"/>
            <w:vMerge w:val="restart"/>
            <w:shd w:val="clear" w:color="auto" w:fill="B2B2B2"/>
          </w:tcPr>
          <w:p>
            <w:pPr>
              <w:ind w:left="160"/>
              <w:spacing w:after="0"/>
              <w:rPr>
                <w:sz w:val="20"/>
                <w:szCs w:val="20"/>
                <w:color w:val="auto"/>
              </w:rPr>
            </w:pPr>
            <w:r>
              <w:rPr>
                <w:rFonts w:ascii="Arial" w:cs="Arial" w:eastAsia="Arial" w:hAnsi="Arial"/>
                <w:sz w:val="16"/>
                <w:szCs w:val="16"/>
                <w:color w:val="auto"/>
              </w:rPr>
              <w:t>​ ​</w:t>
            </w:r>
          </w:p>
        </w:tc>
        <w:tc>
          <w:tcPr>
            <w:tcW w:w="460" w:type="dxa"/>
            <w:vAlign w:val="bottom"/>
            <w:shd w:val="clear" w:color="auto" w:fill="B2B2B2"/>
          </w:tcPr>
          <w:p>
            <w:pPr>
              <w:spacing w:after="0"/>
              <w:rPr>
                <w:sz w:val="24"/>
                <w:szCs w:val="24"/>
                <w:color w:val="auto"/>
              </w:rPr>
            </w:pPr>
          </w:p>
        </w:tc>
        <w:tc>
          <w:tcPr>
            <w:tcW w:w="400" w:type="dxa"/>
            <w:vAlign w:val="bottom"/>
            <w:vMerge w:val="restart"/>
            <w:shd w:val="clear" w:color="auto" w:fill="B2B2B2"/>
          </w:tcPr>
          <w:p>
            <w:pPr>
              <w:jc w:val="right"/>
              <w:ind w:right="20"/>
              <w:spacing w:after="0"/>
              <w:rPr>
                <w:sz w:val="20"/>
                <w:szCs w:val="20"/>
                <w:color w:val="auto"/>
              </w:rPr>
            </w:pPr>
            <w:r>
              <w:rPr>
                <w:rFonts w:ascii="Arial" w:cs="Arial" w:eastAsia="Arial" w:hAnsi="Arial"/>
                <w:sz w:val="16"/>
                <w:szCs w:val="16"/>
                <w:color w:val="auto"/>
              </w:rPr>
              <w:t>​ ​</w:t>
            </w:r>
          </w:p>
        </w:tc>
        <w:tc>
          <w:tcPr>
            <w:tcW w:w="980" w:type="dxa"/>
            <w:vAlign w:val="bottom"/>
            <w:vMerge w:val="restart"/>
            <w:shd w:val="clear" w:color="auto" w:fill="B2B2B2"/>
          </w:tcPr>
          <w:p>
            <w:pPr>
              <w:jc w:val="center"/>
              <w:ind w:right="41"/>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B2B2B2"/>
          </w:tcPr>
          <w:p>
            <w:pPr>
              <w:ind w:left="40"/>
              <w:spacing w:after="0"/>
              <w:rPr>
                <w:sz w:val="20"/>
                <w:szCs w:val="20"/>
                <w:color w:val="auto"/>
              </w:rPr>
            </w:pPr>
            <w:r>
              <w:rPr>
                <w:rFonts w:ascii="Arial" w:cs="Arial" w:eastAsia="Arial" w:hAnsi="Arial"/>
                <w:sz w:val="16"/>
                <w:szCs w:val="16"/>
                <w:color w:val="auto"/>
              </w:rPr>
              <w:t>​ ​</w:t>
            </w:r>
          </w:p>
        </w:tc>
        <w:tc>
          <w:tcPr>
            <w:tcW w:w="240" w:type="dxa"/>
            <w:vAlign w:val="bottom"/>
            <w:vMerge w:val="restart"/>
            <w:shd w:val="clear" w:color="auto" w:fill="B2B2B2"/>
          </w:tcPr>
          <w:p>
            <w:pPr>
              <w:jc w:val="right"/>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B2B2B2"/>
          </w:tcPr>
          <w:p>
            <w:pPr>
              <w:ind w:left="100"/>
              <w:spacing w:after="0"/>
              <w:rPr>
                <w:sz w:val="20"/>
                <w:szCs w:val="20"/>
                <w:color w:val="auto"/>
              </w:rPr>
            </w:pPr>
            <w:r>
              <w:rPr>
                <w:rFonts w:ascii="Arial" w:cs="Arial" w:eastAsia="Arial" w:hAnsi="Arial"/>
                <w:sz w:val="16"/>
                <w:szCs w:val="16"/>
                <w:color w:val="auto"/>
              </w:rPr>
              <w:t>​ ​</w:t>
            </w:r>
          </w:p>
        </w:tc>
        <w:tc>
          <w:tcPr>
            <w:tcW w:w="900" w:type="dxa"/>
            <w:vAlign w:val="bottom"/>
            <w:vMerge w:val="restart"/>
            <w:shd w:val="clear" w:color="auto" w:fill="B2B2B2"/>
          </w:tcPr>
          <w:p>
            <w:pPr>
              <w:jc w:val="right"/>
              <w:ind w:right="400"/>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B2B2B2"/>
          </w:tcPr>
          <w:p>
            <w:pPr>
              <w:jc w:val="center"/>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B2B2B2"/>
          </w:tcPr>
          <w:p>
            <w:pPr>
              <w:jc w:val="center"/>
              <w:ind w:lef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7"/>
        </w:trPr>
        <w:tc>
          <w:tcPr>
            <w:tcW w:w="1140" w:type="dxa"/>
            <w:vAlign w:val="bottom"/>
            <w:vMerge w:val="restart"/>
            <w:shd w:val="clear" w:color="auto" w:fill="B2B2B2"/>
          </w:tcPr>
          <w:p>
            <w:pPr>
              <w:ind w:left="20"/>
              <w:spacing w:after="0"/>
              <w:rPr>
                <w:sz w:val="20"/>
                <w:szCs w:val="20"/>
                <w:color w:val="auto"/>
              </w:rPr>
            </w:pPr>
            <w:r>
              <w:rPr>
                <w:rFonts w:ascii="Arial" w:cs="Arial" w:eastAsia="Arial" w:hAnsi="Arial"/>
                <w:sz w:val="16"/>
                <w:szCs w:val="16"/>
                <w:color w:val="auto"/>
              </w:rPr>
              <w:t>Natale</w:t>
            </w:r>
          </w:p>
        </w:tc>
        <w:tc>
          <w:tcPr>
            <w:tcW w:w="540" w:type="dxa"/>
            <w:vAlign w:val="bottom"/>
            <w:vMerge w:val="continue"/>
            <w:shd w:val="clear" w:color="auto" w:fill="B2B2B2"/>
          </w:tcPr>
          <w:p>
            <w:pPr>
              <w:spacing w:after="0"/>
              <w:rPr>
                <w:sz w:val="9"/>
                <w:szCs w:val="9"/>
                <w:color w:val="auto"/>
              </w:rPr>
            </w:pPr>
          </w:p>
        </w:tc>
        <w:tc>
          <w:tcPr>
            <w:tcW w:w="380" w:type="dxa"/>
            <w:vAlign w:val="bottom"/>
            <w:vMerge w:val="continue"/>
            <w:shd w:val="clear" w:color="auto" w:fill="B2B2B2"/>
          </w:tcPr>
          <w:p>
            <w:pPr>
              <w:spacing w:after="0"/>
              <w:rPr>
                <w:sz w:val="9"/>
                <w:szCs w:val="9"/>
                <w:color w:val="auto"/>
              </w:rPr>
            </w:pPr>
          </w:p>
        </w:tc>
        <w:tc>
          <w:tcPr>
            <w:tcW w:w="320" w:type="dxa"/>
            <w:vAlign w:val="bottom"/>
            <w:vMerge w:val="continue"/>
            <w:shd w:val="clear" w:color="auto" w:fill="B2B2B2"/>
          </w:tcPr>
          <w:p>
            <w:pPr>
              <w:spacing w:after="0"/>
              <w:rPr>
                <w:sz w:val="9"/>
                <w:szCs w:val="9"/>
                <w:color w:val="auto"/>
              </w:rPr>
            </w:pPr>
          </w:p>
        </w:tc>
        <w:tc>
          <w:tcPr>
            <w:tcW w:w="440" w:type="dxa"/>
            <w:vAlign w:val="bottom"/>
            <w:vMerge w:val="continue"/>
            <w:shd w:val="clear" w:color="auto" w:fill="B2B2B2"/>
          </w:tcPr>
          <w:p>
            <w:pPr>
              <w:spacing w:after="0"/>
              <w:rPr>
                <w:sz w:val="9"/>
                <w:szCs w:val="9"/>
                <w:color w:val="auto"/>
              </w:rPr>
            </w:pPr>
          </w:p>
        </w:tc>
        <w:tc>
          <w:tcPr>
            <w:tcW w:w="460" w:type="dxa"/>
            <w:vAlign w:val="bottom"/>
            <w:shd w:val="clear" w:color="auto" w:fill="B2B2B2"/>
          </w:tcPr>
          <w:p>
            <w:pPr>
              <w:spacing w:after="0"/>
              <w:rPr>
                <w:sz w:val="9"/>
                <w:szCs w:val="9"/>
                <w:color w:val="auto"/>
              </w:rPr>
            </w:pPr>
          </w:p>
        </w:tc>
        <w:tc>
          <w:tcPr>
            <w:tcW w:w="400" w:type="dxa"/>
            <w:vAlign w:val="bottom"/>
            <w:vMerge w:val="continue"/>
            <w:shd w:val="clear" w:color="auto" w:fill="B2B2B2"/>
          </w:tcPr>
          <w:p>
            <w:pPr>
              <w:spacing w:after="0"/>
              <w:rPr>
                <w:sz w:val="9"/>
                <w:szCs w:val="9"/>
                <w:color w:val="auto"/>
              </w:rPr>
            </w:pPr>
          </w:p>
        </w:tc>
        <w:tc>
          <w:tcPr>
            <w:tcW w:w="980" w:type="dxa"/>
            <w:vAlign w:val="bottom"/>
            <w:vMerge w:val="continue"/>
            <w:shd w:val="clear" w:color="auto" w:fill="B2B2B2"/>
          </w:tcPr>
          <w:p>
            <w:pPr>
              <w:spacing w:after="0"/>
              <w:rPr>
                <w:sz w:val="9"/>
                <w:szCs w:val="9"/>
                <w:color w:val="auto"/>
              </w:rPr>
            </w:pPr>
          </w:p>
        </w:tc>
        <w:tc>
          <w:tcPr>
            <w:tcW w:w="220" w:type="dxa"/>
            <w:vAlign w:val="bottom"/>
            <w:vMerge w:val="continue"/>
            <w:shd w:val="clear" w:color="auto" w:fill="B2B2B2"/>
          </w:tcPr>
          <w:p>
            <w:pPr>
              <w:spacing w:after="0"/>
              <w:rPr>
                <w:sz w:val="9"/>
                <w:szCs w:val="9"/>
                <w:color w:val="auto"/>
              </w:rPr>
            </w:pPr>
          </w:p>
        </w:tc>
        <w:tc>
          <w:tcPr>
            <w:tcW w:w="240" w:type="dxa"/>
            <w:vAlign w:val="bottom"/>
            <w:vMerge w:val="continue"/>
            <w:shd w:val="clear" w:color="auto" w:fill="B2B2B2"/>
          </w:tcPr>
          <w:p>
            <w:pPr>
              <w:spacing w:after="0"/>
              <w:rPr>
                <w:sz w:val="9"/>
                <w:szCs w:val="9"/>
                <w:color w:val="auto"/>
              </w:rPr>
            </w:pPr>
          </w:p>
        </w:tc>
        <w:tc>
          <w:tcPr>
            <w:tcW w:w="240" w:type="dxa"/>
            <w:vAlign w:val="bottom"/>
            <w:vMerge w:val="continue"/>
            <w:shd w:val="clear" w:color="auto" w:fill="B2B2B2"/>
          </w:tcPr>
          <w:p>
            <w:pPr>
              <w:spacing w:after="0"/>
              <w:rPr>
                <w:sz w:val="9"/>
                <w:szCs w:val="9"/>
                <w:color w:val="auto"/>
              </w:rPr>
            </w:pPr>
          </w:p>
        </w:tc>
        <w:tc>
          <w:tcPr>
            <w:tcW w:w="900" w:type="dxa"/>
            <w:vAlign w:val="bottom"/>
            <w:vMerge w:val="continue"/>
            <w:shd w:val="clear" w:color="auto" w:fill="B2B2B2"/>
          </w:tcPr>
          <w:p>
            <w:pPr>
              <w:spacing w:after="0"/>
              <w:rPr>
                <w:sz w:val="9"/>
                <w:szCs w:val="9"/>
                <w:color w:val="auto"/>
              </w:rPr>
            </w:pPr>
          </w:p>
        </w:tc>
        <w:tc>
          <w:tcPr>
            <w:tcW w:w="1060" w:type="dxa"/>
            <w:vAlign w:val="bottom"/>
            <w:vMerge w:val="continue"/>
            <w:shd w:val="clear" w:color="auto" w:fill="B2B2B2"/>
          </w:tcPr>
          <w:p>
            <w:pPr>
              <w:spacing w:after="0"/>
              <w:rPr>
                <w:sz w:val="9"/>
                <w:szCs w:val="9"/>
                <w:color w:val="auto"/>
              </w:rPr>
            </w:pPr>
          </w:p>
        </w:tc>
        <w:tc>
          <w:tcPr>
            <w:tcW w:w="880" w:type="dxa"/>
            <w:vAlign w:val="bottom"/>
            <w:vMerge w:val="continue"/>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40" w:type="dxa"/>
            <w:vAlign w:val="bottom"/>
            <w:vMerge w:val="continue"/>
            <w:shd w:val="clear" w:color="auto" w:fill="B2B2B2"/>
          </w:tcPr>
          <w:p>
            <w:pPr>
              <w:spacing w:after="0"/>
              <w:rPr>
                <w:sz w:val="9"/>
                <w:szCs w:val="9"/>
                <w:color w:val="auto"/>
              </w:rPr>
            </w:pPr>
          </w:p>
        </w:tc>
        <w:tc>
          <w:tcPr>
            <w:tcW w:w="540" w:type="dxa"/>
            <w:vAlign w:val="bottom"/>
            <w:shd w:val="clear" w:color="auto" w:fill="B2B2B2"/>
          </w:tcPr>
          <w:p>
            <w:pPr>
              <w:spacing w:after="0"/>
              <w:rPr>
                <w:sz w:val="9"/>
                <w:szCs w:val="9"/>
                <w:color w:val="auto"/>
              </w:rPr>
            </w:pPr>
          </w:p>
        </w:tc>
        <w:tc>
          <w:tcPr>
            <w:tcW w:w="380" w:type="dxa"/>
            <w:vAlign w:val="bottom"/>
            <w:shd w:val="clear" w:color="auto" w:fill="B2B2B2"/>
          </w:tcPr>
          <w:p>
            <w:pPr>
              <w:spacing w:after="0"/>
              <w:rPr>
                <w:sz w:val="9"/>
                <w:szCs w:val="9"/>
                <w:color w:val="auto"/>
              </w:rPr>
            </w:pPr>
          </w:p>
        </w:tc>
        <w:tc>
          <w:tcPr>
            <w:tcW w:w="320" w:type="dxa"/>
            <w:vAlign w:val="bottom"/>
            <w:shd w:val="clear" w:color="auto" w:fill="B2B2B2"/>
          </w:tcPr>
          <w:p>
            <w:pPr>
              <w:spacing w:after="0"/>
              <w:rPr>
                <w:sz w:val="9"/>
                <w:szCs w:val="9"/>
                <w:color w:val="auto"/>
              </w:rPr>
            </w:pPr>
          </w:p>
        </w:tc>
        <w:tc>
          <w:tcPr>
            <w:tcW w:w="440" w:type="dxa"/>
            <w:vAlign w:val="bottom"/>
            <w:shd w:val="clear" w:color="auto" w:fill="B2B2B2"/>
          </w:tcPr>
          <w:p>
            <w:pPr>
              <w:spacing w:after="0"/>
              <w:rPr>
                <w:sz w:val="9"/>
                <w:szCs w:val="9"/>
                <w:color w:val="auto"/>
              </w:rPr>
            </w:pPr>
          </w:p>
        </w:tc>
        <w:tc>
          <w:tcPr>
            <w:tcW w:w="460" w:type="dxa"/>
            <w:vAlign w:val="bottom"/>
            <w:shd w:val="clear" w:color="auto" w:fill="B2B2B2"/>
          </w:tcPr>
          <w:p>
            <w:pPr>
              <w:spacing w:after="0"/>
              <w:rPr>
                <w:sz w:val="9"/>
                <w:szCs w:val="9"/>
                <w:color w:val="auto"/>
              </w:rPr>
            </w:pPr>
          </w:p>
        </w:tc>
        <w:tc>
          <w:tcPr>
            <w:tcW w:w="400" w:type="dxa"/>
            <w:vAlign w:val="bottom"/>
            <w:shd w:val="clear" w:color="auto" w:fill="B2B2B2"/>
          </w:tcPr>
          <w:p>
            <w:pPr>
              <w:spacing w:after="0"/>
              <w:rPr>
                <w:sz w:val="9"/>
                <w:szCs w:val="9"/>
                <w:color w:val="auto"/>
              </w:rPr>
            </w:pPr>
          </w:p>
        </w:tc>
        <w:tc>
          <w:tcPr>
            <w:tcW w:w="980" w:type="dxa"/>
            <w:vAlign w:val="bottom"/>
            <w:shd w:val="clear" w:color="auto" w:fill="B2B2B2"/>
          </w:tcPr>
          <w:p>
            <w:pPr>
              <w:spacing w:after="0"/>
              <w:rPr>
                <w:sz w:val="9"/>
                <w:szCs w:val="9"/>
                <w:color w:val="auto"/>
              </w:rPr>
            </w:pPr>
          </w:p>
        </w:tc>
        <w:tc>
          <w:tcPr>
            <w:tcW w:w="220" w:type="dxa"/>
            <w:vAlign w:val="bottom"/>
            <w:shd w:val="clear" w:color="auto" w:fill="B2B2B2"/>
          </w:tcPr>
          <w:p>
            <w:pPr>
              <w:spacing w:after="0"/>
              <w:rPr>
                <w:sz w:val="9"/>
                <w:szCs w:val="9"/>
                <w:color w:val="auto"/>
              </w:rPr>
            </w:pPr>
          </w:p>
        </w:tc>
        <w:tc>
          <w:tcPr>
            <w:tcW w:w="240" w:type="dxa"/>
            <w:vAlign w:val="bottom"/>
            <w:shd w:val="clear" w:color="auto" w:fill="B2B2B2"/>
          </w:tcPr>
          <w:p>
            <w:pPr>
              <w:spacing w:after="0"/>
              <w:rPr>
                <w:sz w:val="9"/>
                <w:szCs w:val="9"/>
                <w:color w:val="auto"/>
              </w:rPr>
            </w:pPr>
          </w:p>
        </w:tc>
        <w:tc>
          <w:tcPr>
            <w:tcW w:w="240" w:type="dxa"/>
            <w:vAlign w:val="bottom"/>
            <w:shd w:val="clear" w:color="auto" w:fill="B2B2B2"/>
          </w:tcPr>
          <w:p>
            <w:pPr>
              <w:spacing w:after="0"/>
              <w:rPr>
                <w:sz w:val="9"/>
                <w:szCs w:val="9"/>
                <w:color w:val="auto"/>
              </w:rPr>
            </w:pPr>
          </w:p>
        </w:tc>
        <w:tc>
          <w:tcPr>
            <w:tcW w:w="900" w:type="dxa"/>
            <w:vAlign w:val="bottom"/>
            <w:shd w:val="clear" w:color="auto" w:fill="B2B2B2"/>
          </w:tcPr>
          <w:p>
            <w:pPr>
              <w:spacing w:after="0"/>
              <w:rPr>
                <w:sz w:val="9"/>
                <w:szCs w:val="9"/>
                <w:color w:val="auto"/>
              </w:rPr>
            </w:pPr>
          </w:p>
        </w:tc>
        <w:tc>
          <w:tcPr>
            <w:tcW w:w="1060" w:type="dxa"/>
            <w:vAlign w:val="bottom"/>
            <w:shd w:val="clear" w:color="auto" w:fill="B2B2B2"/>
          </w:tcPr>
          <w:p>
            <w:pPr>
              <w:spacing w:after="0"/>
              <w:rPr>
                <w:sz w:val="9"/>
                <w:szCs w:val="9"/>
                <w:color w:val="auto"/>
              </w:rPr>
            </w:pPr>
          </w:p>
        </w:tc>
        <w:tc>
          <w:tcPr>
            <w:tcW w:w="880" w:type="dxa"/>
            <w:vAlign w:val="bottom"/>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140" w:type="dxa"/>
            <w:vAlign w:val="bottom"/>
            <w:shd w:val="clear" w:color="auto" w:fill="B2B2B2"/>
          </w:tcPr>
          <w:p>
            <w:pPr>
              <w:spacing w:after="0"/>
              <w:rPr>
                <w:sz w:val="7"/>
                <w:szCs w:val="7"/>
                <w:color w:val="auto"/>
              </w:rPr>
            </w:pPr>
          </w:p>
        </w:tc>
        <w:tc>
          <w:tcPr>
            <w:tcW w:w="540" w:type="dxa"/>
            <w:vAlign w:val="bottom"/>
            <w:shd w:val="clear" w:color="auto" w:fill="B2B2B2"/>
          </w:tcPr>
          <w:p>
            <w:pPr>
              <w:spacing w:after="0"/>
              <w:rPr>
                <w:sz w:val="7"/>
                <w:szCs w:val="7"/>
                <w:color w:val="auto"/>
              </w:rPr>
            </w:pPr>
          </w:p>
        </w:tc>
        <w:tc>
          <w:tcPr>
            <w:tcW w:w="380" w:type="dxa"/>
            <w:vAlign w:val="bottom"/>
            <w:shd w:val="clear" w:color="auto" w:fill="B2B2B2"/>
          </w:tcPr>
          <w:p>
            <w:pPr>
              <w:spacing w:after="0"/>
              <w:rPr>
                <w:sz w:val="7"/>
                <w:szCs w:val="7"/>
                <w:color w:val="auto"/>
              </w:rPr>
            </w:pPr>
          </w:p>
        </w:tc>
        <w:tc>
          <w:tcPr>
            <w:tcW w:w="320" w:type="dxa"/>
            <w:vAlign w:val="bottom"/>
            <w:shd w:val="clear" w:color="auto" w:fill="B2B2B2"/>
          </w:tcPr>
          <w:p>
            <w:pPr>
              <w:spacing w:after="0"/>
              <w:rPr>
                <w:sz w:val="7"/>
                <w:szCs w:val="7"/>
                <w:color w:val="auto"/>
              </w:rPr>
            </w:pPr>
          </w:p>
        </w:tc>
        <w:tc>
          <w:tcPr>
            <w:tcW w:w="440" w:type="dxa"/>
            <w:vAlign w:val="bottom"/>
            <w:shd w:val="clear" w:color="auto" w:fill="B2B2B2"/>
          </w:tcPr>
          <w:p>
            <w:pPr>
              <w:spacing w:after="0"/>
              <w:rPr>
                <w:sz w:val="7"/>
                <w:szCs w:val="7"/>
                <w:color w:val="auto"/>
              </w:rPr>
            </w:pPr>
          </w:p>
        </w:tc>
        <w:tc>
          <w:tcPr>
            <w:tcW w:w="460" w:type="dxa"/>
            <w:vAlign w:val="bottom"/>
            <w:shd w:val="clear" w:color="auto" w:fill="B2B2B2"/>
          </w:tcPr>
          <w:p>
            <w:pPr>
              <w:spacing w:after="0"/>
              <w:rPr>
                <w:sz w:val="7"/>
                <w:szCs w:val="7"/>
                <w:color w:val="auto"/>
              </w:rPr>
            </w:pPr>
          </w:p>
        </w:tc>
        <w:tc>
          <w:tcPr>
            <w:tcW w:w="400" w:type="dxa"/>
            <w:vAlign w:val="bottom"/>
            <w:shd w:val="clear" w:color="auto" w:fill="B2B2B2"/>
          </w:tcPr>
          <w:p>
            <w:pPr>
              <w:spacing w:after="0"/>
              <w:rPr>
                <w:sz w:val="7"/>
                <w:szCs w:val="7"/>
                <w:color w:val="auto"/>
              </w:rPr>
            </w:pPr>
          </w:p>
        </w:tc>
        <w:tc>
          <w:tcPr>
            <w:tcW w:w="980" w:type="dxa"/>
            <w:vAlign w:val="bottom"/>
            <w:shd w:val="clear" w:color="auto" w:fill="B2B2B2"/>
          </w:tcPr>
          <w:p>
            <w:pPr>
              <w:spacing w:after="0"/>
              <w:rPr>
                <w:sz w:val="7"/>
                <w:szCs w:val="7"/>
                <w:color w:val="auto"/>
              </w:rPr>
            </w:pPr>
          </w:p>
        </w:tc>
        <w:tc>
          <w:tcPr>
            <w:tcW w:w="220" w:type="dxa"/>
            <w:vAlign w:val="bottom"/>
            <w:shd w:val="clear" w:color="auto" w:fill="B2B2B2"/>
          </w:tcPr>
          <w:p>
            <w:pPr>
              <w:spacing w:after="0"/>
              <w:rPr>
                <w:sz w:val="7"/>
                <w:szCs w:val="7"/>
                <w:color w:val="auto"/>
              </w:rPr>
            </w:pPr>
          </w:p>
        </w:tc>
        <w:tc>
          <w:tcPr>
            <w:tcW w:w="240" w:type="dxa"/>
            <w:vAlign w:val="bottom"/>
            <w:shd w:val="clear" w:color="auto" w:fill="B2B2B2"/>
          </w:tcPr>
          <w:p>
            <w:pPr>
              <w:spacing w:after="0"/>
              <w:rPr>
                <w:sz w:val="7"/>
                <w:szCs w:val="7"/>
                <w:color w:val="auto"/>
              </w:rPr>
            </w:pPr>
          </w:p>
        </w:tc>
        <w:tc>
          <w:tcPr>
            <w:tcW w:w="240" w:type="dxa"/>
            <w:vAlign w:val="bottom"/>
            <w:shd w:val="clear" w:color="auto" w:fill="B2B2B2"/>
          </w:tcPr>
          <w:p>
            <w:pPr>
              <w:spacing w:after="0"/>
              <w:rPr>
                <w:sz w:val="7"/>
                <w:szCs w:val="7"/>
                <w:color w:val="auto"/>
              </w:rPr>
            </w:pPr>
          </w:p>
        </w:tc>
        <w:tc>
          <w:tcPr>
            <w:tcW w:w="900" w:type="dxa"/>
            <w:vAlign w:val="bottom"/>
            <w:shd w:val="clear" w:color="auto" w:fill="B2B2B2"/>
          </w:tcPr>
          <w:p>
            <w:pPr>
              <w:spacing w:after="0"/>
              <w:rPr>
                <w:sz w:val="7"/>
                <w:szCs w:val="7"/>
                <w:color w:val="auto"/>
              </w:rPr>
            </w:pPr>
          </w:p>
        </w:tc>
        <w:tc>
          <w:tcPr>
            <w:tcW w:w="1060" w:type="dxa"/>
            <w:vAlign w:val="bottom"/>
            <w:shd w:val="clear" w:color="auto" w:fill="B2B2B2"/>
          </w:tcPr>
          <w:p>
            <w:pPr>
              <w:spacing w:after="0"/>
              <w:rPr>
                <w:sz w:val="7"/>
                <w:szCs w:val="7"/>
                <w:color w:val="auto"/>
              </w:rPr>
            </w:pPr>
          </w:p>
        </w:tc>
        <w:tc>
          <w:tcPr>
            <w:tcW w:w="880" w:type="dxa"/>
            <w:vAlign w:val="bottom"/>
            <w:shd w:val="clear" w:color="auto" w:fill="B2B2B2"/>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140" w:type="dxa"/>
            <w:vAlign w:val="bottom"/>
          </w:tcPr>
          <w:p>
            <w:pPr>
              <w:ind w:left="20"/>
              <w:spacing w:after="0"/>
              <w:rPr>
                <w:sz w:val="20"/>
                <w:szCs w:val="20"/>
                <w:color w:val="auto"/>
              </w:rPr>
            </w:pPr>
            <w:r>
              <w:rPr>
                <w:rFonts w:ascii="Arial" w:cs="Arial" w:eastAsia="Arial" w:hAnsi="Arial"/>
                <w:sz w:val="16"/>
                <w:szCs w:val="16"/>
                <w:color w:val="auto"/>
              </w:rPr>
              <w:t>Carmen</w:t>
            </w:r>
          </w:p>
        </w:tc>
        <w:tc>
          <w:tcPr>
            <w:tcW w:w="54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ind w:left="140"/>
              <w:spacing w:after="0"/>
              <w:rPr>
                <w:sz w:val="20"/>
                <w:szCs w:val="20"/>
                <w:color w:val="auto"/>
              </w:rPr>
            </w:pPr>
            <w:r>
              <w:rPr>
                <w:rFonts w:ascii="Arial" w:cs="Arial" w:eastAsia="Arial" w:hAnsi="Arial"/>
                <w:sz w:val="16"/>
                <w:szCs w:val="16"/>
                <w:color w:val="auto"/>
              </w:rPr>
              <w:t>​ ​</w:t>
            </w:r>
          </w:p>
        </w:tc>
        <w:tc>
          <w:tcPr>
            <w:tcW w:w="320" w:type="dxa"/>
            <w:vAlign w:val="bottom"/>
          </w:tcPr>
          <w:p>
            <w:pPr>
              <w:spacing w:after="0"/>
              <w:rPr>
                <w:sz w:val="24"/>
                <w:szCs w:val="24"/>
                <w:color w:val="auto"/>
              </w:rPr>
            </w:pPr>
          </w:p>
        </w:tc>
        <w:tc>
          <w:tcPr>
            <w:tcW w:w="440" w:type="dxa"/>
            <w:vAlign w:val="bottom"/>
            <w:vMerge w:val="restart"/>
          </w:tcPr>
          <w:p>
            <w:pPr>
              <w:ind w:left="160"/>
              <w:spacing w:after="0"/>
              <w:rPr>
                <w:sz w:val="20"/>
                <w:szCs w:val="20"/>
                <w:color w:val="auto"/>
              </w:rPr>
            </w:pPr>
            <w:r>
              <w:rPr>
                <w:rFonts w:ascii="Arial" w:cs="Arial" w:eastAsia="Arial" w:hAnsi="Arial"/>
                <w:sz w:val="16"/>
                <w:szCs w:val="16"/>
                <w:color w:val="auto"/>
              </w:rPr>
              <w:t>​ ​</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auto"/>
              </w:rPr>
              <w:t>•</w:t>
            </w:r>
          </w:p>
        </w:tc>
        <w:tc>
          <w:tcPr>
            <w:tcW w:w="400" w:type="dxa"/>
            <w:vAlign w:val="bottom"/>
            <w:vMerge w:val="restart"/>
          </w:tcPr>
          <w:p>
            <w:pPr>
              <w:jc w:val="right"/>
              <w:ind w:right="20"/>
              <w:spacing w:after="0"/>
              <w:rPr>
                <w:sz w:val="20"/>
                <w:szCs w:val="20"/>
                <w:color w:val="auto"/>
              </w:rPr>
            </w:pPr>
            <w:r>
              <w:rPr>
                <w:rFonts w:ascii="Arial" w:cs="Arial" w:eastAsia="Arial" w:hAnsi="Arial"/>
                <w:sz w:val="16"/>
                <w:szCs w:val="16"/>
                <w:color w:val="auto"/>
              </w:rPr>
              <w:t>​ ​</w:t>
            </w:r>
          </w:p>
        </w:tc>
        <w:tc>
          <w:tcPr>
            <w:tcW w:w="980" w:type="dxa"/>
            <w:vAlign w:val="bottom"/>
            <w:vMerge w:val="restart"/>
          </w:tcPr>
          <w:p>
            <w:pPr>
              <w:jc w:val="center"/>
              <w:ind w:right="41"/>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100"/>
              <w:spacing w:after="0"/>
              <w:rPr>
                <w:sz w:val="20"/>
                <w:szCs w:val="20"/>
                <w:color w:val="auto"/>
              </w:rPr>
            </w:pPr>
            <w:r>
              <w:rPr>
                <w:rFonts w:ascii="Arial" w:cs="Arial" w:eastAsia="Arial" w:hAnsi="Arial"/>
                <w:sz w:val="16"/>
                <w:szCs w:val="16"/>
                <w:color w:val="auto"/>
              </w:rPr>
              <w:t>​ ​</w:t>
            </w:r>
          </w:p>
        </w:tc>
        <w:tc>
          <w:tcPr>
            <w:tcW w:w="900" w:type="dxa"/>
            <w:vAlign w:val="bottom"/>
            <w:vMerge w:val="restart"/>
          </w:tcPr>
          <w:p>
            <w:pPr>
              <w:jc w:val="right"/>
              <w:ind w:right="4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4"/>
                <w:szCs w:val="24"/>
                <w:color w:val="auto"/>
              </w:rPr>
            </w:pPr>
          </w:p>
        </w:tc>
        <w:tc>
          <w:tcPr>
            <w:tcW w:w="880" w:type="dxa"/>
            <w:vAlign w:val="bottom"/>
            <w:vMerge w:val="restart"/>
          </w:tcPr>
          <w:p>
            <w:pPr>
              <w:jc w:val="center"/>
              <w:ind w:lef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7"/>
        </w:trPr>
        <w:tc>
          <w:tcPr>
            <w:tcW w:w="1140" w:type="dxa"/>
            <w:vAlign w:val="bottom"/>
            <w:vMerge w:val="restart"/>
          </w:tcPr>
          <w:p>
            <w:pPr>
              <w:ind w:left="20"/>
              <w:spacing w:after="0"/>
              <w:rPr>
                <w:sz w:val="20"/>
                <w:szCs w:val="20"/>
                <w:color w:val="auto"/>
              </w:rPr>
            </w:pPr>
            <w:r>
              <w:rPr>
                <w:rFonts w:ascii="Arial" w:cs="Arial" w:eastAsia="Arial" w:hAnsi="Arial"/>
                <w:sz w:val="16"/>
                <w:szCs w:val="16"/>
                <w:color w:val="auto"/>
              </w:rPr>
              <w:t>Perez-Carlton</w:t>
            </w:r>
          </w:p>
        </w:tc>
        <w:tc>
          <w:tcPr>
            <w:tcW w:w="54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140" w:type="dxa"/>
            <w:vAlign w:val="bottom"/>
            <w:shd w:val="clear" w:color="auto" w:fill="B2B2B2"/>
          </w:tcPr>
          <w:p>
            <w:pPr>
              <w:ind w:left="20"/>
              <w:spacing w:after="0"/>
              <w:rPr>
                <w:sz w:val="20"/>
                <w:szCs w:val="20"/>
                <w:color w:val="auto"/>
              </w:rPr>
            </w:pPr>
            <w:r>
              <w:rPr>
                <w:rFonts w:ascii="Arial" w:cs="Arial" w:eastAsia="Arial" w:hAnsi="Arial"/>
                <w:sz w:val="16"/>
                <w:szCs w:val="16"/>
                <w:color w:val="auto"/>
              </w:rPr>
              <w:t>Johannes</w:t>
            </w:r>
          </w:p>
        </w:tc>
        <w:tc>
          <w:tcPr>
            <w:tcW w:w="540" w:type="dxa"/>
            <w:vAlign w:val="bottom"/>
            <w:vMerge w:val="restart"/>
            <w:shd w:val="clear" w:color="auto" w:fill="B2B2B2"/>
          </w:tcPr>
          <w:p>
            <w:pPr>
              <w:ind w:left="340"/>
              <w:spacing w:after="0"/>
              <w:rPr>
                <w:sz w:val="20"/>
                <w:szCs w:val="20"/>
                <w:color w:val="auto"/>
              </w:rPr>
            </w:pPr>
            <w:r>
              <w:rPr>
                <w:rFonts w:ascii="Arial" w:cs="Arial" w:eastAsia="Arial" w:hAnsi="Arial"/>
                <w:sz w:val="16"/>
                <w:szCs w:val="16"/>
                <w:color w:val="auto"/>
              </w:rPr>
              <w:t>•</w:t>
            </w:r>
          </w:p>
        </w:tc>
        <w:tc>
          <w:tcPr>
            <w:tcW w:w="380" w:type="dxa"/>
            <w:vAlign w:val="bottom"/>
            <w:vMerge w:val="restart"/>
            <w:shd w:val="clear" w:color="auto" w:fill="B2B2B2"/>
          </w:tcPr>
          <w:p>
            <w:pPr>
              <w:ind w:left="140"/>
              <w:spacing w:after="0"/>
              <w:rPr>
                <w:sz w:val="20"/>
                <w:szCs w:val="20"/>
                <w:color w:val="auto"/>
              </w:rPr>
            </w:pPr>
            <w:r>
              <w:rPr>
                <w:rFonts w:ascii="Arial" w:cs="Arial" w:eastAsia="Arial" w:hAnsi="Arial"/>
                <w:sz w:val="16"/>
                <w:szCs w:val="16"/>
                <w:color w:val="auto"/>
              </w:rPr>
              <w:t>​ ​</w:t>
            </w:r>
          </w:p>
        </w:tc>
        <w:tc>
          <w:tcPr>
            <w:tcW w:w="320" w:type="dxa"/>
            <w:vAlign w:val="bottom"/>
            <w:vMerge w:val="restart"/>
            <w:shd w:val="clear" w:color="auto" w:fill="B2B2B2"/>
          </w:tcPr>
          <w:p>
            <w:pPr>
              <w:ind w:left="120"/>
              <w:spacing w:after="0"/>
              <w:rPr>
                <w:sz w:val="20"/>
                <w:szCs w:val="20"/>
                <w:color w:val="auto"/>
              </w:rPr>
            </w:pPr>
            <w:r>
              <w:rPr>
                <w:rFonts w:ascii="Arial" w:cs="Arial" w:eastAsia="Arial" w:hAnsi="Arial"/>
                <w:sz w:val="16"/>
                <w:szCs w:val="16"/>
                <w:color w:val="auto"/>
              </w:rPr>
              <w:t>•</w:t>
            </w:r>
          </w:p>
        </w:tc>
        <w:tc>
          <w:tcPr>
            <w:tcW w:w="440" w:type="dxa"/>
            <w:vAlign w:val="bottom"/>
            <w:vMerge w:val="restart"/>
            <w:shd w:val="clear" w:color="auto" w:fill="B2B2B2"/>
          </w:tcPr>
          <w:p>
            <w:pPr>
              <w:ind w:left="160"/>
              <w:spacing w:after="0"/>
              <w:rPr>
                <w:sz w:val="20"/>
                <w:szCs w:val="20"/>
                <w:color w:val="auto"/>
              </w:rPr>
            </w:pPr>
            <w:r>
              <w:rPr>
                <w:rFonts w:ascii="Arial" w:cs="Arial" w:eastAsia="Arial" w:hAnsi="Arial"/>
                <w:sz w:val="16"/>
                <w:szCs w:val="16"/>
                <w:color w:val="auto"/>
              </w:rPr>
              <w:t>​ ​</w:t>
            </w:r>
          </w:p>
        </w:tc>
        <w:tc>
          <w:tcPr>
            <w:tcW w:w="460" w:type="dxa"/>
            <w:vAlign w:val="bottom"/>
            <w:shd w:val="clear" w:color="auto" w:fill="B2B2B2"/>
          </w:tcPr>
          <w:p>
            <w:pPr>
              <w:spacing w:after="0"/>
              <w:rPr>
                <w:sz w:val="24"/>
                <w:szCs w:val="24"/>
                <w:color w:val="auto"/>
              </w:rPr>
            </w:pPr>
          </w:p>
        </w:tc>
        <w:tc>
          <w:tcPr>
            <w:tcW w:w="400" w:type="dxa"/>
            <w:vAlign w:val="bottom"/>
            <w:vMerge w:val="restart"/>
            <w:shd w:val="clear" w:color="auto" w:fill="B2B2B2"/>
          </w:tcPr>
          <w:p>
            <w:pPr>
              <w:jc w:val="right"/>
              <w:ind w:right="20"/>
              <w:spacing w:after="0"/>
              <w:rPr>
                <w:sz w:val="20"/>
                <w:szCs w:val="20"/>
                <w:color w:val="auto"/>
              </w:rPr>
            </w:pPr>
            <w:r>
              <w:rPr>
                <w:rFonts w:ascii="Arial" w:cs="Arial" w:eastAsia="Arial" w:hAnsi="Arial"/>
                <w:sz w:val="16"/>
                <w:szCs w:val="16"/>
                <w:color w:val="auto"/>
              </w:rPr>
              <w:t>​ ​</w:t>
            </w:r>
          </w:p>
        </w:tc>
        <w:tc>
          <w:tcPr>
            <w:tcW w:w="980" w:type="dxa"/>
            <w:vAlign w:val="bottom"/>
            <w:vMerge w:val="restart"/>
            <w:shd w:val="clear" w:color="auto" w:fill="B2B2B2"/>
          </w:tcPr>
          <w:p>
            <w:pPr>
              <w:jc w:val="center"/>
              <w:ind w:right="41"/>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B2B2B2"/>
          </w:tcPr>
          <w:p>
            <w:pPr>
              <w:ind w:left="40"/>
              <w:spacing w:after="0"/>
              <w:rPr>
                <w:sz w:val="20"/>
                <w:szCs w:val="20"/>
                <w:color w:val="auto"/>
              </w:rPr>
            </w:pPr>
            <w:r>
              <w:rPr>
                <w:rFonts w:ascii="Arial" w:cs="Arial" w:eastAsia="Arial" w:hAnsi="Arial"/>
                <w:sz w:val="16"/>
                <w:szCs w:val="16"/>
                <w:color w:val="auto"/>
              </w:rPr>
              <w:t>​ ​</w:t>
            </w:r>
          </w:p>
        </w:tc>
        <w:tc>
          <w:tcPr>
            <w:tcW w:w="240" w:type="dxa"/>
            <w:vAlign w:val="bottom"/>
            <w:vMerge w:val="restart"/>
            <w:shd w:val="clear" w:color="auto" w:fill="B2B2B2"/>
          </w:tcPr>
          <w:p>
            <w:pPr>
              <w:jc w:val="right"/>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B2B2B2"/>
          </w:tcPr>
          <w:p>
            <w:pPr>
              <w:ind w:left="100"/>
              <w:spacing w:after="0"/>
              <w:rPr>
                <w:sz w:val="20"/>
                <w:szCs w:val="20"/>
                <w:color w:val="auto"/>
              </w:rPr>
            </w:pPr>
            <w:r>
              <w:rPr>
                <w:rFonts w:ascii="Arial" w:cs="Arial" w:eastAsia="Arial" w:hAnsi="Arial"/>
                <w:sz w:val="16"/>
                <w:szCs w:val="16"/>
                <w:color w:val="auto"/>
              </w:rPr>
              <w:t>​ ​</w:t>
            </w:r>
          </w:p>
        </w:tc>
        <w:tc>
          <w:tcPr>
            <w:tcW w:w="900" w:type="dxa"/>
            <w:vAlign w:val="bottom"/>
            <w:vMerge w:val="restart"/>
            <w:shd w:val="clear" w:color="auto" w:fill="B2B2B2"/>
          </w:tcPr>
          <w:p>
            <w:pPr>
              <w:jc w:val="right"/>
              <w:ind w:right="400"/>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B2B2B2"/>
          </w:tcPr>
          <w:p>
            <w:pPr>
              <w:jc w:val="center"/>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B2B2B2"/>
          </w:tcPr>
          <w:p>
            <w:pPr>
              <w:jc w:val="center"/>
              <w:ind w:lef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7"/>
        </w:trPr>
        <w:tc>
          <w:tcPr>
            <w:tcW w:w="1140" w:type="dxa"/>
            <w:vAlign w:val="bottom"/>
            <w:vMerge w:val="restart"/>
            <w:shd w:val="clear" w:color="auto" w:fill="B2B2B2"/>
          </w:tcPr>
          <w:p>
            <w:pPr>
              <w:ind w:left="20"/>
              <w:spacing w:after="0"/>
              <w:rPr>
                <w:sz w:val="20"/>
                <w:szCs w:val="20"/>
                <w:color w:val="auto"/>
              </w:rPr>
            </w:pPr>
            <w:r>
              <w:rPr>
                <w:rFonts w:ascii="Arial" w:cs="Arial" w:eastAsia="Arial" w:hAnsi="Arial"/>
                <w:sz w:val="16"/>
                <w:szCs w:val="16"/>
                <w:color w:val="auto"/>
              </w:rPr>
              <w:t>Weber</w:t>
            </w:r>
          </w:p>
        </w:tc>
        <w:tc>
          <w:tcPr>
            <w:tcW w:w="540" w:type="dxa"/>
            <w:vAlign w:val="bottom"/>
            <w:vMerge w:val="continue"/>
            <w:shd w:val="clear" w:color="auto" w:fill="B2B2B2"/>
          </w:tcPr>
          <w:p>
            <w:pPr>
              <w:spacing w:after="0"/>
              <w:rPr>
                <w:sz w:val="9"/>
                <w:szCs w:val="9"/>
                <w:color w:val="auto"/>
              </w:rPr>
            </w:pPr>
          </w:p>
        </w:tc>
        <w:tc>
          <w:tcPr>
            <w:tcW w:w="380" w:type="dxa"/>
            <w:vAlign w:val="bottom"/>
            <w:vMerge w:val="continue"/>
            <w:shd w:val="clear" w:color="auto" w:fill="B2B2B2"/>
          </w:tcPr>
          <w:p>
            <w:pPr>
              <w:spacing w:after="0"/>
              <w:rPr>
                <w:sz w:val="9"/>
                <w:szCs w:val="9"/>
                <w:color w:val="auto"/>
              </w:rPr>
            </w:pPr>
          </w:p>
        </w:tc>
        <w:tc>
          <w:tcPr>
            <w:tcW w:w="320" w:type="dxa"/>
            <w:vAlign w:val="bottom"/>
            <w:vMerge w:val="continue"/>
            <w:shd w:val="clear" w:color="auto" w:fill="B2B2B2"/>
          </w:tcPr>
          <w:p>
            <w:pPr>
              <w:spacing w:after="0"/>
              <w:rPr>
                <w:sz w:val="9"/>
                <w:szCs w:val="9"/>
                <w:color w:val="auto"/>
              </w:rPr>
            </w:pPr>
          </w:p>
        </w:tc>
        <w:tc>
          <w:tcPr>
            <w:tcW w:w="440" w:type="dxa"/>
            <w:vAlign w:val="bottom"/>
            <w:vMerge w:val="continue"/>
            <w:shd w:val="clear" w:color="auto" w:fill="B2B2B2"/>
          </w:tcPr>
          <w:p>
            <w:pPr>
              <w:spacing w:after="0"/>
              <w:rPr>
                <w:sz w:val="9"/>
                <w:szCs w:val="9"/>
                <w:color w:val="auto"/>
              </w:rPr>
            </w:pPr>
          </w:p>
        </w:tc>
        <w:tc>
          <w:tcPr>
            <w:tcW w:w="460" w:type="dxa"/>
            <w:vAlign w:val="bottom"/>
            <w:shd w:val="clear" w:color="auto" w:fill="B2B2B2"/>
          </w:tcPr>
          <w:p>
            <w:pPr>
              <w:spacing w:after="0"/>
              <w:rPr>
                <w:sz w:val="9"/>
                <w:szCs w:val="9"/>
                <w:color w:val="auto"/>
              </w:rPr>
            </w:pPr>
          </w:p>
        </w:tc>
        <w:tc>
          <w:tcPr>
            <w:tcW w:w="400" w:type="dxa"/>
            <w:vAlign w:val="bottom"/>
            <w:vMerge w:val="continue"/>
            <w:shd w:val="clear" w:color="auto" w:fill="B2B2B2"/>
          </w:tcPr>
          <w:p>
            <w:pPr>
              <w:spacing w:after="0"/>
              <w:rPr>
                <w:sz w:val="9"/>
                <w:szCs w:val="9"/>
                <w:color w:val="auto"/>
              </w:rPr>
            </w:pPr>
          </w:p>
        </w:tc>
        <w:tc>
          <w:tcPr>
            <w:tcW w:w="980" w:type="dxa"/>
            <w:vAlign w:val="bottom"/>
            <w:vMerge w:val="continue"/>
            <w:shd w:val="clear" w:color="auto" w:fill="B2B2B2"/>
          </w:tcPr>
          <w:p>
            <w:pPr>
              <w:spacing w:after="0"/>
              <w:rPr>
                <w:sz w:val="9"/>
                <w:szCs w:val="9"/>
                <w:color w:val="auto"/>
              </w:rPr>
            </w:pPr>
          </w:p>
        </w:tc>
        <w:tc>
          <w:tcPr>
            <w:tcW w:w="220" w:type="dxa"/>
            <w:vAlign w:val="bottom"/>
            <w:vMerge w:val="continue"/>
            <w:shd w:val="clear" w:color="auto" w:fill="B2B2B2"/>
          </w:tcPr>
          <w:p>
            <w:pPr>
              <w:spacing w:after="0"/>
              <w:rPr>
                <w:sz w:val="9"/>
                <w:szCs w:val="9"/>
                <w:color w:val="auto"/>
              </w:rPr>
            </w:pPr>
          </w:p>
        </w:tc>
        <w:tc>
          <w:tcPr>
            <w:tcW w:w="240" w:type="dxa"/>
            <w:vAlign w:val="bottom"/>
            <w:vMerge w:val="continue"/>
            <w:shd w:val="clear" w:color="auto" w:fill="B2B2B2"/>
          </w:tcPr>
          <w:p>
            <w:pPr>
              <w:spacing w:after="0"/>
              <w:rPr>
                <w:sz w:val="9"/>
                <w:szCs w:val="9"/>
                <w:color w:val="auto"/>
              </w:rPr>
            </w:pPr>
          </w:p>
        </w:tc>
        <w:tc>
          <w:tcPr>
            <w:tcW w:w="240" w:type="dxa"/>
            <w:vAlign w:val="bottom"/>
            <w:vMerge w:val="continue"/>
            <w:shd w:val="clear" w:color="auto" w:fill="B2B2B2"/>
          </w:tcPr>
          <w:p>
            <w:pPr>
              <w:spacing w:after="0"/>
              <w:rPr>
                <w:sz w:val="9"/>
                <w:szCs w:val="9"/>
                <w:color w:val="auto"/>
              </w:rPr>
            </w:pPr>
          </w:p>
        </w:tc>
        <w:tc>
          <w:tcPr>
            <w:tcW w:w="900" w:type="dxa"/>
            <w:vAlign w:val="bottom"/>
            <w:vMerge w:val="continue"/>
            <w:shd w:val="clear" w:color="auto" w:fill="B2B2B2"/>
          </w:tcPr>
          <w:p>
            <w:pPr>
              <w:spacing w:after="0"/>
              <w:rPr>
                <w:sz w:val="9"/>
                <w:szCs w:val="9"/>
                <w:color w:val="auto"/>
              </w:rPr>
            </w:pPr>
          </w:p>
        </w:tc>
        <w:tc>
          <w:tcPr>
            <w:tcW w:w="1060" w:type="dxa"/>
            <w:vAlign w:val="bottom"/>
            <w:vMerge w:val="continue"/>
            <w:shd w:val="clear" w:color="auto" w:fill="B2B2B2"/>
          </w:tcPr>
          <w:p>
            <w:pPr>
              <w:spacing w:after="0"/>
              <w:rPr>
                <w:sz w:val="9"/>
                <w:szCs w:val="9"/>
                <w:color w:val="auto"/>
              </w:rPr>
            </w:pPr>
          </w:p>
        </w:tc>
        <w:tc>
          <w:tcPr>
            <w:tcW w:w="880" w:type="dxa"/>
            <w:vAlign w:val="bottom"/>
            <w:vMerge w:val="continue"/>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40" w:type="dxa"/>
            <w:vAlign w:val="bottom"/>
            <w:vMerge w:val="continue"/>
            <w:shd w:val="clear" w:color="auto" w:fill="B2B2B2"/>
          </w:tcPr>
          <w:p>
            <w:pPr>
              <w:spacing w:after="0"/>
              <w:rPr>
                <w:sz w:val="9"/>
                <w:szCs w:val="9"/>
                <w:color w:val="auto"/>
              </w:rPr>
            </w:pPr>
          </w:p>
        </w:tc>
        <w:tc>
          <w:tcPr>
            <w:tcW w:w="540" w:type="dxa"/>
            <w:vAlign w:val="bottom"/>
            <w:shd w:val="clear" w:color="auto" w:fill="B2B2B2"/>
          </w:tcPr>
          <w:p>
            <w:pPr>
              <w:spacing w:after="0"/>
              <w:rPr>
                <w:sz w:val="9"/>
                <w:szCs w:val="9"/>
                <w:color w:val="auto"/>
              </w:rPr>
            </w:pPr>
          </w:p>
        </w:tc>
        <w:tc>
          <w:tcPr>
            <w:tcW w:w="380" w:type="dxa"/>
            <w:vAlign w:val="bottom"/>
            <w:shd w:val="clear" w:color="auto" w:fill="B2B2B2"/>
          </w:tcPr>
          <w:p>
            <w:pPr>
              <w:spacing w:after="0"/>
              <w:rPr>
                <w:sz w:val="9"/>
                <w:szCs w:val="9"/>
                <w:color w:val="auto"/>
              </w:rPr>
            </w:pPr>
          </w:p>
        </w:tc>
        <w:tc>
          <w:tcPr>
            <w:tcW w:w="320" w:type="dxa"/>
            <w:vAlign w:val="bottom"/>
            <w:shd w:val="clear" w:color="auto" w:fill="B2B2B2"/>
          </w:tcPr>
          <w:p>
            <w:pPr>
              <w:spacing w:after="0"/>
              <w:rPr>
                <w:sz w:val="9"/>
                <w:szCs w:val="9"/>
                <w:color w:val="auto"/>
              </w:rPr>
            </w:pPr>
          </w:p>
        </w:tc>
        <w:tc>
          <w:tcPr>
            <w:tcW w:w="440" w:type="dxa"/>
            <w:vAlign w:val="bottom"/>
            <w:shd w:val="clear" w:color="auto" w:fill="B2B2B2"/>
          </w:tcPr>
          <w:p>
            <w:pPr>
              <w:spacing w:after="0"/>
              <w:rPr>
                <w:sz w:val="9"/>
                <w:szCs w:val="9"/>
                <w:color w:val="auto"/>
              </w:rPr>
            </w:pPr>
          </w:p>
        </w:tc>
        <w:tc>
          <w:tcPr>
            <w:tcW w:w="460" w:type="dxa"/>
            <w:vAlign w:val="bottom"/>
            <w:shd w:val="clear" w:color="auto" w:fill="B2B2B2"/>
          </w:tcPr>
          <w:p>
            <w:pPr>
              <w:spacing w:after="0"/>
              <w:rPr>
                <w:sz w:val="9"/>
                <w:szCs w:val="9"/>
                <w:color w:val="auto"/>
              </w:rPr>
            </w:pPr>
          </w:p>
        </w:tc>
        <w:tc>
          <w:tcPr>
            <w:tcW w:w="400" w:type="dxa"/>
            <w:vAlign w:val="bottom"/>
            <w:shd w:val="clear" w:color="auto" w:fill="B2B2B2"/>
          </w:tcPr>
          <w:p>
            <w:pPr>
              <w:spacing w:after="0"/>
              <w:rPr>
                <w:sz w:val="9"/>
                <w:szCs w:val="9"/>
                <w:color w:val="auto"/>
              </w:rPr>
            </w:pPr>
          </w:p>
        </w:tc>
        <w:tc>
          <w:tcPr>
            <w:tcW w:w="980" w:type="dxa"/>
            <w:vAlign w:val="bottom"/>
            <w:shd w:val="clear" w:color="auto" w:fill="B2B2B2"/>
          </w:tcPr>
          <w:p>
            <w:pPr>
              <w:spacing w:after="0"/>
              <w:rPr>
                <w:sz w:val="9"/>
                <w:szCs w:val="9"/>
                <w:color w:val="auto"/>
              </w:rPr>
            </w:pPr>
          </w:p>
        </w:tc>
        <w:tc>
          <w:tcPr>
            <w:tcW w:w="220" w:type="dxa"/>
            <w:vAlign w:val="bottom"/>
            <w:shd w:val="clear" w:color="auto" w:fill="B2B2B2"/>
          </w:tcPr>
          <w:p>
            <w:pPr>
              <w:spacing w:after="0"/>
              <w:rPr>
                <w:sz w:val="9"/>
                <w:szCs w:val="9"/>
                <w:color w:val="auto"/>
              </w:rPr>
            </w:pPr>
          </w:p>
        </w:tc>
        <w:tc>
          <w:tcPr>
            <w:tcW w:w="240" w:type="dxa"/>
            <w:vAlign w:val="bottom"/>
            <w:shd w:val="clear" w:color="auto" w:fill="B2B2B2"/>
          </w:tcPr>
          <w:p>
            <w:pPr>
              <w:spacing w:after="0"/>
              <w:rPr>
                <w:sz w:val="9"/>
                <w:szCs w:val="9"/>
                <w:color w:val="auto"/>
              </w:rPr>
            </w:pPr>
          </w:p>
        </w:tc>
        <w:tc>
          <w:tcPr>
            <w:tcW w:w="240" w:type="dxa"/>
            <w:vAlign w:val="bottom"/>
            <w:shd w:val="clear" w:color="auto" w:fill="B2B2B2"/>
          </w:tcPr>
          <w:p>
            <w:pPr>
              <w:spacing w:after="0"/>
              <w:rPr>
                <w:sz w:val="9"/>
                <w:szCs w:val="9"/>
                <w:color w:val="auto"/>
              </w:rPr>
            </w:pPr>
          </w:p>
        </w:tc>
        <w:tc>
          <w:tcPr>
            <w:tcW w:w="900" w:type="dxa"/>
            <w:vAlign w:val="bottom"/>
            <w:shd w:val="clear" w:color="auto" w:fill="B2B2B2"/>
          </w:tcPr>
          <w:p>
            <w:pPr>
              <w:spacing w:after="0"/>
              <w:rPr>
                <w:sz w:val="9"/>
                <w:szCs w:val="9"/>
                <w:color w:val="auto"/>
              </w:rPr>
            </w:pPr>
          </w:p>
        </w:tc>
        <w:tc>
          <w:tcPr>
            <w:tcW w:w="1060" w:type="dxa"/>
            <w:vAlign w:val="bottom"/>
            <w:shd w:val="clear" w:color="auto" w:fill="B2B2B2"/>
          </w:tcPr>
          <w:p>
            <w:pPr>
              <w:spacing w:after="0"/>
              <w:rPr>
                <w:sz w:val="9"/>
                <w:szCs w:val="9"/>
                <w:color w:val="auto"/>
              </w:rPr>
            </w:pPr>
          </w:p>
        </w:tc>
        <w:tc>
          <w:tcPr>
            <w:tcW w:w="880" w:type="dxa"/>
            <w:vAlign w:val="bottom"/>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140" w:type="dxa"/>
            <w:vAlign w:val="bottom"/>
            <w:shd w:val="clear" w:color="auto" w:fill="B2B2B2"/>
          </w:tcPr>
          <w:p>
            <w:pPr>
              <w:spacing w:after="0"/>
              <w:rPr>
                <w:sz w:val="7"/>
                <w:szCs w:val="7"/>
                <w:color w:val="auto"/>
              </w:rPr>
            </w:pPr>
          </w:p>
        </w:tc>
        <w:tc>
          <w:tcPr>
            <w:tcW w:w="540" w:type="dxa"/>
            <w:vAlign w:val="bottom"/>
            <w:shd w:val="clear" w:color="auto" w:fill="B2B2B2"/>
          </w:tcPr>
          <w:p>
            <w:pPr>
              <w:spacing w:after="0"/>
              <w:rPr>
                <w:sz w:val="7"/>
                <w:szCs w:val="7"/>
                <w:color w:val="auto"/>
              </w:rPr>
            </w:pPr>
          </w:p>
        </w:tc>
        <w:tc>
          <w:tcPr>
            <w:tcW w:w="380" w:type="dxa"/>
            <w:vAlign w:val="bottom"/>
            <w:shd w:val="clear" w:color="auto" w:fill="B2B2B2"/>
          </w:tcPr>
          <w:p>
            <w:pPr>
              <w:spacing w:after="0"/>
              <w:rPr>
                <w:sz w:val="7"/>
                <w:szCs w:val="7"/>
                <w:color w:val="auto"/>
              </w:rPr>
            </w:pPr>
          </w:p>
        </w:tc>
        <w:tc>
          <w:tcPr>
            <w:tcW w:w="320" w:type="dxa"/>
            <w:vAlign w:val="bottom"/>
            <w:shd w:val="clear" w:color="auto" w:fill="B2B2B2"/>
          </w:tcPr>
          <w:p>
            <w:pPr>
              <w:spacing w:after="0"/>
              <w:rPr>
                <w:sz w:val="7"/>
                <w:szCs w:val="7"/>
                <w:color w:val="auto"/>
              </w:rPr>
            </w:pPr>
          </w:p>
        </w:tc>
        <w:tc>
          <w:tcPr>
            <w:tcW w:w="440" w:type="dxa"/>
            <w:vAlign w:val="bottom"/>
            <w:shd w:val="clear" w:color="auto" w:fill="B2B2B2"/>
          </w:tcPr>
          <w:p>
            <w:pPr>
              <w:spacing w:after="0"/>
              <w:rPr>
                <w:sz w:val="7"/>
                <w:szCs w:val="7"/>
                <w:color w:val="auto"/>
              </w:rPr>
            </w:pPr>
          </w:p>
        </w:tc>
        <w:tc>
          <w:tcPr>
            <w:tcW w:w="460" w:type="dxa"/>
            <w:vAlign w:val="bottom"/>
            <w:shd w:val="clear" w:color="auto" w:fill="B2B2B2"/>
          </w:tcPr>
          <w:p>
            <w:pPr>
              <w:spacing w:after="0"/>
              <w:rPr>
                <w:sz w:val="7"/>
                <w:szCs w:val="7"/>
                <w:color w:val="auto"/>
              </w:rPr>
            </w:pPr>
          </w:p>
        </w:tc>
        <w:tc>
          <w:tcPr>
            <w:tcW w:w="400" w:type="dxa"/>
            <w:vAlign w:val="bottom"/>
            <w:shd w:val="clear" w:color="auto" w:fill="B2B2B2"/>
          </w:tcPr>
          <w:p>
            <w:pPr>
              <w:spacing w:after="0"/>
              <w:rPr>
                <w:sz w:val="7"/>
                <w:szCs w:val="7"/>
                <w:color w:val="auto"/>
              </w:rPr>
            </w:pPr>
          </w:p>
        </w:tc>
        <w:tc>
          <w:tcPr>
            <w:tcW w:w="980" w:type="dxa"/>
            <w:vAlign w:val="bottom"/>
            <w:shd w:val="clear" w:color="auto" w:fill="B2B2B2"/>
          </w:tcPr>
          <w:p>
            <w:pPr>
              <w:spacing w:after="0"/>
              <w:rPr>
                <w:sz w:val="7"/>
                <w:szCs w:val="7"/>
                <w:color w:val="auto"/>
              </w:rPr>
            </w:pPr>
          </w:p>
        </w:tc>
        <w:tc>
          <w:tcPr>
            <w:tcW w:w="220" w:type="dxa"/>
            <w:vAlign w:val="bottom"/>
            <w:shd w:val="clear" w:color="auto" w:fill="B2B2B2"/>
          </w:tcPr>
          <w:p>
            <w:pPr>
              <w:spacing w:after="0"/>
              <w:rPr>
                <w:sz w:val="7"/>
                <w:szCs w:val="7"/>
                <w:color w:val="auto"/>
              </w:rPr>
            </w:pPr>
          </w:p>
        </w:tc>
        <w:tc>
          <w:tcPr>
            <w:tcW w:w="240" w:type="dxa"/>
            <w:vAlign w:val="bottom"/>
            <w:shd w:val="clear" w:color="auto" w:fill="B2B2B2"/>
          </w:tcPr>
          <w:p>
            <w:pPr>
              <w:spacing w:after="0"/>
              <w:rPr>
                <w:sz w:val="7"/>
                <w:szCs w:val="7"/>
                <w:color w:val="auto"/>
              </w:rPr>
            </w:pPr>
          </w:p>
        </w:tc>
        <w:tc>
          <w:tcPr>
            <w:tcW w:w="240" w:type="dxa"/>
            <w:vAlign w:val="bottom"/>
            <w:shd w:val="clear" w:color="auto" w:fill="B2B2B2"/>
          </w:tcPr>
          <w:p>
            <w:pPr>
              <w:spacing w:after="0"/>
              <w:rPr>
                <w:sz w:val="7"/>
                <w:szCs w:val="7"/>
                <w:color w:val="auto"/>
              </w:rPr>
            </w:pPr>
          </w:p>
        </w:tc>
        <w:tc>
          <w:tcPr>
            <w:tcW w:w="900" w:type="dxa"/>
            <w:vAlign w:val="bottom"/>
            <w:shd w:val="clear" w:color="auto" w:fill="B2B2B2"/>
          </w:tcPr>
          <w:p>
            <w:pPr>
              <w:spacing w:after="0"/>
              <w:rPr>
                <w:sz w:val="7"/>
                <w:szCs w:val="7"/>
                <w:color w:val="auto"/>
              </w:rPr>
            </w:pPr>
          </w:p>
        </w:tc>
        <w:tc>
          <w:tcPr>
            <w:tcW w:w="1060" w:type="dxa"/>
            <w:vAlign w:val="bottom"/>
            <w:shd w:val="clear" w:color="auto" w:fill="B2B2B2"/>
          </w:tcPr>
          <w:p>
            <w:pPr>
              <w:spacing w:after="0"/>
              <w:rPr>
                <w:sz w:val="7"/>
                <w:szCs w:val="7"/>
                <w:color w:val="auto"/>
              </w:rPr>
            </w:pPr>
          </w:p>
        </w:tc>
        <w:tc>
          <w:tcPr>
            <w:tcW w:w="880" w:type="dxa"/>
            <w:vAlign w:val="bottom"/>
            <w:shd w:val="clear" w:color="auto" w:fill="B2B2B2"/>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140" w:type="dxa"/>
            <w:vAlign w:val="bottom"/>
          </w:tcPr>
          <w:p>
            <w:pPr>
              <w:ind w:left="20"/>
              <w:spacing w:after="0"/>
              <w:rPr>
                <w:sz w:val="20"/>
                <w:szCs w:val="20"/>
                <w:color w:val="auto"/>
              </w:rPr>
            </w:pPr>
            <w:r>
              <w:rPr>
                <w:rFonts w:ascii="Arial" w:cs="Arial" w:eastAsia="Arial" w:hAnsi="Arial"/>
                <w:sz w:val="16"/>
                <w:szCs w:val="16"/>
                <w:color w:val="auto"/>
              </w:rPr>
              <w:t>Harold</w:t>
            </w:r>
          </w:p>
        </w:tc>
        <w:tc>
          <w:tcPr>
            <w:tcW w:w="54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ind w:left="140"/>
              <w:spacing w:after="0"/>
              <w:rPr>
                <w:sz w:val="20"/>
                <w:szCs w:val="20"/>
                <w:color w:val="auto"/>
              </w:rPr>
            </w:pPr>
            <w:r>
              <w:rPr>
                <w:rFonts w:ascii="Arial" w:cs="Arial" w:eastAsia="Arial" w:hAnsi="Arial"/>
                <w:sz w:val="16"/>
                <w:szCs w:val="16"/>
                <w:color w:val="auto"/>
              </w:rPr>
              <w:t>​ ​</w:t>
            </w:r>
          </w:p>
        </w:tc>
        <w:tc>
          <w:tcPr>
            <w:tcW w:w="320" w:type="dxa"/>
            <w:vAlign w:val="bottom"/>
          </w:tcPr>
          <w:p>
            <w:pPr>
              <w:spacing w:after="0"/>
              <w:rPr>
                <w:sz w:val="17"/>
                <w:szCs w:val="17"/>
                <w:color w:val="auto"/>
              </w:rPr>
            </w:pPr>
          </w:p>
        </w:tc>
        <w:tc>
          <w:tcPr>
            <w:tcW w:w="440" w:type="dxa"/>
            <w:vAlign w:val="bottom"/>
            <w:vMerge w:val="restart"/>
          </w:tcPr>
          <w:p>
            <w:pPr>
              <w:ind w:left="160"/>
              <w:spacing w:after="0"/>
              <w:rPr>
                <w:sz w:val="20"/>
                <w:szCs w:val="20"/>
                <w:color w:val="auto"/>
              </w:rPr>
            </w:pPr>
            <w:r>
              <w:rPr>
                <w:rFonts w:ascii="Arial" w:cs="Arial" w:eastAsia="Arial" w:hAnsi="Arial"/>
                <w:sz w:val="16"/>
                <w:szCs w:val="16"/>
                <w:color w:val="auto"/>
              </w:rPr>
              <w:t>​ ​</w:t>
            </w:r>
          </w:p>
        </w:tc>
        <w:tc>
          <w:tcPr>
            <w:tcW w:w="460" w:type="dxa"/>
            <w:vAlign w:val="bottom"/>
          </w:tcPr>
          <w:p>
            <w:pPr>
              <w:spacing w:after="0"/>
              <w:rPr>
                <w:sz w:val="17"/>
                <w:szCs w:val="17"/>
                <w:color w:val="auto"/>
              </w:rPr>
            </w:pPr>
          </w:p>
        </w:tc>
        <w:tc>
          <w:tcPr>
            <w:tcW w:w="400" w:type="dxa"/>
            <w:vAlign w:val="bottom"/>
            <w:vMerge w:val="restart"/>
          </w:tcPr>
          <w:p>
            <w:pPr>
              <w:jc w:val="right"/>
              <w:ind w:right="20"/>
              <w:spacing w:after="0"/>
              <w:rPr>
                <w:sz w:val="20"/>
                <w:szCs w:val="20"/>
                <w:color w:val="auto"/>
              </w:rPr>
            </w:pPr>
            <w:r>
              <w:rPr>
                <w:rFonts w:ascii="Arial" w:cs="Arial" w:eastAsia="Arial" w:hAnsi="Arial"/>
                <w:sz w:val="16"/>
                <w:szCs w:val="16"/>
                <w:color w:val="auto"/>
              </w:rPr>
              <w:t>​ ​</w:t>
            </w:r>
          </w:p>
        </w:tc>
        <w:tc>
          <w:tcPr>
            <w:tcW w:w="980" w:type="dxa"/>
            <w:vAlign w:val="bottom"/>
            <w:vMerge w:val="restart"/>
          </w:tcPr>
          <w:p>
            <w:pPr>
              <w:jc w:val="center"/>
              <w:ind w:right="41"/>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100"/>
              <w:spacing w:after="0"/>
              <w:rPr>
                <w:sz w:val="20"/>
                <w:szCs w:val="20"/>
                <w:color w:val="auto"/>
              </w:rPr>
            </w:pPr>
            <w:r>
              <w:rPr>
                <w:rFonts w:ascii="Arial" w:cs="Arial" w:eastAsia="Arial" w:hAnsi="Arial"/>
                <w:sz w:val="16"/>
                <w:szCs w:val="16"/>
                <w:color w:val="auto"/>
              </w:rPr>
              <w:t>​ ​</w:t>
            </w:r>
          </w:p>
        </w:tc>
        <w:tc>
          <w:tcPr>
            <w:tcW w:w="900" w:type="dxa"/>
            <w:vAlign w:val="bottom"/>
            <w:vMerge w:val="restart"/>
          </w:tcPr>
          <w:p>
            <w:pPr>
              <w:jc w:val="right"/>
              <w:ind w:right="400"/>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center"/>
              <w:ind w:lef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0"/>
        </w:trPr>
        <w:tc>
          <w:tcPr>
            <w:tcW w:w="1140" w:type="dxa"/>
            <w:vAlign w:val="bottom"/>
            <w:vMerge w:val="restart"/>
          </w:tcPr>
          <w:p>
            <w:pPr>
              <w:ind w:left="20"/>
              <w:spacing w:after="0"/>
              <w:rPr>
                <w:sz w:val="20"/>
                <w:szCs w:val="20"/>
                <w:color w:val="auto"/>
              </w:rPr>
            </w:pPr>
            <w:r>
              <w:rPr>
                <w:rFonts w:ascii="Arial" w:cs="Arial" w:eastAsia="Arial" w:hAnsi="Arial"/>
                <w:sz w:val="16"/>
                <w:szCs w:val="16"/>
                <w:color w:val="auto"/>
              </w:rPr>
              <w:t>Zeitz</w:t>
            </w:r>
          </w:p>
        </w:tc>
        <w:tc>
          <w:tcPr>
            <w:tcW w:w="54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1260" w:right="479" w:firstLine="648"/>
        <w:spacing w:after="0" w:line="276" w:lineRule="auto"/>
        <w:rPr>
          <w:sz w:val="20"/>
          <w:szCs w:val="20"/>
          <w:color w:val="auto"/>
        </w:rPr>
      </w:pPr>
      <w:r>
        <w:rPr>
          <w:rFonts w:ascii="Arial" w:cs="Arial" w:eastAsia="Arial" w:hAnsi="Arial"/>
          <w:sz w:val="18"/>
          <w:szCs w:val="18"/>
          <w:color w:val="auto"/>
        </w:rPr>
        <w:t>Based on the foregoing, the Governance Committee concluded that our current Board nominees represent a broad range of viewpoints, backgrounds and relevant expertise that aligns with Uniti’s long-term strategy.</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Corporate Social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13" w:lineRule="exact"/>
        <w:rPr>
          <w:sz w:val="20"/>
          <w:szCs w:val="20"/>
          <w:color w:val="auto"/>
        </w:rPr>
      </w:pPr>
    </w:p>
    <w:p>
      <w:pPr>
        <w:ind w:left="1260" w:right="519" w:firstLine="648"/>
        <w:spacing w:after="0" w:line="262" w:lineRule="auto"/>
        <w:rPr>
          <w:sz w:val="20"/>
          <w:szCs w:val="20"/>
          <w:color w:val="auto"/>
        </w:rPr>
      </w:pPr>
      <w:r>
        <w:rPr>
          <w:rFonts w:ascii="Arial" w:cs="Arial" w:eastAsia="Arial" w:hAnsi="Arial"/>
          <w:sz w:val="18"/>
          <w:szCs w:val="18"/>
          <w:color w:val="auto"/>
        </w:rPr>
        <w:t xml:space="preserve">For more details on our corporate citizenship and sustainability efforts, please see our most recently published ESG Report which is available on our website, </w:t>
      </w:r>
      <w:r>
        <w:rPr>
          <w:rFonts w:ascii="Arial" w:cs="Arial" w:eastAsia="Arial" w:hAnsi="Arial"/>
          <w:sz w:val="18"/>
          <w:szCs w:val="18"/>
          <w:b w:val="1"/>
          <w:bCs w:val="1"/>
          <w:color w:val="00ABD1"/>
        </w:rPr>
        <w:t>www.uniti.com</w:t>
      </w:r>
      <w:r>
        <w:rPr>
          <w:rFonts w:ascii="Arial" w:cs="Arial" w:eastAsia="Arial" w:hAnsi="Arial"/>
          <w:sz w:val="18"/>
          <w:szCs w:val="18"/>
          <w:color w:val="auto"/>
        </w:rPr>
        <w:t>, under the “About Us — Corporate Responsibility” tab (information on the Company’s website is not incorporated by reference herein).</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Board and Committee Self-Evaluations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0" w:lineRule="exact"/>
        <w:rPr>
          <w:sz w:val="20"/>
          <w:szCs w:val="20"/>
          <w:color w:val="auto"/>
        </w:rPr>
      </w:pPr>
    </w:p>
    <w:p>
      <w:pPr>
        <w:ind w:left="1260" w:right="419" w:firstLine="648"/>
        <w:spacing w:after="0" w:line="251" w:lineRule="auto"/>
        <w:rPr>
          <w:sz w:val="20"/>
          <w:szCs w:val="20"/>
          <w:color w:val="auto"/>
        </w:rPr>
      </w:pPr>
      <w:r>
        <w:rPr>
          <w:rFonts w:ascii="Arial" w:cs="Arial" w:eastAsia="Arial" w:hAnsi="Arial"/>
          <w:sz w:val="18"/>
          <w:szCs w:val="18"/>
          <w:color w:val="auto"/>
        </w:rPr>
        <w:t>As set forth in Uniti’s Corporate Governance Guidelines, the Board and its committees conduct annual self-evaluations to determine whether they are functioning effectively. Each self-evaluation is coordinated by the chairperson of the Board or committee, as applicable, in executive sessions during the last regular meeting of the year. The Board believes that this self-evaluation process is fundamental in supporting continued improvement through thoughtful and comprehensive discussions.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00" w:lineRule="exact"/>
        <w:rPr>
          <w:sz w:val="20"/>
          <w:szCs w:val="20"/>
          <w:color w:val="auto"/>
        </w:rPr>
      </w:pPr>
    </w:p>
    <w:p>
      <w:pPr>
        <w:ind w:left="1260" w:right="419" w:firstLine="648"/>
        <w:spacing w:after="0" w:line="244" w:lineRule="auto"/>
        <w:rPr>
          <w:sz w:val="20"/>
          <w:szCs w:val="20"/>
          <w:color w:val="auto"/>
        </w:rPr>
      </w:pPr>
      <w:r>
        <w:rPr>
          <w:rFonts w:ascii="Arial" w:cs="Arial" w:eastAsia="Arial" w:hAnsi="Arial"/>
          <w:sz w:val="18"/>
          <w:szCs w:val="18"/>
          <w:color w:val="auto"/>
        </w:rPr>
        <w:t>The Board maintains an active role, including at the committee level, in overseeing management of the Company’s various risk exposures. While the Board is ultimately responsible for overall risk oversight for the Company, certain of the Board’s committees assist the Board of Directors in fulfilling its oversight responsibilities in certain areas of risk. The Audit Committee oversees the Company’s enterprise risk management and periodically reviews with management and the Company’s auditors major financial and auditing risks. Additionally, the Audit Committee oversees the Company’s risks related to cybersecurity and data privacy matters and, for that purpose, regularly receives reports from management regarding those risks and countermeasures being undertaken or considered by the Company. The Compensation Committee oversees risks relating to the design and implementation of the Company’s compensation policies and procedures.</w:t>
      </w:r>
    </w:p>
    <w:p>
      <w:pPr>
        <w:spacing w:after="0" w:line="17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Board’s discharge of its risk oversight role has not specifically affected its leadership</w:t>
      </w:r>
    </w:p>
    <w:p>
      <w:pPr>
        <w:spacing w:after="0" w:line="27" w:lineRule="exact"/>
        <w:rPr>
          <w:sz w:val="20"/>
          <w:szCs w:val="20"/>
          <w:color w:val="auto"/>
        </w:rPr>
      </w:pPr>
    </w:p>
    <w:p>
      <w:pPr>
        <w:ind w:left="1260" w:right="419"/>
        <w:spacing w:after="0" w:line="242" w:lineRule="auto"/>
        <w:rPr>
          <w:sz w:val="20"/>
          <w:szCs w:val="20"/>
          <w:color w:val="auto"/>
        </w:rPr>
      </w:pPr>
      <w:r>
        <w:rPr>
          <w:rFonts w:ascii="Arial" w:cs="Arial" w:eastAsia="Arial" w:hAnsi="Arial"/>
          <w:sz w:val="18"/>
          <w:szCs w:val="18"/>
          <w:color w:val="auto"/>
        </w:rPr>
        <w:t>structure discussed above. Rather, in establishing the current leadership structure, risk oversight was one factor among many considered. The Board will regularly review its leadership structure and evaluate whether it, and the Board as a whole, is functioning effectively. If in the future the Board believes that a change in its leadership structure is required to, or potentially could, improve the Board’s risk oversight role, it may make any change it deems appropriate.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Working with Integrity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0" w:lineRule="exact"/>
        <w:rPr>
          <w:sz w:val="20"/>
          <w:szCs w:val="20"/>
          <w:color w:val="auto"/>
        </w:rPr>
      </w:pPr>
    </w:p>
    <w:p>
      <w:pPr>
        <w:ind w:left="1260" w:right="419" w:firstLine="648"/>
        <w:spacing w:after="0" w:line="269" w:lineRule="auto"/>
        <w:rPr>
          <w:sz w:val="20"/>
          <w:szCs w:val="20"/>
          <w:color w:val="auto"/>
        </w:rPr>
      </w:pPr>
      <w:r>
        <w:rPr>
          <w:rFonts w:ascii="Arial" w:cs="Arial" w:eastAsia="Arial" w:hAnsi="Arial"/>
          <w:sz w:val="17"/>
          <w:szCs w:val="17"/>
          <w:color w:val="auto"/>
        </w:rPr>
        <w:t xml:space="preserve">Our Working with Integrity Guidelines confirms our commitment to conduct our affairs in compliance with all applicable laws and regulations and observe the highest standards of business ethics and seeks to identify and mitigate conflicts of interest between our directors, officers and employees, on the one hand, and Uniti on the other hand. The Working with Integrity Guidelines applies to ensure compliance with stock exchange requirements and to ensure accountability at a senior management level for that compliance. We intend that the spirit, as well as the letter, of the Working with Integrity Guidelines be followed by all of our directors, officers, employees and subsidiaries. This is communicated to each new officer, director and employee. Any waiver of our Working with Integrity Guidelines with respect to our executive officers and directors may only be authorized by the Board of Directors. We intend to satisfy the disclosure requirements of Form 8-K regarding any amendment to, or a waiver from, any provision of our code of ethics by posting such amendment or waiver on our website. Our Working with Integrity Guidelines is available on our website, </w:t>
      </w:r>
      <w:r>
        <w:rPr>
          <w:rFonts w:ascii="Arial" w:cs="Arial" w:eastAsia="Arial" w:hAnsi="Arial"/>
          <w:sz w:val="17"/>
          <w:szCs w:val="17"/>
          <w:b w:val="1"/>
          <w:bCs w:val="1"/>
          <w:color w:val="00ABD1"/>
        </w:rPr>
        <w:t>www.uniti.com</w:t>
      </w:r>
      <w:r>
        <w:rPr>
          <w:rFonts w:ascii="Arial" w:cs="Arial" w:eastAsia="Arial" w:hAnsi="Arial"/>
          <w:sz w:val="17"/>
          <w:szCs w:val="17"/>
          <w:color w:val="auto"/>
        </w:rPr>
        <w:t>, under the “About Us — Corporate Governance” tab (information on the Company’s website is not incorporated by reference herein).</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3" w:lineRule="exact"/>
        <w:rPr>
          <w:sz w:val="20"/>
          <w:szCs w:val="20"/>
          <w:color w:val="auto"/>
        </w:rPr>
      </w:pPr>
    </w:p>
    <w:p>
      <w:pPr>
        <w:ind w:left="1260" w:right="419" w:firstLine="648"/>
        <w:spacing w:after="0" w:line="254" w:lineRule="auto"/>
        <w:rPr>
          <w:sz w:val="20"/>
          <w:szCs w:val="20"/>
          <w:color w:val="auto"/>
        </w:rPr>
      </w:pPr>
      <w:r>
        <w:rPr>
          <w:rFonts w:ascii="Arial" w:cs="Arial" w:eastAsia="Arial" w:hAnsi="Arial"/>
          <w:sz w:val="18"/>
          <w:szCs w:val="18"/>
          <w:color w:val="auto"/>
        </w:rPr>
        <w:t>The Company has adopted an insider stock trading policy governing the purchase, sale and/or other disposition of the Company’s securities by directors, officers and employees that is reasonably designed to promote compliance with insider trading laws, rules and regulations. Except for trades executed under previously approved 10b5-1 trading plans, no transactions in Company securities may be made during a closed trading window or during any other special blackout periods designated by the Company’s General Counsel. The closed trading window begins after the last day of each quarter and remains in effect until the first trading day following the day quarterly earnings are released to the public. In addition, certain “designated persons” ​(which include directors, Section 16 officers and any additional persons designated by the Company from time-to-time) must provide advance notice and obtain pre-clearance</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from the Company’s General Counsel prior to the execution of any trades. While our Insider Trading Policy does not apply to the Company directly, it is our general practice to follow the same guidelines and restrictions on transactions involving Company securities that apply to persons covered under the Insider Trading Policy.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Hedging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5212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86" w:lineRule="exact"/>
        <w:rPr>
          <w:sz w:val="20"/>
          <w:szCs w:val="20"/>
          <w:color w:val="auto"/>
        </w:rPr>
      </w:pPr>
    </w:p>
    <w:p>
      <w:pPr>
        <w:ind w:left="1260" w:right="499" w:firstLine="648"/>
        <w:spacing w:after="0" w:line="245" w:lineRule="auto"/>
        <w:rPr>
          <w:sz w:val="20"/>
          <w:szCs w:val="20"/>
          <w:color w:val="auto"/>
        </w:rPr>
      </w:pPr>
      <w:r>
        <w:rPr>
          <w:rFonts w:ascii="Arial" w:cs="Arial" w:eastAsia="Arial" w:hAnsi="Arial"/>
          <w:sz w:val="18"/>
          <w:szCs w:val="18"/>
          <w:color w:val="auto"/>
        </w:rPr>
        <w:t>All employees, officers and directors of the Company are prohibited from engaging in any transaction in derivative securities that reflects speculation about the price of Company securities (i.e., exchange traded options, whether puts or calls) or any transaction in Company securities that may place their financial interests against the financial interests of the Company. For instance, employees, officers and directors may not sell Company securities “short,” which would allow them to profit from a decline in the price of the Company stock.</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52120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86" w:lineRule="exact"/>
        <w:rPr>
          <w:sz w:val="20"/>
          <w:szCs w:val="20"/>
          <w:color w:val="auto"/>
        </w:rPr>
      </w:pPr>
    </w:p>
    <w:p>
      <w:pPr>
        <w:ind w:left="1260" w:right="639" w:firstLine="648"/>
        <w:spacing w:after="0" w:line="258" w:lineRule="auto"/>
        <w:rPr>
          <w:sz w:val="20"/>
          <w:szCs w:val="20"/>
          <w:color w:val="auto"/>
        </w:rPr>
      </w:pPr>
      <w:r>
        <w:rPr>
          <w:rFonts w:ascii="Arial" w:cs="Arial" w:eastAsia="Arial" w:hAnsi="Arial"/>
          <w:sz w:val="17"/>
          <w:szCs w:val="17"/>
          <w:color w:val="auto"/>
        </w:rPr>
        <w:t>The current non-employee director compensation program consists of: (i) an annual cash retainer of $100,000; (ii) a one-time, at-election restricted stock grant of $100,000 that vests ratably in equal installments over four years; (iii) an annual restricted stock grant of $150,000 subject to one-year vesting; (iv) an additional annual cash retainer of $150,000 for the Chair of the Board of Directors;</w:t>
      </w:r>
    </w:p>
    <w:p>
      <w:pPr>
        <w:spacing w:after="0" w:line="1" w:lineRule="exact"/>
        <w:rPr>
          <w:sz w:val="20"/>
          <w:szCs w:val="20"/>
          <w:color w:val="auto"/>
        </w:rPr>
      </w:pPr>
    </w:p>
    <w:p>
      <w:pPr>
        <w:jc w:val="center"/>
        <w:ind w:left="1260" w:right="1099"/>
        <w:spacing w:after="0" w:line="256" w:lineRule="auto"/>
        <w:tabs>
          <w:tab w:leader="none" w:pos="1513"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annual restricted stock grants of $25,000, $20,000 and $15,000 for the Chairs of the Audit, Compensation and Governance Committees, respectively, each subject to one-year vesting; and</w:t>
      </w:r>
    </w:p>
    <w:p>
      <w:pPr>
        <w:spacing w:after="0" w:line="1" w:lineRule="exact"/>
        <w:rPr>
          <w:rFonts w:ascii="Arial" w:cs="Arial" w:eastAsia="Arial" w:hAnsi="Arial"/>
          <w:sz w:val="17"/>
          <w:szCs w:val="17"/>
          <w:color w:val="auto"/>
        </w:rPr>
      </w:pPr>
    </w:p>
    <w:p>
      <w:pPr>
        <w:ind w:left="1260" w:right="439"/>
        <w:spacing w:after="0" w:line="242" w:lineRule="auto"/>
        <w:tabs>
          <w:tab w:leader="none" w:pos="155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annual restricted stock grants of $12,500, $10,000 and $7,500 for non-chair members of the Audit, Compensation and Governance Committees, respectively, each subject to one-year vesting. The number of time-based restricted shares granted to the non-employee directors during 2025 was based on the average closing price of our common stock as reported on Nasdaq for the 20 trading days prior to the grant date.</w:t>
      </w:r>
    </w:p>
    <w:p>
      <w:pPr>
        <w:spacing w:after="0" w:line="180" w:lineRule="exact"/>
        <w:rPr>
          <w:sz w:val="20"/>
          <w:szCs w:val="20"/>
          <w:color w:val="auto"/>
        </w:rPr>
      </w:pPr>
    </w:p>
    <w:p>
      <w:pPr>
        <w:ind w:left="1260" w:right="479" w:firstLine="648"/>
        <w:spacing w:after="0" w:line="252" w:lineRule="auto"/>
        <w:rPr>
          <w:sz w:val="20"/>
          <w:szCs w:val="20"/>
          <w:color w:val="auto"/>
        </w:rPr>
      </w:pPr>
      <w:r>
        <w:rPr>
          <w:rFonts w:ascii="Arial" w:cs="Arial" w:eastAsia="Arial" w:hAnsi="Arial"/>
          <w:sz w:val="18"/>
          <w:szCs w:val="18"/>
          <w:color w:val="auto"/>
        </w:rPr>
        <w:t>The presentation of full fiscal year director compensation information consists of information with respect to Old Uniti for the period of January 1, 2025 to July 31, 2025 and information with respect to the Company for the period from August 1, 2025 to December 31, 2025. The following table shows the compensation paid to our non-employee directors during 2025:</w:t>
      </w:r>
    </w:p>
    <w:p>
      <w:pPr>
        <w:spacing w:after="0" w:line="22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80" w:type="dxa"/>
            <w:vAlign w:val="bottom"/>
            <w:gridSpan w:val="2"/>
          </w:tcPr>
          <w:p>
            <w:pPr>
              <w:jc w:val="center"/>
              <w:ind w:left="1948"/>
              <w:spacing w:after="0"/>
              <w:rPr>
                <w:sz w:val="20"/>
                <w:szCs w:val="20"/>
                <w:color w:val="auto"/>
              </w:rPr>
            </w:pPr>
            <w:r>
              <w:rPr>
                <w:rFonts w:ascii="Arial" w:cs="Arial" w:eastAsia="Arial" w:hAnsi="Arial"/>
                <w:sz w:val="14"/>
                <w:szCs w:val="14"/>
                <w:b w:val="1"/>
                <w:bCs w:val="1"/>
                <w:color w:val="auto"/>
              </w:rPr>
              <w:t>Fees Earned or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9"/>
              </w:rPr>
              <w:t>Paid in Cash</w:t>
            </w:r>
          </w:p>
        </w:tc>
        <w:tc>
          <w:tcPr>
            <w:tcW w:w="14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8"/>
              </w:rPr>
              <w:t>Awards</w:t>
            </w: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1860" w:type="dxa"/>
            <w:vAlign w:val="bottom"/>
          </w:tcPr>
          <w:p>
            <w:pPr>
              <w:spacing w:after="0"/>
              <w:rPr>
                <w:sz w:val="16"/>
                <w:szCs w:val="16"/>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w w:val="99"/>
              </w:rPr>
              <w:t>Name</w:t>
            </w:r>
          </w:p>
        </w:tc>
        <w:tc>
          <w:tcPr>
            <w:tcW w:w="20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ind w:left="4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r>
      <w:tr>
        <w:trPr>
          <w:trHeight w:val="20"/>
        </w:trPr>
        <w:tc>
          <w:tcPr>
            <w:tcW w:w="18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860" w:type="dxa"/>
            <w:vAlign w:val="bottom"/>
          </w:tcPr>
          <w:p>
            <w:pPr>
              <w:ind w:left="60"/>
              <w:spacing w:after="0"/>
              <w:rPr>
                <w:sz w:val="20"/>
                <w:szCs w:val="20"/>
                <w:color w:val="auto"/>
              </w:rPr>
            </w:pPr>
            <w:r>
              <w:rPr>
                <w:rFonts w:ascii="Arial" w:cs="Arial" w:eastAsia="Arial" w:hAnsi="Arial"/>
                <w:sz w:val="14"/>
                <w:szCs w:val="14"/>
                <w:color w:val="auto"/>
              </w:rPr>
              <w:t>Jennifer S. Banner(2)</w:t>
            </w:r>
          </w:p>
        </w:tc>
        <w:tc>
          <w:tcPr>
            <w:tcW w:w="4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39,000</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tcPr>
          <w:p>
            <w:pPr>
              <w:ind w:left="100"/>
              <w:spacing w:after="0"/>
              <w:rPr>
                <w:sz w:val="20"/>
                <w:szCs w:val="20"/>
                <w:color w:val="auto"/>
              </w:rPr>
            </w:pPr>
            <w:r>
              <w:rPr>
                <w:rFonts w:ascii="Arial" w:cs="Arial" w:eastAsia="Arial" w:hAnsi="Arial"/>
                <w:sz w:val="1"/>
                <w:szCs w:val="1"/>
                <w:color w:val="auto"/>
                <w:w w:val="4294942296"/>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tcPr>
          <w:p>
            <w:pPr>
              <w:ind w:left="40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3"/>
          </w:tcPr>
          <w:p>
            <w:pPr>
              <w:ind w:left="10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39,000</w:t>
            </w:r>
            <w:r>
              <w:rPr>
                <w:rFonts w:ascii="Arial" w:cs="Arial" w:eastAsia="Arial" w:hAnsi="Arial"/>
                <w:sz w:val="25"/>
                <w:szCs w:val="25"/>
                <w:color w:val="auto"/>
                <w:vertAlign w:val="subscript"/>
              </w:rPr>
              <w:t>​</w:t>
            </w:r>
          </w:p>
        </w:tc>
      </w:tr>
      <w:tr>
        <w:trPr>
          <w:trHeight w:val="229"/>
        </w:trPr>
        <w:tc>
          <w:tcPr>
            <w:tcW w:w="2280" w:type="dxa"/>
            <w:vAlign w:val="bottom"/>
            <w:gridSpan w:val="2"/>
            <w:shd w:val="clear" w:color="auto" w:fill="B2B2B2"/>
          </w:tcPr>
          <w:p>
            <w:pPr>
              <w:ind w:left="60"/>
              <w:spacing w:after="0"/>
              <w:rPr>
                <w:sz w:val="20"/>
                <w:szCs w:val="20"/>
                <w:color w:val="auto"/>
              </w:rPr>
            </w:pPr>
            <w:r>
              <w:rPr>
                <w:rFonts w:ascii="Arial" w:cs="Arial" w:eastAsia="Arial" w:hAnsi="Arial"/>
                <w:sz w:val="14"/>
                <w:szCs w:val="14"/>
                <w:color w:val="auto"/>
              </w:rPr>
              <w:t>Scott G. Bruce</w:t>
            </w:r>
          </w:p>
        </w:tc>
        <w:tc>
          <w:tcPr>
            <w:tcW w:w="2040" w:type="dxa"/>
            <w:vAlign w:val="bottom"/>
            <w:shd w:val="clear" w:color="auto" w:fill="B2B2B2"/>
          </w:tcPr>
          <w:p>
            <w:pPr>
              <w:spacing w:after="0"/>
              <w:rPr>
                <w:sz w:val="19"/>
                <w:szCs w:val="19"/>
                <w:color w:val="auto"/>
              </w:rPr>
            </w:pPr>
          </w:p>
        </w:tc>
        <w:tc>
          <w:tcPr>
            <w:tcW w:w="1040" w:type="dxa"/>
            <w:vAlign w:val="bottom"/>
            <w:shd w:val="clear" w:color="auto" w:fill="B2B2B2"/>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100,000</w:t>
            </w:r>
          </w:p>
        </w:tc>
        <w:tc>
          <w:tcPr>
            <w:tcW w:w="140" w:type="dxa"/>
            <w:vAlign w:val="bottom"/>
            <w:shd w:val="clear" w:color="auto" w:fill="B2B2B2"/>
          </w:tcPr>
          <w:p>
            <w:pPr>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B2B2B2"/>
          </w:tcPr>
          <w:p>
            <w:pPr>
              <w:jc w:val="right"/>
              <w:ind w:right="12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186,766</w:t>
            </w:r>
          </w:p>
        </w:tc>
        <w:tc>
          <w:tcPr>
            <w:tcW w:w="120" w:type="dxa"/>
            <w:vAlign w:val="bottom"/>
            <w:shd w:val="clear" w:color="auto" w:fill="B2B2B2"/>
          </w:tcPr>
          <w:p>
            <w:pPr>
              <w:spacing w:after="0"/>
              <w:rPr>
                <w:sz w:val="19"/>
                <w:szCs w:val="19"/>
                <w:color w:val="auto"/>
              </w:rPr>
            </w:pPr>
          </w:p>
        </w:tc>
        <w:tc>
          <w:tcPr>
            <w:tcW w:w="980" w:type="dxa"/>
            <w:vAlign w:val="bottom"/>
            <w:shd w:val="clear" w:color="auto" w:fill="B2B2B2"/>
          </w:tcPr>
          <w:p>
            <w:pPr>
              <w:ind w:left="400"/>
              <w:spacing w:after="0" w:line="230"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perscript"/>
              </w:rPr>
              <w:t>—</w:t>
            </w:r>
          </w:p>
        </w:tc>
        <w:tc>
          <w:tcPr>
            <w:tcW w:w="160" w:type="dxa"/>
            <w:vAlign w:val="bottom"/>
            <w:shd w:val="clear" w:color="auto" w:fill="B2B2B2"/>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B2B2B2"/>
          </w:tcPr>
          <w:p>
            <w:pPr>
              <w:ind w:left="10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286,766</w:t>
            </w:r>
            <w:r>
              <w:rPr>
                <w:rFonts w:ascii="Arial" w:cs="Arial" w:eastAsia="Arial" w:hAnsi="Arial"/>
                <w:sz w:val="26"/>
                <w:szCs w:val="26"/>
                <w:color w:val="auto"/>
                <w:vertAlign w:val="subscript"/>
              </w:rPr>
              <w:t>​</w:t>
            </w:r>
          </w:p>
        </w:tc>
      </w:tr>
      <w:tr>
        <w:trPr>
          <w:trHeight w:val="243"/>
        </w:trPr>
        <w:tc>
          <w:tcPr>
            <w:tcW w:w="2280" w:type="dxa"/>
            <w:vAlign w:val="bottom"/>
            <w:gridSpan w:val="2"/>
          </w:tcPr>
          <w:p>
            <w:pPr>
              <w:ind w:left="60"/>
              <w:spacing w:after="0"/>
              <w:rPr>
                <w:sz w:val="20"/>
                <w:szCs w:val="20"/>
                <w:color w:val="auto"/>
              </w:rPr>
            </w:pPr>
            <w:r>
              <w:rPr>
                <w:rFonts w:ascii="Arial" w:cs="Arial" w:eastAsia="Arial" w:hAnsi="Arial"/>
                <w:sz w:val="14"/>
                <w:szCs w:val="14"/>
                <w:color w:val="auto"/>
              </w:rPr>
              <w:t>Randy Dunbar</w:t>
            </w:r>
          </w:p>
        </w:tc>
        <w:tc>
          <w:tcPr>
            <w:tcW w:w="2040" w:type="dxa"/>
            <w:vAlign w:val="bottom"/>
          </w:tcPr>
          <w:p>
            <w:pPr>
              <w:spacing w:after="0"/>
              <w:rPr>
                <w:sz w:val="21"/>
                <w:szCs w:val="21"/>
                <w:color w:val="auto"/>
              </w:rPr>
            </w:pPr>
          </w:p>
        </w:tc>
        <w:tc>
          <w:tcPr>
            <w:tcW w:w="1040" w:type="dxa"/>
            <w:vAlign w:val="bottom"/>
          </w:tcPr>
          <w:p>
            <w:pPr>
              <w:jc w:val="cente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50,000</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2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265,665</w:t>
            </w:r>
          </w:p>
        </w:tc>
        <w:tc>
          <w:tcPr>
            <w:tcW w:w="120" w:type="dxa"/>
            <w:vAlign w:val="bottom"/>
          </w:tcPr>
          <w:p>
            <w:pPr>
              <w:spacing w:after="0"/>
              <w:rPr>
                <w:sz w:val="21"/>
                <w:szCs w:val="21"/>
                <w:color w:val="auto"/>
              </w:rPr>
            </w:pPr>
          </w:p>
        </w:tc>
        <w:tc>
          <w:tcPr>
            <w:tcW w:w="980" w:type="dxa"/>
            <w:vAlign w:val="bottom"/>
          </w:tcPr>
          <w:p>
            <w:pPr>
              <w:ind w:left="40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3"/>
          </w:tcPr>
          <w:p>
            <w:pPr>
              <w:ind w:left="10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315,665</w:t>
            </w:r>
            <w:r>
              <w:rPr>
                <w:rFonts w:ascii="Arial" w:cs="Arial" w:eastAsia="Arial" w:hAnsi="Arial"/>
                <w:sz w:val="28"/>
                <w:szCs w:val="28"/>
                <w:color w:val="auto"/>
                <w:vertAlign w:val="subscript"/>
              </w:rPr>
              <w:t>​</w:t>
            </w:r>
          </w:p>
        </w:tc>
      </w:tr>
      <w:tr>
        <w:trPr>
          <w:trHeight w:val="243"/>
        </w:trPr>
        <w:tc>
          <w:tcPr>
            <w:tcW w:w="2280" w:type="dxa"/>
            <w:vAlign w:val="bottom"/>
            <w:gridSpan w:val="2"/>
            <w:shd w:val="clear" w:color="auto" w:fill="B2B2B2"/>
          </w:tcPr>
          <w:p>
            <w:pPr>
              <w:ind w:left="60"/>
              <w:spacing w:after="0"/>
              <w:rPr>
                <w:sz w:val="20"/>
                <w:szCs w:val="20"/>
                <w:color w:val="auto"/>
              </w:rPr>
            </w:pPr>
            <w:r>
              <w:rPr>
                <w:rFonts w:ascii="Arial" w:cs="Arial" w:eastAsia="Arial" w:hAnsi="Arial"/>
                <w:sz w:val="14"/>
                <w:szCs w:val="14"/>
                <w:color w:val="auto"/>
              </w:rPr>
              <w:t>Francis X. (“Skip”) Frantz</w:t>
            </w:r>
          </w:p>
        </w:tc>
        <w:tc>
          <w:tcPr>
            <w:tcW w:w="2040" w:type="dxa"/>
            <w:vAlign w:val="bottom"/>
            <w:shd w:val="clear" w:color="auto" w:fill="B2B2B2"/>
          </w:tcPr>
          <w:p>
            <w:pPr>
              <w:spacing w:after="0"/>
              <w:rPr>
                <w:sz w:val="21"/>
                <w:szCs w:val="21"/>
                <w:color w:val="auto"/>
              </w:rPr>
            </w:pPr>
          </w:p>
        </w:tc>
        <w:tc>
          <w:tcPr>
            <w:tcW w:w="1040" w:type="dxa"/>
            <w:vAlign w:val="bottom"/>
            <w:shd w:val="clear" w:color="auto" w:fill="B2B2B2"/>
          </w:tcPr>
          <w:p>
            <w:pPr>
              <w:jc w:val="cente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250,000</w:t>
            </w:r>
          </w:p>
        </w:tc>
        <w:tc>
          <w:tcPr>
            <w:tcW w:w="140" w:type="dxa"/>
            <w:vAlign w:val="bottom"/>
            <w:shd w:val="clear" w:color="auto" w:fill="B2B2B2"/>
          </w:tcPr>
          <w:p>
            <w:pPr>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B2B2B2"/>
          </w:tcPr>
          <w:p>
            <w:pPr>
              <w:jc w:val="right"/>
              <w:ind w:right="12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176,940</w:t>
            </w:r>
          </w:p>
        </w:tc>
        <w:tc>
          <w:tcPr>
            <w:tcW w:w="120" w:type="dxa"/>
            <w:vAlign w:val="bottom"/>
            <w:shd w:val="clear" w:color="auto" w:fill="B2B2B2"/>
          </w:tcPr>
          <w:p>
            <w:pPr>
              <w:spacing w:after="0"/>
              <w:rPr>
                <w:sz w:val="21"/>
                <w:szCs w:val="21"/>
                <w:color w:val="auto"/>
              </w:rPr>
            </w:pPr>
          </w:p>
        </w:tc>
        <w:tc>
          <w:tcPr>
            <w:tcW w:w="980" w:type="dxa"/>
            <w:vAlign w:val="bottom"/>
            <w:shd w:val="clear" w:color="auto" w:fill="B2B2B2"/>
          </w:tcPr>
          <w:p>
            <w:pPr>
              <w:ind w:left="400"/>
              <w:spacing w:after="0" w:line="24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60" w:type="dxa"/>
            <w:vAlign w:val="bottom"/>
            <w:shd w:val="clear" w:color="auto" w:fill="B2B2B2"/>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B2B2B2"/>
          </w:tcPr>
          <w:p>
            <w:pPr>
              <w:ind w:left="10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426,940</w:t>
            </w:r>
            <w:r>
              <w:rPr>
                <w:rFonts w:ascii="Arial" w:cs="Arial" w:eastAsia="Arial" w:hAnsi="Arial"/>
                <w:sz w:val="28"/>
                <w:szCs w:val="28"/>
                <w:color w:val="auto"/>
                <w:vertAlign w:val="subscript"/>
              </w:rPr>
              <w:t>​</w:t>
            </w:r>
          </w:p>
        </w:tc>
      </w:tr>
      <w:tr>
        <w:trPr>
          <w:trHeight w:val="243"/>
        </w:trPr>
        <w:tc>
          <w:tcPr>
            <w:tcW w:w="2280" w:type="dxa"/>
            <w:vAlign w:val="bottom"/>
            <w:gridSpan w:val="2"/>
          </w:tcPr>
          <w:p>
            <w:pPr>
              <w:ind w:left="60"/>
              <w:spacing w:after="0"/>
              <w:rPr>
                <w:sz w:val="20"/>
                <w:szCs w:val="20"/>
                <w:color w:val="auto"/>
              </w:rPr>
            </w:pPr>
            <w:r>
              <w:rPr>
                <w:rFonts w:ascii="Arial" w:cs="Arial" w:eastAsia="Arial" w:hAnsi="Arial"/>
                <w:sz w:val="14"/>
                <w:szCs w:val="14"/>
                <w:color w:val="auto"/>
              </w:rPr>
              <w:t>Mary McLaughlin</w:t>
            </w:r>
          </w:p>
        </w:tc>
        <w:tc>
          <w:tcPr>
            <w:tcW w:w="2040" w:type="dxa"/>
            <w:vAlign w:val="bottom"/>
          </w:tcPr>
          <w:p>
            <w:pPr>
              <w:spacing w:after="0"/>
              <w:rPr>
                <w:sz w:val="21"/>
                <w:szCs w:val="21"/>
                <w:color w:val="auto"/>
              </w:rPr>
            </w:pPr>
          </w:p>
        </w:tc>
        <w:tc>
          <w:tcPr>
            <w:tcW w:w="1040" w:type="dxa"/>
            <w:vAlign w:val="bottom"/>
          </w:tcPr>
          <w:p>
            <w:pPr>
              <w:jc w:val="cente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50,000</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2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277,962</w:t>
            </w:r>
          </w:p>
        </w:tc>
        <w:tc>
          <w:tcPr>
            <w:tcW w:w="120" w:type="dxa"/>
            <w:vAlign w:val="bottom"/>
          </w:tcPr>
          <w:p>
            <w:pPr>
              <w:spacing w:after="0"/>
              <w:rPr>
                <w:sz w:val="21"/>
                <w:szCs w:val="21"/>
                <w:color w:val="auto"/>
              </w:rPr>
            </w:pPr>
          </w:p>
        </w:tc>
        <w:tc>
          <w:tcPr>
            <w:tcW w:w="980" w:type="dxa"/>
            <w:vAlign w:val="bottom"/>
          </w:tcPr>
          <w:p>
            <w:pPr>
              <w:ind w:left="40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3"/>
          </w:tcPr>
          <w:p>
            <w:pPr>
              <w:ind w:left="10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327,962</w:t>
            </w:r>
            <w:r>
              <w:rPr>
                <w:rFonts w:ascii="Arial" w:cs="Arial" w:eastAsia="Arial" w:hAnsi="Arial"/>
                <w:sz w:val="28"/>
                <w:szCs w:val="28"/>
                <w:color w:val="auto"/>
                <w:vertAlign w:val="subscript"/>
              </w:rPr>
              <w:t>​</w:t>
            </w:r>
          </w:p>
        </w:tc>
      </w:tr>
      <w:tr>
        <w:trPr>
          <w:trHeight w:val="243"/>
        </w:trPr>
        <w:tc>
          <w:tcPr>
            <w:tcW w:w="2280" w:type="dxa"/>
            <w:vAlign w:val="bottom"/>
            <w:gridSpan w:val="2"/>
            <w:shd w:val="clear" w:color="auto" w:fill="B2B2B2"/>
          </w:tcPr>
          <w:p>
            <w:pPr>
              <w:ind w:left="60"/>
              <w:spacing w:after="0"/>
              <w:rPr>
                <w:sz w:val="20"/>
                <w:szCs w:val="20"/>
                <w:color w:val="auto"/>
              </w:rPr>
            </w:pPr>
            <w:r>
              <w:rPr>
                <w:rFonts w:ascii="Arial" w:cs="Arial" w:eastAsia="Arial" w:hAnsi="Arial"/>
                <w:sz w:val="14"/>
                <w:szCs w:val="14"/>
                <w:color w:val="auto"/>
              </w:rPr>
              <w:t>Joseph Natale</w:t>
            </w:r>
          </w:p>
        </w:tc>
        <w:tc>
          <w:tcPr>
            <w:tcW w:w="2040" w:type="dxa"/>
            <w:vAlign w:val="bottom"/>
            <w:shd w:val="clear" w:color="auto" w:fill="B2B2B2"/>
          </w:tcPr>
          <w:p>
            <w:pPr>
              <w:spacing w:after="0"/>
              <w:rPr>
                <w:sz w:val="21"/>
                <w:szCs w:val="21"/>
                <w:color w:val="auto"/>
              </w:rPr>
            </w:pPr>
          </w:p>
        </w:tc>
        <w:tc>
          <w:tcPr>
            <w:tcW w:w="1040" w:type="dxa"/>
            <w:vAlign w:val="bottom"/>
            <w:shd w:val="clear" w:color="auto" w:fill="B2B2B2"/>
          </w:tcPr>
          <w:p>
            <w:pPr>
              <w:jc w:val="cente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50,000</w:t>
            </w:r>
          </w:p>
        </w:tc>
        <w:tc>
          <w:tcPr>
            <w:tcW w:w="140" w:type="dxa"/>
            <w:vAlign w:val="bottom"/>
            <w:shd w:val="clear" w:color="auto" w:fill="B2B2B2"/>
          </w:tcPr>
          <w:p>
            <w:pPr>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B2B2B2"/>
          </w:tcPr>
          <w:p>
            <w:pPr>
              <w:jc w:val="right"/>
              <w:ind w:right="12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255,824</w:t>
            </w:r>
          </w:p>
        </w:tc>
        <w:tc>
          <w:tcPr>
            <w:tcW w:w="120" w:type="dxa"/>
            <w:vAlign w:val="bottom"/>
            <w:shd w:val="clear" w:color="auto" w:fill="B2B2B2"/>
          </w:tcPr>
          <w:p>
            <w:pPr>
              <w:spacing w:after="0"/>
              <w:rPr>
                <w:sz w:val="21"/>
                <w:szCs w:val="21"/>
                <w:color w:val="auto"/>
              </w:rPr>
            </w:pPr>
          </w:p>
        </w:tc>
        <w:tc>
          <w:tcPr>
            <w:tcW w:w="980" w:type="dxa"/>
            <w:vAlign w:val="bottom"/>
            <w:shd w:val="clear" w:color="auto" w:fill="B2B2B2"/>
          </w:tcPr>
          <w:p>
            <w:pPr>
              <w:ind w:left="400"/>
              <w:spacing w:after="0" w:line="24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60" w:type="dxa"/>
            <w:vAlign w:val="bottom"/>
            <w:shd w:val="clear" w:color="auto" w:fill="B2B2B2"/>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B2B2B2"/>
          </w:tcPr>
          <w:p>
            <w:pPr>
              <w:ind w:left="10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305,824</w:t>
            </w:r>
            <w:r>
              <w:rPr>
                <w:rFonts w:ascii="Arial" w:cs="Arial" w:eastAsia="Arial" w:hAnsi="Arial"/>
                <w:sz w:val="28"/>
                <w:szCs w:val="28"/>
                <w:color w:val="auto"/>
                <w:vertAlign w:val="subscript"/>
              </w:rPr>
              <w:t>​</w:t>
            </w:r>
          </w:p>
        </w:tc>
      </w:tr>
      <w:tr>
        <w:trPr>
          <w:trHeight w:val="243"/>
        </w:trPr>
        <w:tc>
          <w:tcPr>
            <w:tcW w:w="2280" w:type="dxa"/>
            <w:vAlign w:val="bottom"/>
            <w:gridSpan w:val="2"/>
          </w:tcPr>
          <w:p>
            <w:pPr>
              <w:ind w:left="60"/>
              <w:spacing w:after="0"/>
              <w:rPr>
                <w:sz w:val="20"/>
                <w:szCs w:val="20"/>
                <w:color w:val="auto"/>
              </w:rPr>
            </w:pPr>
            <w:r>
              <w:rPr>
                <w:rFonts w:ascii="Arial" w:cs="Arial" w:eastAsia="Arial" w:hAnsi="Arial"/>
                <w:sz w:val="14"/>
                <w:szCs w:val="14"/>
                <w:color w:val="auto"/>
              </w:rPr>
              <w:t>Carmen Perez-Carlton</w:t>
            </w:r>
          </w:p>
        </w:tc>
        <w:tc>
          <w:tcPr>
            <w:tcW w:w="2040" w:type="dxa"/>
            <w:vAlign w:val="bottom"/>
          </w:tcPr>
          <w:p>
            <w:pPr>
              <w:spacing w:after="0"/>
              <w:rPr>
                <w:sz w:val="21"/>
                <w:szCs w:val="21"/>
                <w:color w:val="auto"/>
              </w:rPr>
            </w:pPr>
          </w:p>
        </w:tc>
        <w:tc>
          <w:tcPr>
            <w:tcW w:w="1040" w:type="dxa"/>
            <w:vAlign w:val="bottom"/>
          </w:tcPr>
          <w:p>
            <w:pPr>
              <w:jc w:val="cente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100,000</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2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189,225</w:t>
            </w:r>
          </w:p>
        </w:tc>
        <w:tc>
          <w:tcPr>
            <w:tcW w:w="120" w:type="dxa"/>
            <w:vAlign w:val="bottom"/>
          </w:tcPr>
          <w:p>
            <w:pPr>
              <w:spacing w:after="0"/>
              <w:rPr>
                <w:sz w:val="21"/>
                <w:szCs w:val="21"/>
                <w:color w:val="auto"/>
              </w:rPr>
            </w:pPr>
          </w:p>
        </w:tc>
        <w:tc>
          <w:tcPr>
            <w:tcW w:w="980" w:type="dxa"/>
            <w:vAlign w:val="bottom"/>
          </w:tcPr>
          <w:p>
            <w:pPr>
              <w:ind w:left="40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3"/>
          </w:tcPr>
          <w:p>
            <w:pPr>
              <w:ind w:left="10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289,225</w:t>
            </w:r>
            <w:r>
              <w:rPr>
                <w:rFonts w:ascii="Arial" w:cs="Arial" w:eastAsia="Arial" w:hAnsi="Arial"/>
                <w:sz w:val="28"/>
                <w:szCs w:val="28"/>
                <w:color w:val="auto"/>
                <w:vertAlign w:val="subscript"/>
              </w:rPr>
              <w:t>​</w:t>
            </w:r>
          </w:p>
        </w:tc>
      </w:tr>
      <w:tr>
        <w:trPr>
          <w:trHeight w:val="243"/>
        </w:trPr>
        <w:tc>
          <w:tcPr>
            <w:tcW w:w="2280" w:type="dxa"/>
            <w:vAlign w:val="bottom"/>
            <w:gridSpan w:val="2"/>
            <w:shd w:val="clear" w:color="auto" w:fill="B2B2B2"/>
          </w:tcPr>
          <w:p>
            <w:pPr>
              <w:ind w:left="60"/>
              <w:spacing w:after="0"/>
              <w:rPr>
                <w:sz w:val="20"/>
                <w:szCs w:val="20"/>
                <w:color w:val="auto"/>
              </w:rPr>
            </w:pPr>
            <w:r>
              <w:rPr>
                <w:rFonts w:ascii="Arial" w:cs="Arial" w:eastAsia="Arial" w:hAnsi="Arial"/>
                <w:sz w:val="14"/>
                <w:szCs w:val="14"/>
                <w:color w:val="auto"/>
              </w:rPr>
              <w:t>Paul Sunu</w:t>
            </w:r>
          </w:p>
        </w:tc>
        <w:tc>
          <w:tcPr>
            <w:tcW w:w="2040" w:type="dxa"/>
            <w:vAlign w:val="bottom"/>
            <w:shd w:val="clear" w:color="auto" w:fill="B2B2B2"/>
          </w:tcPr>
          <w:p>
            <w:pPr>
              <w:spacing w:after="0"/>
              <w:rPr>
                <w:sz w:val="21"/>
                <w:szCs w:val="21"/>
                <w:color w:val="auto"/>
              </w:rPr>
            </w:pPr>
          </w:p>
        </w:tc>
        <w:tc>
          <w:tcPr>
            <w:tcW w:w="1040" w:type="dxa"/>
            <w:vAlign w:val="bottom"/>
            <w:shd w:val="clear" w:color="auto" w:fill="B2B2B2"/>
          </w:tcPr>
          <w:p>
            <w:pPr>
              <w:jc w:val="cente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50,000</w:t>
            </w:r>
          </w:p>
        </w:tc>
        <w:tc>
          <w:tcPr>
            <w:tcW w:w="140" w:type="dxa"/>
            <w:vAlign w:val="bottom"/>
            <w:shd w:val="clear" w:color="auto" w:fill="B2B2B2"/>
          </w:tcPr>
          <w:p>
            <w:pPr>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B2B2B2"/>
          </w:tcPr>
          <w:p>
            <w:pPr>
              <w:jc w:val="right"/>
              <w:ind w:right="12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245,983</w:t>
            </w:r>
          </w:p>
        </w:tc>
        <w:tc>
          <w:tcPr>
            <w:tcW w:w="120" w:type="dxa"/>
            <w:vAlign w:val="bottom"/>
            <w:shd w:val="clear" w:color="auto" w:fill="B2B2B2"/>
          </w:tcPr>
          <w:p>
            <w:pPr>
              <w:spacing w:after="0"/>
              <w:rPr>
                <w:sz w:val="21"/>
                <w:szCs w:val="21"/>
                <w:color w:val="auto"/>
              </w:rPr>
            </w:pPr>
          </w:p>
        </w:tc>
        <w:tc>
          <w:tcPr>
            <w:tcW w:w="980" w:type="dxa"/>
            <w:vAlign w:val="bottom"/>
            <w:shd w:val="clear" w:color="auto" w:fill="B2B2B2"/>
          </w:tcPr>
          <w:p>
            <w:pPr>
              <w:ind w:left="400"/>
              <w:spacing w:after="0" w:line="24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60" w:type="dxa"/>
            <w:vAlign w:val="bottom"/>
            <w:shd w:val="clear" w:color="auto" w:fill="B2B2B2"/>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B2B2B2"/>
          </w:tcPr>
          <w:p>
            <w:pPr>
              <w:ind w:left="10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295,983</w:t>
            </w:r>
            <w:r>
              <w:rPr>
                <w:rFonts w:ascii="Arial" w:cs="Arial" w:eastAsia="Arial" w:hAnsi="Arial"/>
                <w:sz w:val="28"/>
                <w:szCs w:val="28"/>
                <w:color w:val="auto"/>
                <w:vertAlign w:val="subscript"/>
              </w:rPr>
              <w:t>​</w:t>
            </w:r>
          </w:p>
        </w:tc>
      </w:tr>
      <w:tr>
        <w:trPr>
          <w:trHeight w:val="430"/>
        </w:trPr>
        <w:tc>
          <w:tcPr>
            <w:tcW w:w="2280" w:type="dxa"/>
            <w:vAlign w:val="bottom"/>
            <w:gridSpan w:val="2"/>
          </w:tcPr>
          <w:p>
            <w:pPr>
              <w:ind w:left="60"/>
              <w:spacing w:after="0"/>
              <w:rPr>
                <w:sz w:val="20"/>
                <w:szCs w:val="20"/>
                <w:color w:val="auto"/>
              </w:rPr>
            </w:pPr>
            <w:r>
              <w:rPr>
                <w:rFonts w:ascii="Arial" w:cs="Arial" w:eastAsia="Arial" w:hAnsi="Arial"/>
                <w:sz w:val="14"/>
                <w:szCs w:val="14"/>
                <w:color w:val="auto"/>
              </w:rPr>
              <w:t>Harold Zeitz</w:t>
            </w:r>
          </w:p>
        </w:tc>
        <w:tc>
          <w:tcPr>
            <w:tcW w:w="20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73,425</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244,446</w:t>
            </w:r>
          </w:p>
        </w:tc>
        <w:tc>
          <w:tcPr>
            <w:tcW w:w="120" w:type="dxa"/>
            <w:vAlign w:val="bottom"/>
          </w:tcPr>
          <w:p>
            <w:pPr>
              <w:spacing w:after="0"/>
              <w:rPr>
                <w:sz w:val="24"/>
                <w:szCs w:val="24"/>
                <w:color w:val="auto"/>
              </w:rPr>
            </w:pPr>
          </w:p>
        </w:tc>
        <w:tc>
          <w:tcPr>
            <w:tcW w:w="980" w:type="dxa"/>
            <w:vAlign w:val="bottom"/>
          </w:tcPr>
          <w:p>
            <w:pPr>
              <w:ind w:left="4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3"/>
          </w:tcPr>
          <w:p>
            <w:pPr>
              <w:ind w:left="1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317,871</w:t>
            </w:r>
            <w:r>
              <w:rPr>
                <w:rFonts w:ascii="Arial" w:cs="Arial" w:eastAsia="Arial" w:hAnsi="Arial"/>
                <w:sz w:val="28"/>
                <w:szCs w:val="28"/>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12344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7" w:lineRule="exact"/>
        <w:rPr>
          <w:sz w:val="20"/>
          <w:szCs w:val="20"/>
          <w:color w:val="auto"/>
        </w:rPr>
      </w:pPr>
    </w:p>
    <w:p>
      <w:pPr>
        <w:ind w:left="1900" w:right="459" w:hanging="640"/>
        <w:spacing w:after="0" w:line="255" w:lineRule="auto"/>
        <w:tabs>
          <w:tab w:leader="none" w:pos="1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stock award amounts in the table above reflect the aggregate fair value on the grant date based on the closing per share price of the Company’s common stock on the date of grant of the restricted stock, computed in accordance with FASB ASC Topic 718, and, where applicable for continuing Old Uniti directors, multiplied by the Exchange Ratio in connection with the Merger. At December 31, 2025, non-employee directors serving on the Board held the following number of unvested shares of restricted stock: Mr. Bruce, 20,752; Mr. Dunbar, 32,557; Mr. Frantz, 19,660; Ms. McLaughlin, 34,064; Mr. Natale, 31,351; Ms. Perez-Carlton, 21,025; Mr. Sunu, 30,145; and Mr. Zeitz, 33,972.</w:t>
      </w:r>
    </w:p>
    <w:p>
      <w:pPr>
        <w:spacing w:after="0" w:line="171" w:lineRule="exact"/>
        <w:rPr>
          <w:rFonts w:ascii="Arial" w:cs="Arial" w:eastAsia="Arial" w:hAnsi="Arial"/>
          <w:sz w:val="18"/>
          <w:szCs w:val="18"/>
          <w:color w:val="auto"/>
        </w:rPr>
      </w:pPr>
    </w:p>
    <w:p>
      <w:pPr>
        <w:ind w:left="1900" w:right="759" w:hanging="640"/>
        <w:spacing w:after="0" w:line="318" w:lineRule="auto"/>
        <w:tabs>
          <w:tab w:leader="none" w:pos="1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Ms. Banner’s service as a director on Old Uniti’s board of directors ended at its 2025 annual meeting of stockholders. Accordingly, Ms. Banner did not receive a stock award during 2025.</w:t>
      </w:r>
    </w:p>
    <w:p>
      <w:pPr>
        <w:sectPr>
          <w:pgSz w:w="11900" w:h="16838" w:orient="portrait"/>
          <w:cols w:equalWidth="0" w:num="1">
            <w:col w:w="9879"/>
          </w:cols>
          <w:pgMar w:left="580" w:top="97" w:right="1440" w:bottom="1440" w:gutter="0" w:footer="0" w:header="0"/>
        </w:sectPr>
      </w:pPr>
    </w:p>
    <w:p>
      <w:pPr>
        <w:spacing w:after="0" w:line="31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00ABD1"/>
        </w:rPr>
        <w:t>PROPOSAL NO. 1</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ABD1"/>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04" w:lineRule="exact"/>
        <w:rPr>
          <w:sz w:val="20"/>
          <w:szCs w:val="20"/>
          <w:color w:val="auto"/>
        </w:rPr>
      </w:pPr>
    </w:p>
    <w:p>
      <w:pPr>
        <w:ind w:left="1260" w:right="579" w:firstLine="648"/>
        <w:spacing w:after="0" w:line="275" w:lineRule="auto"/>
        <w:rPr>
          <w:sz w:val="20"/>
          <w:szCs w:val="20"/>
          <w:color w:val="auto"/>
        </w:rPr>
      </w:pPr>
      <w:r>
        <w:rPr>
          <w:rFonts w:ascii="Arial" w:cs="Arial" w:eastAsia="Arial" w:hAnsi="Arial"/>
          <w:sz w:val="17"/>
          <w:szCs w:val="17"/>
          <w:color w:val="auto"/>
        </w:rPr>
        <w:t>There are currently nine directors serving on the Board, all of whose terms expire at the Annual Meeting. Upon the recommendation of our Governance Committee, the Board has nominated all of the current Board members (except for Messrs. Dunbar and Sunu), Mr. Appleby and Mr. Weber to stand for election at the Annual Meeting. In accordance with the Company’s bylaws and Delaware law, each nominee elected will serve until the 2027 annual meeting of stockholders and until their successors are duly elected and qualified or until the earliest of their removal, resignation or death.</w:t>
      </w:r>
    </w:p>
    <w:p>
      <w:pPr>
        <w:spacing w:after="0" w:line="168" w:lineRule="exact"/>
        <w:rPr>
          <w:sz w:val="20"/>
          <w:szCs w:val="20"/>
          <w:color w:val="auto"/>
        </w:rPr>
      </w:pPr>
    </w:p>
    <w:p>
      <w:pPr>
        <w:ind w:left="1260" w:right="419" w:firstLine="648"/>
        <w:spacing w:after="0" w:line="282" w:lineRule="auto"/>
        <w:rPr>
          <w:sz w:val="20"/>
          <w:szCs w:val="20"/>
          <w:color w:val="auto"/>
        </w:rPr>
      </w:pPr>
      <w:r>
        <w:rPr>
          <w:rFonts w:ascii="Arial" w:cs="Arial" w:eastAsia="Arial" w:hAnsi="Arial"/>
          <w:sz w:val="17"/>
          <w:szCs w:val="17"/>
          <w:color w:val="auto"/>
        </w:rPr>
        <w:t>Each of the current Board members was appointed to the Board on August 1, 2025 in connection with the closing of the Merger. Mr. Weber and Ms. McLaughlin were designated as nominees by Elliott in accordance with the Elliott Stockholder Agreement. Mr. Appleby was recommended to stand for election as a director nominee by our Chief Executive Officer, our Governance Committee and Elliott.</w:t>
      </w:r>
    </w:p>
    <w:p>
      <w:pPr>
        <w:spacing w:after="0" w:line="16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In addition to receiving non-employee director compensation from Uniti, it is anticipated that</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Mr. Weber will be eligible to receive additional compensation from Elliott in connection with his service 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Board. Mr. Weber and Elliott have informed the Company that they are finalizing the terms of his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consulting arrangement, the terms of which will be disclosed to the Company upon completion.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parties have disclosed to the Company that Mr. Weber’s compensation under the consulting arrangement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will be based upon, among other items, returns realized by Elliott from their investment in the Company,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with higher compensation if the Company enters into a strategic transaction.</w:t>
      </w:r>
    </w:p>
    <w:p>
      <w:pPr>
        <w:spacing w:after="0" w:line="207" w:lineRule="exact"/>
        <w:rPr>
          <w:sz w:val="20"/>
          <w:szCs w:val="20"/>
          <w:color w:val="auto"/>
        </w:rPr>
      </w:pPr>
    </w:p>
    <w:p>
      <w:pPr>
        <w:ind w:left="1260" w:right="419" w:firstLine="648"/>
        <w:spacing w:after="0" w:line="268" w:lineRule="auto"/>
        <w:rPr>
          <w:sz w:val="20"/>
          <w:szCs w:val="20"/>
          <w:color w:val="auto"/>
        </w:rPr>
      </w:pPr>
      <w:r>
        <w:rPr>
          <w:rFonts w:ascii="Arial" w:cs="Arial" w:eastAsia="Arial" w:hAnsi="Arial"/>
          <w:sz w:val="18"/>
          <w:szCs w:val="18"/>
          <w:color w:val="auto"/>
        </w:rPr>
        <w:t>Except as set forth above, there are no arrangements or understandings between any of the nine nominees and any other person, including officers, pursuant to which the director was nominated for election to the Board.</w:t>
      </w:r>
    </w:p>
    <w:p>
      <w:pPr>
        <w:spacing w:after="0" w:line="171" w:lineRule="exact"/>
        <w:rPr>
          <w:sz w:val="20"/>
          <w:szCs w:val="20"/>
          <w:color w:val="auto"/>
        </w:rPr>
      </w:pPr>
    </w:p>
    <w:p>
      <w:pPr>
        <w:ind w:left="1260" w:right="479" w:firstLine="648"/>
        <w:spacing w:after="0" w:line="259" w:lineRule="auto"/>
        <w:rPr>
          <w:sz w:val="20"/>
          <w:szCs w:val="20"/>
          <w:color w:val="auto"/>
        </w:rPr>
      </w:pPr>
      <w:r>
        <w:rPr>
          <w:rFonts w:ascii="Arial" w:cs="Arial" w:eastAsia="Arial" w:hAnsi="Arial"/>
          <w:sz w:val="18"/>
          <w:szCs w:val="18"/>
          <w:color w:val="auto"/>
        </w:rPr>
        <w:t>Holders of proxies solicited by this Proxy Statement will vote the proxies they receive as directed on the proxy card, or, if no direction is made, for the election of the Board’s nine nominees. If any nominee is unable or declines to serve as a director at the time of the Annual Meeting, the proxy holders will vote for a nominee designated by the present Board to fill the vacancy or, in the event no such designation is made, proxies will be voted for a lesser number of nominees.</w:t>
      </w:r>
    </w:p>
    <w:p>
      <w:pPr>
        <w:spacing w:after="0" w:line="179" w:lineRule="exact"/>
        <w:rPr>
          <w:sz w:val="20"/>
          <w:szCs w:val="20"/>
          <w:color w:val="auto"/>
        </w:rPr>
      </w:pPr>
    </w:p>
    <w:p>
      <w:pPr>
        <w:ind w:left="1260" w:right="539" w:firstLine="648"/>
        <w:spacing w:after="0" w:line="268" w:lineRule="auto"/>
        <w:rPr>
          <w:sz w:val="20"/>
          <w:szCs w:val="20"/>
          <w:color w:val="auto"/>
        </w:rPr>
      </w:pPr>
      <w:r>
        <w:rPr>
          <w:rFonts w:ascii="Arial" w:cs="Arial" w:eastAsia="Arial" w:hAnsi="Arial"/>
          <w:sz w:val="18"/>
          <w:szCs w:val="18"/>
          <w:color w:val="auto"/>
        </w:rPr>
        <w:t>Set forth below is biographical information for each nominee, including age, a brief listing of principal occupations for at least the past five years, other major affiliations, and the specific experience, qualifications, attributes and skills that qualify each candidate to serve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521208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60" w:right="519" w:firstLine="648"/>
        <w:spacing w:after="0" w:line="255" w:lineRule="auto"/>
        <w:rPr>
          <w:sz w:val="20"/>
          <w:szCs w:val="20"/>
          <w:color w:val="auto"/>
        </w:rPr>
      </w:pPr>
      <w:r>
        <w:rPr>
          <w:rFonts w:ascii="Arial" w:cs="Arial" w:eastAsia="Arial" w:hAnsi="Arial"/>
          <w:sz w:val="18"/>
          <w:szCs w:val="18"/>
          <w:b w:val="1"/>
          <w:bCs w:val="1"/>
          <w:color w:val="auto"/>
        </w:rPr>
        <w:t>Jarrett Appleby</w:t>
      </w:r>
      <w:r>
        <w:rPr>
          <w:rFonts w:ascii="Arial" w:cs="Arial" w:eastAsia="Arial" w:hAnsi="Arial"/>
          <w:sz w:val="18"/>
          <w:szCs w:val="18"/>
          <w:color w:val="auto"/>
        </w:rPr>
        <w:t>, age 64, has been nominated to stand for election to the Board of Directors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 of this Annual Meeting. Since 2017, Mr. Appleby has served as Chief Executive Officer of ASG, a digital infrastructure advisory group that works with leading private equity and technology companies. Mr. Appleby also serves as a Senior Advisor for The Blackstone Group, supporting global digital infrastructure investments, a role he’s held since 2018. He has held a number of executive leadership positions including COO of Digital Realty from 2015 until 2017. Prior to that, Jarrett served as COO for CoreSite Realty from 2012 to 2014, and CMO for Equinix from 2008 to 2012 where he maintained overall marketing, product and business development responsibilities. Mr. Appleby holds a Bachelor of Arts in Mathematics and Economics and an MBA from Lehigh University.</w:t>
      </w:r>
    </w:p>
    <w:p>
      <w:pPr>
        <w:spacing w:after="0" w:line="181" w:lineRule="exact"/>
        <w:rPr>
          <w:sz w:val="20"/>
          <w:szCs w:val="20"/>
          <w:color w:val="auto"/>
        </w:rPr>
      </w:pPr>
    </w:p>
    <w:p>
      <w:pPr>
        <w:ind w:left="1260" w:right="539" w:firstLine="648"/>
        <w:spacing w:after="0" w:line="259" w:lineRule="auto"/>
        <w:rPr>
          <w:sz w:val="20"/>
          <w:szCs w:val="20"/>
          <w:color w:val="auto"/>
        </w:rPr>
      </w:pPr>
      <w:r>
        <w:rPr>
          <w:rFonts w:ascii="Arial" w:cs="Arial" w:eastAsia="Arial" w:hAnsi="Arial"/>
          <w:sz w:val="18"/>
          <w:szCs w:val="18"/>
          <w:color w:val="auto"/>
        </w:rPr>
        <w:t>Mr. Appleby’s operational, management and investment expertise gained through over 30 years of experience in the data center and telecommunications industries qualifies him to serve on our Board. The Board believes that Mr. Appleby has a valuable understanding of, and is equipped to assist the Board in navigating, the challenges of the segment of the communications industry in which Uniti competes.</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544195</wp:posOffset>
            </wp:positionV>
            <wp:extent cx="521208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60" w:right="439" w:firstLine="648"/>
        <w:spacing w:after="0" w:line="252" w:lineRule="auto"/>
        <w:rPr>
          <w:sz w:val="20"/>
          <w:szCs w:val="20"/>
          <w:color w:val="auto"/>
        </w:rPr>
      </w:pPr>
      <w:r>
        <w:rPr>
          <w:rFonts w:ascii="Arial" w:cs="Arial" w:eastAsia="Arial" w:hAnsi="Arial"/>
          <w:sz w:val="18"/>
          <w:szCs w:val="18"/>
          <w:b w:val="1"/>
          <w:bCs w:val="1"/>
          <w:color w:val="auto"/>
        </w:rPr>
        <w:t>Scott G. Bruce</w:t>
      </w:r>
      <w:r>
        <w:rPr>
          <w:rFonts w:ascii="Arial" w:cs="Arial" w:eastAsia="Arial" w:hAnsi="Arial"/>
          <w:sz w:val="18"/>
          <w:szCs w:val="18"/>
          <w:color w:val="auto"/>
        </w:rPr>
        <w:t>, age 64, was appointed to the Board of Directors on August 1, 2025 and</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served on the board of directors of Old Uniti since June 29, 2016. Mr. Bruce has served as the President of Radius Global Infrastructure, Inc., a company engaged in the aggregation of rental streams underlying wireless sites and related businesses, since February 2020 and in February 2023 he also became the company’s CEO. Mr. Bruce previously served as Managing Director of Associated Partners, LP, a private investment partnership focusing on creating, operating and investing in wireless communications companies, from its inception in 2006. In addition, Mr. Bruce previously served as Managing Director and General Counsel of Liberty Associated Partners, LP, a predecessor investment vehicle. Previously, Mr. Bruce was General Counsel and Secretary of Associated Group, Inc., a publicly traded company that owned various communications businesses, from 1994 to 2000, when it was sold to AT&amp;T/Liberty Media. He also served as Vice President and General Counsel of Associated Communications Corporation, a publicly traded predecessor company to Associated Group, from 1992 to 1994, when the company sold its cellular telephone businesses to SBC/AT&amp;T. Prior to joining Associated, Mr. Bruce practiced corporate law at Wolf, Block, Schorr and Solis-Cohen in Philadelphia, Pennsylvania from 1987 to 1992. Prior to that, he worked as an auditor in the New York office of Touche Ross &amp; Co. (predecessor to Deloitte) from 1983 to 1985. In connection with Mr. Bruce’s prior responsibilities at Associated, he has held various board memberships at private companies. Mr. Bruce holds an A.B. in History from Colgate University, an M.S. (Accounting) from the New York University Stern School of Business and a J.D. from the Villanova University School of Law.</w:t>
      </w:r>
    </w:p>
    <w:p>
      <w:pPr>
        <w:spacing w:after="0" w:line="191" w:lineRule="exact"/>
        <w:rPr>
          <w:sz w:val="20"/>
          <w:szCs w:val="20"/>
          <w:color w:val="auto"/>
        </w:rPr>
      </w:pPr>
    </w:p>
    <w:p>
      <w:pPr>
        <w:ind w:left="1260" w:right="799" w:firstLine="648"/>
        <w:spacing w:after="0" w:line="259" w:lineRule="auto"/>
        <w:rPr>
          <w:sz w:val="20"/>
          <w:szCs w:val="20"/>
          <w:color w:val="auto"/>
        </w:rPr>
      </w:pPr>
      <w:r>
        <w:rPr>
          <w:rFonts w:ascii="Arial" w:cs="Arial" w:eastAsia="Arial" w:hAnsi="Arial"/>
          <w:sz w:val="18"/>
          <w:szCs w:val="18"/>
          <w:color w:val="auto"/>
        </w:rPr>
        <w:t>Mr. Bruce’s operational, management and investment expertise gained through years of experience as both an executive and lawyer in the telecommunications and communications infrastructure industries qualifies him to serve on our Board. The Board believes that Mr. Bruce has a valuable understanding of, and is equipped to assist the Board in navigating, the challenges of the segment of the communications industry in which Uniti competes.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151765</wp:posOffset>
            </wp:positionV>
            <wp:extent cx="521208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260" w:right="459" w:firstLine="648"/>
        <w:spacing w:after="0" w:line="267" w:lineRule="auto"/>
        <w:rPr>
          <w:sz w:val="20"/>
          <w:szCs w:val="20"/>
          <w:color w:val="auto"/>
        </w:rPr>
      </w:pPr>
      <w:r>
        <w:rPr>
          <w:rFonts w:ascii="Arial" w:cs="Arial" w:eastAsia="Arial" w:hAnsi="Arial"/>
          <w:sz w:val="17"/>
          <w:szCs w:val="17"/>
          <w:b w:val="1"/>
          <w:bCs w:val="1"/>
          <w:color w:val="auto"/>
        </w:rPr>
        <w:t>Francis X. (“Skip”) Frantz</w:t>
      </w:r>
      <w:r>
        <w:rPr>
          <w:rFonts w:ascii="Arial" w:cs="Arial" w:eastAsia="Arial" w:hAnsi="Arial"/>
          <w:sz w:val="17"/>
          <w:szCs w:val="17"/>
          <w:color w:val="auto"/>
        </w:rPr>
        <w:t>, age 72, has served as Chairman of the Board of Directors since</w:t>
      </w:r>
      <w:r>
        <w:rPr>
          <w:rFonts w:ascii="Arial" w:cs="Arial" w:eastAsia="Arial" w:hAnsi="Arial"/>
          <w:sz w:val="17"/>
          <w:szCs w:val="17"/>
          <w:b w:val="1"/>
          <w:bCs w:val="1"/>
          <w:color w:val="auto"/>
        </w:rPr>
        <w:t xml:space="preserve"> </w:t>
      </w:r>
      <w:r>
        <w:rPr>
          <w:rFonts w:ascii="Arial" w:cs="Arial" w:eastAsia="Arial" w:hAnsi="Arial"/>
          <w:sz w:val="17"/>
          <w:szCs w:val="17"/>
          <w:color w:val="auto"/>
        </w:rPr>
        <w:t>August 1, 2025 and previously served as the Chairman of the board of directors of Old Uniti since its spin-off from Windstream. He previously served as a director of Windstream from 2006 until the spin-off, serving as Chairman of its Audit Committee at the time of his resignation from the Windstream board of directors. From July 2006 to February 2010, he served as Chairman of the Windstream board. Mr. Frantz served as the 2006 and 2007 Chairman of the Board and the Executive Committee of the United States Telecom Association. Mr. Frantz served as Chairman of a community bank in Little Rock, Arkansas from February 2007 until May 2014 and serves as a director of a number of other privately held companies. Prior to January 2006, Mr. Frantz was Executive Vice President — External Affairs, General Counsel and Secretary of Alltel Corporation (“Alltel”). Mr. Frantz joined Alltel in 1990 as Senior Vice President and General Counsel and was appointed Secretary in January 1992 and Executive Vice President in</w:t>
      </w:r>
    </w:p>
    <w:p>
      <w:pPr>
        <w:spacing w:after="0" w:line="2" w:lineRule="exact"/>
        <w:rPr>
          <w:sz w:val="20"/>
          <w:szCs w:val="20"/>
          <w:color w:val="auto"/>
        </w:rPr>
      </w:pPr>
    </w:p>
    <w:p>
      <w:pPr>
        <w:ind w:left="1260" w:right="419"/>
        <w:spacing w:after="0" w:line="280" w:lineRule="auto"/>
        <w:rPr>
          <w:sz w:val="20"/>
          <w:szCs w:val="20"/>
          <w:color w:val="auto"/>
        </w:rPr>
      </w:pPr>
      <w:r>
        <w:rPr>
          <w:rFonts w:ascii="Arial" w:cs="Arial" w:eastAsia="Arial" w:hAnsi="Arial"/>
          <w:sz w:val="17"/>
          <w:szCs w:val="17"/>
          <w:color w:val="auto"/>
        </w:rPr>
        <w:t>July 1998. While with Alltel, he was responsible for Alltel’s merger and acquisition negotiations, wholesale services group, federal and state government and external affairs, corporate communications, administrative services and corporate governance, in addition to serving as Alltel’s chief legal officer.</w:t>
      </w:r>
    </w:p>
    <w:p>
      <w:pPr>
        <w:spacing w:after="0" w:line="162" w:lineRule="exact"/>
        <w:rPr>
          <w:sz w:val="20"/>
          <w:szCs w:val="20"/>
          <w:color w:val="auto"/>
        </w:rPr>
      </w:pPr>
    </w:p>
    <w:p>
      <w:pPr>
        <w:ind w:left="1260" w:right="499" w:firstLine="648"/>
        <w:spacing w:after="0" w:line="271" w:lineRule="auto"/>
        <w:rPr>
          <w:sz w:val="20"/>
          <w:szCs w:val="20"/>
          <w:color w:val="auto"/>
        </w:rPr>
      </w:pPr>
      <w:r>
        <w:rPr>
          <w:rFonts w:ascii="Arial" w:cs="Arial" w:eastAsia="Arial" w:hAnsi="Arial"/>
          <w:sz w:val="17"/>
          <w:szCs w:val="17"/>
          <w:color w:val="auto"/>
        </w:rPr>
        <w:t>Mr. Frantz’s qualifications for election to the Board include his ability to provide insight and perspective on a wide range of issues facing business enterprises based on his long tenure as a senior executive in the telecommunications industry. Mr. Frantz’s over-15-year career as a senior telecom executive in various capacities provides him with a thorough understanding of all aspects of Uniti’s target market, and his service as a director and chairman of the United States Telecom Association provides Mr. Frantz with additional experience and insight in communications policy and regulation. Through his current involvement with a number of private companies and his prior role as Chairman of Windstream and, before that, as senior executive of Alltel, Mr. Frantz has extensive experience in corporate governance, mergers and acquisitions, risk management, government policy and regulation, and capital markets transactions, in addition to the specific aspects of the telecommunications industry.</w:t>
      </w:r>
    </w:p>
    <w:p>
      <w:pPr>
        <w:spacing w:after="0" w:line="34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544195</wp:posOffset>
            </wp:positionV>
            <wp:extent cx="52120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60" w:right="679" w:firstLine="648"/>
        <w:spacing w:after="0" w:line="245" w:lineRule="auto"/>
        <w:rPr>
          <w:sz w:val="20"/>
          <w:szCs w:val="20"/>
          <w:color w:val="auto"/>
        </w:rPr>
      </w:pPr>
      <w:r>
        <w:rPr>
          <w:rFonts w:ascii="Arial" w:cs="Arial" w:eastAsia="Arial" w:hAnsi="Arial"/>
          <w:sz w:val="18"/>
          <w:szCs w:val="18"/>
          <w:b w:val="1"/>
          <w:bCs w:val="1"/>
          <w:color w:val="auto"/>
        </w:rPr>
        <w:t xml:space="preserve">Kenneth A. Gunderman, </w:t>
      </w:r>
      <w:r>
        <w:rPr>
          <w:rFonts w:ascii="Arial" w:cs="Arial" w:eastAsia="Arial" w:hAnsi="Arial"/>
          <w:sz w:val="18"/>
          <w:szCs w:val="18"/>
          <w:color w:val="auto"/>
        </w:rPr>
        <w:t>age 55, was appointed to the Board of Directors and has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&amp; Chief Executive Officer (or CEO) of the Company since August 1, 2025. Previously,</w:t>
      </w:r>
    </w:p>
    <w:p>
      <w:pPr>
        <w:ind w:left="1260" w:right="599"/>
        <w:spacing w:after="0" w:line="242" w:lineRule="auto"/>
        <w:rPr>
          <w:sz w:val="20"/>
          <w:szCs w:val="20"/>
          <w:color w:val="auto"/>
        </w:rPr>
      </w:pPr>
      <w:r>
        <w:rPr>
          <w:rFonts w:ascii="Arial" w:cs="Arial" w:eastAsia="Arial" w:hAnsi="Arial"/>
          <w:sz w:val="18"/>
          <w:szCs w:val="18"/>
          <w:color w:val="auto"/>
        </w:rPr>
        <w:t>Mr. Gunderman served as President and Chief Executive Officer of Old Uniti since March 2, 2015. Prior to his appointment as President and Chief Executive Officer of Old Uniti, he served as the co-head of investment banking at Stephens Inc., where he was responsible for the strategic direction of the investment banking department and advised on many of the firm’s notable investment banking transactions. From July 2014 to August 2017, Mr. Gunderman served on the board of America’s Car-Mart, Inc. Prior to joining Stephens Inc., Mr. Gunderman was a member of the telecom investment banking group at Lehman Brothers, where he advised on various transactions and financings totaling more than $125 billion. He also worked as a Certified Public Accountant at KPMG and holds an MBA from Yale and a Bachelor of Arts from Hendrix College.</w:t>
      </w:r>
    </w:p>
    <w:p>
      <w:pPr>
        <w:spacing w:after="0" w:line="183" w:lineRule="exact"/>
        <w:rPr>
          <w:sz w:val="20"/>
          <w:szCs w:val="20"/>
          <w:color w:val="auto"/>
        </w:rPr>
      </w:pPr>
    </w:p>
    <w:p>
      <w:pPr>
        <w:ind w:left="1260" w:right="439" w:firstLine="648"/>
        <w:spacing w:after="0" w:line="251" w:lineRule="auto"/>
        <w:rPr>
          <w:sz w:val="20"/>
          <w:szCs w:val="20"/>
          <w:color w:val="auto"/>
        </w:rPr>
      </w:pPr>
      <w:r>
        <w:rPr>
          <w:rFonts w:ascii="Arial" w:cs="Arial" w:eastAsia="Arial" w:hAnsi="Arial"/>
          <w:sz w:val="18"/>
          <w:szCs w:val="18"/>
          <w:color w:val="auto"/>
        </w:rPr>
        <w:t>The Board believes it is important that Uniti’s Chief Executive Officer serve on the Board of Directors, as the position of Chief Executive Officer puts Mr. Gunderman in a unique position to understand the challenges and issues facing the Company. Mr. Gunderman’s qualifications for service on our Board of Directors include the same demonstrated skills and experience that qualify him to serve as Chief Executive Officer of Uniti.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147955</wp:posOffset>
            </wp:positionV>
            <wp:extent cx="521208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260" w:right="439" w:firstLine="648"/>
        <w:spacing w:after="0" w:line="242" w:lineRule="auto"/>
        <w:rPr>
          <w:sz w:val="20"/>
          <w:szCs w:val="20"/>
          <w:color w:val="auto"/>
        </w:rPr>
      </w:pPr>
      <w:r>
        <w:rPr>
          <w:rFonts w:ascii="Arial" w:cs="Arial" w:eastAsia="Arial" w:hAnsi="Arial"/>
          <w:sz w:val="18"/>
          <w:szCs w:val="18"/>
          <w:b w:val="1"/>
          <w:bCs w:val="1"/>
          <w:color w:val="auto"/>
        </w:rPr>
        <w:t>Mary McLaughlin</w:t>
      </w:r>
      <w:r>
        <w:rPr>
          <w:rFonts w:ascii="Arial" w:cs="Arial" w:eastAsia="Arial" w:hAnsi="Arial"/>
          <w:sz w:val="18"/>
          <w:szCs w:val="18"/>
          <w:color w:val="auto"/>
        </w:rPr>
        <w:t>, age 62, was appointed to the Board of Directors on August 1, 2025.</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Ms. McLaughlin served on the Board of Directors of Windstream. There she was a member of the Audit and ESG Committees, as well as the Kinetic by Windstream Ad Hoc Committee, which provided management with guidance and oversight for the Windstream Kinetic business unit. In addition, McLaughlin is a member of the University of Maryland Medical System Foundation Board and the Board of the University of Maryland Medical Center, where she serves as Chair of the Nomination and Governance Committee. Ms. McLaughlin spent nearly 20 years in executive positions at Comcast Corporation (NASDAQ: CMCSA). Most recently she was Senior Vice President Comcast, Beltway Region, where she led a multidisciplinary team of over 5,000 employees serving more than 2.3 million residential and business services customers in the MidAtlantic. She was responsible for $4.5 billion in revenue, managing all aspects of the P&amp;L including financial performance, operations, sales, marketing, call centers, technical/​field support, network build-out, human resources, public relations, and government affairs. Ms. McLaughlin began her career as Assistant Attorney General in the Massachusetts Attorney General office. Ms. McLaughlin received a J.D. from Suffolk University Law School. Ms. McLaughlin is Director Certified by the National Association of Corporate Directors. She has attended executive programs at Harvard Business School and Stanford University Graduate School of Business.</w:t>
      </w:r>
    </w:p>
    <w:p>
      <w:pPr>
        <w:spacing w:after="0" w:line="191" w:lineRule="exact"/>
        <w:rPr>
          <w:sz w:val="20"/>
          <w:szCs w:val="20"/>
          <w:color w:val="auto"/>
        </w:rPr>
      </w:pPr>
    </w:p>
    <w:p>
      <w:pPr>
        <w:ind w:left="1260" w:right="659" w:firstLine="648"/>
        <w:spacing w:after="0" w:line="247" w:lineRule="auto"/>
        <w:rPr>
          <w:sz w:val="20"/>
          <w:szCs w:val="20"/>
          <w:color w:val="auto"/>
        </w:rPr>
      </w:pPr>
      <w:r>
        <w:rPr>
          <w:rFonts w:ascii="Arial" w:cs="Arial" w:eastAsia="Arial" w:hAnsi="Arial"/>
          <w:sz w:val="18"/>
          <w:szCs w:val="18"/>
          <w:color w:val="auto"/>
        </w:rPr>
        <w:t>Ms. McLaughlin’s qualifications for election to the Board include her operational and management expertise gained through her long tenure as an executive in the telecommunications industry. As a result of this expertise and experience, Ms. McLaughlin is uniquely qualified to assist the Board in navigating the challenges of the segment of the communications industry in which Uniti competes.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149860</wp:posOffset>
            </wp:positionV>
            <wp:extent cx="521208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1260" w:right="419" w:firstLine="648"/>
        <w:spacing w:after="0" w:line="258" w:lineRule="auto"/>
        <w:rPr>
          <w:sz w:val="20"/>
          <w:szCs w:val="20"/>
          <w:color w:val="auto"/>
        </w:rPr>
      </w:pPr>
      <w:r>
        <w:rPr>
          <w:rFonts w:ascii="Arial" w:cs="Arial" w:eastAsia="Arial" w:hAnsi="Arial"/>
          <w:sz w:val="17"/>
          <w:szCs w:val="17"/>
          <w:b w:val="1"/>
          <w:bCs w:val="1"/>
          <w:color w:val="auto"/>
        </w:rPr>
        <w:t>Joseph Natale</w:t>
      </w:r>
      <w:r>
        <w:rPr>
          <w:rFonts w:ascii="Arial" w:cs="Arial" w:eastAsia="Arial" w:hAnsi="Arial"/>
          <w:sz w:val="17"/>
          <w:szCs w:val="17"/>
          <w:color w:val="auto"/>
        </w:rPr>
        <w:t>, age 62, was appointed to the Board of Directors on August 1, 2025. Mr. Natale</w:t>
      </w:r>
      <w:r>
        <w:rPr>
          <w:rFonts w:ascii="Arial" w:cs="Arial" w:eastAsia="Arial" w:hAnsi="Arial"/>
          <w:sz w:val="17"/>
          <w:szCs w:val="17"/>
          <w:b w:val="1"/>
          <w:bCs w:val="1"/>
          <w:color w:val="auto"/>
        </w:rPr>
        <w:t xml:space="preserve"> </w:t>
      </w:r>
      <w:r>
        <w:rPr>
          <w:rFonts w:ascii="Arial" w:cs="Arial" w:eastAsia="Arial" w:hAnsi="Arial"/>
          <w:sz w:val="17"/>
          <w:szCs w:val="17"/>
          <w:color w:val="auto"/>
        </w:rPr>
        <w:t>is a seasoned telecom, technology and media executive with over 30 years’ experience as a leader, operator, and business builder. He is currently a Senior Advisor for Altas Partners. Mr. Natale is the former President and Chief Executive Officer of Rogers Communications, a diversified communications and media company and Canada’s largest provider of wireless communications, cable television and internet and sports entertainment services. Prior to joining Rogers, Mr. Natale held several executive positions at Telus Communications from 2003 to 2015, including President and CEO. Previously, he was a senior partner at KPMG and held successive senior leadership roles with KPMG Consulting. Mr. Natale was co-founder and CEO of a business transformation and systems integration consulting firm which was acquired by KPMG. He currently serves on the board of directors of Shopify Inc. and Sun Life Financial Inc. He has previously served on the board of directors of Windstream, Home Capital Group Inc., TD Bank Financial Group and Rogers Communications Inc. Mr. Natale holds a Bachelor of Applied Science degree in Electrical Engineering from the University of Waterloo.</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39" w:firstLine="648"/>
        <w:spacing w:after="0" w:line="251" w:lineRule="auto"/>
        <w:rPr>
          <w:sz w:val="20"/>
          <w:szCs w:val="20"/>
          <w:color w:val="auto"/>
        </w:rPr>
      </w:pPr>
      <w:r>
        <w:rPr>
          <w:rFonts w:ascii="Arial" w:cs="Arial" w:eastAsia="Arial" w:hAnsi="Arial"/>
          <w:sz w:val="18"/>
          <w:szCs w:val="18"/>
          <w:color w:val="auto"/>
        </w:rPr>
        <w:t>Mr. Natale’s qualifications for election to the Board include his operational, management and investment expertise gained through years of experience as an executive in the telecommunications, communications and media industries. As a result of his extensive management experience, Mr. Natale has a deep understanding of corporate planning, risk management, executive compensation and capital markets, which is an invaluable asset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147955</wp:posOffset>
            </wp:positionV>
            <wp:extent cx="521208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8"/>
          <w:szCs w:val="18"/>
          <w:b w:val="1"/>
          <w:bCs w:val="1"/>
          <w:color w:val="auto"/>
        </w:rPr>
        <w:t>Carmen Perez-Carlton</w:t>
      </w:r>
      <w:r>
        <w:rPr>
          <w:rFonts w:ascii="Arial" w:cs="Arial" w:eastAsia="Arial" w:hAnsi="Arial"/>
          <w:sz w:val="18"/>
          <w:szCs w:val="18"/>
          <w:color w:val="auto"/>
        </w:rPr>
        <w:t>, age 65, was appointed to the Board of Directors on August 1, 2025, and</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served on the board of directors of Old Uniti since October 1, 2019. In 2023, Ms. Perez-Carlton was appointed to the Board of Directors of Summit Utilities, Inc., a company that owns natural gas distribution and transmission subsidiaries that operate in Arkansas, Colorado, Maine, Missouri, Oklahoma and Texas. From January 2017 to July 2019, Ms. Perez-Carlton served as an independent advisor for Crown Castle International Corp. (NYSE: CCI), a publicly-traded fiber infrastructure REIT, providing input and strategic guidance on matters related to mergers and acquisitions, strategy and business development opportunities. Previously, she served as President of FPL FiberNet, LLC from 2007 until it was acquired by Crown Castle in January 2017. As President, Ms. Perez-Carlton grew FPL FiberNet through acquisition and network expansion while leading the company through a debt refinancing and ultimately to its eventual sale. Prior to FPL FiberNet, LLC, Ms. Perez-Carlton served as Assistant Controller and Director, Revenue and Recovery for Florida Power &amp; Light, Co.. Ms. Perez-Carlton began her career as an Audit Manager with Deloitte and holds a Bachelor of Arts in Accounting from Florida International University and is a Certified Public Accountant (inactive status). Ms. Perez-Carlton has served on multiple non-profit organization’s boards and was recognized in 2013 by Capacity Media as one of the top ten women in the telecommunications industry.</w:t>
      </w:r>
    </w:p>
    <w:p>
      <w:pPr>
        <w:spacing w:after="0" w:line="195" w:lineRule="exact"/>
        <w:rPr>
          <w:sz w:val="20"/>
          <w:szCs w:val="20"/>
          <w:color w:val="auto"/>
        </w:rPr>
      </w:pPr>
    </w:p>
    <w:p>
      <w:pPr>
        <w:ind w:left="1260" w:right="439" w:firstLine="648"/>
        <w:spacing w:after="0" w:line="256" w:lineRule="auto"/>
        <w:rPr>
          <w:sz w:val="20"/>
          <w:szCs w:val="20"/>
          <w:color w:val="auto"/>
        </w:rPr>
      </w:pPr>
      <w:r>
        <w:rPr>
          <w:rFonts w:ascii="Arial" w:cs="Arial" w:eastAsia="Arial" w:hAnsi="Arial"/>
          <w:sz w:val="18"/>
          <w:szCs w:val="18"/>
          <w:color w:val="auto"/>
        </w:rPr>
        <w:t>Ms. Perez-Carlton’s qualifications for election to the Board include her operational, management, financial and accounting expertise gained through her long tenure as a senior executive in the telecommunications industry. As a result of this expertise and experience, especially as president of FPL FiberNet, LLC until its sale in January 2017, Ms. Perez-Carlton is uniquely qualified to advise on Uniti’s growth strategies and M&amp;A activities, and the Board believes that Ms. Perez-Carlton has a valuable understanding of, and is equipped to assist the Board in navigating, the challenges of the segment of the communications industry in which Uniti competes.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260" w:right="439" w:firstLine="648"/>
        <w:spacing w:after="0" w:line="256" w:lineRule="auto"/>
        <w:rPr>
          <w:sz w:val="20"/>
          <w:szCs w:val="20"/>
          <w:color w:val="auto"/>
        </w:rPr>
      </w:pPr>
      <w:r>
        <w:rPr>
          <w:rFonts w:ascii="Arial" w:cs="Arial" w:eastAsia="Arial" w:hAnsi="Arial"/>
          <w:sz w:val="18"/>
          <w:szCs w:val="18"/>
          <w:b w:val="1"/>
          <w:bCs w:val="1"/>
          <w:color w:val="auto"/>
        </w:rPr>
        <w:t xml:space="preserve">Johannes Weber, </w:t>
      </w:r>
      <w:r>
        <w:rPr>
          <w:rFonts w:ascii="Arial" w:cs="Arial" w:eastAsia="Arial" w:hAnsi="Arial"/>
          <w:sz w:val="18"/>
          <w:szCs w:val="18"/>
          <w:color w:val="auto"/>
        </w:rPr>
        <w:t>age 47, has been nominated to stand for election to the Board of Directors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 of this Annual Meeting. Mr. Weber is a consultant for Elliott Investment Management L.P. Prior to becoming a consultant, from 2009 until January 2026, Mr. Weber was portfolio manager at Elliott Investment Management L.P. with responsibility for certain public and private equity and credit investments across multiple industries for fifteen years. In addition, Mr. Weber served on the Board of Directors of Windstream from 2020 to 2025. Mr. Weber holds a Bachelor of Arts from Yale University and an MBA from the Wharton School at the University of Pennsylvania.</w:t>
      </w:r>
    </w:p>
    <w:p>
      <w:pPr>
        <w:spacing w:after="0" w:line="183" w:lineRule="exact"/>
        <w:rPr>
          <w:sz w:val="20"/>
          <w:szCs w:val="20"/>
          <w:color w:val="auto"/>
        </w:rPr>
      </w:pPr>
    </w:p>
    <w:p>
      <w:pPr>
        <w:ind w:left="1260" w:right="419" w:firstLine="648"/>
        <w:spacing w:after="0" w:line="262" w:lineRule="auto"/>
        <w:rPr>
          <w:sz w:val="20"/>
          <w:szCs w:val="20"/>
          <w:color w:val="auto"/>
        </w:rPr>
      </w:pPr>
      <w:r>
        <w:rPr>
          <w:rFonts w:ascii="Arial" w:cs="Arial" w:eastAsia="Arial" w:hAnsi="Arial"/>
          <w:sz w:val="18"/>
          <w:szCs w:val="18"/>
          <w:color w:val="auto"/>
        </w:rPr>
        <w:t>Mr. Weber’s qualifications for election to the Board include his extensive financial and investment experience, particularly his experience in telecommunications. Through this experience, Mr. Weber brings to the Board a significant amount of experience in making and managing investments in the telecommunications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149860</wp:posOffset>
            </wp:positionV>
            <wp:extent cx="521208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260" w:right="439" w:firstLine="648"/>
        <w:spacing w:after="0" w:line="272" w:lineRule="auto"/>
        <w:rPr>
          <w:sz w:val="20"/>
          <w:szCs w:val="20"/>
          <w:color w:val="auto"/>
        </w:rPr>
      </w:pPr>
      <w:r>
        <w:rPr>
          <w:rFonts w:ascii="Arial" w:cs="Arial" w:eastAsia="Arial" w:hAnsi="Arial"/>
          <w:sz w:val="17"/>
          <w:szCs w:val="17"/>
          <w:b w:val="1"/>
          <w:bCs w:val="1"/>
          <w:color w:val="auto"/>
        </w:rPr>
        <w:t>Harold Zeitz</w:t>
      </w:r>
      <w:r>
        <w:rPr>
          <w:rFonts w:ascii="Arial" w:cs="Arial" w:eastAsia="Arial" w:hAnsi="Arial"/>
          <w:sz w:val="17"/>
          <w:szCs w:val="17"/>
          <w:color w:val="auto"/>
        </w:rPr>
        <w:t>, age 62, was appointed to the Board of Directors on August 1, 2025 and previously</w:t>
      </w:r>
      <w:r>
        <w:rPr>
          <w:rFonts w:ascii="Arial" w:cs="Arial" w:eastAsia="Arial" w:hAnsi="Arial"/>
          <w:sz w:val="17"/>
          <w:szCs w:val="17"/>
          <w:b w:val="1"/>
          <w:bCs w:val="1"/>
          <w:color w:val="auto"/>
        </w:rPr>
        <w:t xml:space="preserve"> </w:t>
      </w:r>
      <w:r>
        <w:rPr>
          <w:rFonts w:ascii="Arial" w:cs="Arial" w:eastAsia="Arial" w:hAnsi="Arial"/>
          <w:sz w:val="17"/>
          <w:szCs w:val="17"/>
          <w:color w:val="auto"/>
        </w:rPr>
        <w:t>served on the board of directors of Old Uniti since May 29, 2025. Mr. Zeitz has served as Chief Executive Officer of Ziply Fiber since May of 2020. Prior to joining Ziply Fiber, Mr. Zeitz served as President and Chief Operating Officer of Wave Broadband, a leading broadband data company in Washington, Oregon and California. Mr. Zeitz has also served in executive leadership roles at Classmates, IGT, RealNetworks, Sharebuilder, AT&amp;T Wireless and McCaw Cellular. Mr. Zeitz holds a Bachelor of Arts in Economics from Northwestern University and an MBA from the Stanford Graduate School of Business. Mr. Zeitz is a Board Trustee at Horizon House and a Board Member of Race Communications and Fidium Fiber.</w:t>
      </w:r>
    </w:p>
    <w:p>
      <w:pPr>
        <w:sectPr>
          <w:pgSz w:w="11900" w:h="16838" w:orient="portrait"/>
          <w:cols w:equalWidth="0" w:num="1">
            <w:col w:w="9879"/>
          </w:cols>
          <w:pgMar w:left="580" w:top="97" w:right="1440" w:bottom="1440" w:gutter="0" w:footer="0" w:header="0"/>
        </w:sect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39" w:firstLine="648"/>
        <w:spacing w:after="0" w:line="262" w:lineRule="auto"/>
        <w:rPr>
          <w:sz w:val="20"/>
          <w:szCs w:val="20"/>
          <w:color w:val="auto"/>
        </w:rPr>
      </w:pPr>
      <w:r>
        <w:rPr>
          <w:rFonts w:ascii="Arial" w:cs="Arial" w:eastAsia="Arial" w:hAnsi="Arial"/>
          <w:sz w:val="18"/>
          <w:szCs w:val="18"/>
          <w:color w:val="auto"/>
        </w:rPr>
        <w:t>Mr. Zeitz’s qualifications for election to the Board include his operational and management expertise gained through his long tenure as an executive in the telecommunications industry. As a result of this expertise and experience, Mr. Zeitz is uniquely qualified to assist the Board in navigating the challenges of the segment of the communications industry in which Uniti competes.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149860</wp:posOffset>
            </wp:positionV>
            <wp:extent cx="5212080" cy="1157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2080" cy="1157605"/>
                    </a:xfrm>
                    <a:prstGeom prst="rect">
                      <a:avLst/>
                    </a:prstGeom>
                    <a:noFill/>
                  </pic:spPr>
                </pic:pic>
              </a:graphicData>
            </a:graphic>
          </wp:anchor>
        </w:drawing>
      </w:r>
    </w:p>
    <w:p>
      <w:pPr>
        <w:spacing w:after="0" w:line="29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FFFFFF"/>
        </w:rPr>
        <w:t>BOARD RECOMMENDATION</w:t>
      </w:r>
    </w:p>
    <w:p>
      <w:pPr>
        <w:spacing w:after="0" w:line="266" w:lineRule="exact"/>
        <w:rPr>
          <w:sz w:val="20"/>
          <w:szCs w:val="20"/>
          <w:color w:val="auto"/>
        </w:rPr>
      </w:pPr>
    </w:p>
    <w:p>
      <w:pPr>
        <w:ind w:left="1380" w:right="859"/>
        <w:spacing w:after="0" w:line="296" w:lineRule="auto"/>
        <w:rPr>
          <w:sz w:val="20"/>
          <w:szCs w:val="20"/>
          <w:color w:val="auto"/>
        </w:rPr>
      </w:pPr>
      <w:r>
        <w:rPr>
          <w:rFonts w:ascii="Arial" w:cs="Arial" w:eastAsia="Arial" w:hAnsi="Arial"/>
          <w:sz w:val="18"/>
          <w:szCs w:val="18"/>
          <w:color w:val="FFFFFF"/>
        </w:rPr>
        <w:t>THE BOARD OF DIRECTORS UNANIMOUSLY RECOMMENDS THAT STOCKHOLDERS VOTE “</w:t>
      </w:r>
      <w:r>
        <w:rPr>
          <w:rFonts w:ascii="Arial" w:cs="Arial" w:eastAsia="Arial" w:hAnsi="Arial"/>
          <w:sz w:val="18"/>
          <w:szCs w:val="18"/>
          <w:b w:val="1"/>
          <w:bCs w:val="1"/>
          <w:color w:val="FFFFFF"/>
        </w:rPr>
        <w:t>FOR</w:t>
      </w:r>
      <w:r>
        <w:rPr>
          <w:rFonts w:ascii="Arial" w:cs="Arial" w:eastAsia="Arial" w:hAnsi="Arial"/>
          <w:sz w:val="18"/>
          <w:szCs w:val="18"/>
          <w:color w:val="FFFFFF"/>
        </w:rPr>
        <w:t>” EACH OF THE FOREGOING NOMINEES.</w:t>
      </w:r>
    </w:p>
    <w:p>
      <w:pPr>
        <w:spacing w:after="0" w:line="191" w:lineRule="exact"/>
        <w:rPr>
          <w:sz w:val="20"/>
          <w:szCs w:val="20"/>
          <w:color w:val="auto"/>
        </w:rPr>
      </w:pPr>
    </w:p>
    <w:p>
      <w:pPr>
        <w:ind w:left="1380" w:right="799"/>
        <w:spacing w:after="0" w:line="287" w:lineRule="auto"/>
        <w:rPr>
          <w:sz w:val="20"/>
          <w:szCs w:val="20"/>
          <w:color w:val="auto"/>
        </w:rPr>
      </w:pPr>
      <w:r>
        <w:rPr>
          <w:rFonts w:ascii="Arial" w:cs="Arial" w:eastAsia="Arial" w:hAnsi="Arial"/>
          <w:sz w:val="18"/>
          <w:szCs w:val="18"/>
          <w:color w:val="FFFFFF"/>
        </w:rPr>
        <w:t>PROXIES SOLICITED BY THE BOARD OF DIRECTORS WILL BE VOTED “</w:t>
      </w:r>
      <w:r>
        <w:rPr>
          <w:rFonts w:ascii="Arial" w:cs="Arial" w:eastAsia="Arial" w:hAnsi="Arial"/>
          <w:sz w:val="18"/>
          <w:szCs w:val="18"/>
          <w:b w:val="1"/>
          <w:bCs w:val="1"/>
          <w:color w:val="FFFFFF"/>
        </w:rPr>
        <w:t>FOR</w:t>
      </w:r>
      <w:r>
        <w:rPr>
          <w:rFonts w:ascii="Arial" w:cs="Arial" w:eastAsia="Arial" w:hAnsi="Arial"/>
          <w:sz w:val="18"/>
          <w:szCs w:val="18"/>
          <w:color w:val="FFFFFF"/>
        </w:rPr>
        <w:t>” EACH OF THE FOREGOING NOMINEES UNLESS STOCKHOLDERS SPECIFY A CONTRARY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00ABD1"/>
        </w:rPr>
        <w:t>PROPOSAL NO. 2</w:t>
      </w:r>
    </w:p>
    <w:p>
      <w:pPr>
        <w:spacing w:after="0" w:line="220" w:lineRule="exact"/>
        <w:rPr>
          <w:sz w:val="20"/>
          <w:szCs w:val="20"/>
          <w:color w:val="auto"/>
        </w:rPr>
      </w:pPr>
    </w:p>
    <w:p>
      <w:pPr>
        <w:ind w:left="1260" w:right="779"/>
        <w:spacing w:after="0" w:line="285" w:lineRule="auto"/>
        <w:rPr>
          <w:sz w:val="20"/>
          <w:szCs w:val="20"/>
          <w:color w:val="auto"/>
        </w:rPr>
      </w:pPr>
      <w:r>
        <w:rPr>
          <w:rFonts w:ascii="Arial" w:cs="Arial" w:eastAsia="Arial" w:hAnsi="Arial"/>
          <w:sz w:val="22"/>
          <w:szCs w:val="22"/>
          <w:b w:val="1"/>
          <w:bCs w:val="1"/>
          <w:color w:val="00ABD1"/>
        </w:rPr>
        <w:t>Approval of an Increase in the Number of Shares Available for Issuance under the Uniti Group Inc. 2025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12" w:lineRule="exact"/>
        <w:rPr>
          <w:sz w:val="20"/>
          <w:szCs w:val="20"/>
          <w:color w:val="auto"/>
        </w:rPr>
      </w:pPr>
    </w:p>
    <w:p>
      <w:pPr>
        <w:ind w:left="1260" w:right="619" w:firstLine="648"/>
        <w:spacing w:after="0" w:line="256" w:lineRule="auto"/>
        <w:rPr>
          <w:sz w:val="20"/>
          <w:szCs w:val="20"/>
          <w:color w:val="auto"/>
        </w:rPr>
      </w:pPr>
      <w:r>
        <w:rPr>
          <w:rFonts w:ascii="Arial" w:cs="Arial" w:eastAsia="Arial" w:hAnsi="Arial"/>
          <w:sz w:val="18"/>
          <w:szCs w:val="18"/>
          <w:color w:val="auto"/>
        </w:rPr>
        <w:t>Pursuant to this proposal, our stockholders are being asked to approve an amendment to increase the number of shares of common stock available for issuance under the Uniti Group Inc. 2025 Equity Incentive Plan (the “2025 Plan”) by 16,750,000 shares, from 6,000,000 shares to 22,750,000 shares. The increase in the number of shares authorized for issuance under the 2025 Plan has been approved by the Board of Directors based on a recommendation from the Compensation Committee, subject to stockholder approval. A copy of the 2025 Plan, as proposed to be amended and restated, is attached as Appendix A to this Proxy Statement.</w:t>
      </w:r>
    </w:p>
    <w:p>
      <w:pPr>
        <w:spacing w:after="0" w:line="183" w:lineRule="exact"/>
        <w:rPr>
          <w:sz w:val="20"/>
          <w:szCs w:val="20"/>
          <w:color w:val="auto"/>
        </w:rPr>
      </w:pPr>
    </w:p>
    <w:p>
      <w:pPr>
        <w:ind w:left="1260" w:right="459" w:firstLine="648"/>
        <w:spacing w:after="0" w:line="271" w:lineRule="auto"/>
        <w:rPr>
          <w:sz w:val="20"/>
          <w:szCs w:val="20"/>
          <w:color w:val="auto"/>
        </w:rPr>
      </w:pPr>
      <w:r>
        <w:rPr>
          <w:rFonts w:ascii="Arial" w:cs="Arial" w:eastAsia="Arial" w:hAnsi="Arial"/>
          <w:sz w:val="17"/>
          <w:szCs w:val="17"/>
          <w:color w:val="auto"/>
        </w:rPr>
        <w:t>Due to the considerations discussed in greater detail below, our Board believes this proposed share increase is necessary and reasonable. At this time, we expect that these shares will be sufficient to cover awards to be granted for 3 to 4 years, depending on the factors noted in this proposal. If stockholders do not approve this proposal, the Company expects to exhaust the existing reserve of shares authorized for issuance under the 2025 Plan in less than 3 months. If we are unable to offer competitive equity awards to employees of the Company, this could adversely affect the growth and operation of the Company. Additionally, if we are unable to grant competitive equity awards, we may be required to offer additional cash-based incentives to replace equity as a means of competing for or retaining talent. This in turn could further impact the ability of the Company to achieve its financial goals.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ABD1"/>
        </w:rPr>
        <w:t>Importance of the Proposed Share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4" w:lineRule="exact"/>
        <w:rPr>
          <w:sz w:val="20"/>
          <w:szCs w:val="20"/>
          <w:color w:val="auto"/>
        </w:rPr>
      </w:pPr>
    </w:p>
    <w:p>
      <w:pPr>
        <w:ind w:left="1260" w:right="539" w:firstLine="648"/>
        <w:spacing w:after="0" w:line="257" w:lineRule="auto"/>
        <w:rPr>
          <w:sz w:val="20"/>
          <w:szCs w:val="20"/>
          <w:color w:val="auto"/>
        </w:rPr>
      </w:pPr>
      <w:r>
        <w:rPr>
          <w:rFonts w:ascii="Arial" w:cs="Arial" w:eastAsia="Arial" w:hAnsi="Arial"/>
          <w:sz w:val="18"/>
          <w:szCs w:val="18"/>
          <w:color w:val="auto"/>
        </w:rPr>
        <w:t>In its determination to approve the proposed share increase and term extension, our Compensation Committee reviewed an analysis prepared by its independent compensation consultant, Pearl Meyer &amp; Partners, LLC (“Pearl Meyer”), which included an analysis of the historic share usage of Old Uniti and the Company and estimated prospective share usage needs of the Company, certain burn rate metrics of Old Uniti and the Company and the potential costs of the 2025 Plan. Specifically, our Compensation Committee considered:</w:t>
      </w:r>
    </w:p>
    <w:p>
      <w:pPr>
        <w:spacing w:after="0" w:line="182" w:lineRule="exact"/>
        <w:rPr>
          <w:sz w:val="20"/>
          <w:szCs w:val="20"/>
          <w:color w:val="auto"/>
        </w:rPr>
      </w:pPr>
    </w:p>
    <w:p>
      <w:pPr>
        <w:ind w:left="2080" w:right="659" w:hanging="172"/>
        <w:spacing w:after="0" w:line="262" w:lineRule="auto"/>
        <w:tabs>
          <w:tab w:leader="none" w:pos="20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00ABD1"/>
        </w:rPr>
        <w:t xml:space="preserve">Depletion of Authorized Shares under the 2025 Plan. </w:t>
      </w:r>
      <w:r>
        <w:rPr>
          <w:rFonts w:ascii="Arial" w:cs="Arial" w:eastAsia="Arial" w:hAnsi="Arial"/>
          <w:sz w:val="18"/>
          <w:szCs w:val="18"/>
          <w:color w:val="000000"/>
        </w:rPr>
        <w:t>As of March 31, 2026, only 445,990</w:t>
      </w:r>
      <w:r>
        <w:rPr>
          <w:rFonts w:ascii="Arial" w:cs="Arial" w:eastAsia="Arial" w:hAnsi="Arial"/>
          <w:sz w:val="18"/>
          <w:szCs w:val="18"/>
          <w:i w:val="1"/>
          <w:iCs w:val="1"/>
          <w:color w:val="00ABD1"/>
        </w:rPr>
        <w:t xml:space="preserve"> </w:t>
      </w:r>
      <w:r>
        <w:rPr>
          <w:rFonts w:ascii="Arial" w:cs="Arial" w:eastAsia="Arial" w:hAnsi="Arial"/>
          <w:sz w:val="18"/>
          <w:szCs w:val="18"/>
          <w:color w:val="000000"/>
        </w:rPr>
        <w:t>shares remained available for future grants under the 2025 Plan. If the proposed share increase is not approved by our stockholders, we will be limited in granting equity awards to our employees, non-employee directors, and other eligible individuals going forward.</w:t>
      </w:r>
    </w:p>
    <w:p>
      <w:pPr>
        <w:spacing w:after="0" w:line="176" w:lineRule="exact"/>
        <w:rPr>
          <w:rFonts w:ascii="Arial" w:cs="Arial" w:eastAsia="Arial" w:hAnsi="Arial"/>
          <w:sz w:val="18"/>
          <w:szCs w:val="18"/>
          <w:color w:val="auto"/>
        </w:rPr>
      </w:pPr>
    </w:p>
    <w:p>
      <w:pPr>
        <w:ind w:left="2080" w:right="419" w:hanging="172"/>
        <w:spacing w:after="0" w:line="269" w:lineRule="auto"/>
        <w:tabs>
          <w:tab w:leader="none" w:pos="208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00ABD1"/>
        </w:rPr>
        <w:t xml:space="preserve">Compensation Philosophy. </w:t>
      </w:r>
      <w:r>
        <w:rPr>
          <w:rFonts w:ascii="Arial" w:cs="Arial" w:eastAsia="Arial" w:hAnsi="Arial"/>
          <w:sz w:val="17"/>
          <w:szCs w:val="17"/>
          <w:color w:val="000000"/>
        </w:rPr>
        <w:t>The 2025 Plan was designed to align long-term incentive</w:t>
      </w:r>
      <w:r>
        <w:rPr>
          <w:rFonts w:ascii="Arial" w:cs="Arial" w:eastAsia="Arial" w:hAnsi="Arial"/>
          <w:sz w:val="17"/>
          <w:szCs w:val="17"/>
          <w:i w:val="1"/>
          <w:iCs w:val="1"/>
          <w:color w:val="00ABD1"/>
        </w:rPr>
        <w:t xml:space="preserve"> </w:t>
      </w:r>
      <w:r>
        <w:rPr>
          <w:rFonts w:ascii="Arial" w:cs="Arial" w:eastAsia="Arial" w:hAnsi="Arial"/>
          <w:sz w:val="17"/>
          <w:szCs w:val="17"/>
          <w:color w:val="000000"/>
        </w:rPr>
        <w:t>compensation with the Company’s business strategies and with stockholder and investor interests, and to recruit and retain key individuals. The Board believes that providing employees with a proprietary interest in the Company’s business and, therefore, a more direct stake in its continuing welfare, will better align their interests with those of our stockholders. Delivering a significant portion of total compensation in the form of equity compensation is essential to the Company’s core compensation philosophy and exemplifies our commitment to increasing employee engagement by deploying compensation instruments that drive value creation and create employee owners. If the Company is limited in granting equity awards to its employees and other eligible individuals under the 2025 Plan, this will put additional pressure on the Company to increase cash-based compensation in order to maintain appropriate compensation incentives and would work against the Company’s philosophy of aligning the interests of our employees with the interest of our stockholders.</w:t>
      </w:r>
    </w:p>
    <w:p>
      <w:pPr>
        <w:spacing w:after="0" w:line="200" w:lineRule="exact"/>
        <w:rPr>
          <w:sz w:val="20"/>
          <w:szCs w:val="20"/>
          <w:color w:val="auto"/>
        </w:r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80" w:right="659" w:hanging="172"/>
        <w:spacing w:after="0" w:line="259" w:lineRule="auto"/>
        <w:tabs>
          <w:tab w:leader="none" w:pos="20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00ABD1"/>
        </w:rPr>
        <w:t xml:space="preserve">Market Competitiveness. </w:t>
      </w:r>
      <w:r>
        <w:rPr>
          <w:rFonts w:ascii="Arial" w:cs="Arial" w:eastAsia="Arial" w:hAnsi="Arial"/>
          <w:sz w:val="18"/>
          <w:szCs w:val="18"/>
          <w:color w:val="000000"/>
        </w:rPr>
        <w:t>Our strategy and future success are highly dependent on our</w:t>
      </w:r>
      <w:r>
        <w:rPr>
          <w:rFonts w:ascii="Arial" w:cs="Arial" w:eastAsia="Arial" w:hAnsi="Arial"/>
          <w:sz w:val="18"/>
          <w:szCs w:val="18"/>
          <w:i w:val="1"/>
          <w:iCs w:val="1"/>
          <w:color w:val="00ABD1"/>
        </w:rPr>
        <w:t xml:space="preserve"> </w:t>
      </w:r>
      <w:r>
        <w:rPr>
          <w:rFonts w:ascii="Arial" w:cs="Arial" w:eastAsia="Arial" w:hAnsi="Arial"/>
          <w:sz w:val="18"/>
          <w:szCs w:val="18"/>
          <w:color w:val="000000"/>
        </w:rPr>
        <w:t>personnel, and we have experienced and continue to experience a very competitive labor market. In order to remain competitive, equity compensation awards are an important tool in recruiting, retaining and motivating highly skilled and critical employee talent, upon whose efforts our success is dependent.</w:t>
      </w:r>
    </w:p>
    <w:p>
      <w:pPr>
        <w:spacing w:after="0" w:line="152" w:lineRule="exact"/>
        <w:rPr>
          <w:rFonts w:ascii="Arial" w:cs="Arial" w:eastAsia="Arial" w:hAnsi="Arial"/>
          <w:sz w:val="18"/>
          <w:szCs w:val="18"/>
          <w:color w:val="auto"/>
        </w:rPr>
      </w:pPr>
    </w:p>
    <w:p>
      <w:pPr>
        <w:ind w:left="2080" w:right="459" w:hanging="172"/>
        <w:spacing w:after="0" w:line="256" w:lineRule="auto"/>
        <w:tabs>
          <w:tab w:leader="none" w:pos="20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00ABD1"/>
        </w:rPr>
        <w:t xml:space="preserve">Estimated Equity Usage and Share Pool Duration. </w:t>
      </w:r>
      <w:r>
        <w:rPr>
          <w:rFonts w:ascii="Arial" w:cs="Arial" w:eastAsia="Arial" w:hAnsi="Arial"/>
          <w:sz w:val="18"/>
          <w:szCs w:val="18"/>
          <w:color w:val="000000"/>
        </w:rPr>
        <w:t>Our Board considered our historic burn</w:t>
      </w:r>
      <w:r>
        <w:rPr>
          <w:rFonts w:ascii="Arial" w:cs="Arial" w:eastAsia="Arial" w:hAnsi="Arial"/>
          <w:sz w:val="18"/>
          <w:szCs w:val="18"/>
          <w:i w:val="1"/>
          <w:iCs w:val="1"/>
          <w:color w:val="00ABD1"/>
        </w:rPr>
        <w:t xml:space="preserve"> </w:t>
      </w:r>
      <w:r>
        <w:rPr>
          <w:rFonts w:ascii="Arial" w:cs="Arial" w:eastAsia="Arial" w:hAnsi="Arial"/>
          <w:sz w:val="18"/>
          <w:szCs w:val="18"/>
          <w:color w:val="000000"/>
        </w:rPr>
        <w:t>rate levels, disclosed in greater detail below under the heading “Historic Burn Rate,” and our estimated prospective equity usage needs for the next few years and while we cannot predict with any degree of certainty at this time our future equity grant practices, the future price of our shares or future hiring activity, we expect that the increased share authorization under the 2025 Plan subject to approval in this proposal will provide us with enough shares for awards for the next 3 to 4 years.</w:t>
      </w:r>
    </w:p>
    <w:p>
      <w:pPr>
        <w:spacing w:after="0" w:line="155" w:lineRule="exact"/>
        <w:rPr>
          <w:rFonts w:ascii="Arial" w:cs="Arial" w:eastAsia="Arial" w:hAnsi="Arial"/>
          <w:sz w:val="18"/>
          <w:szCs w:val="18"/>
          <w:color w:val="auto"/>
        </w:rPr>
      </w:pPr>
    </w:p>
    <w:p>
      <w:pPr>
        <w:ind w:left="2080" w:right="639" w:hanging="172"/>
        <w:spacing w:after="0" w:line="262" w:lineRule="auto"/>
        <w:tabs>
          <w:tab w:leader="none" w:pos="20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00ABD1"/>
        </w:rPr>
        <w:t xml:space="preserve">External Factors. </w:t>
      </w:r>
      <w:r>
        <w:rPr>
          <w:rFonts w:ascii="Arial" w:cs="Arial" w:eastAsia="Arial" w:hAnsi="Arial"/>
          <w:sz w:val="18"/>
          <w:szCs w:val="18"/>
          <w:color w:val="000000"/>
        </w:rPr>
        <w:t>Pearl Meyer’s analysis, which is based on generally accepted evaluation</w:t>
      </w:r>
      <w:r>
        <w:rPr>
          <w:rFonts w:ascii="Arial" w:cs="Arial" w:eastAsia="Arial" w:hAnsi="Arial"/>
          <w:sz w:val="18"/>
          <w:szCs w:val="18"/>
          <w:i w:val="1"/>
          <w:iCs w:val="1"/>
          <w:color w:val="00ABD1"/>
        </w:rPr>
        <w:t xml:space="preserve"> </w:t>
      </w:r>
      <w:r>
        <w:rPr>
          <w:rFonts w:ascii="Arial" w:cs="Arial" w:eastAsia="Arial" w:hAnsi="Arial"/>
          <w:sz w:val="18"/>
          <w:szCs w:val="18"/>
          <w:color w:val="000000"/>
        </w:rPr>
        <w:t>methodologies, concluded that the increase in the number of shares under the 2025 Plan is well within generally accepted standards as measured by an analysis of its cost relative to industry standards.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ABD1"/>
        </w:rPr>
        <w:t>History of Award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00ABD1"/>
        </w:rPr>
        <w:t>Outstanding Equity Awards</w:t>
      </w:r>
    </w:p>
    <w:p>
      <w:pPr>
        <w:spacing w:after="0" w:line="223" w:lineRule="exact"/>
        <w:rPr>
          <w:sz w:val="20"/>
          <w:szCs w:val="20"/>
          <w:color w:val="auto"/>
        </w:rPr>
      </w:pPr>
    </w:p>
    <w:p>
      <w:pPr>
        <w:ind w:left="1260" w:right="579" w:firstLine="648"/>
        <w:spacing w:after="0" w:line="248" w:lineRule="auto"/>
        <w:rPr>
          <w:sz w:val="20"/>
          <w:szCs w:val="20"/>
          <w:color w:val="auto"/>
        </w:rPr>
      </w:pPr>
      <w:r>
        <w:rPr>
          <w:rFonts w:ascii="Arial" w:cs="Arial" w:eastAsia="Arial" w:hAnsi="Arial"/>
          <w:sz w:val="18"/>
          <w:szCs w:val="18"/>
          <w:color w:val="auto"/>
        </w:rPr>
        <w:t>As of March 31, 2026, 10,236,960 shares were subject to previously-issued, unvested outstanding equity awards under both the 2025 Plan and Old Uniti’s 2015 Equity Incentive Plan (the “2015 Plan”), respectively, and 445,990 shares were available for future grant under the 2025 Plan. In connection with the Merger, the Company assumed the outstanding equity awards under the 2015 Plan and the 2015 Plan was frozen upon the closing of the Merger. Accordingly, no additional awards will be granted under the 2015 plan.</w:t>
      </w:r>
    </w:p>
    <w:p>
      <w:pPr>
        <w:spacing w:after="0" w:line="175" w:lineRule="exact"/>
        <w:rPr>
          <w:sz w:val="20"/>
          <w:szCs w:val="20"/>
          <w:color w:val="auto"/>
        </w:rPr>
      </w:pPr>
    </w:p>
    <w:p>
      <w:pPr>
        <w:ind w:left="1260" w:right="479" w:firstLine="648"/>
        <w:spacing w:after="0" w:line="251" w:lineRule="auto"/>
        <w:rPr>
          <w:sz w:val="20"/>
          <w:szCs w:val="20"/>
          <w:color w:val="auto"/>
        </w:rPr>
      </w:pPr>
      <w:r>
        <w:rPr>
          <w:rFonts w:ascii="Arial" w:cs="Arial" w:eastAsia="Arial" w:hAnsi="Arial"/>
          <w:sz w:val="18"/>
          <w:szCs w:val="18"/>
          <w:color w:val="auto"/>
        </w:rPr>
        <w:t>Shares available for future grant under the 2025 Plan represent approximately 0.2% of the Company’s outstanding shares of common stock as of March 31, 2026. If stockholders approve this proposal, the number authorized for issuance under the 2025 Plan will increase by 16,750,000 shares, which will result in additional potential dilution of 7.1% to our outstanding common stock (as of March 31, 2026) (an increase from 4.4% to 11.5%).</w:t>
      </w:r>
    </w:p>
    <w:p>
      <w:pPr>
        <w:spacing w:after="0" w:line="173" w:lineRule="exact"/>
        <w:rPr>
          <w:sz w:val="20"/>
          <w:szCs w:val="20"/>
          <w:color w:val="auto"/>
        </w:rPr>
      </w:pPr>
    </w:p>
    <w:p>
      <w:pPr>
        <w:ind w:left="1260" w:right="519" w:firstLine="648"/>
        <w:spacing w:after="0" w:line="252" w:lineRule="auto"/>
        <w:rPr>
          <w:sz w:val="20"/>
          <w:szCs w:val="20"/>
          <w:color w:val="auto"/>
        </w:rPr>
      </w:pPr>
      <w:r>
        <w:rPr>
          <w:rFonts w:ascii="Arial" w:cs="Arial" w:eastAsia="Arial" w:hAnsi="Arial"/>
          <w:sz w:val="18"/>
          <w:szCs w:val="18"/>
          <w:color w:val="auto"/>
        </w:rPr>
        <w:t>The following table includes information regarding outstanding equity awards under the 2025 Plan, and the total shares outstanding as of March 31, 2026 (all without giving effect to stockholder approval of this proposal). The closing market price of the Company’s common stock on March 31, 2026 was $9.38.</w:t>
      </w:r>
    </w:p>
    <w:p>
      <w:pPr>
        <w:spacing w:after="0" w:line="22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Number of</w:t>
            </w:r>
          </w:p>
        </w:tc>
      </w:tr>
      <w:tr>
        <w:trPr>
          <w:trHeight w:val="197"/>
        </w:trPr>
        <w:tc>
          <w:tcPr>
            <w:tcW w:w="60" w:type="dxa"/>
            <w:vAlign w:val="bottom"/>
            <w:tcBorders>
              <w:bottom w:val="single" w:sz="8" w:color="B2B2B2"/>
            </w:tcBorders>
          </w:tcPr>
          <w:p>
            <w:pPr>
              <w:spacing w:after="0"/>
              <w:rPr>
                <w:sz w:val="17"/>
                <w:szCs w:val="17"/>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 of Awards</w:t>
            </w:r>
          </w:p>
        </w:tc>
        <w:tc>
          <w:tcPr>
            <w:tcW w:w="220" w:type="dxa"/>
            <w:vAlign w:val="bottom"/>
            <w:tcBorders>
              <w:bottom w:val="single" w:sz="8" w:color="B2B2B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B2B2B2"/>
            </w:tcBorders>
          </w:tcPr>
          <w:p>
            <w:pPr>
              <w:spacing w:after="0"/>
              <w:rPr>
                <w:sz w:val="17"/>
                <w:szCs w:val="17"/>
                <w:color w:val="auto"/>
              </w:rPr>
            </w:pPr>
          </w:p>
        </w:tc>
      </w:tr>
      <w:tr>
        <w:trPr>
          <w:trHeight w:val="251"/>
        </w:trPr>
        <w:tc>
          <w:tcPr>
            <w:tcW w:w="60" w:type="dxa"/>
            <w:vAlign w:val="bottom"/>
            <w:shd w:val="clear" w:color="auto" w:fill="B2B2B2"/>
          </w:tcPr>
          <w:p>
            <w:pPr>
              <w:spacing w:after="0"/>
              <w:rPr>
                <w:sz w:val="21"/>
                <w:szCs w:val="21"/>
                <w:color w:val="auto"/>
              </w:rPr>
            </w:pPr>
          </w:p>
        </w:tc>
        <w:tc>
          <w:tcPr>
            <w:tcW w:w="734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Options</w:t>
            </w:r>
          </w:p>
        </w:tc>
        <w:tc>
          <w:tcPr>
            <w:tcW w:w="120" w:type="dxa"/>
            <w:vAlign w:val="bottom"/>
            <w:shd w:val="clear" w:color="auto" w:fill="B2B2B2"/>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B2B2B2"/>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60" w:type="dxa"/>
            <w:vAlign w:val="bottom"/>
          </w:tcPr>
          <w:p>
            <w:pPr>
              <w:spacing w:after="0"/>
              <w:rPr>
                <w:sz w:val="23"/>
                <w:szCs w:val="23"/>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Restricted Stock Awards</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ind w:left="160"/>
              <w:spacing w:after="0"/>
              <w:rPr>
                <w:sz w:val="20"/>
                <w:szCs w:val="20"/>
                <w:color w:val="auto"/>
              </w:rPr>
            </w:pPr>
            <w:r>
              <w:rPr>
                <w:rFonts w:ascii="Arial" w:cs="Arial" w:eastAsia="Arial" w:hAnsi="Arial"/>
                <w:sz w:val="18"/>
                <w:szCs w:val="18"/>
                <w:color w:val="auto"/>
                <w:w w:val="99"/>
              </w:rPr>
              <w:t>7.6M</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 w:type="dxa"/>
            <w:vAlign w:val="bottom"/>
            <w:shd w:val="clear" w:color="auto" w:fill="B2B2B2"/>
          </w:tcPr>
          <w:p>
            <w:pPr>
              <w:spacing w:after="0"/>
              <w:rPr>
                <w:sz w:val="23"/>
                <w:szCs w:val="23"/>
                <w:color w:val="auto"/>
              </w:rPr>
            </w:pPr>
          </w:p>
        </w:tc>
        <w:tc>
          <w:tcPr>
            <w:tcW w:w="734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Performance-Based Restricted Stock Units</w:t>
            </w:r>
          </w:p>
        </w:tc>
        <w:tc>
          <w:tcPr>
            <w:tcW w:w="120" w:type="dxa"/>
            <w:vAlign w:val="bottom"/>
            <w:shd w:val="clear" w:color="auto" w:fill="B2B2B2"/>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B2B2B2"/>
          </w:tcPr>
          <w:p>
            <w:pPr>
              <w:ind w:left="160"/>
              <w:spacing w:after="0"/>
              <w:rPr>
                <w:sz w:val="20"/>
                <w:szCs w:val="20"/>
                <w:color w:val="auto"/>
              </w:rPr>
            </w:pPr>
            <w:r>
              <w:rPr>
                <w:rFonts w:ascii="Arial" w:cs="Arial" w:eastAsia="Arial" w:hAnsi="Arial"/>
                <w:sz w:val="18"/>
                <w:szCs w:val="18"/>
                <w:color w:val="auto"/>
                <w:w w:val="99"/>
              </w:rPr>
              <w:t>2.6M</w:t>
            </w:r>
          </w:p>
        </w:tc>
        <w:tc>
          <w:tcPr>
            <w:tcW w:w="1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 w:type="dxa"/>
            <w:vAlign w:val="bottom"/>
          </w:tcPr>
          <w:p>
            <w:pPr>
              <w:spacing w:after="0"/>
              <w:rPr>
                <w:sz w:val="23"/>
                <w:szCs w:val="23"/>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Total Awards</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 10.2M ​</w:t>
            </w:r>
          </w:p>
        </w:tc>
      </w:tr>
      <w:tr>
        <w:trPr>
          <w:trHeight w:val="324"/>
        </w:trPr>
        <w:tc>
          <w:tcPr>
            <w:tcW w:w="60" w:type="dxa"/>
            <w:vAlign w:val="bottom"/>
            <w:shd w:val="clear" w:color="auto" w:fill="B2B2B2"/>
          </w:tcPr>
          <w:p>
            <w:pPr>
              <w:spacing w:after="0"/>
              <w:rPr>
                <w:sz w:val="24"/>
                <w:szCs w:val="24"/>
                <w:color w:val="auto"/>
              </w:rPr>
            </w:pPr>
          </w:p>
        </w:tc>
        <w:tc>
          <w:tcPr>
            <w:tcW w:w="734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Shares of common stock outstanding as of March 31, 2026</w:t>
            </w:r>
          </w:p>
        </w:tc>
        <w:tc>
          <w:tcPr>
            <w:tcW w:w="700" w:type="dxa"/>
            <w:vAlign w:val="bottom"/>
            <w:gridSpan w:val="2"/>
            <w:shd w:val="clear" w:color="auto" w:fill="B2B2B2"/>
          </w:tcPr>
          <w:p>
            <w:pPr>
              <w:ind w:left="60"/>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239.1M</w:t>
            </w:r>
          </w:p>
        </w:tc>
        <w:tc>
          <w:tcPr>
            <w:tcW w:w="1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5977890</wp:posOffset>
            </wp:positionH>
            <wp:positionV relativeFrom="paragraph">
              <wp:posOffset>-890905</wp:posOffset>
            </wp:positionV>
            <wp:extent cx="342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-890905</wp:posOffset>
            </wp:positionV>
            <wp:extent cx="137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-890905</wp:posOffset>
            </wp:positionV>
            <wp:extent cx="342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00ABD1"/>
        </w:rPr>
        <w:t>Historic Burn Rate</w:t>
      </w:r>
    </w:p>
    <w:p>
      <w:pPr>
        <w:spacing w:after="0" w:line="223" w:lineRule="exact"/>
        <w:rPr>
          <w:sz w:val="20"/>
          <w:szCs w:val="20"/>
          <w:color w:val="auto"/>
        </w:rPr>
      </w:pPr>
    </w:p>
    <w:p>
      <w:pPr>
        <w:ind w:left="1260" w:right="679" w:firstLine="648"/>
        <w:spacing w:after="0" w:line="252" w:lineRule="auto"/>
        <w:rPr>
          <w:sz w:val="20"/>
          <w:szCs w:val="20"/>
          <w:color w:val="auto"/>
        </w:rPr>
      </w:pPr>
      <w:r>
        <w:rPr>
          <w:rFonts w:ascii="Arial" w:cs="Arial" w:eastAsia="Arial" w:hAnsi="Arial"/>
          <w:sz w:val="18"/>
          <w:szCs w:val="18"/>
          <w:color w:val="auto"/>
        </w:rPr>
        <w:t>In fiscal years 2025, 2024 and 2023, Old Uniti and the Company granted equity awards under the 2015 Plan and 2025 Plan (gross equity awards, which do not reflect the impact of cancellations). These awards reflect a three-year unadjusted average burn rate of 1.5% for the 2023-2025 period and 1.8% for the 2024-2026 (through March 31st) period.</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following table includes information on our gross burn rate history:</w:t>
      </w:r>
    </w:p>
    <w:p>
      <w:pPr>
        <w:spacing w:after="0" w:line="27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Restricted Stock</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PBRSUs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rPr>
              <w:t>Unadjusted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8"/>
        </w:trPr>
        <w:tc>
          <w:tcPr>
            <w:tcW w:w="60" w:type="dxa"/>
            <w:vAlign w:val="bottom"/>
            <w:tcBorders>
              <w:bottom w:val="single" w:sz="8" w:color="B2B2B2"/>
            </w:tcBorders>
          </w:tcPr>
          <w:p>
            <w:pPr>
              <w:spacing w:after="0"/>
              <w:rPr>
                <w:sz w:val="17"/>
                <w:szCs w:val="17"/>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r>
              <w:rPr>
                <w:rFonts w:ascii="Arial" w:cs="Arial" w:eastAsia="Arial" w:hAnsi="Arial"/>
                <w:sz w:val="17"/>
                <w:szCs w:val="17"/>
                <w:b w:val="1"/>
                <w:bCs w:val="1"/>
                <w:color w:val="auto"/>
                <w:vertAlign w:val="superscript"/>
              </w:rPr>
              <w:t>(1)</w:t>
            </w:r>
          </w:p>
        </w:tc>
        <w:tc>
          <w:tcPr>
            <w:tcW w:w="220" w:type="dxa"/>
            <w:vAlign w:val="bottom"/>
            <w:tcBorders>
              <w:bottom w:val="single" w:sz="8" w:color="B2B2B2"/>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Grants</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B2B2B2"/>
            </w:tcBorders>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Earned</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B2B2B2"/>
            </w:tcBorders>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WASO</w:t>
            </w:r>
            <w:r>
              <w:rPr>
                <w:rFonts w:ascii="Arial" w:cs="Arial" w:eastAsia="Arial" w:hAnsi="Arial"/>
                <w:sz w:val="17"/>
                <w:szCs w:val="17"/>
                <w:b w:val="1"/>
                <w:bCs w:val="1"/>
                <w:color w:val="auto"/>
                <w:w w:val="93"/>
                <w:vertAlign w:val="superscript"/>
              </w:rPr>
              <w:t>(2)</w:t>
            </w:r>
          </w:p>
        </w:tc>
        <w:tc>
          <w:tcPr>
            <w:tcW w:w="220" w:type="dxa"/>
            <w:vAlign w:val="bottom"/>
            <w:tcBorders>
              <w:bottom w:val="single" w:sz="8" w:color="B2B2B2"/>
            </w:tcBorders>
          </w:tcPr>
          <w:p>
            <w:pPr>
              <w:spacing w:after="0"/>
              <w:rPr>
                <w:sz w:val="17"/>
                <w:szCs w:val="17"/>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Burn Rate</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B2B2B2"/>
            </w:tcBorders>
          </w:tcPr>
          <w:p>
            <w:pPr>
              <w:spacing w:after="0"/>
              <w:rPr>
                <w:sz w:val="17"/>
                <w:szCs w:val="17"/>
                <w:color w:val="auto"/>
              </w:rPr>
            </w:pPr>
          </w:p>
        </w:tc>
      </w:tr>
      <w:tr>
        <w:trPr>
          <w:trHeight w:val="250"/>
        </w:trPr>
        <w:tc>
          <w:tcPr>
            <w:tcW w:w="60" w:type="dxa"/>
            <w:vAlign w:val="bottom"/>
            <w:shd w:val="clear" w:color="auto" w:fill="B2B2B2"/>
          </w:tcPr>
          <w:p>
            <w:pPr>
              <w:spacing w:after="0"/>
              <w:rPr>
                <w:sz w:val="21"/>
                <w:szCs w:val="21"/>
                <w:color w:val="auto"/>
              </w:rPr>
            </w:pPr>
          </w:p>
        </w:tc>
        <w:tc>
          <w:tcPr>
            <w:tcW w:w="424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2026 (through 03/31/2026)</w:t>
            </w:r>
          </w:p>
        </w:tc>
        <w:tc>
          <w:tcPr>
            <w:tcW w:w="1140" w:type="dxa"/>
            <w:vAlign w:val="bottom"/>
            <w:shd w:val="clear" w:color="auto" w:fill="B2B2B2"/>
          </w:tcPr>
          <w:p>
            <w:pPr>
              <w:jc w:val="center"/>
              <w:spacing w:after="0"/>
              <w:rPr>
                <w:sz w:val="20"/>
                <w:szCs w:val="20"/>
                <w:color w:val="auto"/>
              </w:rPr>
            </w:pPr>
            <w:r>
              <w:rPr>
                <w:rFonts w:ascii="Arial" w:cs="Arial" w:eastAsia="Arial" w:hAnsi="Arial"/>
                <w:sz w:val="18"/>
                <w:szCs w:val="18"/>
                <w:color w:val="auto"/>
              </w:rPr>
              <w:t>​3.8M</w:t>
            </w:r>
          </w:p>
        </w:tc>
        <w:tc>
          <w:tcPr>
            <w:tcW w:w="22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B2B2B2"/>
          </w:tcPr>
          <w:p>
            <w:pPr>
              <w:jc w:val="center"/>
              <w:spacing w:after="0"/>
              <w:rPr>
                <w:sz w:val="20"/>
                <w:szCs w:val="20"/>
                <w:color w:val="auto"/>
              </w:rPr>
            </w:pPr>
            <w:r>
              <w:rPr>
                <w:rFonts w:ascii="Arial" w:cs="Arial" w:eastAsia="Arial" w:hAnsi="Arial"/>
                <w:sz w:val="18"/>
                <w:szCs w:val="18"/>
                <w:color w:val="auto"/>
              </w:rPr>
              <w:t>​0.1M</w:t>
            </w:r>
          </w:p>
        </w:tc>
        <w:tc>
          <w:tcPr>
            <w:tcW w:w="24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B2B2B2"/>
          </w:tcPr>
          <w:p>
            <w:pPr>
              <w:jc w:val="center"/>
              <w:ind w:right="200"/>
              <w:spacing w:after="0"/>
              <w:rPr>
                <w:sz w:val="20"/>
                <w:szCs w:val="20"/>
                <w:color w:val="auto"/>
              </w:rPr>
            </w:pPr>
            <w:r>
              <w:rPr>
                <w:rFonts w:ascii="Arial" w:cs="Arial" w:eastAsia="Arial" w:hAnsi="Arial"/>
                <w:sz w:val="18"/>
                <w:szCs w:val="18"/>
                <w:color w:val="auto"/>
                <w:w w:val="99"/>
              </w:rPr>
              <w:t>​234.6M</w:t>
            </w:r>
          </w:p>
        </w:tc>
        <w:tc>
          <w:tcPr>
            <w:tcW w:w="8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​1.7%</w:t>
            </w:r>
          </w:p>
        </w:tc>
        <w:tc>
          <w:tcPr>
            <w:tcW w:w="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w:t>
            </w:r>
          </w:p>
        </w:tc>
      </w:tr>
      <w:tr>
        <w:trPr>
          <w:trHeight w:val="256"/>
        </w:trPr>
        <w:tc>
          <w:tcPr>
            <w:tcW w:w="4080" w:type="dxa"/>
            <w:vAlign w:val="bottom"/>
            <w:gridSpan w:val="2"/>
          </w:tcPr>
          <w:p>
            <w:pPr>
              <w:ind w:left="6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​2.1M</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rPr>
              <w:t>​0.1M</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​189.0M</w:t>
            </w:r>
          </w:p>
        </w:tc>
        <w:tc>
          <w:tcPr>
            <w:tcW w:w="800" w:type="dxa"/>
            <w:vAlign w:val="bottom"/>
          </w:tcPr>
          <w:p>
            <w:pPr>
              <w:ind w:left="280"/>
              <w:spacing w:after="0"/>
              <w:rPr>
                <w:sz w:val="20"/>
                <w:szCs w:val="20"/>
                <w:color w:val="auto"/>
              </w:rPr>
            </w:pPr>
            <w:r>
              <w:rPr>
                <w:rFonts w:ascii="Arial" w:cs="Arial" w:eastAsia="Arial" w:hAnsi="Arial"/>
                <w:sz w:val="18"/>
                <w:szCs w:val="18"/>
                <w:color w:val="auto"/>
              </w:rPr>
              <w:t>​1.2%</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57"/>
        </w:trPr>
        <w:tc>
          <w:tcPr>
            <w:tcW w:w="4080" w:type="dxa"/>
            <w:vAlign w:val="bottom"/>
            <w:gridSpan w:val="2"/>
            <w:shd w:val="clear" w:color="auto" w:fill="B2B2B2"/>
          </w:tcPr>
          <w:p>
            <w:pPr>
              <w:ind w:left="6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B2B2B2"/>
          </w:tcPr>
          <w:p>
            <w:pPr>
              <w:spacing w:after="0"/>
              <w:rPr>
                <w:sz w:val="22"/>
                <w:szCs w:val="22"/>
                <w:color w:val="auto"/>
              </w:rPr>
            </w:pPr>
          </w:p>
        </w:tc>
        <w:tc>
          <w:tcPr>
            <w:tcW w:w="1140" w:type="dxa"/>
            <w:vAlign w:val="bottom"/>
            <w:shd w:val="clear" w:color="auto" w:fill="B2B2B2"/>
          </w:tcPr>
          <w:p>
            <w:pPr>
              <w:jc w:val="center"/>
              <w:spacing w:after="0"/>
              <w:rPr>
                <w:sz w:val="20"/>
                <w:szCs w:val="20"/>
                <w:color w:val="auto"/>
              </w:rPr>
            </w:pPr>
            <w:r>
              <w:rPr>
                <w:rFonts w:ascii="Arial" w:cs="Arial" w:eastAsia="Arial" w:hAnsi="Arial"/>
                <w:sz w:val="18"/>
                <w:szCs w:val="18"/>
                <w:color w:val="auto"/>
              </w:rPr>
              <w:t>​3.4M</w:t>
            </w:r>
          </w:p>
        </w:tc>
        <w:tc>
          <w:tcPr>
            <w:tcW w:w="22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B2B2B2"/>
          </w:tcPr>
          <w:p>
            <w:pPr>
              <w:jc w:val="center"/>
              <w:spacing w:after="0"/>
              <w:rPr>
                <w:sz w:val="20"/>
                <w:szCs w:val="20"/>
                <w:color w:val="auto"/>
              </w:rPr>
            </w:pPr>
            <w:r>
              <w:rPr>
                <w:rFonts w:ascii="Arial" w:cs="Arial" w:eastAsia="Arial" w:hAnsi="Arial"/>
                <w:sz w:val="18"/>
                <w:szCs w:val="18"/>
                <w:color w:val="auto"/>
              </w:rPr>
              <w:t>​0.1M</w:t>
            </w:r>
          </w:p>
        </w:tc>
        <w:tc>
          <w:tcPr>
            <w:tcW w:w="24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B2B2B2"/>
          </w:tcPr>
          <w:p>
            <w:pPr>
              <w:jc w:val="center"/>
              <w:ind w:right="200"/>
              <w:spacing w:after="0"/>
              <w:rPr>
                <w:sz w:val="20"/>
                <w:szCs w:val="20"/>
                <w:color w:val="auto"/>
              </w:rPr>
            </w:pPr>
            <w:r>
              <w:rPr>
                <w:rFonts w:ascii="Arial" w:cs="Arial" w:eastAsia="Arial" w:hAnsi="Arial"/>
                <w:sz w:val="18"/>
                <w:szCs w:val="18"/>
                <w:color w:val="auto"/>
                <w:w w:val="99"/>
              </w:rPr>
              <w:t>​143.1M</w:t>
            </w:r>
          </w:p>
        </w:tc>
        <w:tc>
          <w:tcPr>
            <w:tcW w:w="8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​2.4%</w:t>
            </w:r>
          </w:p>
        </w:tc>
        <w:tc>
          <w:tcPr>
            <w:tcW w:w="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w:t>
            </w:r>
          </w:p>
        </w:tc>
      </w:tr>
      <w:tr>
        <w:trPr>
          <w:trHeight w:val="288"/>
        </w:trPr>
        <w:tc>
          <w:tcPr>
            <w:tcW w:w="4080" w:type="dxa"/>
            <w:vAlign w:val="bottom"/>
            <w:gridSpan w:val="2"/>
          </w:tcPr>
          <w:p>
            <w:pPr>
              <w:ind w:left="6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​0.9M</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rPr>
              <w:t>​0.1M</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​142.5M</w:t>
            </w:r>
          </w:p>
        </w:tc>
        <w:tc>
          <w:tcPr>
            <w:tcW w:w="800" w:type="dxa"/>
            <w:vAlign w:val="bottom"/>
          </w:tcPr>
          <w:p>
            <w:pPr>
              <w:ind w:left="280"/>
              <w:spacing w:after="0"/>
              <w:rPr>
                <w:sz w:val="20"/>
                <w:szCs w:val="20"/>
                <w:color w:val="auto"/>
              </w:rPr>
            </w:pPr>
            <w:r>
              <w:rPr>
                <w:rFonts w:ascii="Arial" w:cs="Arial" w:eastAsia="Arial" w:hAnsi="Arial"/>
                <w:sz w:val="18"/>
                <w:szCs w:val="18"/>
                <w:color w:val="auto"/>
              </w:rPr>
              <w:t>​0.7%</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5977890</wp:posOffset>
            </wp:positionH>
            <wp:positionV relativeFrom="paragraph">
              <wp:posOffset>-679450</wp:posOffset>
            </wp:positionV>
            <wp:extent cx="342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-679450</wp:posOffset>
            </wp:positionV>
            <wp:extent cx="137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-679450</wp:posOffset>
            </wp:positionV>
            <wp:extent cx="137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-679450</wp:posOffset>
            </wp:positionV>
            <wp:extent cx="137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3388995</wp:posOffset>
            </wp:positionH>
            <wp:positionV relativeFrom="paragraph">
              <wp:posOffset>-679450</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-679450</wp:posOffset>
            </wp:positionV>
            <wp:extent cx="342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125730</wp:posOffset>
            </wp:positionV>
            <wp:extent cx="12344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41" w:lineRule="exact"/>
        <w:rPr>
          <w:sz w:val="20"/>
          <w:szCs w:val="20"/>
          <w:color w:val="auto"/>
        </w:rPr>
      </w:pPr>
    </w:p>
    <w:p>
      <w:pPr>
        <w:ind w:left="1900" w:hanging="640"/>
        <w:spacing w:after="0"/>
        <w:tabs>
          <w:tab w:leader="none" w:pos="1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Neither Old Uniti nor the Company has granted stock options since its inception.</w:t>
      </w:r>
    </w:p>
    <w:p>
      <w:pPr>
        <w:spacing w:after="0" w:line="184" w:lineRule="exact"/>
        <w:rPr>
          <w:rFonts w:ascii="Arial" w:cs="Arial" w:eastAsia="Arial" w:hAnsi="Arial"/>
          <w:sz w:val="18"/>
          <w:szCs w:val="18"/>
          <w:color w:val="auto"/>
        </w:rPr>
      </w:pPr>
    </w:p>
    <w:p>
      <w:pPr>
        <w:ind w:left="1900" w:hanging="640"/>
        <w:spacing w:after="0"/>
        <w:tabs>
          <w:tab w:leader="none" w:pos="1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WASO means the basic weighted average common shares outstanding for each fiscal year.</w:t>
      </w:r>
    </w:p>
    <w:p>
      <w:pPr>
        <w:spacing w:after="0" w:line="225" w:lineRule="exact"/>
        <w:rPr>
          <w:sz w:val="20"/>
          <w:szCs w:val="20"/>
          <w:color w:val="auto"/>
        </w:rPr>
      </w:pPr>
    </w:p>
    <w:p>
      <w:pPr>
        <w:ind w:left="1260" w:right="419" w:firstLine="648"/>
        <w:spacing w:after="0" w:line="252" w:lineRule="auto"/>
        <w:rPr>
          <w:sz w:val="20"/>
          <w:szCs w:val="20"/>
          <w:color w:val="auto"/>
        </w:rPr>
      </w:pPr>
      <w:r>
        <w:rPr>
          <w:rFonts w:ascii="Arial" w:cs="Arial" w:eastAsia="Arial" w:hAnsi="Arial"/>
          <w:sz w:val="18"/>
          <w:szCs w:val="18"/>
          <w:color w:val="auto"/>
        </w:rPr>
        <w:t>The historic share utilization rates of Old Uniti with respect to the 2015 Plan may not be indicative of the amounts and timing for future grants by the Company because of the significantly increased breadth and complexity of the business of the Company and changes to the employee population as compared to Old Uniti as a result of the Merger.</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ABD1"/>
        </w:rPr>
        <w:t>Description of Other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04" w:lineRule="exact"/>
        <w:rPr>
          <w:sz w:val="20"/>
          <w:szCs w:val="20"/>
          <w:color w:val="auto"/>
        </w:rPr>
      </w:pPr>
    </w:p>
    <w:p>
      <w:pPr>
        <w:ind w:left="1260" w:right="479" w:firstLine="648"/>
        <w:spacing w:after="0" w:line="283" w:lineRule="auto"/>
        <w:rPr>
          <w:sz w:val="20"/>
          <w:szCs w:val="20"/>
          <w:color w:val="auto"/>
        </w:rPr>
      </w:pPr>
      <w:r>
        <w:rPr>
          <w:rFonts w:ascii="Arial" w:cs="Arial" w:eastAsia="Arial" w:hAnsi="Arial"/>
          <w:sz w:val="17"/>
          <w:szCs w:val="17"/>
          <w:color w:val="auto"/>
        </w:rPr>
        <w:t>As discussed above, stockholders are only being asked to approve the proposed share increase of the 2025 Plan. The 2025 Plan, however, includes other administrative amendments to reflect the closing of the Merger and the change of the Company’s name that do not require stockholder approval.</w:t>
      </w:r>
    </w:p>
    <w:p>
      <w:pPr>
        <w:spacing w:after="0" w:line="13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ABD1"/>
        </w:rPr>
        <w:t>Key Features of the 2025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4" w:lineRule="exact"/>
        <w:rPr>
          <w:sz w:val="20"/>
          <w:szCs w:val="20"/>
          <w:color w:val="auto"/>
        </w:rPr>
      </w:pPr>
    </w:p>
    <w:p>
      <w:pPr>
        <w:ind w:left="1260" w:right="439" w:firstLine="648"/>
        <w:spacing w:after="0" w:line="271" w:lineRule="auto"/>
        <w:rPr>
          <w:sz w:val="20"/>
          <w:szCs w:val="20"/>
          <w:color w:val="auto"/>
        </w:rPr>
      </w:pPr>
      <w:r>
        <w:rPr>
          <w:rFonts w:ascii="Arial" w:cs="Arial" w:eastAsia="Arial" w:hAnsi="Arial"/>
          <w:sz w:val="18"/>
          <w:szCs w:val="18"/>
          <w:color w:val="auto"/>
        </w:rPr>
        <w:t>The 2025 Plan includes several features that are consistent with the interests of our stockholders and sound corporate governance practices, including the following:</w:t>
      </w:r>
    </w:p>
    <w:p>
      <w:pPr>
        <w:spacing w:after="0" w:line="167" w:lineRule="exact"/>
        <w:rPr>
          <w:sz w:val="20"/>
          <w:szCs w:val="20"/>
          <w:color w:val="auto"/>
        </w:rPr>
      </w:pPr>
    </w:p>
    <w:p>
      <w:pPr>
        <w:ind w:left="2080" w:right="739" w:hanging="172"/>
        <w:spacing w:after="0" w:line="287" w:lineRule="auto"/>
        <w:tabs>
          <w:tab w:leader="none" w:pos="20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00ABD1"/>
        </w:rPr>
        <w:t xml:space="preserve">Administration. </w:t>
      </w:r>
      <w:r>
        <w:rPr>
          <w:rFonts w:ascii="Arial" w:cs="Arial" w:eastAsia="Arial" w:hAnsi="Arial"/>
          <w:sz w:val="18"/>
          <w:szCs w:val="18"/>
          <w:color w:val="000000"/>
        </w:rPr>
        <w:t>The 2025 Plan is administered by the Compensation Committee, which is</w:t>
      </w:r>
      <w:r>
        <w:rPr>
          <w:rFonts w:ascii="Arial" w:cs="Arial" w:eastAsia="Arial" w:hAnsi="Arial"/>
          <w:sz w:val="18"/>
          <w:szCs w:val="18"/>
          <w:i w:val="1"/>
          <w:iCs w:val="1"/>
          <w:color w:val="00ABD1"/>
        </w:rPr>
        <w:t xml:space="preserve"> </w:t>
      </w:r>
      <w:r>
        <w:rPr>
          <w:rFonts w:ascii="Arial" w:cs="Arial" w:eastAsia="Arial" w:hAnsi="Arial"/>
          <w:sz w:val="18"/>
          <w:szCs w:val="18"/>
          <w:color w:val="000000"/>
        </w:rPr>
        <w:t>comprised entirely of independent non-employee directors.</w:t>
      </w:r>
    </w:p>
    <w:p>
      <w:pPr>
        <w:spacing w:after="0" w:line="139" w:lineRule="exact"/>
        <w:rPr>
          <w:rFonts w:ascii="Arial" w:cs="Arial" w:eastAsia="Arial" w:hAnsi="Arial"/>
          <w:sz w:val="18"/>
          <w:szCs w:val="18"/>
          <w:color w:val="auto"/>
        </w:rPr>
      </w:pPr>
    </w:p>
    <w:p>
      <w:pPr>
        <w:ind w:left="2080" w:right="479" w:hanging="172"/>
        <w:spacing w:after="0" w:line="268" w:lineRule="auto"/>
        <w:tabs>
          <w:tab w:leader="none" w:pos="20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00ABD1"/>
        </w:rPr>
        <w:t xml:space="preserve">Broad-based eligibility for equity awards. </w:t>
      </w:r>
      <w:r>
        <w:rPr>
          <w:rFonts w:ascii="Arial" w:cs="Arial" w:eastAsia="Arial" w:hAnsi="Arial"/>
          <w:sz w:val="18"/>
          <w:szCs w:val="18"/>
          <w:color w:val="000000"/>
        </w:rPr>
        <w:t>We have granted equity awards to a broad range</w:t>
      </w:r>
      <w:r>
        <w:rPr>
          <w:rFonts w:ascii="Arial" w:cs="Arial" w:eastAsia="Arial" w:hAnsi="Arial"/>
          <w:sz w:val="18"/>
          <w:szCs w:val="18"/>
          <w:i w:val="1"/>
          <w:iCs w:val="1"/>
          <w:color w:val="00ABD1"/>
        </w:rPr>
        <w:t xml:space="preserve"> </w:t>
      </w:r>
      <w:r>
        <w:rPr>
          <w:rFonts w:ascii="Arial" w:cs="Arial" w:eastAsia="Arial" w:hAnsi="Arial"/>
          <w:sz w:val="18"/>
          <w:szCs w:val="18"/>
          <w:color w:val="000000"/>
        </w:rPr>
        <w:t>of our employees. By doing so, we provide a unique compensation structure that makes us an “employer of choice” and aligns employee interests with those of stockholders.</w:t>
      </w:r>
    </w:p>
    <w:p>
      <w:pPr>
        <w:spacing w:after="0" w:line="157" w:lineRule="exact"/>
        <w:rPr>
          <w:rFonts w:ascii="Arial" w:cs="Arial" w:eastAsia="Arial" w:hAnsi="Arial"/>
          <w:sz w:val="18"/>
          <w:szCs w:val="18"/>
          <w:color w:val="auto"/>
        </w:rPr>
      </w:pPr>
    </w:p>
    <w:p>
      <w:pPr>
        <w:ind w:left="2080" w:right="619" w:hanging="172"/>
        <w:spacing w:after="0" w:line="268" w:lineRule="auto"/>
        <w:tabs>
          <w:tab w:leader="none" w:pos="20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00ABD1"/>
        </w:rPr>
        <w:t xml:space="preserve">Stockholder approval is required for additional shares. </w:t>
      </w:r>
      <w:r>
        <w:rPr>
          <w:rFonts w:ascii="Arial" w:cs="Arial" w:eastAsia="Arial" w:hAnsi="Arial"/>
          <w:sz w:val="18"/>
          <w:szCs w:val="18"/>
          <w:color w:val="000000"/>
        </w:rPr>
        <w:t>The 2025 Plan does not contain an</w:t>
      </w:r>
      <w:r>
        <w:rPr>
          <w:rFonts w:ascii="Arial" w:cs="Arial" w:eastAsia="Arial" w:hAnsi="Arial"/>
          <w:sz w:val="18"/>
          <w:szCs w:val="18"/>
          <w:i w:val="1"/>
          <w:iCs w:val="1"/>
          <w:color w:val="00ABD1"/>
        </w:rPr>
        <w:t xml:space="preserve"> </w:t>
      </w:r>
      <w:r>
        <w:rPr>
          <w:rFonts w:ascii="Arial" w:cs="Arial" w:eastAsia="Arial" w:hAnsi="Arial"/>
          <w:sz w:val="18"/>
          <w:szCs w:val="18"/>
          <w:color w:val="000000"/>
        </w:rPr>
        <w:t>annual “evergreen” provision but instead reserves a fixed maximum number of shares for issuance; stockholder approval is required to increase that number.</w:t>
      </w:r>
    </w:p>
    <w:p>
      <w:pPr>
        <w:spacing w:after="0" w:line="157" w:lineRule="exact"/>
        <w:rPr>
          <w:rFonts w:ascii="Arial" w:cs="Arial" w:eastAsia="Arial" w:hAnsi="Arial"/>
          <w:sz w:val="18"/>
          <w:szCs w:val="18"/>
          <w:color w:val="auto"/>
        </w:rPr>
      </w:pPr>
    </w:p>
    <w:p>
      <w:pPr>
        <w:ind w:left="2080" w:right="399" w:hanging="172"/>
        <w:spacing w:after="0" w:line="268" w:lineRule="auto"/>
        <w:tabs>
          <w:tab w:leader="none" w:pos="20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00ABD1"/>
        </w:rPr>
        <w:t xml:space="preserve">Dilution competitive with peer set. </w:t>
      </w:r>
      <w:r>
        <w:rPr>
          <w:rFonts w:ascii="Arial" w:cs="Arial" w:eastAsia="Arial" w:hAnsi="Arial"/>
          <w:sz w:val="18"/>
          <w:szCs w:val="18"/>
          <w:color w:val="000000"/>
        </w:rPr>
        <w:t>Overall dilution following the proposed increase in the</w:t>
      </w:r>
      <w:r>
        <w:rPr>
          <w:rFonts w:ascii="Arial" w:cs="Arial" w:eastAsia="Arial" w:hAnsi="Arial"/>
          <w:sz w:val="18"/>
          <w:szCs w:val="18"/>
          <w:i w:val="1"/>
          <w:iCs w:val="1"/>
          <w:color w:val="00ABD1"/>
        </w:rPr>
        <w:t xml:space="preserve"> </w:t>
      </w:r>
      <w:r>
        <w:rPr>
          <w:rFonts w:ascii="Arial" w:cs="Arial" w:eastAsia="Arial" w:hAnsi="Arial"/>
          <w:sz w:val="18"/>
          <w:szCs w:val="18"/>
          <w:color w:val="000000"/>
        </w:rPr>
        <w:t>share reserve under the 2025 Plan will be competitive with our peer set and consistent with our philosophy of driving stockholder focused employee engagement across the Company.</w:t>
      </w:r>
    </w:p>
    <w:p>
      <w:pPr>
        <w:spacing w:after="0" w:line="157" w:lineRule="exact"/>
        <w:rPr>
          <w:rFonts w:ascii="Arial" w:cs="Arial" w:eastAsia="Arial" w:hAnsi="Arial"/>
          <w:sz w:val="18"/>
          <w:szCs w:val="18"/>
          <w:color w:val="auto"/>
        </w:rPr>
      </w:pPr>
    </w:p>
    <w:p>
      <w:pPr>
        <w:ind w:left="2080" w:right="499" w:hanging="172"/>
        <w:spacing w:after="0" w:line="268" w:lineRule="auto"/>
        <w:tabs>
          <w:tab w:leader="none" w:pos="20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00ABD1"/>
        </w:rPr>
        <w:t xml:space="preserve">Projected Burn Rate. </w:t>
      </w:r>
      <w:r>
        <w:rPr>
          <w:rFonts w:ascii="Arial" w:cs="Arial" w:eastAsia="Arial" w:hAnsi="Arial"/>
          <w:sz w:val="18"/>
          <w:szCs w:val="18"/>
          <w:color w:val="000000"/>
        </w:rPr>
        <w:t>The rate at which Old Uniti and the Company have historically made</w:t>
      </w:r>
      <w:r>
        <w:rPr>
          <w:rFonts w:ascii="Arial" w:cs="Arial" w:eastAsia="Arial" w:hAnsi="Arial"/>
          <w:sz w:val="18"/>
          <w:szCs w:val="18"/>
          <w:i w:val="1"/>
          <w:iCs w:val="1"/>
          <w:color w:val="00ABD1"/>
        </w:rPr>
        <w:t xml:space="preserve"> </w:t>
      </w:r>
      <w:r>
        <w:rPr>
          <w:rFonts w:ascii="Arial" w:cs="Arial" w:eastAsia="Arial" w:hAnsi="Arial"/>
          <w:sz w:val="18"/>
          <w:szCs w:val="18"/>
          <w:color w:val="000000"/>
        </w:rPr>
        <w:t>equity grants under the 2015 Plan and 2025 Plan is competitive with historical practice of their respective peer sets.</w:t>
      </w:r>
    </w:p>
    <w:p>
      <w:pPr>
        <w:spacing w:after="0" w:line="157" w:lineRule="exact"/>
        <w:rPr>
          <w:rFonts w:ascii="Arial" w:cs="Arial" w:eastAsia="Arial" w:hAnsi="Arial"/>
          <w:sz w:val="18"/>
          <w:szCs w:val="18"/>
          <w:color w:val="auto"/>
        </w:rPr>
      </w:pPr>
    </w:p>
    <w:p>
      <w:pPr>
        <w:ind w:left="2080" w:right="699" w:hanging="172"/>
        <w:spacing w:after="0" w:line="287" w:lineRule="auto"/>
        <w:tabs>
          <w:tab w:leader="none" w:pos="20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00ABD1"/>
        </w:rPr>
        <w:t xml:space="preserve">Exchange or repricing programs are not allowed without stockholder approval. </w:t>
      </w:r>
      <w:r>
        <w:rPr>
          <w:rFonts w:ascii="Arial" w:cs="Arial" w:eastAsia="Arial" w:hAnsi="Arial"/>
          <w:sz w:val="18"/>
          <w:szCs w:val="18"/>
          <w:color w:val="000000"/>
        </w:rPr>
        <w:t>The 2025</w:t>
      </w:r>
      <w:r>
        <w:rPr>
          <w:rFonts w:ascii="Arial" w:cs="Arial" w:eastAsia="Arial" w:hAnsi="Arial"/>
          <w:sz w:val="18"/>
          <w:szCs w:val="18"/>
          <w:i w:val="1"/>
          <w:iCs w:val="1"/>
          <w:color w:val="00ABD1"/>
        </w:rPr>
        <w:t xml:space="preserve"> </w:t>
      </w:r>
      <w:r>
        <w:rPr>
          <w:rFonts w:ascii="Arial" w:cs="Arial" w:eastAsia="Arial" w:hAnsi="Arial"/>
          <w:sz w:val="18"/>
          <w:szCs w:val="18"/>
          <w:color w:val="000000"/>
        </w:rPr>
        <w:t>Plan prohibits exchange or repricing programs without stockholder approval.</w:t>
      </w:r>
    </w:p>
    <w:p>
      <w:pPr>
        <w:spacing w:after="0" w:line="139" w:lineRule="exact"/>
        <w:rPr>
          <w:rFonts w:ascii="Arial" w:cs="Arial" w:eastAsia="Arial" w:hAnsi="Arial"/>
          <w:sz w:val="18"/>
          <w:szCs w:val="18"/>
          <w:color w:val="auto"/>
        </w:rPr>
      </w:pPr>
    </w:p>
    <w:p>
      <w:pPr>
        <w:ind w:left="2080" w:right="439" w:hanging="172"/>
        <w:spacing w:after="0" w:line="262" w:lineRule="auto"/>
        <w:tabs>
          <w:tab w:leader="none" w:pos="20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00ABD1"/>
        </w:rPr>
        <w:t xml:space="preserve">One-year minimum vesting provision. </w:t>
      </w:r>
      <w:r>
        <w:rPr>
          <w:rFonts w:ascii="Arial" w:cs="Arial" w:eastAsia="Arial" w:hAnsi="Arial"/>
          <w:sz w:val="18"/>
          <w:szCs w:val="18"/>
          <w:color w:val="000000"/>
        </w:rPr>
        <w:t>One-year minimum vesting provision such that awards</w:t>
      </w:r>
      <w:r>
        <w:rPr>
          <w:rFonts w:ascii="Arial" w:cs="Arial" w:eastAsia="Arial" w:hAnsi="Arial"/>
          <w:sz w:val="18"/>
          <w:szCs w:val="18"/>
          <w:i w:val="1"/>
          <w:iCs w:val="1"/>
          <w:color w:val="00ABD1"/>
        </w:rPr>
        <w:t xml:space="preserve"> </w:t>
      </w:r>
      <w:r>
        <w:rPr>
          <w:rFonts w:ascii="Arial" w:cs="Arial" w:eastAsia="Arial" w:hAnsi="Arial"/>
          <w:sz w:val="18"/>
          <w:szCs w:val="18"/>
          <w:color w:val="000000"/>
        </w:rPr>
        <w:t>granted under the 2025 Plan may not vest or be settled, in whole or in part, prior to the one-year anniversary of the date of grant, other than in the case of the participant’s death or disability or in the event of a change in control of Uniti.</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80" w:right="519" w:hanging="172"/>
        <w:spacing w:after="0" w:line="268" w:lineRule="auto"/>
        <w:tabs>
          <w:tab w:leader="none" w:pos="20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00ABD1"/>
        </w:rPr>
        <w:t xml:space="preserve">No liberal share recycling. </w:t>
      </w:r>
      <w:r>
        <w:rPr>
          <w:rFonts w:ascii="Arial" w:cs="Arial" w:eastAsia="Arial" w:hAnsi="Arial"/>
          <w:sz w:val="18"/>
          <w:szCs w:val="18"/>
          <w:color w:val="000000"/>
        </w:rPr>
        <w:t>Shares withheld to pay taxes due on an award will not increase</w:t>
      </w:r>
      <w:r>
        <w:rPr>
          <w:rFonts w:ascii="Arial" w:cs="Arial" w:eastAsia="Arial" w:hAnsi="Arial"/>
          <w:sz w:val="18"/>
          <w:szCs w:val="18"/>
          <w:i w:val="1"/>
          <w:iCs w:val="1"/>
          <w:color w:val="00ABD1"/>
        </w:rPr>
        <w:t xml:space="preserve"> </w:t>
      </w:r>
      <w:r>
        <w:rPr>
          <w:rFonts w:ascii="Arial" w:cs="Arial" w:eastAsia="Arial" w:hAnsi="Arial"/>
          <w:sz w:val="18"/>
          <w:szCs w:val="18"/>
          <w:color w:val="000000"/>
        </w:rPr>
        <w:t>the total number of remaining shares authorized to be delivered pursuant to awards under the 2025 Plan.</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ABD1"/>
        </w:rPr>
        <w:t>Description of the 2025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7" w:lineRule="exact"/>
        <w:rPr>
          <w:sz w:val="20"/>
          <w:szCs w:val="20"/>
          <w:color w:val="auto"/>
        </w:rPr>
      </w:pPr>
    </w:p>
    <w:p>
      <w:pPr>
        <w:ind w:left="1260" w:right="499" w:firstLine="648"/>
        <w:spacing w:after="0" w:line="291" w:lineRule="auto"/>
        <w:rPr>
          <w:sz w:val="20"/>
          <w:szCs w:val="20"/>
          <w:color w:val="auto"/>
        </w:rPr>
      </w:pPr>
      <w:r>
        <w:rPr>
          <w:rFonts w:ascii="Arial" w:cs="Arial" w:eastAsia="Arial" w:hAnsi="Arial"/>
          <w:sz w:val="17"/>
          <w:szCs w:val="17"/>
          <w:color w:val="auto"/>
        </w:rPr>
        <w:t>The 2025 Plan was first adopted in 2025 in connection with the closing of the Merger. The following description of the 2025 Plan, as amended and restated effective February 26, 2026, is qualified in its entirety by reference to the applicable provisions in Appendix A to this Proxy Statement.</w:t>
      </w:r>
    </w:p>
    <w:p>
      <w:pPr>
        <w:spacing w:after="0" w:line="153" w:lineRule="exact"/>
        <w:rPr>
          <w:sz w:val="20"/>
          <w:szCs w:val="20"/>
          <w:color w:val="auto"/>
        </w:rPr>
      </w:pPr>
    </w:p>
    <w:p>
      <w:pPr>
        <w:ind w:left="1260" w:right="459" w:firstLine="648"/>
        <w:spacing w:after="0" w:line="259" w:lineRule="auto"/>
        <w:rPr>
          <w:sz w:val="20"/>
          <w:szCs w:val="20"/>
          <w:color w:val="auto"/>
        </w:rPr>
      </w:pPr>
      <w:r>
        <w:rPr>
          <w:rFonts w:ascii="Arial" w:cs="Arial" w:eastAsia="Arial" w:hAnsi="Arial"/>
          <w:sz w:val="18"/>
          <w:szCs w:val="18"/>
          <w:i w:val="1"/>
          <w:iCs w:val="1"/>
          <w:color w:val="00ABD1"/>
        </w:rPr>
        <w:t xml:space="preserve">Plan Administration. </w:t>
      </w:r>
      <w:r>
        <w:rPr>
          <w:rFonts w:ascii="Arial" w:cs="Arial" w:eastAsia="Arial" w:hAnsi="Arial"/>
          <w:sz w:val="18"/>
          <w:szCs w:val="18"/>
          <w:color w:val="000000"/>
        </w:rPr>
        <w:t>The Compensation Committee administers the 2025 Plan, or may</w:t>
      </w:r>
      <w:r>
        <w:rPr>
          <w:rFonts w:ascii="Arial" w:cs="Arial" w:eastAsia="Arial" w:hAnsi="Arial"/>
          <w:sz w:val="18"/>
          <w:szCs w:val="18"/>
          <w:i w:val="1"/>
          <w:iCs w:val="1"/>
          <w:color w:val="00ABD1"/>
        </w:rPr>
        <w:t xml:space="preserve"> </w:t>
      </w:r>
      <w:r>
        <w:rPr>
          <w:rFonts w:ascii="Arial" w:cs="Arial" w:eastAsia="Arial" w:hAnsi="Arial"/>
          <w:sz w:val="18"/>
          <w:szCs w:val="18"/>
          <w:color w:val="000000"/>
        </w:rPr>
        <w:t>delegate its authority to do so as described below, except that all authority with respect to awards, or the making of awards, to non-employee directors under the 2025 Plan rests exclusively with the Board, not with the Compensation Committee. In the Board’s sole discretion, or in the absence of the Compensation Committee, the Board may determine to administer the 2025 Plan.</w:t>
      </w:r>
    </w:p>
    <w:p>
      <w:pPr>
        <w:spacing w:after="0" w:line="179" w:lineRule="exact"/>
        <w:rPr>
          <w:sz w:val="20"/>
          <w:szCs w:val="20"/>
          <w:color w:val="auto"/>
        </w:rPr>
      </w:pPr>
    </w:p>
    <w:p>
      <w:pPr>
        <w:ind w:left="1260" w:right="439" w:firstLine="648"/>
        <w:spacing w:after="0" w:line="253" w:lineRule="auto"/>
        <w:rPr>
          <w:sz w:val="20"/>
          <w:szCs w:val="20"/>
          <w:color w:val="auto"/>
        </w:rPr>
      </w:pPr>
      <w:r>
        <w:rPr>
          <w:rFonts w:ascii="Arial" w:cs="Arial" w:eastAsia="Arial" w:hAnsi="Arial"/>
          <w:sz w:val="18"/>
          <w:szCs w:val="18"/>
          <w:color w:val="auto"/>
        </w:rPr>
        <w:t>The Compensation Committee, or if no committee has been appointed, the Board, may delegate administration of the 2025 Plan to a committee or committees of one or more members of the Board. The Compensation Committee may delegate to a subcommittee any of the administrative powers the Compensation Committee is authorized to exercise, subject, however, to such resolutions, not inconsistent with the provisions of the 2025 Plan, as may be adopted from time to time by the Board. The Board may abolish, suspend or supersede the Compensation Committee at any time and revest in the Board the administration of the Plan. To the extent permitted under applicable law, authority to perform the following responsibilities may also be delegated by resolution to one or more officers of the Company: to (i) designate employees (other than those employees who are (A) officers or directors of the Company or (B) who beneficially own more than 10% of any class of equity security of the Company) to be recipients of awards; and (ii) determine the size of such awards. Any officer to whom such authority has been delegated must report to the Compensation Committee periodically regarding the nature and scope of awards granted pursuant to such authority. Among other things, the Compensation Committee has the authority to:</w:t>
      </w:r>
    </w:p>
    <w:p>
      <w:pPr>
        <w:spacing w:after="0" w:line="185" w:lineRule="exact"/>
        <w:rPr>
          <w:sz w:val="20"/>
          <w:szCs w:val="20"/>
          <w:color w:val="auto"/>
        </w:rPr>
      </w:pPr>
    </w:p>
    <w:p>
      <w:pPr>
        <w:ind w:left="2080" w:hanging="172"/>
        <w:spacing w:after="0"/>
        <w:tabs>
          <w:tab w:leader="none" w:pos="2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construe and interpret the 2025 Plan;</w:t>
      </w:r>
    </w:p>
    <w:p>
      <w:pPr>
        <w:spacing w:after="0" w:line="225" w:lineRule="exact"/>
        <w:rPr>
          <w:rFonts w:ascii="Arial" w:cs="Arial" w:eastAsia="Arial" w:hAnsi="Arial"/>
          <w:sz w:val="18"/>
          <w:szCs w:val="18"/>
          <w:color w:val="auto"/>
        </w:rPr>
      </w:pPr>
    </w:p>
    <w:p>
      <w:pPr>
        <w:ind w:left="2080" w:hanging="172"/>
        <w:spacing w:after="0"/>
        <w:tabs>
          <w:tab w:leader="none" w:pos="2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make rules and regulations relating to the administration of the 2025 Plan;</w:t>
      </w:r>
    </w:p>
    <w:p>
      <w:pPr>
        <w:spacing w:after="0" w:line="225" w:lineRule="exact"/>
        <w:rPr>
          <w:rFonts w:ascii="Arial" w:cs="Arial" w:eastAsia="Arial" w:hAnsi="Arial"/>
          <w:sz w:val="18"/>
          <w:szCs w:val="18"/>
          <w:color w:val="auto"/>
        </w:rPr>
      </w:pPr>
    </w:p>
    <w:p>
      <w:pPr>
        <w:ind w:left="2080" w:hanging="172"/>
        <w:spacing w:after="0"/>
        <w:tabs>
          <w:tab w:leader="none" w:pos="2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designate eligible persons to receive awards;</w:t>
      </w:r>
    </w:p>
    <w:p>
      <w:pPr>
        <w:spacing w:after="0" w:line="225" w:lineRule="exact"/>
        <w:rPr>
          <w:rFonts w:ascii="Arial" w:cs="Arial" w:eastAsia="Arial" w:hAnsi="Arial"/>
          <w:sz w:val="18"/>
          <w:szCs w:val="18"/>
          <w:color w:val="auto"/>
        </w:rPr>
      </w:pPr>
    </w:p>
    <w:p>
      <w:pPr>
        <w:ind w:left="2080" w:hanging="172"/>
        <w:spacing w:after="0"/>
        <w:tabs>
          <w:tab w:leader="none" w:pos="2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 the terms and conditions of awards; and</w:t>
      </w:r>
    </w:p>
    <w:p>
      <w:pPr>
        <w:spacing w:after="0" w:line="225" w:lineRule="exact"/>
        <w:rPr>
          <w:rFonts w:ascii="Arial" w:cs="Arial" w:eastAsia="Arial" w:hAnsi="Arial"/>
          <w:sz w:val="18"/>
          <w:szCs w:val="18"/>
          <w:color w:val="auto"/>
        </w:rPr>
      </w:pPr>
    </w:p>
    <w:p>
      <w:pPr>
        <w:ind w:left="2080" w:hanging="172"/>
        <w:spacing w:after="0"/>
        <w:tabs>
          <w:tab w:leader="none" w:pos="2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make all other determinations necessary or advisable for the administration of the 2025 Plan.</w:t>
      </w:r>
    </w:p>
    <w:p>
      <w:pPr>
        <w:spacing w:after="0" w:line="237" w:lineRule="exact"/>
        <w:rPr>
          <w:sz w:val="20"/>
          <w:szCs w:val="20"/>
          <w:color w:val="auto"/>
        </w:rPr>
      </w:pPr>
    </w:p>
    <w:p>
      <w:pPr>
        <w:ind w:left="1260" w:right="459" w:firstLine="648"/>
        <w:spacing w:after="0" w:line="257" w:lineRule="auto"/>
        <w:rPr>
          <w:sz w:val="20"/>
          <w:szCs w:val="20"/>
          <w:color w:val="auto"/>
        </w:rPr>
      </w:pPr>
      <w:r>
        <w:rPr>
          <w:rFonts w:ascii="Arial" w:cs="Arial" w:eastAsia="Arial" w:hAnsi="Arial"/>
          <w:sz w:val="18"/>
          <w:szCs w:val="18"/>
          <w:i w:val="1"/>
          <w:iCs w:val="1"/>
          <w:color w:val="00ABD1"/>
        </w:rPr>
        <w:t xml:space="preserve">Eligibility. </w:t>
      </w:r>
      <w:r>
        <w:rPr>
          <w:rFonts w:ascii="Arial" w:cs="Arial" w:eastAsia="Arial" w:hAnsi="Arial"/>
          <w:sz w:val="18"/>
          <w:szCs w:val="18"/>
          <w:color w:val="000000"/>
        </w:rPr>
        <w:t>Officers, employees, non-employee directors and consultants of the Company or any</w:t>
      </w:r>
      <w:r>
        <w:rPr>
          <w:rFonts w:ascii="Arial" w:cs="Arial" w:eastAsia="Arial" w:hAnsi="Arial"/>
          <w:sz w:val="18"/>
          <w:szCs w:val="18"/>
          <w:i w:val="1"/>
          <w:iCs w:val="1"/>
          <w:color w:val="00ABD1"/>
        </w:rPr>
        <w:t xml:space="preserve"> </w:t>
      </w:r>
      <w:r>
        <w:rPr>
          <w:rFonts w:ascii="Arial" w:cs="Arial" w:eastAsia="Arial" w:hAnsi="Arial"/>
          <w:sz w:val="18"/>
          <w:szCs w:val="18"/>
          <w:color w:val="000000"/>
        </w:rPr>
        <w:t>of its subsidiaries or affiliates are eligible to receive awards under the 2025 Plan. Non-employee directors may be granted restricted shares, restricted stock units and other share-based awards, but are not eligible to receive grants of option rights, appreciation rights, performance shares or performance units. As of December 31, 2025, there were approximately 8,632 employees (including 6 executive officers) and 8 non-executive directors eligible to participate in the 2025 Plan.</w:t>
      </w:r>
    </w:p>
    <w:p>
      <w:pPr>
        <w:spacing w:after="0" w:line="182" w:lineRule="exact"/>
        <w:rPr>
          <w:sz w:val="20"/>
          <w:szCs w:val="20"/>
          <w:color w:val="auto"/>
        </w:rPr>
      </w:pPr>
    </w:p>
    <w:p>
      <w:pPr>
        <w:ind w:left="1260" w:right="439" w:firstLine="648"/>
        <w:spacing w:after="0" w:line="255" w:lineRule="auto"/>
        <w:rPr>
          <w:sz w:val="20"/>
          <w:szCs w:val="20"/>
          <w:color w:val="auto"/>
        </w:rPr>
      </w:pPr>
      <w:r>
        <w:rPr>
          <w:rFonts w:ascii="Arial" w:cs="Arial" w:eastAsia="Arial" w:hAnsi="Arial"/>
          <w:sz w:val="18"/>
          <w:szCs w:val="18"/>
          <w:i w:val="1"/>
          <w:iCs w:val="1"/>
          <w:color w:val="00ABD1"/>
        </w:rPr>
        <w:t xml:space="preserve">Shares Authorized. </w:t>
      </w:r>
      <w:r>
        <w:rPr>
          <w:rFonts w:ascii="Arial" w:cs="Arial" w:eastAsia="Arial" w:hAnsi="Arial"/>
          <w:sz w:val="18"/>
          <w:szCs w:val="18"/>
          <w:color w:val="000000"/>
        </w:rPr>
        <w:t>Subject to adjustment in the event of certain specified corporate events,</w:t>
      </w:r>
      <w:r>
        <w:rPr>
          <w:rFonts w:ascii="Arial" w:cs="Arial" w:eastAsia="Arial" w:hAnsi="Arial"/>
          <w:sz w:val="18"/>
          <w:szCs w:val="18"/>
          <w:i w:val="1"/>
          <w:iCs w:val="1"/>
          <w:color w:val="00ABD1"/>
        </w:rPr>
        <w:t xml:space="preserve"> </w:t>
      </w:r>
      <w:r>
        <w:rPr>
          <w:rFonts w:ascii="Arial" w:cs="Arial" w:eastAsia="Arial" w:hAnsi="Arial"/>
          <w:sz w:val="18"/>
          <w:szCs w:val="18"/>
          <w:color w:val="000000"/>
        </w:rPr>
        <w:t>including, without limitation, any merger, recapitalization, stock split, reorganization or similar transaction (see “Adjustments” below), the maximum aggregate number of shares available for issuance under the 2025 Plan is currently 6,000,000 and the maximum number of shares available for issuance under the 2025 Plan with respect to incentive stock options is 6,000,000. If this proposal is approved by our stockholders, a total of 22,750,000 shares of our common stock will be reserved for issuance pursuant to the 2025 Plan. Shares subject to or underlying awards granted under the 2015 Plan or the 2025 Plan that expire or are cancelled, terminated, lapsed, expired, forfeited, become un-exercisable for any reason, or are</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99"/>
        <w:spacing w:after="0" w:line="252" w:lineRule="auto"/>
        <w:rPr>
          <w:sz w:val="20"/>
          <w:szCs w:val="20"/>
          <w:color w:val="auto"/>
        </w:rPr>
      </w:pPr>
      <w:r>
        <w:rPr>
          <w:rFonts w:ascii="Arial" w:cs="Arial" w:eastAsia="Arial" w:hAnsi="Arial"/>
          <w:sz w:val="18"/>
          <w:szCs w:val="18"/>
          <w:color w:val="auto"/>
        </w:rPr>
        <w:t>settled in cash (in whole or in part) will be available for issuance under the 2025 Plan. Shares surrendered or withheld as payment of either the exercise price of an award and/or withholding taxes in respect of an award are counted against the 2025 Plan limits and will not be available for issuance in connection with future awards.</w:t>
      </w:r>
    </w:p>
    <w:p>
      <w:pPr>
        <w:spacing w:after="0" w:line="184" w:lineRule="exact"/>
        <w:rPr>
          <w:sz w:val="20"/>
          <w:szCs w:val="20"/>
          <w:color w:val="auto"/>
        </w:rPr>
      </w:pPr>
    </w:p>
    <w:p>
      <w:pPr>
        <w:jc w:val="both"/>
        <w:ind w:left="1260" w:right="559" w:firstLine="648"/>
        <w:spacing w:after="0" w:line="275" w:lineRule="auto"/>
        <w:rPr>
          <w:sz w:val="20"/>
          <w:szCs w:val="20"/>
          <w:color w:val="auto"/>
        </w:rPr>
      </w:pPr>
      <w:r>
        <w:rPr>
          <w:rFonts w:ascii="Arial" w:cs="Arial" w:eastAsia="Arial" w:hAnsi="Arial"/>
          <w:sz w:val="17"/>
          <w:szCs w:val="17"/>
          <w:i w:val="1"/>
          <w:iCs w:val="1"/>
          <w:color w:val="00ABD1"/>
        </w:rPr>
        <w:t xml:space="preserve">Individual Limits. </w:t>
      </w:r>
      <w:r>
        <w:rPr>
          <w:rFonts w:ascii="Arial" w:cs="Arial" w:eastAsia="Arial" w:hAnsi="Arial"/>
          <w:sz w:val="17"/>
          <w:szCs w:val="17"/>
          <w:color w:val="000000"/>
        </w:rPr>
        <w:t>The Long-Term Incentive Plan provides that the maximum number of shares</w:t>
      </w:r>
      <w:r>
        <w:rPr>
          <w:rFonts w:ascii="Arial" w:cs="Arial" w:eastAsia="Arial" w:hAnsi="Arial"/>
          <w:sz w:val="17"/>
          <w:szCs w:val="17"/>
          <w:i w:val="1"/>
          <w:iCs w:val="1"/>
          <w:color w:val="00ABD1"/>
        </w:rPr>
        <w:t xml:space="preserve"> </w:t>
      </w:r>
      <w:r>
        <w:rPr>
          <w:rFonts w:ascii="Arial" w:cs="Arial" w:eastAsia="Arial" w:hAnsi="Arial"/>
          <w:sz w:val="17"/>
          <w:szCs w:val="17"/>
          <w:color w:val="000000"/>
        </w:rPr>
        <w:t>of common stock subject to awards granted during a single calendar year to any non-employee director shall not exceed a total value of $750,000 (based on the market value per share on the date of grant).</w:t>
      </w:r>
    </w:p>
    <w:p>
      <w:pPr>
        <w:spacing w:after="0" w:line="165" w:lineRule="exact"/>
        <w:rPr>
          <w:sz w:val="20"/>
          <w:szCs w:val="20"/>
          <w:color w:val="auto"/>
        </w:rPr>
      </w:pPr>
    </w:p>
    <w:p>
      <w:pPr>
        <w:ind w:left="1260" w:right="419" w:firstLine="648"/>
        <w:spacing w:after="0" w:line="262" w:lineRule="auto"/>
        <w:rPr>
          <w:sz w:val="20"/>
          <w:szCs w:val="20"/>
          <w:color w:val="auto"/>
        </w:rPr>
      </w:pPr>
      <w:r>
        <w:rPr>
          <w:rFonts w:ascii="Arial" w:cs="Arial" w:eastAsia="Arial" w:hAnsi="Arial"/>
          <w:sz w:val="17"/>
          <w:szCs w:val="17"/>
          <w:i w:val="1"/>
          <w:iCs w:val="1"/>
          <w:color w:val="00ABD1"/>
        </w:rPr>
        <w:t xml:space="preserve">Minimum Vesting Period. </w:t>
      </w:r>
      <w:r>
        <w:rPr>
          <w:rFonts w:ascii="Arial" w:cs="Arial" w:eastAsia="Arial" w:hAnsi="Arial"/>
          <w:sz w:val="17"/>
          <w:szCs w:val="17"/>
          <w:color w:val="000000"/>
        </w:rPr>
        <w:t>No portion of any award shall vest in less than one year following the</w:t>
      </w:r>
      <w:r>
        <w:rPr>
          <w:rFonts w:ascii="Arial" w:cs="Arial" w:eastAsia="Arial" w:hAnsi="Arial"/>
          <w:sz w:val="17"/>
          <w:szCs w:val="17"/>
          <w:i w:val="1"/>
          <w:iCs w:val="1"/>
          <w:color w:val="00ABD1"/>
        </w:rPr>
        <w:t xml:space="preserve"> </w:t>
      </w:r>
      <w:r>
        <w:rPr>
          <w:rFonts w:ascii="Arial" w:cs="Arial" w:eastAsia="Arial" w:hAnsi="Arial"/>
          <w:sz w:val="17"/>
          <w:szCs w:val="17"/>
          <w:color w:val="000000"/>
        </w:rPr>
        <w:t>date of grant, except that the minimum vesting requirements do not apply in the event of (i) the participant’s death or disability, (ii) a termination of the participant’s employment or service by the Company without cause or by the participant for good reason, (iii) a change in control and (iv) the Compensation Committee granting awards that are not subject to such minimum vesting requirements with respect to five (5) percent or less of the Common Shares available for issuance under the 2025 Plan.</w:t>
      </w:r>
    </w:p>
    <w:p>
      <w:pPr>
        <w:spacing w:after="0" w:line="178" w:lineRule="exact"/>
        <w:rPr>
          <w:sz w:val="20"/>
          <w:szCs w:val="20"/>
          <w:color w:val="auto"/>
        </w:rPr>
      </w:pPr>
    </w:p>
    <w:p>
      <w:pPr>
        <w:ind w:left="1260" w:right="559" w:firstLine="648"/>
        <w:spacing w:after="0" w:line="253" w:lineRule="auto"/>
        <w:rPr>
          <w:sz w:val="20"/>
          <w:szCs w:val="20"/>
          <w:color w:val="auto"/>
        </w:rPr>
      </w:pPr>
      <w:r>
        <w:rPr>
          <w:rFonts w:ascii="Arial" w:cs="Arial" w:eastAsia="Arial" w:hAnsi="Arial"/>
          <w:sz w:val="18"/>
          <w:szCs w:val="18"/>
          <w:i w:val="1"/>
          <w:iCs w:val="1"/>
          <w:color w:val="00ABD1"/>
        </w:rPr>
        <w:t xml:space="preserve">Types of Awards. </w:t>
      </w:r>
      <w:r>
        <w:rPr>
          <w:rFonts w:ascii="Arial" w:cs="Arial" w:eastAsia="Arial" w:hAnsi="Arial"/>
          <w:sz w:val="18"/>
          <w:szCs w:val="18"/>
          <w:color w:val="000000"/>
        </w:rPr>
        <w:t>The 2025 Plan provides for the grant of incentive stock options, “non-qualified” stock options, stock appreciation rights, performance units and performance shares, restricted shares, restricted stock units, and other types of incentive awards.</w:t>
      </w:r>
    </w:p>
    <w:p>
      <w:pPr>
        <w:spacing w:after="0" w:line="182" w:lineRule="exact"/>
        <w:rPr>
          <w:sz w:val="20"/>
          <w:szCs w:val="20"/>
          <w:color w:val="auto"/>
        </w:rPr>
      </w:pPr>
    </w:p>
    <w:p>
      <w:pPr>
        <w:ind w:left="1260" w:right="419" w:firstLine="648"/>
        <w:spacing w:after="0" w:line="255" w:lineRule="auto"/>
        <w:rPr>
          <w:sz w:val="20"/>
          <w:szCs w:val="20"/>
          <w:color w:val="auto"/>
        </w:rPr>
      </w:pPr>
      <w:r>
        <w:rPr>
          <w:rFonts w:ascii="Arial" w:cs="Arial" w:eastAsia="Arial" w:hAnsi="Arial"/>
          <w:sz w:val="17"/>
          <w:szCs w:val="17"/>
          <w:u w:val="single" w:color="auto"/>
          <w:color w:val="auto"/>
        </w:rPr>
        <w:t>Options</w:t>
      </w:r>
      <w:r>
        <w:rPr>
          <w:rFonts w:ascii="Arial" w:cs="Arial" w:eastAsia="Arial" w:hAnsi="Arial"/>
          <w:sz w:val="17"/>
          <w:szCs w:val="17"/>
          <w:color w:val="auto"/>
        </w:rPr>
        <w:t>. Option rights, including both rights that are intended to qualify as incentive stock options under Section 422 of the Code (which may be granted only to employees of the Company) and “non-qualified” stock options, provide the right to purchase shares of the Company’s common stock at a price not less than fair market value of the Company’s common stock on the date of grant (which date may not be earlier than the date that the Compensation Committee takes action with respect thereto). No option rights may be exercised more than ten years from the date of grant. To the extent that an option right is not previously exercised as to all of the Company’s common stock subject thereto, and, if the market value per share is greater than the exercise price then in effect, then the option right shall be deemed automatically exercised immediately before its expiration. Each grant must specify the period of continuous employment that is necessary before the option rights become exercisable, and may provide for the earlier exercise of such option rights in the event of the retirement, death or disability of the recipient, or other similar event as approved by the Compensation Committee. The option price is payable at the time of exercise (i) in cash, (ii) by the transfer to the Company of nonforfeitable, unrestricted shares of the Company’s common stock that are already owned by the recipient and have a value at the time of exercise equal to the option price, (iii) with any other legal consideration that the Compensation Committee may deem appropriate or (iv) by any combination of the foregoing methods of payment. Any grant of option rights may provide for deferred payment of the option price from the proceeds of sale through a broker on the date of exercise of some or all of the shares of the Company’s common stock to which the exercise relates, or the payment of the option price in installments, subject to compliance with applicable law. Any grant of option rights may specify management objectives that must be achieved as a condition to exercise such rights. Successive grants may be made to the same recipient regardless of whether option rights previously granted to him or her remain unexercised.</w:t>
      </w:r>
    </w:p>
    <w:p>
      <w:pPr>
        <w:spacing w:after="0" w:line="196" w:lineRule="exact"/>
        <w:rPr>
          <w:sz w:val="20"/>
          <w:szCs w:val="20"/>
          <w:color w:val="auto"/>
        </w:rPr>
      </w:pPr>
    </w:p>
    <w:p>
      <w:pPr>
        <w:ind w:left="1260" w:right="419" w:firstLine="648"/>
        <w:spacing w:after="0" w:line="242" w:lineRule="auto"/>
        <w:rPr>
          <w:sz w:val="20"/>
          <w:szCs w:val="20"/>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 Stock appreciation rights (SARs) represent the right to receive from the Company an amount, determined by the Compensation Committee and expressed as a percentage not exceeding 100 percent, of the difference between the base price established for such SARs (not less than the fair market value per share of the Company’s common stock on the date of grant) and the market value of the common stock on the date the SARs are exercised. SARs can be tandem (granted with option rights to provide an alternative to exercise of the option rights) or free-standing. Tandem SARs may only be exercised at a time when the related option right is exercisable and the spread is positive, and requires that the related option right be surrendered for cancellation. Free-standing SARs may not be exercisable more than ten years from the date of grant. To the extent that a SAR is not previously exercised as to all of the shares of Company common stock subject thereto, and, if the market value per share is greater than the exercise price then in effect, then the SAR shall be deemed automatically exercised immediately before its expiration. Any grant of SARs may specify that the amount payable by the Company on exercise of the appreciation right may be paid in cash, in shares of the Company’s common stock or</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59"/>
        <w:spacing w:after="0" w:line="265" w:lineRule="auto"/>
        <w:rPr>
          <w:sz w:val="20"/>
          <w:szCs w:val="20"/>
          <w:color w:val="auto"/>
        </w:rPr>
      </w:pPr>
      <w:r>
        <w:rPr>
          <w:rFonts w:ascii="Arial" w:cs="Arial" w:eastAsia="Arial" w:hAnsi="Arial"/>
          <w:sz w:val="17"/>
          <w:szCs w:val="17"/>
          <w:color w:val="auto"/>
        </w:rPr>
        <w:t>in any combination thereof, and may either grant to the recipient or retain in the Compensation Committee the right to elect among those alternatives. Each grant must specify the period of continuous employment that is necessary before the SARs become exercisable, and may provide for the earlier exercise of such SARs in the event of the retirement, death or disability of the recipient, or other similar event approved by the Compensation Committee. Any grant of SARs may specify management objectives (as described below) that must be achieved as a condition to exercise such rights.</w:t>
      </w:r>
    </w:p>
    <w:p>
      <w:pPr>
        <w:spacing w:after="0" w:line="163" w:lineRule="exact"/>
        <w:rPr>
          <w:sz w:val="20"/>
          <w:szCs w:val="20"/>
          <w:color w:val="auto"/>
        </w:rPr>
      </w:pPr>
    </w:p>
    <w:p>
      <w:pPr>
        <w:ind w:left="1260" w:right="439" w:firstLine="648"/>
        <w:spacing w:after="0" w:line="260" w:lineRule="auto"/>
        <w:rPr>
          <w:sz w:val="20"/>
          <w:szCs w:val="20"/>
          <w:color w:val="auto"/>
        </w:rPr>
      </w:pPr>
      <w:r>
        <w:rPr>
          <w:rFonts w:ascii="Arial" w:cs="Arial" w:eastAsia="Arial" w:hAnsi="Arial"/>
          <w:sz w:val="17"/>
          <w:szCs w:val="17"/>
          <w:u w:val="single" w:color="auto"/>
          <w:color w:val="auto"/>
        </w:rPr>
        <w:t>Performance Shares and Performance Units</w:t>
      </w:r>
      <w:r>
        <w:rPr>
          <w:rFonts w:ascii="Arial" w:cs="Arial" w:eastAsia="Arial" w:hAnsi="Arial"/>
          <w:sz w:val="17"/>
          <w:szCs w:val="17"/>
          <w:color w:val="auto"/>
        </w:rPr>
        <w:t>. A performance share is the equivalent of one share of the Company’s common stock and a performance unit is the equivalent of $1.00. The recipient of such a performance award will be given one or more management objectives to meet within a specified period. To the extent earned, the performance shares or performance units will be paid to the recipient at the time and in the manner determined by the Compensation Committee in cash, shares of the Company’s common stock or any combination thereof. The grant may provide for the payment of dividend equivalents thereon in cash or in shares of the Company’s common stock on a current, deferred or contingent basis. Notwithstanding the foregoing, in no event shall dividend equivalents be paid prior to the vesting or settlement of the underlying award. The grant may also provide for the earlier termination of the performance period in the event of a change in control of the Company, the retirement, death or disability of the recipient, or other similar transaction or event approved by the Compensation Committee.</w:t>
      </w:r>
    </w:p>
    <w:p>
      <w:pPr>
        <w:spacing w:after="0" w:line="168" w:lineRule="exact"/>
        <w:rPr>
          <w:sz w:val="20"/>
          <w:szCs w:val="20"/>
          <w:color w:val="auto"/>
        </w:rPr>
      </w:pPr>
    </w:p>
    <w:p>
      <w:pPr>
        <w:ind w:left="1260" w:right="419" w:firstLine="648"/>
        <w:spacing w:after="0" w:line="243" w:lineRule="auto"/>
        <w:rPr>
          <w:sz w:val="20"/>
          <w:szCs w:val="20"/>
          <w:color w:val="auto"/>
        </w:rPr>
      </w:pPr>
      <w:r>
        <w:rPr>
          <w:rFonts w:ascii="Arial" w:cs="Arial" w:eastAsia="Arial" w:hAnsi="Arial"/>
          <w:sz w:val="18"/>
          <w:szCs w:val="18"/>
          <w:u w:val="single" w:color="auto"/>
          <w:color w:val="auto"/>
        </w:rPr>
        <w:t>Restricted Shares</w:t>
      </w:r>
      <w:r>
        <w:rPr>
          <w:rFonts w:ascii="Arial" w:cs="Arial" w:eastAsia="Arial" w:hAnsi="Arial"/>
          <w:sz w:val="18"/>
          <w:szCs w:val="18"/>
          <w:color w:val="auto"/>
        </w:rPr>
        <w:t>. Restricted shares constitute an immediate transfer of ownership of a specified number of shares of the Company’s common stock to the recipient in consideration of the performance of services. Unless otherwise determined by the Compensation Committee, upon grant, the recipient becomes entitled to voting, dividend and other ownership rights in shares of the Company’s common stock. The transfer may be made with or without the payment of additional consideration by the recipient. Restricted shares must be subject to a “substantial risk of forfeiture,” within the meaning of Section 83 of the Code, for a period determined by the Compensation Committee on the date of the grant, and may provide for the earlier termination of the forfeiture provisions in the event of the retirement, death or disability of the recipient, or other similar event approved by the Compensation Committee. In order to enforce these forfeiture provisions, the transferability of restricted shares is restricted for the period during which such forfeiture provisions apply. Any grant of restricted shares may specify management objectives which, if achieved, will result in the early termination of the restrictions applicable to such shares.</w:t>
      </w:r>
    </w:p>
    <w:p>
      <w:pPr>
        <w:spacing w:after="0" w:line="178" w:lineRule="exact"/>
        <w:rPr>
          <w:sz w:val="20"/>
          <w:szCs w:val="20"/>
          <w:color w:val="auto"/>
        </w:rPr>
      </w:pPr>
    </w:p>
    <w:p>
      <w:pPr>
        <w:ind w:left="1260" w:right="419" w:firstLine="648"/>
        <w:spacing w:after="0" w:line="257" w:lineRule="auto"/>
        <w:rPr>
          <w:sz w:val="20"/>
          <w:szCs w:val="20"/>
          <w:color w:val="auto"/>
        </w:rPr>
      </w:pPr>
      <w:r>
        <w:rPr>
          <w:rFonts w:ascii="Arial" w:cs="Arial" w:eastAsia="Arial" w:hAnsi="Arial"/>
          <w:sz w:val="17"/>
          <w:szCs w:val="17"/>
          <w:u w:val="single" w:color="auto"/>
          <w:color w:val="auto"/>
        </w:rPr>
        <w:t>Restricted Stock Units</w:t>
      </w:r>
      <w:r>
        <w:rPr>
          <w:rFonts w:ascii="Arial" w:cs="Arial" w:eastAsia="Arial" w:hAnsi="Arial"/>
          <w:sz w:val="17"/>
          <w:szCs w:val="17"/>
          <w:color w:val="auto"/>
        </w:rPr>
        <w:t>. Restricted stock units constitute an agreement to issue or deliver shares of the Company’s common stock, pay an amount in cash, or a combination of the two, to the recipient in the future in consideration of the performance of services over a specified period, subject to the conditions established by the Compensation Committee. During the restriction period the recipient may not transfer any rights under his or her award and has no right to vote or receive dividends on the shares of the Company’s common stock covered by the restricted stock units, unless the Compensation Committee otherwise authorizes the payment of dividend equivalents with respect to the restricted stock units, in cash or shares of Company’s common stock, on a current, deferred or contingent basis. Notwithstanding the foregoing, in no event shall dividend equivalents be paid prior to the vesting of the underlying award. The Compensation Committee must fix a restriction period at the time of grant, and may provide for the earlier termination of the restriction period in the event of the retirement, death or disability of the recipient, or other similar event approved by the Compensation Committee. Awards of restricted stock units may be made without additional consideration or in consideration of a payment by the recipient that is less than the fair market value per share of the Company’s common stock on the date of grant. Any grant of restricted stock units may specify management objectives which, if achieved, will result in the early termination of the restrictions applicable to such restricted stock units.</w:t>
      </w:r>
    </w:p>
    <w:p>
      <w:pPr>
        <w:spacing w:after="0" w:line="174" w:lineRule="exact"/>
        <w:rPr>
          <w:sz w:val="20"/>
          <w:szCs w:val="20"/>
          <w:color w:val="auto"/>
        </w:rPr>
      </w:pPr>
    </w:p>
    <w:p>
      <w:pPr>
        <w:ind w:left="1260" w:right="439" w:firstLine="648"/>
        <w:spacing w:after="0" w:line="246" w:lineRule="auto"/>
        <w:rPr>
          <w:sz w:val="20"/>
          <w:szCs w:val="20"/>
          <w:color w:val="auto"/>
        </w:rPr>
      </w:pPr>
      <w:r>
        <w:rPr>
          <w:rFonts w:ascii="Arial" w:cs="Arial" w:eastAsia="Arial" w:hAnsi="Arial"/>
          <w:sz w:val="18"/>
          <w:szCs w:val="18"/>
          <w:u w:val="single" w:color="auto"/>
          <w:color w:val="auto"/>
        </w:rPr>
        <w:t>Other Awards</w:t>
      </w:r>
      <w:r>
        <w:rPr>
          <w:rFonts w:ascii="Arial" w:cs="Arial" w:eastAsia="Arial" w:hAnsi="Arial"/>
          <w:sz w:val="18"/>
          <w:szCs w:val="18"/>
          <w:color w:val="auto"/>
        </w:rPr>
        <w:t>. Subject to applicable law, the Compensation Committee may, on such terms and conditions as it determines, grant to officers and other key employees of the Company and its subsidiaries and affiliates other awards that may be denominated or payable in, valued in whole or in part by reference to, or otherwise based on or related to, shares of the Company’s common stock or factors that may influence the value of such shares (including, without limitation, convertible or exchangeable debt securities or other securities, purchase rights for shares of the Company’s common stock, or awards with value and payment contingent upon performance of the Company or its subsidiaries or affiliates or other</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59"/>
        <w:spacing w:after="0" w:line="246" w:lineRule="auto"/>
        <w:rPr>
          <w:sz w:val="20"/>
          <w:szCs w:val="20"/>
          <w:color w:val="auto"/>
        </w:rPr>
      </w:pPr>
      <w:r>
        <w:rPr>
          <w:rFonts w:ascii="Arial" w:cs="Arial" w:eastAsia="Arial" w:hAnsi="Arial"/>
          <w:sz w:val="18"/>
          <w:szCs w:val="18"/>
          <w:color w:val="auto"/>
        </w:rPr>
        <w:t>factors determined by the Compensation Committee). Shares of the Company’s common stock issued or delivered pursuant to these types of awards will be purchased for such consideration, by such methods and in such forms as the Compensation Committee determines. Cash awards, as an element of or supplement to any other award granted under the 2025 Plan, may also be granted. The Compensation Committee may also grant shares of the Company’s common stock as a bonus, or may grant other awards in lieu of obligations of the Company or a subsidiary or affiliate to pay cash or deliver other property under the 2025 Plan or under other plans or compensatory arrangements, subject to such terms as are determined by the Compensation Committee.</w:t>
      </w:r>
    </w:p>
    <w:p>
      <w:pPr>
        <w:spacing w:after="0" w:line="179" w:lineRule="exact"/>
        <w:rPr>
          <w:sz w:val="20"/>
          <w:szCs w:val="20"/>
          <w:color w:val="auto"/>
        </w:rPr>
      </w:pPr>
    </w:p>
    <w:p>
      <w:pPr>
        <w:ind w:left="1260" w:right="499" w:firstLine="648"/>
        <w:spacing w:after="0" w:line="242" w:lineRule="auto"/>
        <w:rPr>
          <w:sz w:val="20"/>
          <w:szCs w:val="20"/>
          <w:color w:val="auto"/>
        </w:rPr>
      </w:pPr>
      <w:r>
        <w:rPr>
          <w:rFonts w:ascii="Arial" w:cs="Arial" w:eastAsia="Arial" w:hAnsi="Arial"/>
          <w:sz w:val="18"/>
          <w:szCs w:val="18"/>
          <w:u w:val="single" w:color="auto"/>
          <w:color w:val="auto"/>
        </w:rPr>
        <w:t>Management Objectives/Performance Criteria</w:t>
      </w:r>
      <w:r>
        <w:rPr>
          <w:rFonts w:ascii="Arial" w:cs="Arial" w:eastAsia="Arial" w:hAnsi="Arial"/>
          <w:sz w:val="18"/>
          <w:szCs w:val="18"/>
          <w:color w:val="auto"/>
        </w:rPr>
        <w:t>. For purposes of awards of performance shares and performance unit, and for awards of stock options, stock appreciation rights, restricted shares, restricted stock units and other awards made subject to the achievement of certain performance criteria, the Compensation Committee will establish “management objectives.” Management objectives may be described in terms of either company-wide objectives or objectives that are related to the performance of the individual participant, or of the affiliate, subsidiary, division, department, region or function within the Company, affiliate or subsidiary in which the participant is employed and may be made relative to the performance of other companies. If the Compensation Committee determines that a change in the business, operations, corporate structure or capital structure of the Company, or the manner in which it conducts its business, or other events or circumstances (including those events and circumstances described in Section 12 of the 2025 Plan) render the management objectives unsuitable, the Compensation Committee may, at its discretion modify such management objectives or the related minimum acceptable level of achievement, in whole or in part, as the Compensation Committee deems appropriate and equitable.</w:t>
      </w:r>
    </w:p>
    <w:p>
      <w:pPr>
        <w:spacing w:after="0" w:line="197" w:lineRule="exact"/>
        <w:rPr>
          <w:sz w:val="20"/>
          <w:szCs w:val="20"/>
          <w:color w:val="auto"/>
        </w:rPr>
      </w:pPr>
    </w:p>
    <w:p>
      <w:pPr>
        <w:ind w:left="1260" w:right="719" w:firstLine="648"/>
        <w:spacing w:after="0" w:line="252" w:lineRule="auto"/>
        <w:rPr>
          <w:sz w:val="20"/>
          <w:szCs w:val="20"/>
          <w:color w:val="auto"/>
        </w:rPr>
      </w:pPr>
      <w:r>
        <w:rPr>
          <w:rFonts w:ascii="Arial" w:cs="Arial" w:eastAsia="Arial" w:hAnsi="Arial"/>
          <w:sz w:val="18"/>
          <w:szCs w:val="18"/>
          <w:i w:val="1"/>
          <w:iCs w:val="1"/>
          <w:color w:val="00ABD1"/>
        </w:rPr>
        <w:t xml:space="preserve">Change in Control. </w:t>
      </w:r>
      <w:r>
        <w:rPr>
          <w:rFonts w:ascii="Arial" w:cs="Arial" w:eastAsia="Arial" w:hAnsi="Arial"/>
          <w:sz w:val="18"/>
          <w:szCs w:val="18"/>
          <w:color w:val="000000"/>
        </w:rPr>
        <w:t>The Compensation Committee may provide, in an evidence of award or</w:t>
      </w:r>
      <w:r>
        <w:rPr>
          <w:rFonts w:ascii="Arial" w:cs="Arial" w:eastAsia="Arial" w:hAnsi="Arial"/>
          <w:sz w:val="18"/>
          <w:szCs w:val="18"/>
          <w:i w:val="1"/>
          <w:iCs w:val="1"/>
          <w:color w:val="00ABD1"/>
        </w:rPr>
        <w:t xml:space="preserve"> </w:t>
      </w:r>
      <w:r>
        <w:rPr>
          <w:rFonts w:ascii="Arial" w:cs="Arial" w:eastAsia="Arial" w:hAnsi="Arial"/>
          <w:sz w:val="18"/>
          <w:szCs w:val="18"/>
          <w:color w:val="000000"/>
        </w:rPr>
        <w:t>other award agreement, for the accelerated vesting of award(s) made under the Plan in the event of a change in control of the Company, or other similar transaction as approved by the Compensation Committee.</w:t>
      </w:r>
    </w:p>
    <w:p>
      <w:pPr>
        <w:spacing w:after="0" w:line="170" w:lineRule="exact"/>
        <w:rPr>
          <w:sz w:val="20"/>
          <w:szCs w:val="20"/>
          <w:color w:val="auto"/>
        </w:rPr>
      </w:pPr>
    </w:p>
    <w:p>
      <w:pPr>
        <w:ind w:left="1260" w:right="419" w:firstLine="648"/>
        <w:spacing w:after="0" w:line="241" w:lineRule="auto"/>
        <w:rPr>
          <w:sz w:val="20"/>
          <w:szCs w:val="20"/>
          <w:color w:val="auto"/>
        </w:rPr>
      </w:pPr>
      <w:r>
        <w:rPr>
          <w:rFonts w:ascii="Arial" w:cs="Arial" w:eastAsia="Arial" w:hAnsi="Arial"/>
          <w:sz w:val="18"/>
          <w:szCs w:val="18"/>
          <w:i w:val="1"/>
          <w:iCs w:val="1"/>
          <w:color w:val="00ABD1"/>
        </w:rPr>
        <w:t xml:space="preserve">Adjustments. </w:t>
      </w:r>
      <w:r>
        <w:rPr>
          <w:rFonts w:ascii="Arial" w:cs="Arial" w:eastAsia="Arial" w:hAnsi="Arial"/>
          <w:sz w:val="18"/>
          <w:szCs w:val="18"/>
          <w:color w:val="000000"/>
        </w:rPr>
        <w:t>The Compensation Committee shall make or provide for such adjustments in the</w:t>
      </w:r>
      <w:r>
        <w:rPr>
          <w:rFonts w:ascii="Arial" w:cs="Arial" w:eastAsia="Arial" w:hAnsi="Arial"/>
          <w:sz w:val="18"/>
          <w:szCs w:val="18"/>
          <w:i w:val="1"/>
          <w:iCs w:val="1"/>
          <w:color w:val="00ABD1"/>
        </w:rPr>
        <w:t xml:space="preserve"> </w:t>
      </w:r>
      <w:r>
        <w:rPr>
          <w:rFonts w:ascii="Arial" w:cs="Arial" w:eastAsia="Arial" w:hAnsi="Arial"/>
          <w:sz w:val="18"/>
          <w:szCs w:val="18"/>
          <w:color w:val="000000"/>
        </w:rPr>
        <w:t>numbers of shares of common stock covered by outstanding option rights, stock appreciation rights, performance shares, restricted stock units and other share-based awards, in the option price and base price provided in outstanding options and stock appreciation rights, and in the kind of shares covered thereby, as the Compensation Committee in its discretion may in good faith determine to be equitably required in order to prevent dilution or enlargement of the rights of participants that would otherwise result from: (i) any stock dividend, stock split, combination of shares, recapitalization or other change in the capital structure; (ii) any merger, consolidation, spin-off, spin-out, split-off, split-up, reorganization, partial or complete liquidation or other distribution of assets, issuance of rights or warrants to purchase securities; or (iii) any other corporate transaction or event having an effect similar to any of the foregoing. In the event of any such transaction or event, the Compensation Committee may provide in substitution for any or all of the outstanding awards under the 2025 Plan such alternative consideration (or no consideration) as it may in good faith determine to be equitable under the circumstances and may require in connection therewith the surrender of all awards so replaced. The Compensation Committee may also make or provide for such adjustments in the number of shares available under the 2025 Plan, the various sub-limits described above, the number of shares and price per share applicable to any outstanding award, and other share limitations contained in the 2025 Plan as the Compensation Committee may determine to reflect any transaction or event described above.</w:t>
      </w:r>
    </w:p>
    <w:p>
      <w:pPr>
        <w:spacing w:after="0" w:line="201" w:lineRule="exact"/>
        <w:rPr>
          <w:sz w:val="20"/>
          <w:szCs w:val="20"/>
          <w:color w:val="auto"/>
        </w:rPr>
      </w:pPr>
    </w:p>
    <w:p>
      <w:pPr>
        <w:ind w:left="1260" w:right="519" w:firstLine="648"/>
        <w:spacing w:after="0" w:line="266" w:lineRule="auto"/>
        <w:rPr>
          <w:sz w:val="20"/>
          <w:szCs w:val="20"/>
          <w:color w:val="auto"/>
        </w:rPr>
      </w:pPr>
      <w:r>
        <w:rPr>
          <w:rFonts w:ascii="Arial" w:cs="Arial" w:eastAsia="Arial" w:hAnsi="Arial"/>
          <w:sz w:val="17"/>
          <w:szCs w:val="17"/>
          <w:i w:val="1"/>
          <w:iCs w:val="1"/>
          <w:color w:val="00ABD1"/>
        </w:rPr>
        <w:t xml:space="preserve">Amendments and Miscellaneous. </w:t>
      </w:r>
      <w:r>
        <w:rPr>
          <w:rFonts w:ascii="Arial" w:cs="Arial" w:eastAsia="Arial" w:hAnsi="Arial"/>
          <w:sz w:val="17"/>
          <w:szCs w:val="17"/>
          <w:color w:val="000000"/>
        </w:rPr>
        <w:t>The 2025 Plan may be amended by the Board, but any</w:t>
      </w:r>
      <w:r>
        <w:rPr>
          <w:rFonts w:ascii="Arial" w:cs="Arial" w:eastAsia="Arial" w:hAnsi="Arial"/>
          <w:sz w:val="17"/>
          <w:szCs w:val="17"/>
          <w:i w:val="1"/>
          <w:iCs w:val="1"/>
          <w:color w:val="00ABD1"/>
        </w:rPr>
        <w:t xml:space="preserve"> </w:t>
      </w:r>
      <w:r>
        <w:rPr>
          <w:rFonts w:ascii="Arial" w:cs="Arial" w:eastAsia="Arial" w:hAnsi="Arial"/>
          <w:sz w:val="17"/>
          <w:szCs w:val="17"/>
          <w:color w:val="000000"/>
        </w:rPr>
        <w:t>amendment that must be approved by the Company’s stockholders in order to comply with applicable laws or stock exchange rules will not be effective unless and until such approval has been obtained. The Board may amend the 2025 Plan to eliminate provisions which are no longer necessary as a result of changes in tax or securities laws and regulations, or in the interpretation of such laws and regulations.</w:t>
      </w:r>
    </w:p>
    <w:p>
      <w:pPr>
        <w:spacing w:after="0" w:line="159" w:lineRule="exact"/>
        <w:rPr>
          <w:sz w:val="20"/>
          <w:szCs w:val="20"/>
          <w:color w:val="auto"/>
        </w:rPr>
      </w:pPr>
    </w:p>
    <w:p>
      <w:pPr>
        <w:ind w:left="1260" w:right="479" w:firstLine="648"/>
        <w:spacing w:after="0" w:line="252" w:lineRule="auto"/>
        <w:rPr>
          <w:sz w:val="20"/>
          <w:szCs w:val="20"/>
          <w:color w:val="auto"/>
        </w:rPr>
      </w:pPr>
      <w:r>
        <w:rPr>
          <w:rFonts w:ascii="Arial" w:cs="Arial" w:eastAsia="Arial" w:hAnsi="Arial"/>
          <w:sz w:val="18"/>
          <w:szCs w:val="18"/>
          <w:color w:val="auto"/>
        </w:rPr>
        <w:t>Where the Compensation Committee has established conditions to the exercisability or retention of certain awards, the 2025 Plan allows the Compensation Committee to take action in its discretion at or after the date of grant to adjust such conditions in certain circumstances, including in the case of the death, disability or retirement of a participant.</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19" w:firstLine="648"/>
        <w:spacing w:after="0" w:line="269" w:lineRule="auto"/>
        <w:rPr>
          <w:sz w:val="20"/>
          <w:szCs w:val="20"/>
          <w:color w:val="auto"/>
        </w:rPr>
      </w:pPr>
      <w:r>
        <w:rPr>
          <w:rFonts w:ascii="Arial" w:cs="Arial" w:eastAsia="Arial" w:hAnsi="Arial"/>
          <w:sz w:val="17"/>
          <w:szCs w:val="17"/>
          <w:color w:val="auto"/>
        </w:rPr>
        <w:t>Except with respect to adjustments made in connection with a corporate transaction (see “Adjustments” above) neither the Board nor the Compensation Committee may, without the further approval of the Company’s stockholders, authorize the amendment of any outstanding option right or appreciation right to reduce the option price or base price. Furthermore, without further approval of the stockholders of the Company (i) no option right or appreciation right may be cancelled and replaced with award(s) having a lower option price or base price, respectively, (ii) no option or appreciation right shall be cancelled in exchange for cash if the per share option price or per share base price exceeds the market value per share on the date of such cancellation and (iii) there shall be no cancellation of “underwater” option rights in exchange for other awards under the 2025 Plan. To the extent consistent with Section 409A of the Code, the Compensation Committee may permit participants to elect to defer the issuance or delivery of shares of common stock or the settlement of awards in cash under the 2025 Plan pursuant to such rules, procedures or programs as it may establish for purposes of the 2025 Plan. The Compensation Committee also may provide that deferred issuances or deliveries and settlements include the payment or crediting of dividend equivalents or interest on the deferral amounts.</w:t>
      </w:r>
    </w:p>
    <w:p>
      <w:pPr>
        <w:spacing w:after="0" w:line="173" w:lineRule="exact"/>
        <w:rPr>
          <w:sz w:val="20"/>
          <w:szCs w:val="20"/>
          <w:color w:val="auto"/>
        </w:rPr>
      </w:pPr>
    </w:p>
    <w:p>
      <w:pPr>
        <w:ind w:left="1260" w:right="479" w:firstLine="648"/>
        <w:spacing w:after="0" w:line="275" w:lineRule="auto"/>
        <w:rPr>
          <w:sz w:val="20"/>
          <w:szCs w:val="20"/>
          <w:color w:val="auto"/>
        </w:rPr>
      </w:pPr>
      <w:r>
        <w:rPr>
          <w:rFonts w:ascii="Arial" w:cs="Arial" w:eastAsia="Arial" w:hAnsi="Arial"/>
          <w:sz w:val="17"/>
          <w:szCs w:val="17"/>
          <w:color w:val="auto"/>
        </w:rPr>
        <w:t>The Compensation Committee may provide for special terms for awards to participants who are foreign nationals or who are employed by the Company or any of its affiliates or subsidiaries outside of the United States of America as the Compensation Committee may consider necessary or appropriate to accommodate differences in local law, tax policy, or custom; provided that no such special terms may include provisions that are inconsistent with the terms of the 2025 Plan, unless the Board could have amended the 2025 Plan to eliminate such inconsistency(ies) without obtaining stockholder approval.</w:t>
      </w:r>
    </w:p>
    <w:p>
      <w:pPr>
        <w:spacing w:after="0" w:line="168" w:lineRule="exact"/>
        <w:rPr>
          <w:sz w:val="20"/>
          <w:szCs w:val="20"/>
          <w:color w:val="auto"/>
        </w:rPr>
      </w:pPr>
    </w:p>
    <w:p>
      <w:pPr>
        <w:ind w:left="1260" w:right="619" w:firstLine="648"/>
        <w:spacing w:after="0" w:line="262" w:lineRule="auto"/>
        <w:rPr>
          <w:sz w:val="20"/>
          <w:szCs w:val="20"/>
          <w:color w:val="auto"/>
        </w:rPr>
      </w:pPr>
      <w:r>
        <w:rPr>
          <w:rFonts w:ascii="Arial" w:cs="Arial" w:eastAsia="Arial" w:hAnsi="Arial"/>
          <w:sz w:val="18"/>
          <w:szCs w:val="18"/>
          <w:i w:val="1"/>
          <w:iCs w:val="1"/>
          <w:color w:val="00ABD1"/>
        </w:rPr>
        <w:t xml:space="preserve">Termination. </w:t>
      </w:r>
      <w:r>
        <w:rPr>
          <w:rFonts w:ascii="Arial" w:cs="Arial" w:eastAsia="Arial" w:hAnsi="Arial"/>
          <w:sz w:val="18"/>
          <w:szCs w:val="18"/>
          <w:color w:val="000000"/>
        </w:rPr>
        <w:t>The 2025 Plan has a term of ten years from August 1, 2025 and no awards may</w:t>
      </w:r>
      <w:r>
        <w:rPr>
          <w:rFonts w:ascii="Arial" w:cs="Arial" w:eastAsia="Arial" w:hAnsi="Arial"/>
          <w:sz w:val="18"/>
          <w:szCs w:val="18"/>
          <w:i w:val="1"/>
          <w:iCs w:val="1"/>
          <w:color w:val="00ABD1"/>
        </w:rPr>
        <w:t xml:space="preserve"> </w:t>
      </w:r>
      <w:r>
        <w:rPr>
          <w:rFonts w:ascii="Arial" w:cs="Arial" w:eastAsia="Arial" w:hAnsi="Arial"/>
          <w:sz w:val="18"/>
          <w:szCs w:val="18"/>
          <w:color w:val="000000"/>
        </w:rPr>
        <w:t>be made under the 2025 Plan following the expiration of such ten-year period. Notwithstanding the expiration of the 2025 Plan, all grants made on or prior to the expiration of the 2025 Plan will remain in effect thereafter in accordance with their terms and the terms of the 2025 Plan.</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ABD1"/>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7" w:lineRule="exact"/>
        <w:rPr>
          <w:sz w:val="20"/>
          <w:szCs w:val="20"/>
          <w:color w:val="auto"/>
        </w:rPr>
      </w:pPr>
    </w:p>
    <w:p>
      <w:pPr>
        <w:ind w:left="1260" w:right="479" w:firstLine="648"/>
        <w:spacing w:after="0" w:line="262" w:lineRule="auto"/>
        <w:rPr>
          <w:sz w:val="20"/>
          <w:szCs w:val="20"/>
          <w:color w:val="auto"/>
        </w:rPr>
      </w:pPr>
      <w:r>
        <w:rPr>
          <w:rFonts w:ascii="Arial" w:cs="Arial" w:eastAsia="Arial" w:hAnsi="Arial"/>
          <w:sz w:val="18"/>
          <w:szCs w:val="18"/>
          <w:color w:val="auto"/>
        </w:rPr>
        <w:t>Future awards under the 2025 Plan are made at the discretion of the Compensation Committee and/or the Board. Therefore, at this time, the benefits that may be received by any participant or group of participants under the 2025 Plan if our stockholders approve this proposal cannot be precisely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ABD1"/>
        </w:rPr>
        <w:t>Securities Authorized for Issuance Under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7" w:lineRule="exact"/>
        <w:rPr>
          <w:sz w:val="20"/>
          <w:szCs w:val="20"/>
          <w:color w:val="auto"/>
        </w:rPr>
      </w:pPr>
    </w:p>
    <w:p>
      <w:pPr>
        <w:ind w:left="1260" w:right="439" w:firstLine="648"/>
        <w:spacing w:after="0" w:line="256" w:lineRule="auto"/>
        <w:rPr>
          <w:sz w:val="20"/>
          <w:szCs w:val="20"/>
          <w:color w:val="auto"/>
        </w:rPr>
      </w:pPr>
      <w:r>
        <w:rPr>
          <w:rFonts w:ascii="Arial" w:cs="Arial" w:eastAsia="Arial" w:hAnsi="Arial"/>
          <w:sz w:val="18"/>
          <w:szCs w:val="18"/>
          <w:color w:val="auto"/>
        </w:rPr>
        <w:t>In accordance with Item 201(d) of Regulation S-K under the Exchange Act, the following table sets forth information regarding the shares to be issued and the shares remaining available for issuance under our equity compensation plans as of December 31, 2025. The amounts shown do not include the shares that would be available for issuance under the 2025 Plan if this Proposal No. 2 is approved nor do they account for equity awards granted by the Company after December 31, 2025. For more information on the Company’s outstanding equity awards and shares available for future grant under the 2025 Plan as of March 31, 2026, see “History of Award Data” above.</w:t>
      </w:r>
    </w:p>
    <w:p>
      <w:pPr>
        <w:spacing w:after="0" w:line="206"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0" w:type="dxa"/>
            <w:vAlign w:val="bottom"/>
          </w:tcPr>
          <w:p>
            <w:pPr>
              <w:spacing w:after="0"/>
              <w:rPr>
                <w:sz w:val="17"/>
                <w:szCs w:val="17"/>
                <w:color w:val="auto"/>
              </w:rPr>
            </w:pPr>
          </w:p>
        </w:tc>
        <w:tc>
          <w:tcPr>
            <w:tcW w:w="5720" w:type="dxa"/>
            <w:vAlign w:val="bottom"/>
            <w:gridSpan w:val="5"/>
          </w:tcPr>
          <w:p>
            <w:pPr>
              <w:ind w:left="2460"/>
              <w:spacing w:after="0"/>
              <w:rPr>
                <w:sz w:val="20"/>
                <w:szCs w:val="20"/>
                <w:color w:val="auto"/>
              </w:rPr>
            </w:pPr>
            <w:r>
              <w:rPr>
                <w:rFonts w:ascii="Arial" w:cs="Arial" w:eastAsia="Arial" w:hAnsi="Arial"/>
                <w:sz w:val="14"/>
                <w:szCs w:val="14"/>
                <w:b w:val="1"/>
                <w:bCs w:val="1"/>
                <w:color w:val="auto"/>
              </w:rPr>
              <w:t>EQUITY COMPENSATION PLAN INFORMATION</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104"/>
              <w:spacing w:after="0"/>
              <w:rPr>
                <w:sz w:val="20"/>
                <w:szCs w:val="20"/>
                <w:color w:val="auto"/>
              </w:rPr>
            </w:pPr>
            <w:r>
              <w:rPr>
                <w:rFonts w:ascii="Arial" w:cs="Arial" w:eastAsia="Arial" w:hAnsi="Arial"/>
                <w:sz w:val="14"/>
                <w:szCs w:val="14"/>
                <w:b w:val="1"/>
                <w:bCs w:val="1"/>
                <w:color w:val="auto"/>
                <w:w w:val="99"/>
              </w:rPr>
              <w:t>Number of</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04"/>
              <w:spacing w:after="0"/>
              <w:rPr>
                <w:sz w:val="20"/>
                <w:szCs w:val="20"/>
                <w:color w:val="auto"/>
              </w:rPr>
            </w:pPr>
            <w:r>
              <w:rPr>
                <w:rFonts w:ascii="Arial" w:cs="Arial" w:eastAsia="Arial" w:hAnsi="Arial"/>
                <w:sz w:val="14"/>
                <w:szCs w:val="14"/>
                <w:b w:val="1"/>
                <w:bCs w:val="1"/>
                <w:color w:val="auto"/>
              </w:rPr>
              <w:t>securities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24"/>
              <w:spacing w:after="0"/>
              <w:rPr>
                <w:sz w:val="20"/>
                <w:szCs w:val="20"/>
                <w:color w:val="auto"/>
              </w:rPr>
            </w:pPr>
            <w:r>
              <w:rPr>
                <w:rFonts w:ascii="Arial" w:cs="Arial" w:eastAsia="Arial" w:hAnsi="Arial"/>
                <w:sz w:val="14"/>
                <w:szCs w:val="14"/>
                <w:b w:val="1"/>
                <w:bCs w:val="1"/>
                <w:color w:val="auto"/>
              </w:rPr>
              <w:t>remaining</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available for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securities to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future issuance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be issued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 equity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upon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exercise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exercise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price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04"/>
              <w:spacing w:after="0"/>
              <w:rPr>
                <w:sz w:val="20"/>
                <w:szCs w:val="20"/>
                <w:color w:val="auto"/>
              </w:rPr>
            </w:pPr>
            <w:r>
              <w:rPr>
                <w:rFonts w:ascii="Arial" w:cs="Arial" w:eastAsia="Arial" w:hAnsi="Arial"/>
                <w:sz w:val="14"/>
                <w:szCs w:val="14"/>
                <w:b w:val="1"/>
                <w:bCs w:val="1"/>
                <w:color w:val="auto"/>
              </w:rPr>
              <w:t>plans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outstanding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outstanding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04"/>
              <w:spacing w:after="0"/>
              <w:rPr>
                <w:sz w:val="20"/>
                <w:szCs w:val="20"/>
                <w:color w:val="auto"/>
              </w:rPr>
            </w:pPr>
            <w:r>
              <w:rPr>
                <w:rFonts w:ascii="Arial" w:cs="Arial" w:eastAsia="Arial" w:hAnsi="Arial"/>
                <w:sz w:val="14"/>
                <w:szCs w:val="14"/>
                <w:b w:val="1"/>
                <w:bCs w:val="1"/>
                <w:color w:val="auto"/>
                <w:w w:val="99"/>
              </w:rPr>
              <w:t>(excluding</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04"/>
              <w:spacing w:after="0"/>
              <w:rPr>
                <w:sz w:val="20"/>
                <w:szCs w:val="20"/>
                <w:color w:val="auto"/>
              </w:rPr>
            </w:pPr>
            <w:r>
              <w:rPr>
                <w:rFonts w:ascii="Arial" w:cs="Arial" w:eastAsia="Arial" w:hAnsi="Arial"/>
                <w:sz w:val="14"/>
                <w:szCs w:val="14"/>
                <w:b w:val="1"/>
                <w:bCs w:val="1"/>
                <w:color w:val="auto"/>
              </w:rPr>
              <w:t>securities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warrants and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warrants and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reflected in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7"/>
        </w:trPr>
        <w:tc>
          <w:tcPr>
            <w:tcW w:w="60" w:type="dxa"/>
            <w:vAlign w:val="bottom"/>
          </w:tcPr>
          <w:p>
            <w:pPr>
              <w:spacing w:after="0"/>
              <w:rPr>
                <w:sz w:val="17"/>
                <w:szCs w:val="17"/>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Category</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rights</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rights</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column (a))</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65"/>
        </w:trPr>
        <w:tc>
          <w:tcPr>
            <w:tcW w:w="6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80" w:type="dxa"/>
            <w:vAlign w:val="bottom"/>
          </w:tcPr>
          <w:p>
            <w:pPr>
              <w:jc w:val="center"/>
              <w:ind w:right="84"/>
              <w:spacing w:after="0"/>
              <w:rPr>
                <w:sz w:val="20"/>
                <w:szCs w:val="20"/>
                <w:color w:val="auto"/>
              </w:rPr>
            </w:pPr>
            <w:r>
              <w:rPr>
                <w:rFonts w:ascii="Arial" w:cs="Arial" w:eastAsia="Arial" w:hAnsi="Arial"/>
                <w:sz w:val="18"/>
                <w:szCs w:val="18"/>
                <w:color w:val="auto"/>
                <w:w w:val="95"/>
              </w:rPr>
              <w:t>(c)</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8"/>
        </w:trPr>
        <w:tc>
          <w:tcPr>
            <w:tcW w:w="60" w:type="dxa"/>
            <w:vAlign w:val="bottom"/>
            <w:shd w:val="clear" w:color="auto" w:fill="B2B2B2"/>
          </w:tcPr>
          <w:p>
            <w:pPr>
              <w:spacing w:after="0"/>
              <w:rPr>
                <w:sz w:val="20"/>
                <w:szCs w:val="20"/>
                <w:color w:val="auto"/>
              </w:rPr>
            </w:pPr>
          </w:p>
        </w:tc>
        <w:tc>
          <w:tcPr>
            <w:tcW w:w="45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Equity compensation plans approved by security</w:t>
            </w:r>
          </w:p>
        </w:tc>
        <w:tc>
          <w:tcPr>
            <w:tcW w:w="900" w:type="dxa"/>
            <w:vAlign w:val="bottom"/>
            <w:shd w:val="clear" w:color="auto" w:fill="B2B2B2"/>
          </w:tcPr>
          <w:p>
            <w:pPr>
              <w:spacing w:after="0"/>
              <w:rPr>
                <w:sz w:val="20"/>
                <w:szCs w:val="20"/>
                <w:color w:val="auto"/>
              </w:rPr>
            </w:pPr>
          </w:p>
        </w:tc>
        <w:tc>
          <w:tcPr>
            <w:tcW w:w="20" w:type="dxa"/>
            <w:vAlign w:val="bottom"/>
            <w:shd w:val="clear" w:color="auto" w:fill="B2B2B2"/>
          </w:tcPr>
          <w:p>
            <w:pPr>
              <w:spacing w:after="0"/>
              <w:rPr>
                <w:sz w:val="20"/>
                <w:szCs w:val="20"/>
                <w:color w:val="auto"/>
              </w:rPr>
            </w:pPr>
          </w:p>
        </w:tc>
        <w:tc>
          <w:tcPr>
            <w:tcW w:w="220" w:type="dxa"/>
            <w:vAlign w:val="bottom"/>
            <w:shd w:val="clear" w:color="auto" w:fill="B2B2B2"/>
          </w:tcPr>
          <w:p>
            <w:pPr>
              <w:spacing w:after="0"/>
              <w:rPr>
                <w:sz w:val="20"/>
                <w:szCs w:val="20"/>
                <w:color w:val="auto"/>
              </w:rPr>
            </w:pPr>
          </w:p>
        </w:tc>
        <w:tc>
          <w:tcPr>
            <w:tcW w:w="900" w:type="dxa"/>
            <w:vAlign w:val="bottom"/>
            <w:shd w:val="clear" w:color="auto" w:fill="B2B2B2"/>
          </w:tcPr>
          <w:p>
            <w:pPr>
              <w:spacing w:after="0"/>
              <w:rPr>
                <w:sz w:val="20"/>
                <w:szCs w:val="20"/>
                <w:color w:val="auto"/>
              </w:rPr>
            </w:pPr>
          </w:p>
        </w:tc>
        <w:tc>
          <w:tcPr>
            <w:tcW w:w="20" w:type="dxa"/>
            <w:vAlign w:val="bottom"/>
            <w:shd w:val="clear" w:color="auto" w:fill="B2B2B2"/>
          </w:tcPr>
          <w:p>
            <w:pPr>
              <w:spacing w:after="0"/>
              <w:rPr>
                <w:sz w:val="20"/>
                <w:szCs w:val="20"/>
                <w:color w:val="auto"/>
              </w:rPr>
            </w:pPr>
          </w:p>
        </w:tc>
        <w:tc>
          <w:tcPr>
            <w:tcW w:w="220" w:type="dxa"/>
            <w:vAlign w:val="bottom"/>
            <w:shd w:val="clear" w:color="auto" w:fill="B2B2B2"/>
          </w:tcPr>
          <w:p>
            <w:pPr>
              <w:spacing w:after="0"/>
              <w:rPr>
                <w:sz w:val="20"/>
                <w:szCs w:val="20"/>
                <w:color w:val="auto"/>
              </w:rPr>
            </w:pPr>
          </w:p>
        </w:tc>
        <w:tc>
          <w:tcPr>
            <w:tcW w:w="180" w:type="dxa"/>
            <w:vAlign w:val="bottom"/>
            <w:shd w:val="clear" w:color="auto" w:fill="B2B2B2"/>
          </w:tcPr>
          <w:p>
            <w:pPr>
              <w:spacing w:after="0"/>
              <w:rPr>
                <w:sz w:val="20"/>
                <w:szCs w:val="20"/>
                <w:color w:val="auto"/>
              </w:rPr>
            </w:pPr>
          </w:p>
        </w:tc>
        <w:tc>
          <w:tcPr>
            <w:tcW w:w="880" w:type="dxa"/>
            <w:vAlign w:val="bottom"/>
            <w:shd w:val="clear" w:color="auto" w:fill="B2B2B2"/>
          </w:tcPr>
          <w:p>
            <w:pPr>
              <w:spacing w:after="0"/>
              <w:rPr>
                <w:sz w:val="20"/>
                <w:szCs w:val="20"/>
                <w:color w:val="auto"/>
              </w:rPr>
            </w:pPr>
          </w:p>
        </w:tc>
        <w:tc>
          <w:tcPr>
            <w:tcW w:w="4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r>
      <w:tr>
        <w:trPr>
          <w:trHeight w:val="248"/>
        </w:trPr>
        <w:tc>
          <w:tcPr>
            <w:tcW w:w="60" w:type="dxa"/>
            <w:vAlign w:val="bottom"/>
            <w:shd w:val="clear" w:color="auto" w:fill="B2B2B2"/>
          </w:tcPr>
          <w:p>
            <w:pPr>
              <w:spacing w:after="0"/>
              <w:rPr>
                <w:sz w:val="21"/>
                <w:szCs w:val="21"/>
                <w:color w:val="auto"/>
              </w:rPr>
            </w:pPr>
          </w:p>
        </w:tc>
        <w:tc>
          <w:tcPr>
            <w:tcW w:w="458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holders</w:t>
            </w:r>
          </w:p>
        </w:tc>
        <w:tc>
          <w:tcPr>
            <w:tcW w:w="900" w:type="dxa"/>
            <w:vAlign w:val="bottom"/>
            <w:shd w:val="clear" w:color="auto" w:fill="B2B2B2"/>
          </w:tcPr>
          <w:p>
            <w:pPr>
              <w:jc w:val="center"/>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B2B2B2"/>
          </w:tcPr>
          <w:p>
            <w:pPr>
              <w:jc w:val="center"/>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B2B2B2"/>
          </w:tcPr>
          <w:p>
            <w:pPr>
              <w:ind w:left="120"/>
              <w:spacing w:after="0"/>
              <w:rPr>
                <w:sz w:val="20"/>
                <w:szCs w:val="20"/>
                <w:color w:val="auto"/>
              </w:rPr>
            </w:pPr>
            <w:r>
              <w:rPr>
                <w:rFonts w:ascii="Arial" w:cs="Arial" w:eastAsia="Arial" w:hAnsi="Arial"/>
                <w:sz w:val="18"/>
                <w:szCs w:val="18"/>
                <w:color w:val="auto"/>
              </w:rPr>
              <w:t>​6,737,993(1)​</w:t>
            </w:r>
          </w:p>
        </w:tc>
      </w:tr>
      <w:tr>
        <w:trPr>
          <w:trHeight w:val="238"/>
        </w:trPr>
        <w:tc>
          <w:tcPr>
            <w:tcW w:w="6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60" w:type="dxa"/>
            <w:vAlign w:val="bottom"/>
          </w:tcPr>
          <w:p>
            <w:pPr>
              <w:spacing w:after="0"/>
              <w:rPr>
                <w:sz w:val="21"/>
                <w:szCs w:val="21"/>
                <w:color w:val="auto"/>
              </w:rPr>
            </w:pPr>
          </w:p>
        </w:tc>
        <w:tc>
          <w:tcPr>
            <w:tcW w:w="4580" w:type="dxa"/>
            <w:vAlign w:val="bottom"/>
            <w:gridSpan w:val="2"/>
          </w:tcPr>
          <w:p>
            <w:pPr>
              <w:ind w:left="180"/>
              <w:spacing w:after="0"/>
              <w:rPr>
                <w:sz w:val="20"/>
                <w:szCs w:val="20"/>
                <w:color w:val="auto"/>
              </w:rPr>
            </w:pPr>
            <w:r>
              <w:rPr>
                <w:rFonts w:ascii="Arial" w:cs="Arial" w:eastAsia="Arial" w:hAnsi="Arial"/>
                <w:sz w:val="18"/>
                <w:szCs w:val="18"/>
                <w:color w:val="auto"/>
              </w:rPr>
              <w:t>holders</w:t>
            </w: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324"/>
        </w:trPr>
        <w:tc>
          <w:tcPr>
            <w:tcW w:w="60" w:type="dxa"/>
            <w:vAlign w:val="bottom"/>
            <w:shd w:val="clear" w:color="auto" w:fill="B2B2B2"/>
          </w:tcPr>
          <w:p>
            <w:pPr>
              <w:spacing w:after="0"/>
              <w:rPr>
                <w:sz w:val="24"/>
                <w:szCs w:val="24"/>
                <w:color w:val="auto"/>
              </w:rPr>
            </w:pPr>
          </w:p>
        </w:tc>
        <w:tc>
          <w:tcPr>
            <w:tcW w:w="45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B2B2B2"/>
          </w:tcPr>
          <w:p>
            <w:pPr>
              <w:jc w:val="center"/>
              <w:spacing w:after="0" w:line="324" w:lineRule="exact"/>
              <w:rPr>
                <w:sz w:val="20"/>
                <w:szCs w:val="20"/>
                <w:color w:val="auto"/>
              </w:rPr>
            </w:pPr>
            <w:r>
              <w:rPr>
                <w:rFonts w:ascii="Arial" w:cs="Arial" w:eastAsia="Arial" w:hAnsi="Arial"/>
                <w:sz w:val="18"/>
                <w:szCs w:val="18"/>
                <w:color w:val="auto"/>
                <w:w w:val="85"/>
              </w:rPr>
              <w:t>​</w:t>
            </w:r>
            <w:r>
              <w:rPr>
                <w:rFonts w:ascii="Arial" w:cs="Arial" w:eastAsia="Arial" w:hAnsi="Arial"/>
                <w:sz w:val="35"/>
                <w:szCs w:val="35"/>
                <w:color w:val="auto"/>
                <w:w w:val="85"/>
                <w:vertAlign w:val="superscript"/>
              </w:rPr>
              <w:t>—</w:t>
            </w:r>
          </w:p>
        </w:tc>
        <w:tc>
          <w:tcPr>
            <w:tcW w:w="24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B2B2B2"/>
          </w:tcPr>
          <w:p>
            <w:pPr>
              <w:jc w:val="center"/>
              <w:spacing w:after="0" w:line="324" w:lineRule="exact"/>
              <w:rPr>
                <w:sz w:val="20"/>
                <w:szCs w:val="20"/>
                <w:color w:val="auto"/>
              </w:rPr>
            </w:pPr>
            <w:r>
              <w:rPr>
                <w:rFonts w:ascii="Arial" w:cs="Arial" w:eastAsia="Arial" w:hAnsi="Arial"/>
                <w:sz w:val="18"/>
                <w:szCs w:val="18"/>
                <w:color w:val="auto"/>
                <w:w w:val="85"/>
              </w:rPr>
              <w:t>​</w:t>
            </w:r>
            <w:r>
              <w:rPr>
                <w:rFonts w:ascii="Arial" w:cs="Arial" w:eastAsia="Arial" w:hAnsi="Arial"/>
                <w:sz w:val="35"/>
                <w:szCs w:val="35"/>
                <w:color w:val="auto"/>
                <w:w w:val="85"/>
                <w:vertAlign w:val="superscript"/>
              </w:rPr>
              <w:t>—</w:t>
            </w:r>
          </w:p>
        </w:tc>
        <w:tc>
          <w:tcPr>
            <w:tcW w:w="24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B2B2B2"/>
          </w:tcPr>
          <w:p>
            <w:pPr>
              <w:ind w:left="120"/>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6,737,993</w:t>
            </w:r>
          </w:p>
        </w:tc>
        <w:tc>
          <w:tcPr>
            <w:tcW w:w="14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w:t>
            </w:r>
          </w:p>
        </w:tc>
      </w:tr>
    </w:tbl>
    <w:p>
      <w:pPr>
        <w:spacing w:after="0" w:line="170" w:lineRule="exact"/>
        <w:rPr>
          <w:sz w:val="20"/>
          <w:szCs w:val="20"/>
          <w:color w:val="auto"/>
        </w:rPr>
      </w:pPr>
    </w:p>
    <w:p>
      <w:pPr>
        <w:ind w:left="1900" w:right="699" w:hanging="640"/>
        <w:spacing w:after="0" w:line="287" w:lineRule="auto"/>
        <w:tabs>
          <w:tab w:leader="none" w:pos="1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 includes 5,737,993 shares available for issuance under the 2025 Plan and 1,000,000 shares under the Uniti Group Inc.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126365</wp:posOffset>
            </wp:positionV>
            <wp:extent cx="5212080" cy="1157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2080" cy="1157605"/>
                    </a:xfrm>
                    <a:prstGeom prst="rect">
                      <a:avLst/>
                    </a:prstGeom>
                    <a:noFill/>
                  </pic:spPr>
                </pic:pic>
              </a:graphicData>
            </a:graphic>
          </wp:anchor>
        </w:drawing>
      </w:r>
    </w:p>
    <w:p>
      <w:pPr>
        <w:spacing w:after="0" w:line="25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FFFFFF"/>
        </w:rPr>
        <w:t>BOARD RECOMMENDATION</w:t>
      </w:r>
    </w:p>
    <w:p>
      <w:pPr>
        <w:spacing w:after="0" w:line="266" w:lineRule="exact"/>
        <w:rPr>
          <w:sz w:val="20"/>
          <w:szCs w:val="20"/>
          <w:color w:val="auto"/>
        </w:rPr>
      </w:pPr>
    </w:p>
    <w:p>
      <w:pPr>
        <w:ind w:left="1380" w:right="859"/>
        <w:spacing w:after="0" w:line="296" w:lineRule="auto"/>
        <w:rPr>
          <w:sz w:val="20"/>
          <w:szCs w:val="20"/>
          <w:color w:val="auto"/>
        </w:rPr>
      </w:pPr>
      <w:r>
        <w:rPr>
          <w:rFonts w:ascii="Arial" w:cs="Arial" w:eastAsia="Arial" w:hAnsi="Arial"/>
          <w:sz w:val="18"/>
          <w:szCs w:val="18"/>
          <w:color w:val="FFFFFF"/>
        </w:rPr>
        <w:t>THE BOARD OF DIRECTORS UNANIMOUSLY RECOMMENDS THAT STOCKHOLDERS VOTE “</w:t>
      </w:r>
      <w:r>
        <w:rPr>
          <w:rFonts w:ascii="Arial" w:cs="Arial" w:eastAsia="Arial" w:hAnsi="Arial"/>
          <w:sz w:val="18"/>
          <w:szCs w:val="18"/>
          <w:b w:val="1"/>
          <w:bCs w:val="1"/>
          <w:color w:val="FFFFFF"/>
        </w:rPr>
        <w:t>FOR</w:t>
      </w:r>
      <w:r>
        <w:rPr>
          <w:rFonts w:ascii="Arial" w:cs="Arial" w:eastAsia="Arial" w:hAnsi="Arial"/>
          <w:sz w:val="18"/>
          <w:szCs w:val="18"/>
          <w:color w:val="FFFFFF"/>
        </w:rPr>
        <w:t>” PROPOSAL NO. 2.</w:t>
      </w:r>
    </w:p>
    <w:p>
      <w:pPr>
        <w:spacing w:after="0" w:line="191" w:lineRule="exact"/>
        <w:rPr>
          <w:sz w:val="20"/>
          <w:szCs w:val="20"/>
          <w:color w:val="auto"/>
        </w:rPr>
      </w:pPr>
    </w:p>
    <w:p>
      <w:pPr>
        <w:ind w:left="1380"/>
        <w:spacing w:after="0"/>
        <w:rPr>
          <w:sz w:val="20"/>
          <w:szCs w:val="20"/>
          <w:color w:val="auto"/>
        </w:rPr>
      </w:pPr>
      <w:r>
        <w:rPr>
          <w:rFonts w:ascii="Arial" w:cs="Arial" w:eastAsia="Arial" w:hAnsi="Arial"/>
          <w:sz w:val="18"/>
          <w:szCs w:val="18"/>
          <w:color w:val="FFFFFF"/>
        </w:rPr>
        <w:t>PROXIES SOLICITED BY THE BOARD OF DIRECTORS WILL BE VOTED “</w:t>
      </w:r>
      <w:r>
        <w:rPr>
          <w:rFonts w:ascii="Arial" w:cs="Arial" w:eastAsia="Arial" w:hAnsi="Arial"/>
          <w:sz w:val="18"/>
          <w:szCs w:val="18"/>
          <w:b w:val="1"/>
          <w:bCs w:val="1"/>
          <w:color w:val="FFFFFF"/>
        </w:rPr>
        <w:t>FOR</w:t>
      </w:r>
      <w:r>
        <w:rPr>
          <w:rFonts w:ascii="Arial" w:cs="Arial" w:eastAsia="Arial" w:hAnsi="Arial"/>
          <w:sz w:val="18"/>
          <w:szCs w:val="18"/>
          <w:color w:val="FFFFFF"/>
        </w:rPr>
        <w:t>” PROPOSAL NO.</w:t>
      </w:r>
    </w:p>
    <w:p>
      <w:pPr>
        <w:spacing w:after="0" w:line="27" w:lineRule="exact"/>
        <w:rPr>
          <w:sz w:val="20"/>
          <w:szCs w:val="20"/>
          <w:color w:val="auto"/>
        </w:rPr>
      </w:pPr>
    </w:p>
    <w:p>
      <w:pPr>
        <w:ind w:left="1380"/>
        <w:spacing w:after="0"/>
        <w:rPr>
          <w:sz w:val="20"/>
          <w:szCs w:val="20"/>
          <w:color w:val="auto"/>
        </w:rPr>
      </w:pPr>
      <w:r>
        <w:rPr>
          <w:rFonts w:ascii="Arial" w:cs="Arial" w:eastAsia="Arial" w:hAnsi="Arial"/>
          <w:sz w:val="18"/>
          <w:szCs w:val="18"/>
          <w:color w:val="FFFFFF"/>
        </w:rPr>
        <w:t>2 UNLESS STOCKHOLDERS SPECIFY A CONTRARY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00ABD1"/>
        </w:rPr>
        <w:t>SECURITY OWNERSHIP OF CERTAIN BENEFICIAL OWNERS AND</w:t>
      </w:r>
    </w:p>
    <w:p>
      <w:pPr>
        <w:spacing w:after="0" w:line="39"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00ABD1"/>
        </w:rPr>
        <w:t>MANAGEMENT</w:t>
      </w:r>
    </w:p>
    <w:p>
      <w:pPr>
        <w:spacing w:after="0" w:line="194" w:lineRule="exact"/>
        <w:rPr>
          <w:sz w:val="20"/>
          <w:szCs w:val="20"/>
          <w:color w:val="auto"/>
        </w:rPr>
      </w:pPr>
    </w:p>
    <w:p>
      <w:pPr>
        <w:ind w:left="1260" w:right="479" w:firstLine="648"/>
        <w:spacing w:after="0" w:line="303"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March 23, 2026 (except to the extent indicated otherwise in footnotes), by:</w:t>
      </w:r>
    </w:p>
    <w:p>
      <w:pPr>
        <w:spacing w:after="0" w:line="166" w:lineRule="exact"/>
        <w:rPr>
          <w:sz w:val="20"/>
          <w:szCs w:val="20"/>
          <w:color w:val="auto"/>
        </w:rPr>
      </w:pPr>
    </w:p>
    <w:p>
      <w:pPr>
        <w:ind w:left="2080" w:hanging="172"/>
        <w:spacing w:after="0"/>
        <w:tabs>
          <w:tab w:leader="none" w:pos="2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directors and director nominees;</w:t>
      </w:r>
    </w:p>
    <w:p>
      <w:pPr>
        <w:spacing w:after="0" w:line="238" w:lineRule="exact"/>
        <w:rPr>
          <w:rFonts w:ascii="Arial" w:cs="Arial" w:eastAsia="Arial" w:hAnsi="Arial"/>
          <w:sz w:val="18"/>
          <w:szCs w:val="18"/>
          <w:color w:val="auto"/>
        </w:rPr>
      </w:pPr>
    </w:p>
    <w:p>
      <w:pPr>
        <w:ind w:left="2080" w:hanging="172"/>
        <w:spacing w:after="0"/>
        <w:tabs>
          <w:tab w:leader="none" w:pos="2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named executive officers;</w:t>
      </w:r>
    </w:p>
    <w:p>
      <w:pPr>
        <w:spacing w:after="0" w:line="252" w:lineRule="exact"/>
        <w:rPr>
          <w:rFonts w:ascii="Arial" w:cs="Arial" w:eastAsia="Arial" w:hAnsi="Arial"/>
          <w:sz w:val="18"/>
          <w:szCs w:val="18"/>
          <w:color w:val="auto"/>
        </w:rPr>
      </w:pPr>
    </w:p>
    <w:p>
      <w:pPr>
        <w:ind w:left="2080" w:hanging="172"/>
        <w:spacing w:after="0"/>
        <w:tabs>
          <w:tab w:leader="none" w:pos="2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of our current directors, director nominees and executive officers as a group; and</w:t>
      </w:r>
    </w:p>
    <w:p>
      <w:pPr>
        <w:spacing w:after="0" w:line="252" w:lineRule="exact"/>
        <w:rPr>
          <w:rFonts w:ascii="Arial" w:cs="Arial" w:eastAsia="Arial" w:hAnsi="Arial"/>
          <w:sz w:val="18"/>
          <w:szCs w:val="18"/>
          <w:color w:val="auto"/>
        </w:rPr>
      </w:pPr>
    </w:p>
    <w:p>
      <w:pPr>
        <w:ind w:left="2080" w:right="499" w:hanging="172"/>
        <w:spacing w:after="0" w:line="287" w:lineRule="auto"/>
        <w:tabs>
          <w:tab w:leader="none" w:pos="2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other person, or group of affiliated persons, who is known by us to beneficially own more than 5% of our common stock.</w:t>
      </w:r>
    </w:p>
    <w:p>
      <w:pPr>
        <w:spacing w:after="0" w:line="153" w:lineRule="exact"/>
        <w:rPr>
          <w:sz w:val="20"/>
          <w:szCs w:val="20"/>
          <w:color w:val="auto"/>
        </w:rPr>
      </w:pPr>
    </w:p>
    <w:p>
      <w:pPr>
        <w:ind w:left="1260" w:right="439" w:firstLine="648"/>
        <w:spacing w:after="0" w:line="262" w:lineRule="auto"/>
        <w:rPr>
          <w:sz w:val="20"/>
          <w:szCs w:val="20"/>
          <w:color w:val="auto"/>
        </w:rPr>
      </w:pPr>
      <w:r>
        <w:rPr>
          <w:rFonts w:ascii="Arial" w:cs="Arial" w:eastAsia="Arial" w:hAnsi="Arial"/>
          <w:sz w:val="18"/>
          <w:szCs w:val="18"/>
          <w:color w:val="auto"/>
        </w:rPr>
        <w:t>The percentages in the tables below are based on 242,674,150 shares of common stock outstanding as of March 23, 2026. The amounts and percentages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the security, or “investment power,” which includes the power to dispose of or to direct the disposition of the security. A person is also deemed to be a beneficial owner of any securities of which that person has a right to acquire beneficial ownership within 60 days. Under these rules, more than one person may be deemed a beneficial owner of the same securities and a person may be deemed to be a beneficial owner of securities as to which that person has no economic interest. Except as otherwise noted, the persons and entities listed in the table below have sole voting and investing power with respect to all of the shares of our common stock they beneficially own subject to community property laws where applicable. Except as otherwise set forth below, the address of the beneficial owner is c/o Uniti Group Inc., 2101 Riverfront Drive, Suite A, Little Rock, Arkansas 72202.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98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2400" w:type="dxa"/>
            <w:vAlign w:val="bottom"/>
          </w:tcPr>
          <w:p>
            <w:pPr>
              <w:jc w:val="center"/>
              <w:ind w:left="748"/>
              <w:spacing w:after="0"/>
              <w:rPr>
                <w:sz w:val="20"/>
                <w:szCs w:val="20"/>
                <w:color w:val="auto"/>
              </w:rPr>
            </w:pPr>
            <w:r>
              <w:rPr>
                <w:rFonts w:ascii="Arial" w:cs="Arial" w:eastAsia="Arial" w:hAnsi="Arial"/>
                <w:sz w:val="14"/>
                <w:szCs w:val="14"/>
                <w:b w:val="1"/>
                <w:bCs w:val="1"/>
                <w:color w:val="auto"/>
              </w:rPr>
              <w:t>Amount and Nature</w:t>
            </w:r>
          </w:p>
        </w:tc>
        <w:tc>
          <w:tcPr>
            <w:tcW w:w="1580" w:type="dxa"/>
            <w:vAlign w:val="bottom"/>
          </w:tcPr>
          <w:p>
            <w:pPr>
              <w:jc w:val="center"/>
              <w:ind w:left="68"/>
              <w:spacing w:after="0"/>
              <w:rPr>
                <w:sz w:val="20"/>
                <w:szCs w:val="20"/>
                <w:color w:val="auto"/>
              </w:rPr>
            </w:pPr>
            <w:r>
              <w:rPr>
                <w:rFonts w:ascii="Arial" w:cs="Arial" w:eastAsia="Arial" w:hAnsi="Arial"/>
                <w:sz w:val="14"/>
                <w:szCs w:val="14"/>
                <w:b w:val="1"/>
                <w:bCs w:val="1"/>
                <w:color w:val="auto"/>
              </w:rPr>
              <w:t>Percentage of Shares</w:t>
            </w:r>
          </w:p>
        </w:tc>
      </w:tr>
      <w:tr>
        <w:trPr>
          <w:trHeight w:val="162"/>
        </w:trPr>
        <w:tc>
          <w:tcPr>
            <w:tcW w:w="2420" w:type="dxa"/>
            <w:vAlign w:val="bottom"/>
          </w:tcPr>
          <w:p>
            <w:pPr>
              <w:jc w:val="center"/>
              <w:ind w:right="888"/>
              <w:spacing w:after="0"/>
              <w:rPr>
                <w:sz w:val="20"/>
                <w:szCs w:val="20"/>
                <w:color w:val="auto"/>
              </w:rPr>
            </w:pPr>
            <w:r>
              <w:rPr>
                <w:rFonts w:ascii="Arial" w:cs="Arial" w:eastAsia="Arial" w:hAnsi="Arial"/>
                <w:sz w:val="14"/>
                <w:szCs w:val="14"/>
                <w:b w:val="1"/>
                <w:bCs w:val="1"/>
                <w:color w:val="auto"/>
              </w:rPr>
              <w:t>Name and Address of</w:t>
            </w:r>
          </w:p>
        </w:tc>
        <w:tc>
          <w:tcPr>
            <w:tcW w:w="2400" w:type="dxa"/>
            <w:vAlign w:val="bottom"/>
          </w:tcPr>
          <w:p>
            <w:pPr>
              <w:jc w:val="center"/>
              <w:ind w:left="768"/>
              <w:spacing w:after="0"/>
              <w:rPr>
                <w:sz w:val="20"/>
                <w:szCs w:val="20"/>
                <w:color w:val="auto"/>
              </w:rPr>
            </w:pPr>
            <w:r>
              <w:rPr>
                <w:rFonts w:ascii="Arial" w:cs="Arial" w:eastAsia="Arial" w:hAnsi="Arial"/>
                <w:sz w:val="14"/>
                <w:szCs w:val="14"/>
                <w:b w:val="1"/>
                <w:bCs w:val="1"/>
                <w:color w:val="auto"/>
              </w:rPr>
              <w:t>of Beneficial</w:t>
            </w:r>
          </w:p>
        </w:tc>
        <w:tc>
          <w:tcPr>
            <w:tcW w:w="1580" w:type="dxa"/>
            <w:vAlign w:val="bottom"/>
          </w:tcPr>
          <w:p>
            <w:pPr>
              <w:jc w:val="center"/>
              <w:ind w:left="48"/>
              <w:spacing w:after="0"/>
              <w:rPr>
                <w:sz w:val="20"/>
                <w:szCs w:val="20"/>
                <w:color w:val="auto"/>
              </w:rPr>
            </w:pPr>
            <w:r>
              <w:rPr>
                <w:rFonts w:ascii="Arial" w:cs="Arial" w:eastAsia="Arial" w:hAnsi="Arial"/>
                <w:sz w:val="14"/>
                <w:szCs w:val="14"/>
                <w:b w:val="1"/>
                <w:bCs w:val="1"/>
                <w:color w:val="auto"/>
              </w:rPr>
              <w:t>of Common Stock</w:t>
            </w:r>
          </w:p>
        </w:tc>
      </w:tr>
      <w:tr>
        <w:trPr>
          <w:trHeight w:val="196"/>
        </w:trPr>
        <w:tc>
          <w:tcPr>
            <w:tcW w:w="2420" w:type="dxa"/>
            <w:vAlign w:val="bottom"/>
          </w:tcPr>
          <w:p>
            <w:pPr>
              <w:jc w:val="center"/>
              <w:ind w:right="848"/>
              <w:spacing w:after="0"/>
              <w:rPr>
                <w:sz w:val="20"/>
                <w:szCs w:val="20"/>
                <w:color w:val="auto"/>
              </w:rPr>
            </w:pPr>
            <w:r>
              <w:rPr>
                <w:rFonts w:ascii="Arial" w:cs="Arial" w:eastAsia="Arial" w:hAnsi="Arial"/>
                <w:sz w:val="14"/>
                <w:szCs w:val="14"/>
                <w:b w:val="1"/>
                <w:bCs w:val="1"/>
                <w:color w:val="auto"/>
              </w:rPr>
              <w:t>Beneficial Owner</w:t>
            </w:r>
          </w:p>
        </w:tc>
        <w:tc>
          <w:tcPr>
            <w:tcW w:w="2400" w:type="dxa"/>
            <w:vAlign w:val="bottom"/>
          </w:tcPr>
          <w:p>
            <w:pPr>
              <w:jc w:val="center"/>
              <w:ind w:left="788"/>
              <w:spacing w:after="0"/>
              <w:rPr>
                <w:sz w:val="20"/>
                <w:szCs w:val="20"/>
                <w:color w:val="auto"/>
              </w:rPr>
            </w:pPr>
            <w:r>
              <w:rPr>
                <w:rFonts w:ascii="Arial" w:cs="Arial" w:eastAsia="Arial" w:hAnsi="Arial"/>
                <w:sz w:val="14"/>
                <w:szCs w:val="14"/>
                <w:b w:val="1"/>
                <w:bCs w:val="1"/>
                <w:color w:val="auto"/>
              </w:rPr>
              <w:t>Ownership</w:t>
            </w:r>
          </w:p>
        </w:tc>
        <w:tc>
          <w:tcPr>
            <w:tcW w:w="1580" w:type="dxa"/>
            <w:vAlign w:val="bottom"/>
          </w:tcPr>
          <w:p>
            <w:pPr>
              <w:jc w:val="center"/>
              <w:ind w:left="88"/>
              <w:spacing w:after="0"/>
              <w:rPr>
                <w:sz w:val="20"/>
                <w:szCs w:val="20"/>
                <w:color w:val="auto"/>
              </w:rPr>
            </w:pPr>
            <w:r>
              <w:rPr>
                <w:rFonts w:ascii="Arial" w:cs="Arial" w:eastAsia="Arial" w:hAnsi="Arial"/>
                <w:sz w:val="14"/>
                <w:szCs w:val="14"/>
                <w:b w:val="1"/>
                <w:bCs w:val="1"/>
                <w:color w:val="auto"/>
              </w:rPr>
              <w:t>Beneficially Owned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Jarrett Appleby</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Scott G.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Paul Bullington</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Randy Dunbar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Francis X. (“Skip”) Frantz</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Michael Friloux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Kenneth A. Gunderman</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John Harrobin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Daniel L. Heard</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Mary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Joseph Natale</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Carmen Perez-Carlton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Paul Sunu</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Johannes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Harold Zeitz</w:t>
      </w:r>
    </w:p>
    <w:p>
      <w:pPr>
        <w:spacing w:after="0" w:line="50" w:lineRule="exact"/>
        <w:rPr>
          <w:sz w:val="20"/>
          <w:szCs w:val="20"/>
          <w:color w:val="auto"/>
        </w:rPr>
      </w:pPr>
    </w:p>
    <w:p>
      <w:pPr>
        <w:ind w:left="1320"/>
        <w:spacing w:after="0" w:line="281" w:lineRule="auto"/>
        <w:rPr>
          <w:sz w:val="20"/>
          <w:szCs w:val="20"/>
          <w:color w:val="auto"/>
        </w:rPr>
      </w:pPr>
      <w:r>
        <w:rPr>
          <w:rFonts w:ascii="Arial" w:cs="Arial" w:eastAsia="Arial" w:hAnsi="Arial"/>
          <w:sz w:val="18"/>
          <w:szCs w:val="18"/>
          <w:color w:val="auto"/>
        </w:rPr>
        <w:t>All current directors, director nominees and executive officers as a group (fifteen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4457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2080" cy="44577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BlackRock, Inc.</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50 Hudson Yards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New York, NY 10001</w:t>
      </w:r>
    </w:p>
    <w:p>
      <w:pPr>
        <w:spacing w:after="0" w:line="4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Vanguard Group</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100 Vanguard Blvd.</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4457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2080" cy="445770"/>
                    </a:xfrm>
                    <a:prstGeom prst="rect">
                      <a:avLst/>
                    </a:prstGeom>
                    <a:noFill/>
                  </pic:spPr>
                </pic:pic>
              </a:graphicData>
            </a:graphic>
          </wp:anchor>
        </w:drawing>
      </w:r>
    </w:p>
    <w:p>
      <w:pPr>
        <w:spacing w:after="0" w:line="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Elliott Investment Management L.P.</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360 S. Rosemary Ave, 18th Floor</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West Palm Beach, FL 33401</w:t>
      </w:r>
    </w:p>
    <w:p>
      <w:pPr>
        <w:spacing w:after="0" w:line="45" w:lineRule="exact"/>
        <w:rPr>
          <w:sz w:val="20"/>
          <w:szCs w:val="20"/>
          <w:color w:val="auto"/>
        </w:rPr>
      </w:pPr>
    </w:p>
    <w:p>
      <w:pPr>
        <w:ind w:left="1320" w:right="1060"/>
        <w:spacing w:after="0" w:line="266" w:lineRule="auto"/>
        <w:rPr>
          <w:sz w:val="20"/>
          <w:szCs w:val="20"/>
          <w:color w:val="auto"/>
        </w:rPr>
      </w:pPr>
      <w:r>
        <w:rPr>
          <w:rFonts w:ascii="Arial" w:cs="Arial" w:eastAsia="Arial" w:hAnsi="Arial"/>
          <w:sz w:val="18"/>
          <w:szCs w:val="18"/>
          <w:color w:val="auto"/>
        </w:rPr>
        <w:t>Pacific Investment Management Company LLC 650 Newport Center Drive Newport Beach, CA 92660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4800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12080" cy="4800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T. Rowe Price Investment Management, Inc.</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1307 Point Street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Baltimore, MD 21231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212090</wp:posOffset>
            </wp:positionV>
            <wp:extent cx="12344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90" w:lineRule="exact"/>
        <w:rPr>
          <w:sz w:val="20"/>
          <w:szCs w:val="20"/>
          <w:color w:val="auto"/>
        </w:rPr>
      </w:pPr>
    </w:p>
    <w:p>
      <w:pPr>
        <w:ind w:left="1900" w:hanging="640"/>
        <w:spacing w:after="0"/>
        <w:tabs>
          <w:tab w:leader="none" w:pos="1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Indicates less than 1%.</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150,066</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571,470</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53,675</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223,665</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378,263</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 2,041,785</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540,581</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456,138</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56,735</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51,227</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115,006</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48,779</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53,848</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459"/>
        </w:trPr>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 4,741,238</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 1.95%</w:t>
            </w:r>
          </w:p>
        </w:tc>
      </w:tr>
      <w:tr>
        <w:trPr>
          <w:trHeight w:val="459"/>
        </w:trPr>
        <w:tc>
          <w:tcPr>
            <w:tcW w:w="1520" w:type="dxa"/>
            <w:vAlign w:val="bottom"/>
            <w:gridSpan w:val="3"/>
          </w:tcPr>
          <w:p>
            <w:pPr>
              <w:jc w:val="right"/>
              <w:ind w:right="250"/>
              <w:spacing w:after="0"/>
              <w:rPr>
                <w:sz w:val="20"/>
                <w:szCs w:val="20"/>
                <w:color w:val="auto"/>
              </w:rPr>
            </w:pPr>
            <w:r>
              <w:rPr>
                <w:rFonts w:ascii="Arial" w:cs="Arial" w:eastAsia="Arial" w:hAnsi="Arial"/>
                <w:sz w:val="18"/>
                <w:szCs w:val="18"/>
                <w:color w:val="auto"/>
              </w:rPr>
              <w:t>​26,797,380(1)​</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w w:val="98"/>
              </w:rPr>
              <w:t>​11.04%</w:t>
            </w:r>
          </w:p>
        </w:tc>
      </w:tr>
      <w:tr>
        <w:trPr>
          <w:trHeight w:val="702"/>
        </w:trPr>
        <w:tc>
          <w:tcPr>
            <w:tcW w:w="1520" w:type="dxa"/>
            <w:vAlign w:val="bottom"/>
            <w:gridSpan w:val="3"/>
          </w:tcPr>
          <w:p>
            <w:pPr>
              <w:jc w:val="right"/>
              <w:ind w:right="250"/>
              <w:spacing w:after="0"/>
              <w:rPr>
                <w:sz w:val="20"/>
                <w:szCs w:val="20"/>
                <w:color w:val="auto"/>
              </w:rPr>
            </w:pPr>
            <w:r>
              <w:rPr>
                <w:rFonts w:ascii="Arial" w:cs="Arial" w:eastAsia="Arial" w:hAnsi="Arial"/>
                <w:sz w:val="18"/>
                <w:szCs w:val="18"/>
                <w:color w:val="auto"/>
              </w:rPr>
              <w:t>​23,202,733(2)​</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 9.56%</w:t>
            </w:r>
          </w:p>
        </w:tc>
      </w:tr>
      <w:tr>
        <w:trPr>
          <w:trHeight w:val="702"/>
        </w:trPr>
        <w:tc>
          <w:tcPr>
            <w:tcW w:w="1520" w:type="dxa"/>
            <w:vAlign w:val="bottom"/>
            <w:gridSpan w:val="3"/>
          </w:tcPr>
          <w:p>
            <w:pPr>
              <w:jc w:val="right"/>
              <w:ind w:right="250"/>
              <w:spacing w:after="0"/>
              <w:rPr>
                <w:sz w:val="20"/>
                <w:szCs w:val="20"/>
                <w:color w:val="auto"/>
              </w:rPr>
            </w:pPr>
            <w:r>
              <w:rPr>
                <w:rFonts w:ascii="Arial" w:cs="Arial" w:eastAsia="Arial" w:hAnsi="Arial"/>
                <w:sz w:val="18"/>
                <w:szCs w:val="18"/>
                <w:color w:val="auto"/>
              </w:rPr>
              <w:t>​69,319,418(3)​</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w w:val="98"/>
              </w:rPr>
              <w:t>​28.56%</w:t>
            </w:r>
          </w:p>
        </w:tc>
      </w:tr>
      <w:tr>
        <w:trPr>
          <w:trHeight w:val="702"/>
        </w:trPr>
        <w:tc>
          <w:tcPr>
            <w:tcW w:w="1520" w:type="dxa"/>
            <w:vAlign w:val="bottom"/>
            <w:gridSpan w:val="3"/>
          </w:tcPr>
          <w:p>
            <w:pPr>
              <w:jc w:val="right"/>
              <w:ind w:right="250"/>
              <w:spacing w:after="0"/>
              <w:rPr>
                <w:sz w:val="20"/>
                <w:szCs w:val="20"/>
                <w:color w:val="auto"/>
              </w:rPr>
            </w:pPr>
            <w:r>
              <w:rPr>
                <w:rFonts w:ascii="Arial" w:cs="Arial" w:eastAsia="Arial" w:hAnsi="Arial"/>
                <w:sz w:val="18"/>
                <w:szCs w:val="18"/>
                <w:color w:val="auto"/>
              </w:rPr>
              <w:t>​25,458,917(4)​</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w w:val="98"/>
              </w:rPr>
              <w:t>​10.49%</w:t>
            </w:r>
          </w:p>
        </w:tc>
      </w:tr>
      <w:tr>
        <w:trPr>
          <w:trHeight w:val="729"/>
        </w:trPr>
        <w:tc>
          <w:tcPr>
            <w:tcW w:w="1520" w:type="dxa"/>
            <w:vAlign w:val="bottom"/>
            <w:gridSpan w:val="3"/>
          </w:tcPr>
          <w:p>
            <w:pPr>
              <w:jc w:val="right"/>
              <w:ind w:right="250"/>
              <w:spacing w:after="0"/>
              <w:rPr>
                <w:sz w:val="20"/>
                <w:szCs w:val="20"/>
                <w:color w:val="auto"/>
              </w:rPr>
            </w:pPr>
            <w:r>
              <w:rPr>
                <w:rFonts w:ascii="Arial" w:cs="Arial" w:eastAsia="Arial" w:hAnsi="Arial"/>
                <w:sz w:val="18"/>
                <w:szCs w:val="18"/>
                <w:color w:val="auto"/>
              </w:rPr>
              <w:t>​14,656,558(5)​</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 6.04%</w:t>
            </w:r>
          </w:p>
        </w:tc>
      </w:tr>
    </w:tbl>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023" w:lineRule="exact"/>
        <w:rPr>
          <w:sz w:val="20"/>
          <w:szCs w:val="20"/>
          <w:color w:val="auto"/>
        </w:rPr>
      </w:pPr>
    </w:p>
    <w:p>
      <w:pPr>
        <w:sectPr>
          <w:pgSz w:w="11900" w:h="16838" w:orient="portrait"/>
          <w:cols w:equalWidth="0" w:num="3">
            <w:col w:w="6060" w:space="520"/>
            <w:col w:w="2480" w:space="360"/>
            <w:col w:w="459"/>
          </w:cols>
          <w:pgMar w:left="580" w:top="97" w:right="1440" w:bottom="1440" w:gutter="0" w:footer="0" w:header="0"/>
          <w:type w:val="continuous"/>
        </w:sectPr>
      </w:pPr>
    </w:p>
    <w:p>
      <w:pPr>
        <w:spacing w:after="0" w:line="39" w:lineRule="exact"/>
        <w:rPr>
          <w:sz w:val="20"/>
          <w:szCs w:val="20"/>
          <w:color w:val="auto"/>
        </w:rPr>
      </w:pPr>
    </w:p>
    <w:p>
      <w:pPr>
        <w:ind w:left="1900" w:right="439" w:hanging="640"/>
        <w:spacing w:after="0" w:line="262" w:lineRule="auto"/>
        <w:tabs>
          <w:tab w:leader="none" w:pos="1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solely upon the information contained in a Schedule 13G/A filed on December 4, 2025. According to that Schedule 13G/A, BlackRock, Inc. has sole voting power over 26,427,658 of the reported shares, no shared voting power or shared dispositive power with respect to any reported shares, and sole dispositive power over all of the reported shares.</w:t>
      </w:r>
    </w:p>
    <w:p>
      <w:pPr>
        <w:spacing w:after="0" w:line="176" w:lineRule="exact"/>
        <w:rPr>
          <w:rFonts w:ascii="Arial" w:cs="Arial" w:eastAsia="Arial" w:hAnsi="Arial"/>
          <w:sz w:val="18"/>
          <w:szCs w:val="18"/>
          <w:color w:val="auto"/>
        </w:rPr>
      </w:pPr>
    </w:p>
    <w:p>
      <w:pPr>
        <w:ind w:left="1900" w:right="739" w:hanging="640"/>
        <w:spacing w:after="0" w:line="255" w:lineRule="auto"/>
        <w:tabs>
          <w:tab w:leader="none" w:pos="1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solely upon the information contained in a Schedule 13G/A filed on January 30, 2026. According to that Schedule 13G/A, The Vanguard Group has no sole voting power or sole dispositive power over any of the reported shares, shared voting power over 1,372,427 of the reported shares, and shared dispositive power over 23,202,733 of the reported shares. According to the most recent Schedule 13G/A filed by The Vanguard Group with the SEC on March 26, 2026, The Vanguard Group owns 0.0% as of March 13, 2026, following an internal reorganization pursuant to which The Vanguard Group’s beneficial ownership has been disaggregated.</w:t>
      </w:r>
    </w:p>
    <w:p>
      <w:pPr>
        <w:sectPr>
          <w:pgSz w:w="11900" w:h="16838" w:orient="portrait"/>
          <w:cols w:equalWidth="0" w:num="1">
            <w:col w:w="9879"/>
          </w:cols>
          <w:pgMar w:left="580" w:top="97" w:right="1440" w:bottom="1440" w:gutter="0" w:footer="0" w:header="0"/>
          <w:type w:val="continuous"/>
        </w:sect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00" w:right="539" w:hanging="640"/>
        <w:spacing w:after="0" w:line="262" w:lineRule="auto"/>
        <w:tabs>
          <w:tab w:leader="none" w:pos="1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solely upon the information contained in a Schedule 13D filed on August 8, 2025. According to that Schedule 13D, Elliott Investment Management L.P. has sole voting power and sole dispositive power over all of the reported shares, and no shared voting power or shared dispositive power with respect to any reported shares.</w:t>
      </w:r>
    </w:p>
    <w:p>
      <w:pPr>
        <w:spacing w:after="0" w:line="176" w:lineRule="exact"/>
        <w:rPr>
          <w:rFonts w:ascii="Arial" w:cs="Arial" w:eastAsia="Arial" w:hAnsi="Arial"/>
          <w:sz w:val="18"/>
          <w:szCs w:val="18"/>
          <w:color w:val="auto"/>
        </w:rPr>
      </w:pPr>
    </w:p>
    <w:p>
      <w:pPr>
        <w:ind w:left="1900" w:right="479" w:hanging="640"/>
        <w:spacing w:after="0" w:line="262" w:lineRule="auto"/>
        <w:tabs>
          <w:tab w:leader="none" w:pos="1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solely upon the information contained in a Schedule 13G filed on November 14, 2025. According to that Schedule 13G, Pacific Investment Management Company LLC has no sole voting power or sole dispositive power over any of the reported shares, and shared voting power and shared dispositive power over all of the reported shares.</w:t>
      </w:r>
    </w:p>
    <w:p>
      <w:pPr>
        <w:spacing w:after="0" w:line="176" w:lineRule="exact"/>
        <w:rPr>
          <w:rFonts w:ascii="Arial" w:cs="Arial" w:eastAsia="Arial" w:hAnsi="Arial"/>
          <w:sz w:val="18"/>
          <w:szCs w:val="18"/>
          <w:color w:val="auto"/>
        </w:rPr>
      </w:pPr>
    </w:p>
    <w:p>
      <w:pPr>
        <w:ind w:left="1900" w:right="519" w:hanging="640"/>
        <w:spacing w:after="0" w:line="262" w:lineRule="auto"/>
        <w:tabs>
          <w:tab w:leader="none" w:pos="1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solely upon information contained in a Schedule 13G filed on February 17, 2026. According to that Schedule 13G, T. Rowe Price Investment Management, Inc. has sole voting power and sole dispositive power over all of the reported shares, and no shared voting power or shared dispositive power with respect to any reported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840"/>
        <w:spacing w:after="0"/>
        <w:rPr>
          <w:sz w:val="20"/>
          <w:szCs w:val="20"/>
          <w:color w:val="auto"/>
        </w:rPr>
      </w:pPr>
      <w:r>
        <w:rPr>
          <w:rFonts w:ascii="Arial" w:cs="Arial" w:eastAsia="Arial" w:hAnsi="Arial"/>
          <w:sz w:val="22"/>
          <w:szCs w:val="22"/>
          <w:b w:val="1"/>
          <w:bCs w:val="1"/>
          <w:color w:val="00ABD1"/>
        </w:rPr>
        <w:t>AUDIT COMMITTEE REPORT</w:t>
      </w:r>
    </w:p>
    <w:p>
      <w:pPr>
        <w:spacing w:after="0" w:line="229" w:lineRule="exact"/>
        <w:rPr>
          <w:sz w:val="20"/>
          <w:szCs w:val="20"/>
          <w:color w:val="auto"/>
        </w:rPr>
      </w:pPr>
    </w:p>
    <w:p>
      <w:pPr>
        <w:ind w:left="1260" w:right="839" w:firstLine="648"/>
        <w:spacing w:after="0" w:line="276" w:lineRule="auto"/>
        <w:rPr>
          <w:sz w:val="20"/>
          <w:szCs w:val="20"/>
          <w:color w:val="auto"/>
        </w:rPr>
      </w:pPr>
      <w:r>
        <w:rPr>
          <w:rFonts w:ascii="Arial" w:cs="Arial" w:eastAsia="Arial" w:hAnsi="Arial"/>
          <w:sz w:val="17"/>
          <w:szCs w:val="17"/>
          <w:color w:val="auto"/>
        </w:rPr>
        <w:t>The primary purposes of the Audit Committee are to oversee on behalf of the Board: (i) the Company’s accounting and financial reporting processes and the integrity of its financial statements;</w:t>
      </w:r>
    </w:p>
    <w:p>
      <w:pPr>
        <w:ind w:left="1260" w:right="419"/>
        <w:spacing w:after="0" w:line="269" w:lineRule="auto"/>
        <w:tabs>
          <w:tab w:leader="none" w:pos="1501"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audits of the Company’s financial statements and the appointment, compensation, qualifications, independence and performance of the Company’s independent auditors; (iii) the Company’s compliance with legal and regulatory requirements; and (iv) the performance of the Company’s internal audit function, if any, internal accounting controls, disclosure controls and procedures and internal control over financial reporting. The Audit Committee also manages the Company’s relationship with its independent registered public accountant (which reports directly to the Audit Committee). The Audit Committee has the authority to obtain advice and assistance from outside legal, accounting or other advisors as the Audit Committee deems necessary to carry out its duties and receives appropriate funding, as determined by the Audit Committee, from the Company for such advice and assistance.</w:t>
      </w:r>
    </w:p>
    <w:p>
      <w:pPr>
        <w:spacing w:after="0" w:line="170" w:lineRule="exact"/>
        <w:rPr>
          <w:sz w:val="20"/>
          <w:szCs w:val="20"/>
          <w:color w:val="auto"/>
        </w:rPr>
      </w:pPr>
    </w:p>
    <w:p>
      <w:pPr>
        <w:ind w:left="1260" w:right="439" w:firstLine="648"/>
        <w:spacing w:after="0" w:line="259" w:lineRule="auto"/>
        <w:rPr>
          <w:sz w:val="20"/>
          <w:szCs w:val="20"/>
          <w:color w:val="auto"/>
        </w:rPr>
      </w:pPr>
      <w:r>
        <w:rPr>
          <w:rFonts w:ascii="Arial" w:cs="Arial" w:eastAsia="Arial" w:hAnsi="Arial"/>
          <w:sz w:val="18"/>
          <w:szCs w:val="18"/>
          <w:color w:val="auto"/>
        </w:rPr>
        <w:t>The Company’s independent registered public accountant for the year ended December 31, 2025, PricewaterhouseCoopers LLP (“PwC”), was responsible for performing an independent audit of the Company’s financial statements and issuing opinions on the conformity of those audited financial statements with United States generally accepted accounting principles. The Audit Committee’s responsibility is to supervise and review these processes.</w:t>
      </w:r>
    </w:p>
    <w:p>
      <w:pPr>
        <w:spacing w:after="0" w:line="17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In this context, the Audit Committee hereby reports as follows:</w:t>
      </w:r>
    </w:p>
    <w:p>
      <w:pPr>
        <w:spacing w:after="0" w:line="225" w:lineRule="exact"/>
        <w:rPr>
          <w:sz w:val="20"/>
          <w:szCs w:val="20"/>
          <w:color w:val="auto"/>
        </w:rPr>
      </w:pPr>
    </w:p>
    <w:p>
      <w:pPr>
        <w:ind w:left="2560" w:right="519" w:hanging="652"/>
        <w:spacing w:after="0" w:line="287" w:lineRule="auto"/>
        <w:tabs>
          <w:tab w:leader="none" w:pos="2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Audit Committee has reviewed and discussed the audited financial statements with the Company’s management.</w:t>
      </w:r>
    </w:p>
    <w:p>
      <w:pPr>
        <w:spacing w:after="0" w:line="152" w:lineRule="exact"/>
        <w:rPr>
          <w:rFonts w:ascii="Arial" w:cs="Arial" w:eastAsia="Arial" w:hAnsi="Arial"/>
          <w:sz w:val="18"/>
          <w:szCs w:val="18"/>
          <w:color w:val="auto"/>
        </w:rPr>
      </w:pPr>
    </w:p>
    <w:p>
      <w:pPr>
        <w:ind w:left="2560" w:right="419" w:hanging="652"/>
        <w:spacing w:after="0" w:line="318" w:lineRule="auto"/>
        <w:tabs>
          <w:tab w:leader="none" w:pos="25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Audit Committee has discussed with PwC the matters required to be discussed under the rules adopted by the Public Company Accounting Oversight Board (“PCAOB”).</w:t>
      </w:r>
    </w:p>
    <w:p>
      <w:pPr>
        <w:spacing w:after="0" w:line="129" w:lineRule="exact"/>
        <w:rPr>
          <w:rFonts w:ascii="Arial" w:cs="Arial" w:eastAsia="Arial" w:hAnsi="Arial"/>
          <w:sz w:val="17"/>
          <w:szCs w:val="17"/>
          <w:color w:val="auto"/>
        </w:rPr>
      </w:pPr>
    </w:p>
    <w:p>
      <w:pPr>
        <w:ind w:left="2560" w:right="419" w:hanging="652"/>
        <w:spacing w:after="0" w:line="259" w:lineRule="auto"/>
        <w:tabs>
          <w:tab w:leader="none" w:pos="2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Audit Committee has received from PwC the written disclosures and the letter required by the applicable requirements of the PCAOB regarding PwC’s communications with the Audit Committee concerning independence and has discussed with PwC its independence and considered the compatibility of non-audit services with PwC’s independence.</w:t>
      </w:r>
    </w:p>
    <w:p>
      <w:pPr>
        <w:spacing w:after="0" w:line="179" w:lineRule="exact"/>
        <w:rPr>
          <w:rFonts w:ascii="Arial" w:cs="Arial" w:eastAsia="Arial" w:hAnsi="Arial"/>
          <w:sz w:val="18"/>
          <w:szCs w:val="18"/>
          <w:color w:val="auto"/>
        </w:rPr>
      </w:pPr>
    </w:p>
    <w:p>
      <w:pPr>
        <w:ind w:left="2560" w:right="479" w:hanging="652"/>
        <w:spacing w:after="0" w:line="259" w:lineRule="auto"/>
        <w:tabs>
          <w:tab w:leader="none" w:pos="2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the review and discussions referred to in paragraphs (1) through (3) above, the Audit Committee recommended to the Board, and the Board has approved, that the audited financial statements be included in the Company’s Annual Report on Form 10-K for the fiscal year ended December 31, 2025, for filing with the Securities and Exchange Commission.</w:t>
      </w:r>
    </w:p>
    <w:p>
      <w:pPr>
        <w:spacing w:after="0" w:line="179" w:lineRule="exact"/>
        <w:rPr>
          <w:sz w:val="20"/>
          <w:szCs w:val="20"/>
          <w:color w:val="auto"/>
        </w:rPr>
      </w:pPr>
    </w:p>
    <w:p>
      <w:pPr>
        <w:ind w:left="1260" w:right="679" w:firstLine="648"/>
        <w:spacing w:after="0" w:line="287" w:lineRule="auto"/>
        <w:rPr>
          <w:sz w:val="20"/>
          <w:szCs w:val="20"/>
          <w:color w:val="auto"/>
        </w:rPr>
      </w:pPr>
      <w:r>
        <w:rPr>
          <w:rFonts w:ascii="Arial" w:cs="Arial" w:eastAsia="Arial" w:hAnsi="Arial"/>
          <w:sz w:val="18"/>
          <w:szCs w:val="18"/>
          <w:color w:val="auto"/>
        </w:rPr>
        <w:t>The undersigned members of the Audit Committee have submitted this Report to the Board of Directors.</w:t>
      </w:r>
    </w:p>
    <w:p>
      <w:pPr>
        <w:spacing w:after="0" w:line="153"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00ABD1"/>
        </w:rPr>
        <w:t>AUDIT COMMITTEE</w:t>
      </w:r>
      <w:r>
        <w:rPr>
          <w:rFonts w:ascii="Arial" w:cs="Arial" w:eastAsia="Arial" w:hAnsi="Arial"/>
          <w:sz w:val="18"/>
          <w:szCs w:val="18"/>
          <w:color w:val="000000"/>
        </w:rPr>
        <w:t>:</w:t>
      </w:r>
    </w:p>
    <w:p>
      <w:pPr>
        <w:spacing w:after="0" w:line="22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 xml:space="preserve">Mary McLaughlin, </w:t>
      </w:r>
      <w:r>
        <w:rPr>
          <w:rFonts w:ascii="Arial" w:cs="Arial" w:eastAsia="Arial" w:hAnsi="Arial"/>
          <w:sz w:val="18"/>
          <w:szCs w:val="18"/>
          <w:i w:val="1"/>
          <w:iCs w:val="1"/>
          <w:color w:val="auto"/>
        </w:rPr>
        <w:t>Chair</w:t>
      </w:r>
    </w:p>
    <w:p>
      <w:pPr>
        <w:spacing w:after="0" w:line="2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Randy Dunbar</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Carmen Perez-Carlton</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Francis X. Frantz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00ABD1"/>
        </w:rPr>
        <w:t>EXECUTIVE OFFICERS OF THE COMPANY</w:t>
      </w:r>
    </w:p>
    <w:p>
      <w:pPr>
        <w:spacing w:after="0" w:line="229" w:lineRule="exact"/>
        <w:rPr>
          <w:sz w:val="20"/>
          <w:szCs w:val="20"/>
          <w:color w:val="auto"/>
        </w:rPr>
      </w:pPr>
    </w:p>
    <w:p>
      <w:pPr>
        <w:ind w:left="1260" w:right="419" w:firstLine="648"/>
        <w:spacing w:after="0" w:line="262" w:lineRule="auto"/>
        <w:rPr>
          <w:sz w:val="20"/>
          <w:szCs w:val="20"/>
          <w:color w:val="auto"/>
        </w:rPr>
      </w:pPr>
      <w:r>
        <w:rPr>
          <w:rFonts w:ascii="Arial" w:cs="Arial" w:eastAsia="Arial" w:hAnsi="Arial"/>
          <w:sz w:val="18"/>
          <w:szCs w:val="18"/>
          <w:color w:val="auto"/>
        </w:rPr>
        <w:t>Set forth below is biographical information with respect to each current executive officer of the Company. In addition to the executive officers listed below, Mr. Gunderman, who also serves as a director of the Company, is an executive officer of the Company. Biographical information regarding Mr. Gunderman is available above under “Proposal No. 1 — Election of Directors.”</w:t>
      </w:r>
    </w:p>
    <w:p>
      <w:pPr>
        <w:spacing w:after="0" w:line="176" w:lineRule="exact"/>
        <w:rPr>
          <w:sz w:val="20"/>
          <w:szCs w:val="20"/>
          <w:color w:val="auto"/>
        </w:rPr>
      </w:pPr>
    </w:p>
    <w:p>
      <w:pPr>
        <w:ind w:left="1260" w:right="439" w:firstLine="648"/>
        <w:spacing w:after="0" w:line="255" w:lineRule="auto"/>
        <w:rPr>
          <w:sz w:val="20"/>
          <w:szCs w:val="20"/>
          <w:color w:val="auto"/>
        </w:rPr>
      </w:pPr>
      <w:r>
        <w:rPr>
          <w:rFonts w:ascii="Arial" w:cs="Arial" w:eastAsia="Arial" w:hAnsi="Arial"/>
          <w:sz w:val="18"/>
          <w:szCs w:val="18"/>
          <w:b w:val="1"/>
          <w:bCs w:val="1"/>
          <w:color w:val="00ABD1"/>
        </w:rPr>
        <w:t>Paul Bullington</w:t>
      </w:r>
      <w:r>
        <w:rPr>
          <w:rFonts w:ascii="Arial" w:cs="Arial" w:eastAsia="Arial" w:hAnsi="Arial"/>
          <w:sz w:val="18"/>
          <w:szCs w:val="18"/>
          <w:color w:val="000000"/>
        </w:rPr>
        <w:t>, age 54, serves as Senior Executive Vice President, Chief Financial Officer &amp;</w:t>
      </w:r>
      <w:r>
        <w:rPr>
          <w:rFonts w:ascii="Arial" w:cs="Arial" w:eastAsia="Arial" w:hAnsi="Arial"/>
          <w:sz w:val="18"/>
          <w:szCs w:val="18"/>
          <w:b w:val="1"/>
          <w:bCs w:val="1"/>
          <w:color w:val="00ABD1"/>
        </w:rPr>
        <w:t xml:space="preserve"> </w:t>
      </w:r>
      <w:r>
        <w:rPr>
          <w:rFonts w:ascii="Arial" w:cs="Arial" w:eastAsia="Arial" w:hAnsi="Arial"/>
          <w:sz w:val="18"/>
          <w:szCs w:val="18"/>
          <w:color w:val="000000"/>
        </w:rPr>
        <w:t>Treasurer (or CFO) of the Company. Prior to the Merger, Mr. Bullington most recently served as Senior Vice President — Chief Financial Officer and Treasurer of Old Uniti since September 9, 2021. Prior to that appointment, Mr. Bullington served as Old Uniti’s Senior Vice President of Strategic Operations of Uniti Fiber. Mr. Bullington joined Old Uniti in connection with its acquisition of Southern Light, LLC (“Southern Light”) on July 3, 2017. Prior to joining Old Uniti, Mr. Bullington served as the Chief Financial Officer of Southern Light, which he joined in March 2001, until it was acquired by Old Uniti. Mr. Bullington holds a Bachelor of Science degree from Birmingham-Southern College and an MBA from The University of Chicago Booth School of Business.</w:t>
      </w:r>
    </w:p>
    <w:p>
      <w:pPr>
        <w:spacing w:after="0" w:line="181" w:lineRule="exact"/>
        <w:rPr>
          <w:sz w:val="20"/>
          <w:szCs w:val="20"/>
          <w:color w:val="auto"/>
        </w:rPr>
      </w:pPr>
    </w:p>
    <w:p>
      <w:pPr>
        <w:ind w:left="1260" w:right="519" w:firstLine="648"/>
        <w:spacing w:after="0" w:line="269" w:lineRule="auto"/>
        <w:rPr>
          <w:sz w:val="20"/>
          <w:szCs w:val="20"/>
          <w:color w:val="auto"/>
        </w:rPr>
      </w:pPr>
      <w:r>
        <w:rPr>
          <w:rFonts w:ascii="Arial" w:cs="Arial" w:eastAsia="Arial" w:hAnsi="Arial"/>
          <w:sz w:val="17"/>
          <w:szCs w:val="17"/>
          <w:b w:val="1"/>
          <w:bCs w:val="1"/>
          <w:color w:val="00ABD1"/>
        </w:rPr>
        <w:t>John Harrobin</w:t>
      </w:r>
      <w:r>
        <w:rPr>
          <w:rFonts w:ascii="Arial" w:cs="Arial" w:eastAsia="Arial" w:hAnsi="Arial"/>
          <w:sz w:val="17"/>
          <w:szCs w:val="17"/>
          <w:color w:val="000000"/>
        </w:rPr>
        <w:t>, age 58, serves as Senior Executive Vice President &amp; President of Kinetic of the</w:t>
      </w:r>
      <w:r>
        <w:rPr>
          <w:rFonts w:ascii="Arial" w:cs="Arial" w:eastAsia="Arial" w:hAnsi="Arial"/>
          <w:sz w:val="17"/>
          <w:szCs w:val="17"/>
          <w:b w:val="1"/>
          <w:bCs w:val="1"/>
          <w:color w:val="00ABD1"/>
        </w:rPr>
        <w:t xml:space="preserve"> </w:t>
      </w:r>
      <w:r>
        <w:rPr>
          <w:rFonts w:ascii="Arial" w:cs="Arial" w:eastAsia="Arial" w:hAnsi="Arial"/>
          <w:sz w:val="17"/>
          <w:szCs w:val="17"/>
          <w:color w:val="000000"/>
        </w:rPr>
        <w:t>Company. Mr. Harrobin has over 20 years expertise and leadership in the telecommunications industry and is focused on building and scaling the Company’s fiber services. Most recently, Mr. Harrobin served on Frontier Communications’ Executive Committee and led Frontier’s Consumer unit from 2021 to 2025, transforming operations and returning the business to revenue and profit growth. Additionally,</w:t>
      </w:r>
    </w:p>
    <w:p>
      <w:pPr>
        <w:spacing w:after="0" w:line="3" w:lineRule="exact"/>
        <w:rPr>
          <w:sz w:val="20"/>
          <w:szCs w:val="20"/>
          <w:color w:val="auto"/>
        </w:rPr>
      </w:pPr>
    </w:p>
    <w:p>
      <w:pPr>
        <w:ind w:left="1260" w:right="719"/>
        <w:spacing w:after="0" w:line="268" w:lineRule="auto"/>
        <w:rPr>
          <w:sz w:val="20"/>
          <w:szCs w:val="20"/>
          <w:color w:val="auto"/>
        </w:rPr>
      </w:pPr>
      <w:r>
        <w:rPr>
          <w:rFonts w:ascii="Arial" w:cs="Arial" w:eastAsia="Arial" w:hAnsi="Arial"/>
          <w:sz w:val="17"/>
          <w:szCs w:val="17"/>
          <w:color w:val="auto"/>
        </w:rPr>
        <w:t>Mr. Harrobin served as Audible’s Chief Marketing Officer from 2017 to 2021. Mr. Harrobin has over a decade of C-suite experience and spent over fifteen years building Verizon’s wireless and fiber businesses and serving as Verizon’s Chief Marketing Officer. Mr. Harrobin has experience serving as non-executive Chairman of the Board of Directors for Acast AB, a global podcasting company headquartered in Sweden, Chair of Acast AB’s Remuneration Committee from 2022 to 2024 and as a member of Acast AB’s Remuneration Committee in 2025. Mr. Harrobin is a graduate of the Kellogg School of Business at Northwestern University (MBA) and also from Kellogg’s Continuing Education Program with a certificate in Board Governance. Mr. Harrobin obtained a Bachelor of Science from Villanova University. Mr. Harrobin’s previous certifications include Certified Management Accountant (Institute for Management Accountants) and Agile Leadership (Scrum Alliance), and Mr. Harrobin’s previous non-profit board experience includes industry associations and educational institutions.</w:t>
      </w:r>
    </w:p>
    <w:p>
      <w:pPr>
        <w:spacing w:after="0" w:line="173" w:lineRule="exact"/>
        <w:rPr>
          <w:sz w:val="20"/>
          <w:szCs w:val="20"/>
          <w:color w:val="auto"/>
        </w:rPr>
      </w:pPr>
    </w:p>
    <w:p>
      <w:pPr>
        <w:ind w:left="1260" w:right="459" w:firstLine="648"/>
        <w:spacing w:after="0" w:line="254" w:lineRule="auto"/>
        <w:rPr>
          <w:sz w:val="20"/>
          <w:szCs w:val="20"/>
          <w:color w:val="auto"/>
        </w:rPr>
      </w:pPr>
      <w:r>
        <w:rPr>
          <w:rFonts w:ascii="Arial" w:cs="Arial" w:eastAsia="Arial" w:hAnsi="Arial"/>
          <w:sz w:val="18"/>
          <w:szCs w:val="18"/>
          <w:b w:val="1"/>
          <w:bCs w:val="1"/>
          <w:color w:val="00ABD1"/>
        </w:rPr>
        <w:t>Daniel L. Heard</w:t>
      </w:r>
      <w:r>
        <w:rPr>
          <w:rFonts w:ascii="Arial" w:cs="Arial" w:eastAsia="Arial" w:hAnsi="Arial"/>
          <w:sz w:val="18"/>
          <w:szCs w:val="18"/>
          <w:color w:val="000000"/>
        </w:rPr>
        <w:t>, age 51, serves as Senior Executive Vice President, General Counsel &amp;</w:t>
      </w:r>
      <w:r>
        <w:rPr>
          <w:rFonts w:ascii="Arial" w:cs="Arial" w:eastAsia="Arial" w:hAnsi="Arial"/>
          <w:sz w:val="18"/>
          <w:szCs w:val="18"/>
          <w:b w:val="1"/>
          <w:bCs w:val="1"/>
          <w:color w:val="00ABD1"/>
        </w:rPr>
        <w:t xml:space="preserve"> </w:t>
      </w:r>
      <w:r>
        <w:rPr>
          <w:rFonts w:ascii="Arial" w:cs="Arial" w:eastAsia="Arial" w:hAnsi="Arial"/>
          <w:sz w:val="18"/>
          <w:szCs w:val="18"/>
          <w:color w:val="000000"/>
        </w:rPr>
        <w:t>Secretary (or General Counsel) of the Company. Prior to the Merger, Mr. Heard most recently served as Executive Vice President — General Counsel of Old Uniti since April 1, 2015. Prior to joining Old Uniti, he was a partner in the law offices of Kutak Rock LLP. Mr. Heard joined Kutak Rock LLP in 2000, where he represented public companies in corporate, securities and merger and acquisition transactions. His clients comprised a wide range of industries, including telecommunications, information technology and food processing. Mr. Heard has extensive experience in negotiating, structuring and consummating mergers and acquisitions, public offerings of debt and equity securities and other corporate finance transactions. Mr. Heard graduated from the William H. Bowen School of Law at the University of Arkansas at Little Rock and has a Bachelor of Arts from the University of Central Arkansas. Mr. Heard is responsible for the Company’s legal affairs and corporate governance.</w:t>
      </w:r>
    </w:p>
    <w:p>
      <w:pPr>
        <w:spacing w:after="0" w:line="182" w:lineRule="exact"/>
        <w:rPr>
          <w:sz w:val="20"/>
          <w:szCs w:val="20"/>
          <w:color w:val="auto"/>
        </w:rPr>
      </w:pPr>
    </w:p>
    <w:p>
      <w:pPr>
        <w:ind w:left="1260" w:right="459" w:firstLine="648"/>
        <w:spacing w:after="0" w:line="256" w:lineRule="auto"/>
        <w:rPr>
          <w:sz w:val="20"/>
          <w:szCs w:val="20"/>
          <w:color w:val="auto"/>
        </w:rPr>
      </w:pPr>
      <w:r>
        <w:rPr>
          <w:rFonts w:ascii="Arial" w:cs="Arial" w:eastAsia="Arial" w:hAnsi="Arial"/>
          <w:sz w:val="18"/>
          <w:szCs w:val="18"/>
          <w:b w:val="1"/>
          <w:bCs w:val="1"/>
          <w:color w:val="00ABD1"/>
        </w:rPr>
        <w:t>Michael Friloux</w:t>
      </w:r>
      <w:r>
        <w:rPr>
          <w:rFonts w:ascii="Arial" w:cs="Arial" w:eastAsia="Arial" w:hAnsi="Arial"/>
          <w:sz w:val="18"/>
          <w:szCs w:val="18"/>
          <w:color w:val="000000"/>
        </w:rPr>
        <w:t>, age 61, serves as Senior Executive Vice President &amp; Chief Technology Officer</w:t>
      </w:r>
      <w:r>
        <w:rPr>
          <w:rFonts w:ascii="Arial" w:cs="Arial" w:eastAsia="Arial" w:hAnsi="Arial"/>
          <w:sz w:val="18"/>
          <w:szCs w:val="18"/>
          <w:b w:val="1"/>
          <w:bCs w:val="1"/>
          <w:color w:val="00ABD1"/>
        </w:rPr>
        <w:t xml:space="preserve"> </w:t>
      </w:r>
      <w:r>
        <w:rPr>
          <w:rFonts w:ascii="Arial" w:cs="Arial" w:eastAsia="Arial" w:hAnsi="Arial"/>
          <w:sz w:val="18"/>
          <w:szCs w:val="18"/>
          <w:color w:val="000000"/>
        </w:rPr>
        <w:t>(or CTO) of the Company. Prior to the Merger, Mr. Friloux most recently served as Executive Vice President — Chief Technology Officer of Old Uniti since February 24, 2022, previously serving as Senior Vice President and Chief Technology Officer since he joined Old Uniti. Mr. Friloux joined Old Uniti in 2016 in connection with the Company’s acquisition of PEG Bandwidth, LLC, of which Mr. Friloux served as President and Chief Executive Officer. Mr. Friloux holds a Bachelor of Science from Oklahoma State University.</w:t>
      </w: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00ABD1"/>
        </w:rPr>
        <w:t>EXECUTIVE COMPENSATION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0" w:lineRule="exact"/>
        <w:rPr>
          <w:sz w:val="20"/>
          <w:szCs w:val="20"/>
          <w:color w:val="auto"/>
        </w:rPr>
      </w:pPr>
    </w:p>
    <w:p>
      <w:pPr>
        <w:ind w:left="1260" w:right="879" w:firstLine="648"/>
        <w:spacing w:after="0" w:line="267" w:lineRule="auto"/>
        <w:rPr>
          <w:sz w:val="20"/>
          <w:szCs w:val="20"/>
          <w:color w:val="auto"/>
        </w:rPr>
      </w:pPr>
      <w:r>
        <w:rPr>
          <w:rFonts w:ascii="Arial" w:cs="Arial" w:eastAsia="Arial" w:hAnsi="Arial"/>
          <w:sz w:val="18"/>
          <w:szCs w:val="18"/>
          <w:color w:val="auto"/>
        </w:rPr>
        <w:t>This Compensation Discussion &amp; Analysis (CD&amp;A) describes our executive compensation program and provides information regarding the compensation paid to our named executive officers (NEOs) in 2025.</w:t>
      </w:r>
      <w:r>
        <w:rPr>
          <w:rFonts w:ascii="Arial" w:cs="Arial" w:eastAsia="Arial" w:hAnsi="Arial"/>
          <w:sz w:val="26"/>
          <w:szCs w:val="26"/>
          <w:color w:val="auto"/>
          <w:vertAlign w:val="superscript"/>
        </w:rPr>
        <w:t>1</w:t>
      </w:r>
    </w:p>
    <w:p>
      <w:pPr>
        <w:spacing w:after="0" w:line="84" w:lineRule="exact"/>
        <w:rPr>
          <w:sz w:val="20"/>
          <w:szCs w:val="20"/>
          <w:color w:val="auto"/>
        </w:rPr>
      </w:pPr>
    </w:p>
    <w:p>
      <w:pPr>
        <w:ind w:left="1260" w:right="479" w:firstLine="648"/>
        <w:spacing w:after="0" w:line="274" w:lineRule="auto"/>
        <w:rPr>
          <w:sz w:val="20"/>
          <w:szCs w:val="20"/>
          <w:color w:val="auto"/>
        </w:rPr>
      </w:pPr>
      <w:r>
        <w:rPr>
          <w:rFonts w:ascii="Arial" w:cs="Arial" w:eastAsia="Arial" w:hAnsi="Arial"/>
          <w:sz w:val="17"/>
          <w:szCs w:val="17"/>
          <w:color w:val="auto"/>
        </w:rPr>
        <w:t>2025 was a pivotal year for Uniti, marked by the successful closing of our transformational merger with Windstream on August 1, 2025, and the establishment of our post-transaction operating and leadership structure. Following the Merger, the Company is organized across its Kinetic, Fiber Infrastructure and Uniti Solutions segments, with a strategic focus on expanding fiber-to-the-home infrastructure, integrating operations, and positioning Uniti as a leading fiber provider in the U.S. In connection with the Merger, we established a refreshed leadership team to execute on these priorities, including both legacy executives and key new hires with significant fiber and operational experience.</w:t>
      </w:r>
    </w:p>
    <w:p>
      <w:pPr>
        <w:spacing w:after="0" w:line="16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Our NEOs for 2025 were:</w:t>
      </w:r>
    </w:p>
    <w:p>
      <w:pPr>
        <w:spacing w:after="0" w:line="225" w:lineRule="exact"/>
        <w:rPr>
          <w:sz w:val="20"/>
          <w:szCs w:val="20"/>
          <w:color w:val="auto"/>
        </w:rPr>
      </w:pPr>
    </w:p>
    <w:p>
      <w:pPr>
        <w:ind w:left="2080" w:hanging="172"/>
        <w:spacing w:after="0"/>
        <w:tabs>
          <w:tab w:leader="none" w:pos="20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00ABD1"/>
        </w:rPr>
        <w:t>Kenneth A. Gunderman</w:t>
      </w:r>
      <w:r>
        <w:rPr>
          <w:rFonts w:ascii="Arial" w:cs="Arial" w:eastAsia="Arial" w:hAnsi="Arial"/>
          <w:sz w:val="18"/>
          <w:szCs w:val="18"/>
          <w:color w:val="000000"/>
        </w:rPr>
        <w:t>, President and Chief Executive Officer</w:t>
      </w:r>
    </w:p>
    <w:p>
      <w:pPr>
        <w:spacing w:after="0" w:line="27" w:lineRule="exact"/>
        <w:rPr>
          <w:rFonts w:ascii="Arial" w:cs="Arial" w:eastAsia="Arial" w:hAnsi="Arial"/>
          <w:sz w:val="18"/>
          <w:szCs w:val="18"/>
          <w:color w:val="auto"/>
        </w:rPr>
      </w:pPr>
    </w:p>
    <w:p>
      <w:pPr>
        <w:ind w:left="2080" w:hanging="172"/>
        <w:spacing w:after="0"/>
        <w:tabs>
          <w:tab w:leader="none" w:pos="20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00ABD1"/>
        </w:rPr>
        <w:t>Paul Bullington</w:t>
      </w:r>
      <w:r>
        <w:rPr>
          <w:rFonts w:ascii="Arial" w:cs="Arial" w:eastAsia="Arial" w:hAnsi="Arial"/>
          <w:sz w:val="18"/>
          <w:szCs w:val="18"/>
          <w:color w:val="000000"/>
        </w:rPr>
        <w:t>, Senior Executive Vice President, Chief Financial Officer &amp; Treasurer</w:t>
      </w:r>
    </w:p>
    <w:p>
      <w:pPr>
        <w:spacing w:after="0" w:line="9" w:lineRule="exact"/>
        <w:rPr>
          <w:rFonts w:ascii="Arial" w:cs="Arial" w:eastAsia="Arial" w:hAnsi="Arial"/>
          <w:sz w:val="18"/>
          <w:szCs w:val="18"/>
          <w:color w:val="auto"/>
        </w:rPr>
      </w:pPr>
    </w:p>
    <w:p>
      <w:pPr>
        <w:ind w:left="2080" w:hanging="172"/>
        <w:spacing w:after="0"/>
        <w:tabs>
          <w:tab w:leader="none" w:pos="20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00ABD1"/>
        </w:rPr>
        <w:t>John Harrobin</w:t>
      </w:r>
      <w:r>
        <w:rPr>
          <w:rFonts w:ascii="Arial" w:cs="Arial" w:eastAsia="Arial" w:hAnsi="Arial"/>
          <w:sz w:val="18"/>
          <w:szCs w:val="18"/>
          <w:color w:val="000000"/>
        </w:rPr>
        <w:t>, Senior Executive Vice President &amp; President of Kinetic</w:t>
      </w:r>
    </w:p>
    <w:p>
      <w:pPr>
        <w:spacing w:after="0" w:line="9" w:lineRule="exact"/>
        <w:rPr>
          <w:rFonts w:ascii="Arial" w:cs="Arial" w:eastAsia="Arial" w:hAnsi="Arial"/>
          <w:sz w:val="18"/>
          <w:szCs w:val="18"/>
          <w:color w:val="auto"/>
        </w:rPr>
      </w:pPr>
    </w:p>
    <w:p>
      <w:pPr>
        <w:ind w:left="2080" w:hanging="172"/>
        <w:spacing w:after="0"/>
        <w:tabs>
          <w:tab w:leader="none" w:pos="20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00ABD1"/>
        </w:rPr>
        <w:t>Daniel L. Heard</w:t>
      </w:r>
      <w:r>
        <w:rPr>
          <w:rFonts w:ascii="Arial" w:cs="Arial" w:eastAsia="Arial" w:hAnsi="Arial"/>
          <w:sz w:val="18"/>
          <w:szCs w:val="18"/>
          <w:color w:val="000000"/>
        </w:rPr>
        <w:t>, Senior Executive Vice President, General Counsel &amp; Secretary</w:t>
      </w:r>
    </w:p>
    <w:p>
      <w:pPr>
        <w:spacing w:after="0" w:line="9" w:lineRule="exact"/>
        <w:rPr>
          <w:rFonts w:ascii="Arial" w:cs="Arial" w:eastAsia="Arial" w:hAnsi="Arial"/>
          <w:sz w:val="18"/>
          <w:szCs w:val="18"/>
          <w:color w:val="auto"/>
        </w:rPr>
      </w:pPr>
    </w:p>
    <w:p>
      <w:pPr>
        <w:ind w:left="2080" w:hanging="172"/>
        <w:spacing w:after="0"/>
        <w:tabs>
          <w:tab w:leader="none" w:pos="20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00ABD1"/>
        </w:rPr>
        <w:t>Michael Friloux</w:t>
      </w:r>
      <w:r>
        <w:rPr>
          <w:rFonts w:ascii="Arial" w:cs="Arial" w:eastAsia="Arial" w:hAnsi="Arial"/>
          <w:sz w:val="18"/>
          <w:szCs w:val="18"/>
          <w:color w:val="000000"/>
        </w:rPr>
        <w:t>, Senior Executive Vice President &amp; Chief Technology Officer</w:t>
      </w:r>
    </w:p>
    <w:p>
      <w:pPr>
        <w:spacing w:after="0" w:line="207" w:lineRule="exact"/>
        <w:rPr>
          <w:sz w:val="20"/>
          <w:szCs w:val="20"/>
          <w:color w:val="auto"/>
        </w:rPr>
      </w:pPr>
    </w:p>
    <w:p>
      <w:pPr>
        <w:ind w:left="1260" w:right="419" w:firstLine="648"/>
        <w:spacing w:after="0" w:line="255" w:lineRule="auto"/>
        <w:rPr>
          <w:sz w:val="20"/>
          <w:szCs w:val="20"/>
          <w:color w:val="auto"/>
        </w:rPr>
      </w:pPr>
      <w:r>
        <w:rPr>
          <w:rFonts w:ascii="Arial" w:cs="Arial" w:eastAsia="Arial" w:hAnsi="Arial"/>
          <w:sz w:val="18"/>
          <w:szCs w:val="18"/>
          <w:color w:val="auto"/>
        </w:rPr>
        <w:t>Each of the individuals named above was appointed as an executive officer of the Company in connection with closing of the Merger. Messrs. Gunderman, Bullington, Heard and Friloux previously served as executive officers of Old Uniti and were NEOs in Old Uniti’s proxy statement for its 2025 annual meeting of stockholders. Mr. Harrobin joined Old Uniti on April 28, 2025, in anticipation of the closing of the Merger, and as part of the Company’s effort to strengthen leadership within its Kinetic segment. Unlike the other NEOs, he was not previously designated as an executive officer of Old Uniti. His hiring arrangements, including compensation awarded prior to the Merger and assumed by the Company, are described below under “New Hire Compensation Arrangements for Mr. Harrobin.”</w:t>
      </w:r>
    </w:p>
    <w:p>
      <w:pPr>
        <w:spacing w:after="0" w:line="185" w:lineRule="exact"/>
        <w:rPr>
          <w:sz w:val="20"/>
          <w:szCs w:val="20"/>
          <w:color w:val="auto"/>
        </w:rPr>
      </w:pPr>
    </w:p>
    <w:p>
      <w:pPr>
        <w:ind w:left="1260" w:right="579" w:firstLine="648"/>
        <w:spacing w:after="0" w:line="259" w:lineRule="auto"/>
        <w:rPr>
          <w:sz w:val="20"/>
          <w:szCs w:val="20"/>
          <w:color w:val="auto"/>
        </w:rPr>
      </w:pPr>
      <w:r>
        <w:rPr>
          <w:rFonts w:ascii="Arial" w:cs="Arial" w:eastAsia="Arial" w:hAnsi="Arial"/>
          <w:sz w:val="18"/>
          <w:szCs w:val="18"/>
          <w:color w:val="auto"/>
        </w:rPr>
        <w:t>Prior to the Merger, each of the NEOs participated in Old Uniti’s Annual Short-Term Incentive Plan (the “Prior STIP”) and held outstanding equity awards under Old Uniti’s 2015 Equity Incentive Plan (the “2015 Plan”). In connection with the Merger, the Company assumed these award opportunities and equity awards (as adjusted in accordance with the Merger Agreement) as discussed in greater detail below.</w:t>
      </w:r>
    </w:p>
    <w:p>
      <w:pPr>
        <w:spacing w:after="0" w:line="179" w:lineRule="exact"/>
        <w:rPr>
          <w:sz w:val="20"/>
          <w:szCs w:val="20"/>
          <w:color w:val="auto"/>
        </w:rPr>
      </w:pPr>
    </w:p>
    <w:p>
      <w:pPr>
        <w:ind w:left="1260" w:right="499" w:firstLine="648"/>
        <w:spacing w:after="0" w:line="275" w:lineRule="auto"/>
        <w:rPr>
          <w:sz w:val="20"/>
          <w:szCs w:val="20"/>
          <w:color w:val="auto"/>
        </w:rPr>
      </w:pPr>
      <w:r>
        <w:rPr>
          <w:rFonts w:ascii="Arial" w:cs="Arial" w:eastAsia="Arial" w:hAnsi="Arial"/>
          <w:sz w:val="17"/>
          <w:szCs w:val="17"/>
          <w:color w:val="auto"/>
        </w:rPr>
        <w:t>The disclosure below describes the 2025 compensation program adopted by the compensation committee of the board of directors of Old Uniti prior to the closing of the Merger. Because the Merger closed on August 1, 2025, the amounts reported in the Summary Compensation Table reflect compensation received by the NEOs from Old Uniti for the period from January 1, 2025 to July 31, 2025, and from the Company from August 1, 2025 to December 31, 2025. The Summary Compensation Table also includes compensation for individuals who were NEOs of Old Uniti in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847090</wp:posOffset>
            </wp:positionV>
            <wp:extent cx="123444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900" w:right="439" w:hanging="640"/>
        <w:spacing w:after="0" w:line="291" w:lineRule="auto"/>
        <w:tabs>
          <w:tab w:leader="none" w:pos="190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Prior to the closing of the Merger on August 1, 2025, Paul Sunu and Drew Smith served as principal executive officer and principal financial officer, respectively, of the Company. However, prior to the closing of the Merger, the Company did not pay any compensation to its directors or executive officers. Accordingly, because Mr. Sunu and Mr. Smith did not receive any compensation in connection with their service, they are not included in any of the narrative or tabular disclosure below.</w:t>
      </w:r>
    </w:p>
    <w:p>
      <w:pPr>
        <w:sectPr>
          <w:pgSz w:w="11900" w:h="16838" w:orient="portrait"/>
          <w:cols w:equalWidth="0" w:num="1">
            <w:col w:w="9879"/>
          </w:cols>
          <w:pgMar w:left="580" w:top="97" w:right="1440" w:bottom="1440" w:gutter="0" w:footer="0" w:header="0"/>
        </w:sect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color w:val="00ABD1"/>
        </w:rPr>
        <w:t>What Guides Our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3" w:lineRule="exact"/>
        <w:rPr>
          <w:sz w:val="20"/>
          <w:szCs w:val="20"/>
          <w:color w:val="auto"/>
        </w:rPr>
      </w:pPr>
    </w:p>
    <w:p>
      <w:pPr>
        <w:ind w:left="1260" w:right="419" w:firstLine="648"/>
        <w:spacing w:after="0" w:line="268" w:lineRule="auto"/>
        <w:rPr>
          <w:sz w:val="20"/>
          <w:szCs w:val="20"/>
          <w:color w:val="auto"/>
        </w:rPr>
      </w:pPr>
      <w:r>
        <w:rPr>
          <w:rFonts w:ascii="Arial" w:cs="Arial" w:eastAsia="Arial" w:hAnsi="Arial"/>
          <w:sz w:val="18"/>
          <w:szCs w:val="18"/>
          <w:i w:val="1"/>
          <w:iCs w:val="1"/>
          <w:color w:val="00ABD1"/>
        </w:rPr>
        <w:t xml:space="preserve">Compensation Philosophy and Objectives. </w:t>
      </w:r>
      <w:r>
        <w:rPr>
          <w:rFonts w:ascii="Arial" w:cs="Arial" w:eastAsia="Arial" w:hAnsi="Arial"/>
          <w:sz w:val="18"/>
          <w:szCs w:val="18"/>
          <w:color w:val="000000"/>
        </w:rPr>
        <w:t>Our executive compensation program includes</w:t>
      </w:r>
      <w:r>
        <w:rPr>
          <w:rFonts w:ascii="Arial" w:cs="Arial" w:eastAsia="Arial" w:hAnsi="Arial"/>
          <w:sz w:val="18"/>
          <w:szCs w:val="18"/>
          <w:i w:val="1"/>
          <w:iCs w:val="1"/>
          <w:color w:val="00ABD1"/>
        </w:rPr>
        <w:t xml:space="preserve"> </w:t>
      </w:r>
      <w:r>
        <w:rPr>
          <w:rFonts w:ascii="Arial" w:cs="Arial" w:eastAsia="Arial" w:hAnsi="Arial"/>
          <w:sz w:val="18"/>
          <w:szCs w:val="18"/>
          <w:color w:val="000000"/>
        </w:rPr>
        <w:t>annual base salaries, annual short-term cash incentive opportunities, and long-term equity awards, and is intended to support the following objectives:</w:t>
      </w:r>
    </w:p>
    <w:p>
      <w:pPr>
        <w:spacing w:after="0" w:line="171" w:lineRule="exact"/>
        <w:rPr>
          <w:sz w:val="20"/>
          <w:szCs w:val="20"/>
          <w:color w:val="auto"/>
        </w:rPr>
      </w:pPr>
    </w:p>
    <w:p>
      <w:pPr>
        <w:ind w:left="2080" w:hanging="172"/>
        <w:spacing w:after="0"/>
        <w:tabs>
          <w:tab w:leader="none" w:pos="2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align pay with performance through the use of variable incentives;</w:t>
      </w:r>
    </w:p>
    <w:p>
      <w:pPr>
        <w:spacing w:after="0" w:line="27" w:lineRule="exact"/>
        <w:rPr>
          <w:rFonts w:ascii="Arial" w:cs="Arial" w:eastAsia="Arial" w:hAnsi="Arial"/>
          <w:sz w:val="18"/>
          <w:szCs w:val="18"/>
          <w:color w:val="auto"/>
        </w:rPr>
      </w:pPr>
    </w:p>
    <w:p>
      <w:pPr>
        <w:ind w:left="2080" w:hanging="172"/>
        <w:spacing w:after="0"/>
        <w:tabs>
          <w:tab w:leader="none" w:pos="2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reinforce key business objectives in support of long-term value creation;</w:t>
      </w:r>
    </w:p>
    <w:p>
      <w:pPr>
        <w:spacing w:after="0" w:line="9" w:lineRule="exact"/>
        <w:rPr>
          <w:rFonts w:ascii="Arial" w:cs="Arial" w:eastAsia="Arial" w:hAnsi="Arial"/>
          <w:sz w:val="18"/>
          <w:szCs w:val="18"/>
          <w:color w:val="auto"/>
        </w:rPr>
      </w:pPr>
    </w:p>
    <w:p>
      <w:pPr>
        <w:ind w:left="2080" w:hanging="172"/>
        <w:spacing w:after="0"/>
        <w:tabs>
          <w:tab w:leader="none" w:pos="2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align management’s interests with the long-term interests of our stockholders;</w:t>
      </w:r>
    </w:p>
    <w:p>
      <w:pPr>
        <w:spacing w:after="0" w:line="9" w:lineRule="exact"/>
        <w:rPr>
          <w:rFonts w:ascii="Arial" w:cs="Arial" w:eastAsia="Arial" w:hAnsi="Arial"/>
          <w:sz w:val="18"/>
          <w:szCs w:val="18"/>
          <w:color w:val="auto"/>
        </w:rPr>
      </w:pPr>
    </w:p>
    <w:p>
      <w:pPr>
        <w:ind w:left="2080" w:right="559" w:hanging="172"/>
        <w:spacing w:after="0" w:line="250" w:lineRule="auto"/>
        <w:tabs>
          <w:tab w:leader="none" w:pos="2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compensation and incentives that are generally positioned within a competitive range of market data provided by our compensation consultant; and</w:t>
      </w:r>
    </w:p>
    <w:p>
      <w:pPr>
        <w:ind w:left="2080" w:hanging="172"/>
        <w:spacing w:after="0"/>
        <w:tabs>
          <w:tab w:leader="none" w:pos="2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discourage excessive risk taking.</w:t>
      </w:r>
    </w:p>
    <w:p>
      <w:pPr>
        <w:spacing w:after="0" w:line="207" w:lineRule="exact"/>
        <w:rPr>
          <w:sz w:val="20"/>
          <w:szCs w:val="20"/>
          <w:color w:val="auto"/>
        </w:rPr>
      </w:pPr>
    </w:p>
    <w:p>
      <w:pPr>
        <w:ind w:left="1260" w:right="819" w:firstLine="648"/>
        <w:spacing w:after="0" w:line="287" w:lineRule="auto"/>
        <w:rPr>
          <w:sz w:val="20"/>
          <w:szCs w:val="20"/>
          <w:color w:val="auto"/>
        </w:rPr>
      </w:pPr>
      <w:r>
        <w:rPr>
          <w:rFonts w:ascii="Arial" w:cs="Arial" w:eastAsia="Arial" w:hAnsi="Arial"/>
          <w:sz w:val="18"/>
          <w:szCs w:val="18"/>
          <w:i w:val="1"/>
          <w:iCs w:val="1"/>
          <w:color w:val="00ABD1"/>
        </w:rPr>
        <w:t xml:space="preserve">Best Compensation and Corporate Governance Practices. </w:t>
      </w:r>
      <w:r>
        <w:rPr>
          <w:rFonts w:ascii="Arial" w:cs="Arial" w:eastAsia="Arial" w:hAnsi="Arial"/>
          <w:sz w:val="18"/>
          <w:szCs w:val="18"/>
          <w:color w:val="000000"/>
        </w:rPr>
        <w:t>To further these objectives, we</w:t>
      </w:r>
      <w:r>
        <w:rPr>
          <w:rFonts w:ascii="Arial" w:cs="Arial" w:eastAsia="Arial" w:hAnsi="Arial"/>
          <w:sz w:val="18"/>
          <w:szCs w:val="18"/>
          <w:i w:val="1"/>
          <w:iCs w:val="1"/>
          <w:color w:val="00ABD1"/>
        </w:rPr>
        <w:t xml:space="preserve"> </w:t>
      </w:r>
      <w:r>
        <w:rPr>
          <w:rFonts w:ascii="Arial" w:cs="Arial" w:eastAsia="Arial" w:hAnsi="Arial"/>
          <w:sz w:val="18"/>
          <w:szCs w:val="18"/>
          <w:color w:val="000000"/>
        </w:rPr>
        <w:t>adhere to the following compensation and corporate governance practices:</w:t>
      </w:r>
    </w:p>
    <w:p>
      <w:pPr>
        <w:spacing w:after="0" w:line="177" w:lineRule="exact"/>
        <w:rPr>
          <w:sz w:val="20"/>
          <w:szCs w:val="20"/>
          <w:color w:val="auto"/>
        </w:rPr>
      </w:pPr>
    </w:p>
    <w:p>
      <w:pPr>
        <w:ind w:left="1260"/>
        <w:spacing w:after="0"/>
        <w:tabs>
          <w:tab w:leader="none" w:pos="5440" w:val="left"/>
        </w:tabs>
        <w:rPr>
          <w:sz w:val="20"/>
          <w:szCs w:val="20"/>
          <w:color w:val="auto"/>
        </w:rPr>
      </w:pPr>
      <w:r>
        <w:rPr>
          <w:rFonts w:ascii="Arial" w:cs="Arial" w:eastAsia="Arial" w:hAnsi="Arial"/>
          <w:sz w:val="17"/>
          <w:szCs w:val="17"/>
          <w:b w:val="1"/>
          <w:bCs w:val="1"/>
          <w:color w:val="auto"/>
        </w:rPr>
        <w:t>What We Do:</w:t>
      </w:r>
      <w:r>
        <w:rPr>
          <w:sz w:val="20"/>
          <w:szCs w:val="20"/>
          <w:color w:val="auto"/>
        </w:rPr>
        <w:tab/>
      </w: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35560</wp:posOffset>
            </wp:positionV>
            <wp:extent cx="5212080" cy="5657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12080" cy="56578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88" w:lineRule="exact"/>
        <w:rPr>
          <w:sz w:val="20"/>
          <w:szCs w:val="20"/>
          <w:color w:val="auto"/>
        </w:rPr>
      </w:pPr>
    </w:p>
    <w:p>
      <w:pPr>
        <w:ind w:left="1920" w:right="400"/>
        <w:spacing w:after="0" w:line="260" w:lineRule="auto"/>
        <w:rPr>
          <w:sz w:val="20"/>
          <w:szCs w:val="20"/>
          <w:color w:val="auto"/>
        </w:rPr>
      </w:pPr>
      <w:r>
        <w:rPr>
          <w:rFonts w:ascii="Arial" w:cs="Arial" w:eastAsia="Arial" w:hAnsi="Arial"/>
          <w:sz w:val="17"/>
          <w:szCs w:val="17"/>
          <w:color w:val="auto"/>
        </w:rPr>
        <w:t>Align pay with performance by linking a substantial portion of compensation to the achievement of predefined performance metrics</w:t>
      </w:r>
    </w:p>
    <w:p>
      <w:pPr>
        <w:spacing w:after="0" w:line="30" w:lineRule="exact"/>
        <w:rPr>
          <w:sz w:val="20"/>
          <w:szCs w:val="20"/>
          <w:color w:val="auto"/>
        </w:rPr>
      </w:pPr>
    </w:p>
    <w:p>
      <w:pPr>
        <w:ind w:left="1920" w:right="720"/>
        <w:spacing w:after="0" w:line="284" w:lineRule="auto"/>
        <w:rPr>
          <w:sz w:val="20"/>
          <w:szCs w:val="20"/>
          <w:color w:val="auto"/>
        </w:rPr>
      </w:pPr>
      <w:r>
        <w:rPr>
          <w:rFonts w:ascii="Arial" w:cs="Arial" w:eastAsia="Arial" w:hAnsi="Arial"/>
          <w:sz w:val="17"/>
          <w:szCs w:val="17"/>
          <w:color w:val="auto"/>
        </w:rPr>
        <w:t>Retain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-236220</wp:posOffset>
            </wp:positionV>
            <wp:extent cx="171450" cy="163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45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4286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2080" cy="428625"/>
                    </a:xfrm>
                    <a:prstGeom prst="rect">
                      <a:avLst/>
                    </a:prstGeom>
                    <a:noFill/>
                  </pic:spPr>
                </pic:pic>
              </a:graphicData>
            </a:graphic>
          </wp:anchor>
        </w:drawing>
      </w:r>
    </w:p>
    <w:p>
      <w:pPr>
        <w:ind w:left="1920" w:right="240"/>
        <w:spacing w:after="0" w:line="266" w:lineRule="auto"/>
        <w:rPr>
          <w:sz w:val="20"/>
          <w:szCs w:val="20"/>
          <w:color w:val="auto"/>
        </w:rPr>
      </w:pPr>
      <w:r>
        <w:rPr>
          <w:rFonts w:ascii="Arial" w:cs="Arial" w:eastAsia="Arial" w:hAnsi="Arial"/>
          <w:sz w:val="17"/>
          <w:szCs w:val="17"/>
          <w:color w:val="auto"/>
        </w:rPr>
        <w:t>Require compliance with stock ownership guidelines for executives and non-employee directors</w:t>
      </w:r>
    </w:p>
    <w:p>
      <w:pPr>
        <w:spacing w:after="0" w:line="25" w:lineRule="exact"/>
        <w:rPr>
          <w:sz w:val="20"/>
          <w:szCs w:val="20"/>
          <w:color w:val="auto"/>
        </w:rPr>
      </w:pPr>
    </w:p>
    <w:p>
      <w:pPr>
        <w:ind w:left="1920" w:right="540"/>
        <w:spacing w:after="0" w:line="284" w:lineRule="auto"/>
        <w:rPr>
          <w:sz w:val="20"/>
          <w:szCs w:val="20"/>
          <w:color w:val="auto"/>
        </w:rPr>
      </w:pPr>
      <w:r>
        <w:rPr>
          <w:rFonts w:ascii="Arial" w:cs="Arial" w:eastAsia="Arial" w:hAnsi="Arial"/>
          <w:sz w:val="17"/>
          <w:szCs w:val="17"/>
          <w:color w:val="auto"/>
        </w:rPr>
        <w:t>Include double-trigger change-in-control provisions in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-236220</wp:posOffset>
            </wp:positionV>
            <wp:extent cx="171450" cy="162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145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3003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ind w:left="1920" w:right="240"/>
        <w:spacing w:after="0" w:line="317" w:lineRule="auto"/>
        <w:rPr>
          <w:sz w:val="20"/>
          <w:szCs w:val="20"/>
          <w:color w:val="auto"/>
        </w:rPr>
      </w:pPr>
      <w:r>
        <w:rPr>
          <w:rFonts w:ascii="Arial" w:cs="Arial" w:eastAsia="Arial" w:hAnsi="Arial"/>
          <w:sz w:val="16"/>
          <w:szCs w:val="16"/>
          <w:color w:val="auto"/>
        </w:rPr>
        <w:t>Place caps on incentive award opportunities and conduct an annual risk assessment</w:t>
      </w:r>
    </w:p>
    <w:p>
      <w:pPr>
        <w:spacing w:after="0" w:line="216" w:lineRule="exact"/>
        <w:rPr>
          <w:sz w:val="20"/>
          <w:szCs w:val="20"/>
          <w:color w:val="auto"/>
        </w:rPr>
      </w:pPr>
    </w:p>
    <w:p>
      <w:pPr>
        <w:ind w:left="1940" w:right="260"/>
        <w:spacing w:after="0" w:line="284" w:lineRule="auto"/>
        <w:rPr>
          <w:sz w:val="20"/>
          <w:szCs w:val="20"/>
          <w:color w:val="auto"/>
        </w:rPr>
      </w:pPr>
      <w:r>
        <w:rPr>
          <w:rFonts w:ascii="Arial" w:cs="Arial" w:eastAsia="Arial" w:hAnsi="Arial"/>
          <w:sz w:val="17"/>
          <w:szCs w:val="17"/>
          <w:color w:val="auto"/>
        </w:rPr>
        <w:t>Maintain a Nasdaq rule compliant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-236220</wp:posOffset>
            </wp:positionV>
            <wp:extent cx="171450"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979"/>
        <w:spacing w:after="0" w:line="284" w:lineRule="auto"/>
        <w:rPr>
          <w:sz w:val="20"/>
          <w:szCs w:val="20"/>
          <w:color w:val="auto"/>
        </w:rPr>
      </w:pPr>
      <w:r>
        <w:rPr>
          <w:rFonts w:ascii="Arial" w:cs="Arial" w:eastAsia="Arial" w:hAnsi="Arial"/>
          <w:sz w:val="17"/>
          <w:szCs w:val="17"/>
          <w:color w:val="auto"/>
        </w:rPr>
        <w:t>Do NOT provide tax gross-ups in any circumstance</w:t>
      </w:r>
    </w:p>
    <w:p>
      <w:pPr>
        <w:spacing w:after="0" w:line="226" w:lineRule="exact"/>
        <w:rPr>
          <w:sz w:val="20"/>
          <w:szCs w:val="20"/>
          <w:color w:val="auto"/>
        </w:rPr>
      </w:pPr>
    </w:p>
    <w:p>
      <w:pPr>
        <w:ind w:right="659"/>
        <w:spacing w:after="0" w:line="284" w:lineRule="auto"/>
        <w:rPr>
          <w:sz w:val="20"/>
          <w:szCs w:val="20"/>
          <w:color w:val="auto"/>
        </w:rPr>
      </w:pPr>
      <w:r>
        <w:rPr>
          <w:rFonts w:ascii="Arial" w:cs="Arial" w:eastAsia="Arial" w:hAnsi="Arial"/>
          <w:sz w:val="17"/>
          <w:szCs w:val="17"/>
          <w:color w:val="auto"/>
        </w:rPr>
        <w:t>Do NOT provide excessive perquisites for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-227330</wp:posOffset>
            </wp:positionV>
            <wp:extent cx="16256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62560" cy="145415"/>
                    </a:xfrm>
                    <a:prstGeom prst="rect">
                      <a:avLst/>
                    </a:prstGeom>
                    <a:noFill/>
                  </pic:spPr>
                </pic:pic>
              </a:graphicData>
            </a:graphic>
          </wp:anchor>
        </w:drawing>
      </w:r>
    </w:p>
    <w:p>
      <w:pPr>
        <w:spacing w:after="0" w:line="84" w:lineRule="exact"/>
        <w:rPr>
          <w:sz w:val="20"/>
          <w:szCs w:val="20"/>
          <w:color w:val="auto"/>
        </w:rPr>
      </w:pPr>
    </w:p>
    <w:p>
      <w:pPr>
        <w:ind w:right="479"/>
        <w:spacing w:after="0" w:line="317" w:lineRule="auto"/>
        <w:rPr>
          <w:sz w:val="20"/>
          <w:szCs w:val="20"/>
          <w:color w:val="auto"/>
        </w:rPr>
      </w:pPr>
      <w:r>
        <w:rPr>
          <w:rFonts w:ascii="Arial" w:cs="Arial" w:eastAsia="Arial" w:hAnsi="Arial"/>
          <w:sz w:val="16"/>
          <w:szCs w:val="16"/>
          <w:color w:val="auto"/>
        </w:rPr>
        <w:t>Do NOT provide guaranteed bonuses under our annual short-term incentive program</w:t>
      </w:r>
    </w:p>
    <w:p>
      <w:pPr>
        <w:spacing w:after="0" w:line="94" w:lineRule="exact"/>
        <w:rPr>
          <w:sz w:val="20"/>
          <w:szCs w:val="20"/>
          <w:color w:val="auto"/>
        </w:rPr>
      </w:pPr>
    </w:p>
    <w:p>
      <w:pPr>
        <w:ind w:right="659"/>
        <w:spacing w:after="0" w:line="284" w:lineRule="auto"/>
        <w:rPr>
          <w:sz w:val="20"/>
          <w:szCs w:val="20"/>
          <w:color w:val="auto"/>
        </w:rPr>
      </w:pPr>
      <w:r>
        <w:rPr>
          <w:rFonts w:ascii="Arial" w:cs="Arial" w:eastAsia="Arial" w:hAnsi="Arial"/>
          <w:sz w:val="17"/>
          <w:szCs w:val="17"/>
          <w:color w:val="auto"/>
        </w:rPr>
        <w:t>Do NOT provide discount stock options or stock appreciation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-227330</wp:posOffset>
            </wp:positionV>
            <wp:extent cx="16256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2560" cy="146050"/>
                    </a:xfrm>
                    <a:prstGeom prst="rect">
                      <a:avLst/>
                    </a:prstGeom>
                    <a:noFill/>
                  </pic:spPr>
                </pic:pic>
              </a:graphicData>
            </a:graphic>
          </wp:anchor>
        </w:drawing>
      </w:r>
    </w:p>
    <w:p>
      <w:pPr>
        <w:ind w:right="579"/>
        <w:spacing w:after="0" w:line="308" w:lineRule="auto"/>
        <w:rPr>
          <w:sz w:val="20"/>
          <w:szCs w:val="20"/>
          <w:color w:val="auto"/>
        </w:rPr>
      </w:pPr>
      <w:r>
        <w:rPr>
          <w:rFonts w:ascii="Arial" w:cs="Arial" w:eastAsia="Arial" w:hAnsi="Arial"/>
          <w:sz w:val="16"/>
          <w:szCs w:val="16"/>
          <w:color w:val="auto"/>
        </w:rPr>
        <w:t>Do NOT pay dividends on performance-based restricted stock units prior to vesting</w:t>
      </w:r>
    </w:p>
    <w:p>
      <w:pPr>
        <w:ind w:right="479"/>
        <w:spacing w:after="0" w:line="260" w:lineRule="auto"/>
        <w:rPr>
          <w:sz w:val="20"/>
          <w:szCs w:val="20"/>
          <w:color w:val="auto"/>
        </w:rPr>
      </w:pPr>
      <w:r>
        <w:rPr>
          <w:rFonts w:ascii="Arial" w:cs="Arial" w:eastAsia="Arial" w:hAnsi="Arial"/>
          <w:sz w:val="17"/>
          <w:szCs w:val="17"/>
          <w:color w:val="auto"/>
        </w:rPr>
        <w:t>Do NOT add back to our equity compensation plan reserves any shares tendered as payment for shares withheld for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-325755</wp:posOffset>
            </wp:positionV>
            <wp:extent cx="16256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256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720"/>
            <w:col w:w="3739"/>
          </w:cols>
          <w:pgMar w:left="580" w:top="97" w:right="1440" w:bottom="1440" w:gutter="0" w:footer="0" w:header="0"/>
          <w:type w:val="continuous"/>
        </w:sectPr>
      </w:pPr>
    </w:p>
    <w:p>
      <w:pPr>
        <w:spacing w:after="0" w:line="77" w:lineRule="exact"/>
        <w:rPr>
          <w:sz w:val="20"/>
          <w:szCs w:val="20"/>
          <w:color w:val="auto"/>
        </w:rPr>
      </w:pPr>
    </w:p>
    <w:p>
      <w:pPr>
        <w:ind w:left="1260" w:right="439" w:firstLine="648"/>
        <w:spacing w:after="0" w:line="255" w:lineRule="auto"/>
        <w:rPr>
          <w:sz w:val="20"/>
          <w:szCs w:val="20"/>
          <w:color w:val="auto"/>
        </w:rPr>
      </w:pPr>
      <w:r>
        <w:rPr>
          <w:rFonts w:ascii="Arial" w:cs="Arial" w:eastAsia="Arial" w:hAnsi="Arial"/>
          <w:sz w:val="18"/>
          <w:szCs w:val="18"/>
          <w:i w:val="1"/>
          <w:iCs w:val="1"/>
          <w:color w:val="00ABD1"/>
        </w:rPr>
        <w:t xml:space="preserve">Results of Stockholder Advisory Vote on Executive Compensation. </w:t>
      </w:r>
      <w:r>
        <w:rPr>
          <w:rFonts w:ascii="Arial" w:cs="Arial" w:eastAsia="Arial" w:hAnsi="Arial"/>
          <w:sz w:val="18"/>
          <w:szCs w:val="18"/>
          <w:color w:val="000000"/>
        </w:rPr>
        <w:t>At its 2025 annual meeting</w:t>
      </w:r>
      <w:r>
        <w:rPr>
          <w:rFonts w:ascii="Arial" w:cs="Arial" w:eastAsia="Arial" w:hAnsi="Arial"/>
          <w:sz w:val="18"/>
          <w:szCs w:val="18"/>
          <w:i w:val="1"/>
          <w:iCs w:val="1"/>
          <w:color w:val="00ABD1"/>
        </w:rPr>
        <w:t xml:space="preserve"> </w:t>
      </w:r>
      <w:r>
        <w:rPr>
          <w:rFonts w:ascii="Arial" w:cs="Arial" w:eastAsia="Arial" w:hAnsi="Arial"/>
          <w:sz w:val="18"/>
          <w:szCs w:val="18"/>
          <w:color w:val="000000"/>
        </w:rPr>
        <w:t>of stockholders, Old Uniti held an annual “say-on-pay” vote pursuant to which stockholders were given the opportunity to approve the compensation of Old Uniti’s NEOs. Approximately 95% of votes cast on the proposal were in favor of Old Uniti’s executive compensation. In light of this strong support, the Compensation Committee decided to maintain the core design of the compensation program for 2026 consistent with Old Uniti’s compensation program, with certain modifications and refinements to support the strategic objectives of the Company following the Merger. The Compensation Committee plans to evaluate and consider the outcome of each annual advisory vote on the Company’s executive compensation, in addition to various other factors, when making future compensation decisions.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color w:val="00ABD1"/>
        </w:rPr>
        <w:t>The Decision-Making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0" w:lineRule="exact"/>
        <w:rPr>
          <w:sz w:val="20"/>
          <w:szCs w:val="20"/>
          <w:color w:val="auto"/>
        </w:rPr>
      </w:pPr>
    </w:p>
    <w:p>
      <w:pPr>
        <w:ind w:left="1260" w:right="499" w:firstLine="648"/>
        <w:spacing w:after="0" w:line="282" w:lineRule="auto"/>
        <w:rPr>
          <w:sz w:val="20"/>
          <w:szCs w:val="20"/>
          <w:color w:val="auto"/>
        </w:rPr>
      </w:pPr>
      <w:r>
        <w:rPr>
          <w:rFonts w:ascii="Arial" w:cs="Arial" w:eastAsia="Arial" w:hAnsi="Arial"/>
          <w:sz w:val="17"/>
          <w:szCs w:val="17"/>
          <w:i w:val="1"/>
          <w:iCs w:val="1"/>
          <w:color w:val="00ABD1"/>
        </w:rPr>
        <w:t xml:space="preserve">Compensation Committee. </w:t>
      </w:r>
      <w:r>
        <w:rPr>
          <w:rFonts w:ascii="Arial" w:cs="Arial" w:eastAsia="Arial" w:hAnsi="Arial"/>
          <w:sz w:val="17"/>
          <w:szCs w:val="17"/>
          <w:color w:val="000000"/>
        </w:rPr>
        <w:t>Our Compensation Committee is currently comprised of Messrs.</w:t>
      </w:r>
      <w:r>
        <w:rPr>
          <w:rFonts w:ascii="Arial" w:cs="Arial" w:eastAsia="Arial" w:hAnsi="Arial"/>
          <w:sz w:val="17"/>
          <w:szCs w:val="17"/>
          <w:i w:val="1"/>
          <w:iCs w:val="1"/>
          <w:color w:val="00ABD1"/>
        </w:rPr>
        <w:t xml:space="preserve"> </w:t>
      </w:r>
      <w:r>
        <w:rPr>
          <w:rFonts w:ascii="Arial" w:cs="Arial" w:eastAsia="Arial" w:hAnsi="Arial"/>
          <w:sz w:val="17"/>
          <w:szCs w:val="17"/>
          <w:color w:val="000000"/>
        </w:rPr>
        <w:t>Bruce (Chair), Natale and Zeitz and Ms. Perez-Carlton. Our Board of Directors has determined that each member of the Compensation Committee is an independent director under Nasdaq listing standards and a “non-employee director” for purposes of Section 16 of the Securities Exchange Act of 1934.</w:t>
      </w:r>
    </w:p>
    <w:p>
      <w:pPr>
        <w:spacing w:after="0" w:line="161" w:lineRule="exact"/>
        <w:rPr>
          <w:sz w:val="20"/>
          <w:szCs w:val="20"/>
          <w:color w:val="auto"/>
        </w:rPr>
      </w:pPr>
    </w:p>
    <w:p>
      <w:pPr>
        <w:ind w:left="1260" w:right="419" w:firstLine="648"/>
        <w:spacing w:after="0" w:line="318" w:lineRule="auto"/>
        <w:rPr>
          <w:sz w:val="20"/>
          <w:szCs w:val="20"/>
          <w:color w:val="auto"/>
        </w:rPr>
      </w:pPr>
      <w:r>
        <w:rPr>
          <w:rFonts w:ascii="Arial" w:cs="Arial" w:eastAsia="Arial" w:hAnsi="Arial"/>
          <w:sz w:val="17"/>
          <w:szCs w:val="17"/>
          <w:color w:val="auto"/>
        </w:rPr>
        <w:t>The Compensation Committee oversees and administers our compensation programs, plans and awards for Uniti’s directors and executive officers and is primarily responsible for reviewing and approving</w:t>
      </w:r>
    </w:p>
    <w:p>
      <w:pPr>
        <w:sectPr>
          <w:pgSz w:w="11900" w:h="16838" w:orient="portrait"/>
          <w:cols w:equalWidth="0" w:num="1">
            <w:col w:w="9879"/>
          </w:cols>
          <w:pgMar w:left="580" w:top="97" w:right="1440" w:bottom="1440" w:gutter="0" w:footer="0" w:header="0"/>
          <w:type w:val="continuous"/>
        </w:sectPr>
      </w:pPr>
    </w:p>
    <w:p>
      <w:pPr>
        <w:spacing w:after="0" w:line="31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73" w:lineRule="auto"/>
        <w:rPr>
          <w:sz w:val="20"/>
          <w:szCs w:val="20"/>
          <w:color w:val="auto"/>
        </w:rPr>
      </w:pPr>
      <w:r>
        <w:rPr>
          <w:rFonts w:ascii="Arial" w:cs="Arial" w:eastAsia="Arial" w:hAnsi="Arial"/>
          <w:sz w:val="18"/>
          <w:szCs w:val="18"/>
          <w:color w:val="auto"/>
        </w:rPr>
        <w:t xml:space="preserve">(or recommending to the Board of Directors for approval) our compensation policies and the compensation paid to our executive officers. The Compensation Committee’s responsibilities are set forth in its written charter that is available on our website at </w:t>
      </w:r>
      <w:r>
        <w:rPr>
          <w:rFonts w:ascii="Arial" w:cs="Arial" w:eastAsia="Arial" w:hAnsi="Arial"/>
          <w:sz w:val="18"/>
          <w:szCs w:val="18"/>
          <w:b w:val="1"/>
          <w:bCs w:val="1"/>
          <w:color w:val="00ABD1"/>
        </w:rPr>
        <w:t>www.uniti.com</w:t>
      </w:r>
      <w:r>
        <w:rPr>
          <w:rFonts w:ascii="Arial" w:cs="Arial" w:eastAsia="Arial" w:hAnsi="Arial"/>
          <w:sz w:val="18"/>
          <w:szCs w:val="18"/>
          <w:color w:val="auto"/>
        </w:rPr>
        <w:t xml:space="preserve"> under the “About Us — Corporate Governance” tab.</w:t>
      </w:r>
    </w:p>
    <w:p>
      <w:pPr>
        <w:spacing w:after="0" w:line="179"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With respect to the 2025 compensation program at Old Uniti, Old Uniti’s compensation</w:t>
      </w:r>
    </w:p>
    <w:p>
      <w:pPr>
        <w:spacing w:after="0" w:line="32" w:lineRule="exact"/>
        <w:rPr>
          <w:sz w:val="20"/>
          <w:szCs w:val="20"/>
          <w:color w:val="auto"/>
        </w:rPr>
      </w:pPr>
    </w:p>
    <w:p>
      <w:pPr>
        <w:ind w:left="1260" w:right="439"/>
        <w:spacing w:after="0" w:line="260" w:lineRule="auto"/>
        <w:rPr>
          <w:sz w:val="20"/>
          <w:szCs w:val="20"/>
          <w:color w:val="auto"/>
        </w:rPr>
      </w:pPr>
      <w:r>
        <w:rPr>
          <w:rFonts w:ascii="Arial" w:cs="Arial" w:eastAsia="Arial" w:hAnsi="Arial"/>
          <w:sz w:val="18"/>
          <w:szCs w:val="18"/>
          <w:color w:val="auto"/>
        </w:rPr>
        <w:t>committee (which was comprised of Mr. Bruce, Mr. Frantz and Ms. Perez-Carlton — current directors of the Company — as well as Jennifer Banner, who served on Old Uniti’s board until Old Uniti’s 2025 annual meeting of stockholders) reviewed and approved the compensation opportunities for Messrs. Gunderman, Bullington, Heard and Friloux with input from its independent compensation consultant, Pearl Meyer, in February 2025. In approving such compensation, Old Uniti’s compensation committee focused on various metrics to evaluate performance, in addition to strategic priorities, as discussed below. Old Uniti’s compensation committee also consulted with Pearl Meyer in connection with</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Mr. Harrobin’s compensation when he joined Old Uniti in anticipation of the Merger closing.</w:t>
      </w:r>
    </w:p>
    <w:p>
      <w:pPr>
        <w:spacing w:after="0" w:line="221" w:lineRule="exact"/>
        <w:rPr>
          <w:sz w:val="20"/>
          <w:szCs w:val="20"/>
          <w:color w:val="auto"/>
        </w:rPr>
      </w:pPr>
    </w:p>
    <w:p>
      <w:pPr>
        <w:ind w:left="1260" w:right="419" w:firstLine="648"/>
        <w:spacing w:after="0" w:line="267" w:lineRule="auto"/>
        <w:rPr>
          <w:sz w:val="20"/>
          <w:szCs w:val="20"/>
          <w:color w:val="auto"/>
        </w:rPr>
      </w:pPr>
      <w:r>
        <w:rPr>
          <w:rFonts w:ascii="Arial" w:cs="Arial" w:eastAsia="Arial" w:hAnsi="Arial"/>
          <w:sz w:val="18"/>
          <w:szCs w:val="18"/>
          <w:i w:val="1"/>
          <w:iCs w:val="1"/>
          <w:color w:val="00ABD1"/>
        </w:rPr>
        <w:t xml:space="preserve">Management. </w:t>
      </w:r>
      <w:r>
        <w:rPr>
          <w:rFonts w:ascii="Arial" w:cs="Arial" w:eastAsia="Arial" w:hAnsi="Arial"/>
          <w:sz w:val="18"/>
          <w:szCs w:val="18"/>
          <w:color w:val="000000"/>
        </w:rPr>
        <w:t>Our CEO provides performance context and recommendations based on the</w:t>
      </w:r>
      <w:r>
        <w:rPr>
          <w:rFonts w:ascii="Arial" w:cs="Arial" w:eastAsia="Arial" w:hAnsi="Arial"/>
          <w:sz w:val="18"/>
          <w:szCs w:val="18"/>
          <w:i w:val="1"/>
          <w:iCs w:val="1"/>
          <w:color w:val="00ABD1"/>
        </w:rPr>
        <w:t xml:space="preserve"> </w:t>
      </w:r>
      <w:r>
        <w:rPr>
          <w:rFonts w:ascii="Arial" w:cs="Arial" w:eastAsia="Arial" w:hAnsi="Arial"/>
          <w:sz w:val="18"/>
          <w:szCs w:val="18"/>
          <w:color w:val="000000"/>
        </w:rPr>
        <w:t>analysis supplied by Pearl Meyer regarding the compensation arrangements for the NEOs, other than himself. While the Compensation Committee values the judgment and input from the CEO, and considers his recommendations, the Compensation Committee ultimately retains sole discretion to approve the compensation packages for each executive officer.</w:t>
      </w:r>
    </w:p>
    <w:p>
      <w:pPr>
        <w:spacing w:after="0" w:line="185" w:lineRule="exact"/>
        <w:rPr>
          <w:sz w:val="20"/>
          <w:szCs w:val="20"/>
          <w:color w:val="auto"/>
        </w:rPr>
      </w:pPr>
    </w:p>
    <w:p>
      <w:pPr>
        <w:ind w:left="1260" w:right="519" w:firstLine="648"/>
        <w:spacing w:after="0" w:line="290" w:lineRule="auto"/>
        <w:rPr>
          <w:sz w:val="20"/>
          <w:szCs w:val="20"/>
          <w:color w:val="auto"/>
        </w:rPr>
      </w:pPr>
      <w:r>
        <w:rPr>
          <w:rFonts w:ascii="Arial" w:cs="Arial" w:eastAsia="Arial" w:hAnsi="Arial"/>
          <w:sz w:val="17"/>
          <w:szCs w:val="17"/>
          <w:i w:val="1"/>
          <w:iCs w:val="1"/>
          <w:color w:val="00ABD1"/>
        </w:rPr>
        <w:t xml:space="preserve">Independent Consultant. </w:t>
      </w:r>
      <w:r>
        <w:rPr>
          <w:rFonts w:ascii="Arial" w:cs="Arial" w:eastAsia="Arial" w:hAnsi="Arial"/>
          <w:sz w:val="17"/>
          <w:szCs w:val="17"/>
          <w:color w:val="000000"/>
        </w:rPr>
        <w:t>The Compensation Committee has the authority to retain and</w:t>
      </w:r>
      <w:r>
        <w:rPr>
          <w:rFonts w:ascii="Arial" w:cs="Arial" w:eastAsia="Arial" w:hAnsi="Arial"/>
          <w:sz w:val="17"/>
          <w:szCs w:val="17"/>
          <w:i w:val="1"/>
          <w:iCs w:val="1"/>
          <w:color w:val="00ABD1"/>
        </w:rPr>
        <w:t xml:space="preserve"> </w:t>
      </w:r>
      <w:r>
        <w:rPr>
          <w:rFonts w:ascii="Arial" w:cs="Arial" w:eastAsia="Arial" w:hAnsi="Arial"/>
          <w:sz w:val="17"/>
          <w:szCs w:val="17"/>
          <w:color w:val="000000"/>
        </w:rPr>
        <w:t>terminate any compensation consultant, legal counsel or other adviser as it determines appropriate to assist it in the performance of its responsibilities and to approve such consultant’s fees and other retention terms. It is the policy of the Compensation Committee that the compensation consultant should not perform any services for us other than services as a consultant to the Compensation Committee.</w:t>
      </w:r>
    </w:p>
    <w:p>
      <w:pPr>
        <w:spacing w:after="0" w:line="156" w:lineRule="exact"/>
        <w:rPr>
          <w:sz w:val="20"/>
          <w:szCs w:val="20"/>
          <w:color w:val="auto"/>
        </w:rPr>
      </w:pPr>
    </w:p>
    <w:p>
      <w:pPr>
        <w:ind w:left="1260" w:right="479" w:firstLine="648"/>
        <w:spacing w:after="0" w:line="284" w:lineRule="auto"/>
        <w:rPr>
          <w:sz w:val="20"/>
          <w:szCs w:val="20"/>
          <w:color w:val="auto"/>
        </w:rPr>
      </w:pPr>
      <w:r>
        <w:rPr>
          <w:rFonts w:ascii="Arial" w:cs="Arial" w:eastAsia="Arial" w:hAnsi="Arial"/>
          <w:sz w:val="17"/>
          <w:szCs w:val="17"/>
          <w:color w:val="auto"/>
        </w:rPr>
        <w:t>Old Uniti’s compensation committee engaged Pearl Meyer to assist in the review and design of its 2025 executive compensation program after considering its experience in assisting both telecommunications companies and other REITs in designing competitive, well-balanced compensation programs that align the interests of management and stockholders. Pearl Meyer assisted Old Uniti’s compensation committee in reviewing Old Uniti’s existing short- and long-term compensation programs and structuring awards under such programs, provided data on current compensation “best practices” and trends in the REIT industry, and assisted with a review of Old Uniti’s peer group for use in structuring Old Uniti’s 2025 executive compensation program. A description of the process and rationale utilized for selecting Old Uniti’s 2025 peer group is described below.</w:t>
      </w:r>
    </w:p>
    <w:p>
      <w:pPr>
        <w:spacing w:after="0" w:line="159" w:lineRule="exact"/>
        <w:rPr>
          <w:sz w:val="20"/>
          <w:szCs w:val="20"/>
          <w:color w:val="auto"/>
        </w:rPr>
      </w:pPr>
    </w:p>
    <w:p>
      <w:pPr>
        <w:ind w:left="1260" w:right="439" w:firstLine="648"/>
        <w:spacing w:after="0" w:line="267" w:lineRule="auto"/>
        <w:rPr>
          <w:sz w:val="20"/>
          <w:szCs w:val="20"/>
          <w:color w:val="auto"/>
        </w:rPr>
      </w:pPr>
      <w:r>
        <w:rPr>
          <w:rFonts w:ascii="Arial" w:cs="Arial" w:eastAsia="Arial" w:hAnsi="Arial"/>
          <w:sz w:val="18"/>
          <w:szCs w:val="18"/>
          <w:color w:val="auto"/>
        </w:rPr>
        <w:t>In connection with the Merger, the Compensation Committee determined to retain Pearl Meyer to assist in the review and design of the Company’s compensation following the Merger. Pearl Meyer reports directly to the Compensation Committee and regularly participates in committee meetings. Prior to engagement, both Old Uniti’s compensation committee and the Compensation Committee reviewed the independence of Pearl Meyer pursuant to the applicable SEC rules and concluded no conflict of interest exists that would preclude Pearl Meyer from serving as an independent advisor to the Compensation Committee.</w:t>
      </w:r>
    </w:p>
    <w:p>
      <w:pPr>
        <w:spacing w:after="0" w:line="184" w:lineRule="exact"/>
        <w:rPr>
          <w:sz w:val="20"/>
          <w:szCs w:val="20"/>
          <w:color w:val="auto"/>
        </w:rPr>
      </w:pPr>
    </w:p>
    <w:p>
      <w:pPr>
        <w:ind w:left="1260" w:right="459" w:firstLine="648"/>
        <w:spacing w:after="0" w:line="264" w:lineRule="auto"/>
        <w:rPr>
          <w:sz w:val="20"/>
          <w:szCs w:val="20"/>
          <w:color w:val="auto"/>
        </w:rPr>
      </w:pPr>
      <w:r>
        <w:rPr>
          <w:rFonts w:ascii="Arial" w:cs="Arial" w:eastAsia="Arial" w:hAnsi="Arial"/>
          <w:sz w:val="18"/>
          <w:szCs w:val="18"/>
          <w:i w:val="1"/>
          <w:iCs w:val="1"/>
          <w:color w:val="00ABD1"/>
        </w:rPr>
        <w:t xml:space="preserve">Competitive Market Analysis; Formulation of Peer Group. </w:t>
      </w:r>
      <w:r>
        <w:rPr>
          <w:rFonts w:ascii="Arial" w:cs="Arial" w:eastAsia="Arial" w:hAnsi="Arial"/>
          <w:sz w:val="18"/>
          <w:szCs w:val="18"/>
          <w:color w:val="000000"/>
        </w:rPr>
        <w:t>In designing Old Uniti’s 2025</w:t>
      </w:r>
      <w:r>
        <w:rPr>
          <w:rFonts w:ascii="Arial" w:cs="Arial" w:eastAsia="Arial" w:hAnsi="Arial"/>
          <w:sz w:val="18"/>
          <w:szCs w:val="18"/>
          <w:i w:val="1"/>
          <w:iCs w:val="1"/>
          <w:color w:val="00ABD1"/>
        </w:rPr>
        <w:t xml:space="preserve"> </w:t>
      </w:r>
      <w:r>
        <w:rPr>
          <w:rFonts w:ascii="Arial" w:cs="Arial" w:eastAsia="Arial" w:hAnsi="Arial"/>
          <w:sz w:val="18"/>
          <w:szCs w:val="18"/>
          <w:color w:val="000000"/>
        </w:rPr>
        <w:t>executive compensation program, Old Uniti’s compensation committee, with the assistance of Pearl Meyer and senior management of Old Uniti, gathered and reviewed information about the compensation program and processes of other publicly traded REITs and telecommunication companies (the “Peer Group”). In selecting the Peer Group, Old Uniti’s compensation committee and Pearl Meyer considered many factors, focusing particularly on companies with comparable revenues and enterprise values to Old Uniti and net-lease REITs that focus on unique market segments or niches and/or employ a similar business model to Old Uniti. Old Uniti management assisted Pearl Meyer and Old Uniti’s compensation committee in</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99"/>
        <w:spacing w:after="0" w:line="268" w:lineRule="auto"/>
        <w:rPr>
          <w:sz w:val="20"/>
          <w:szCs w:val="20"/>
          <w:color w:val="auto"/>
        </w:rPr>
      </w:pPr>
      <w:r>
        <w:rPr>
          <w:rFonts w:ascii="Arial" w:cs="Arial" w:eastAsia="Arial" w:hAnsi="Arial"/>
          <w:sz w:val="18"/>
          <w:szCs w:val="18"/>
          <w:color w:val="auto"/>
        </w:rPr>
        <w:t>the process by providing additional industry insight. Applying these criteria, Pearl Meyer recommended, and Old Uniti’s compensation committee approved, inclusion of the following companies in the Peer Group:</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color w:val="00ABD1"/>
        </w:rPr>
        <w:t>Old Uniti’s 2025 Executive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57" w:lineRule="exact"/>
        <w:rPr>
          <w:sz w:val="20"/>
          <w:szCs w:val="20"/>
          <w:color w:val="auto"/>
        </w:rPr>
      </w:pPr>
    </w:p>
    <w:tbl>
      <w:tblPr>
        <w:tblLayout w:type="fixed"/>
        <w:tblInd w:w="1260" w:type="dxa"/>
        <w:tblCellMar>
          <w:top w:w="0" w:type="dxa"/>
          <w:left w:w="0" w:type="dxa"/>
          <w:bottom w:w="0" w:type="dxa"/>
          <w:right w:w="0" w:type="dxa"/>
        </w:tblCellMar>
      </w:tblPr>
      <w:tr>
        <w:trPr>
          <w:trHeight w:val="235"/>
        </w:trPr>
        <w:tc>
          <w:tcPr>
            <w:tcW w:w="4240" w:type="dxa"/>
            <w:vAlign w:val="bottom"/>
          </w:tcPr>
          <w:p>
            <w:pPr>
              <w:spacing w:after="0"/>
              <w:rPr>
                <w:sz w:val="20"/>
                <w:szCs w:val="20"/>
                <w:color w:val="auto"/>
              </w:rPr>
            </w:pPr>
            <w:r>
              <w:rPr>
                <w:rFonts w:ascii="Arial" w:cs="Arial" w:eastAsia="Arial" w:hAnsi="Arial"/>
                <w:sz w:val="18"/>
                <w:szCs w:val="18"/>
                <w:color w:val="auto"/>
              </w:rPr>
              <w:t>Acadia Realty Trust (AKR)</w:t>
            </w:r>
          </w:p>
        </w:tc>
        <w:tc>
          <w:tcPr>
            <w:tcW w:w="3960" w:type="dxa"/>
            <w:vAlign w:val="bottom"/>
          </w:tcPr>
          <w:p>
            <w:pPr>
              <w:ind w:left="100"/>
              <w:spacing w:after="0"/>
              <w:rPr>
                <w:sz w:val="20"/>
                <w:szCs w:val="20"/>
                <w:color w:val="auto"/>
              </w:rPr>
            </w:pPr>
            <w:r>
              <w:rPr>
                <w:rFonts w:ascii="Arial" w:cs="Arial" w:eastAsia="Arial" w:hAnsi="Arial"/>
                <w:sz w:val="18"/>
                <w:szCs w:val="18"/>
                <w:color w:val="auto"/>
              </w:rPr>
              <w:t>Hudson Pacific Properties, Inc. (HPP)</w:t>
            </w:r>
          </w:p>
        </w:tc>
      </w:tr>
      <w:tr>
        <w:trPr>
          <w:trHeight w:val="256"/>
        </w:trPr>
        <w:tc>
          <w:tcPr>
            <w:tcW w:w="4240" w:type="dxa"/>
            <w:vAlign w:val="bottom"/>
            <w:shd w:val="clear" w:color="auto" w:fill="B2B2B2"/>
          </w:tcPr>
          <w:p>
            <w:pPr>
              <w:spacing w:after="0"/>
              <w:rPr>
                <w:sz w:val="20"/>
                <w:szCs w:val="20"/>
                <w:color w:val="auto"/>
              </w:rPr>
            </w:pPr>
            <w:r>
              <w:rPr>
                <w:rFonts w:ascii="Arial" w:cs="Arial" w:eastAsia="Arial" w:hAnsi="Arial"/>
                <w:sz w:val="18"/>
                <w:szCs w:val="18"/>
                <w:color w:val="auto"/>
              </w:rPr>
              <w:t>American Tower Corporation (AMT)</w:t>
            </w:r>
          </w:p>
        </w:tc>
        <w:tc>
          <w:tcPr>
            <w:tcW w:w="3960" w:type="dxa"/>
            <w:vAlign w:val="bottom"/>
            <w:shd w:val="clear" w:color="auto" w:fill="B2B2B2"/>
          </w:tcPr>
          <w:p>
            <w:pPr>
              <w:ind w:left="100"/>
              <w:spacing w:after="0"/>
              <w:rPr>
                <w:sz w:val="20"/>
                <w:szCs w:val="20"/>
                <w:color w:val="auto"/>
              </w:rPr>
            </w:pPr>
            <w:r>
              <w:rPr>
                <w:rFonts w:ascii="Arial" w:cs="Arial" w:eastAsia="Arial" w:hAnsi="Arial"/>
                <w:sz w:val="18"/>
                <w:szCs w:val="18"/>
                <w:color w:val="auto"/>
              </w:rPr>
              <w:t>Lumen Technologies, Inc. (LUMN)</w:t>
            </w:r>
          </w:p>
        </w:tc>
      </w:tr>
      <w:tr>
        <w:trPr>
          <w:trHeight w:val="283"/>
        </w:trPr>
        <w:tc>
          <w:tcPr>
            <w:tcW w:w="4240" w:type="dxa"/>
            <w:vAlign w:val="bottom"/>
          </w:tcPr>
          <w:p>
            <w:pPr>
              <w:spacing w:after="0"/>
              <w:rPr>
                <w:sz w:val="20"/>
                <w:szCs w:val="20"/>
                <w:color w:val="auto"/>
              </w:rPr>
            </w:pPr>
            <w:r>
              <w:rPr>
                <w:rFonts w:ascii="Arial" w:cs="Arial" w:eastAsia="Arial" w:hAnsi="Arial"/>
                <w:sz w:val="18"/>
                <w:szCs w:val="18"/>
                <w:color w:val="auto"/>
                <w:w w:val="99"/>
              </w:rPr>
              <w:t>Consolidated Communications Holdings, Inc. (CNSL)</w:t>
            </w:r>
          </w:p>
        </w:tc>
        <w:tc>
          <w:tcPr>
            <w:tcW w:w="3960" w:type="dxa"/>
            <w:vAlign w:val="bottom"/>
          </w:tcPr>
          <w:p>
            <w:pPr>
              <w:ind w:left="100"/>
              <w:spacing w:after="0"/>
              <w:rPr>
                <w:sz w:val="20"/>
                <w:szCs w:val="20"/>
                <w:color w:val="auto"/>
              </w:rPr>
            </w:pPr>
            <w:r>
              <w:rPr>
                <w:rFonts w:ascii="Arial" w:cs="Arial" w:eastAsia="Arial" w:hAnsi="Arial"/>
                <w:sz w:val="18"/>
                <w:szCs w:val="18"/>
                <w:color w:val="auto"/>
              </w:rPr>
              <w:t>NNN REIT, Inc.</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(NNN)</w:t>
            </w:r>
          </w:p>
        </w:tc>
      </w:tr>
      <w:tr>
        <w:trPr>
          <w:trHeight w:val="284"/>
        </w:trPr>
        <w:tc>
          <w:tcPr>
            <w:tcW w:w="4240" w:type="dxa"/>
            <w:vAlign w:val="bottom"/>
            <w:shd w:val="clear" w:color="auto" w:fill="B2B2B2"/>
          </w:tcPr>
          <w:p>
            <w:pPr>
              <w:spacing w:after="0"/>
              <w:rPr>
                <w:sz w:val="20"/>
                <w:szCs w:val="20"/>
                <w:color w:val="auto"/>
              </w:rPr>
            </w:pPr>
            <w:r>
              <w:rPr>
                <w:rFonts w:ascii="Arial" w:cs="Arial" w:eastAsia="Arial" w:hAnsi="Arial"/>
                <w:sz w:val="18"/>
                <w:szCs w:val="18"/>
                <w:color w:val="auto"/>
              </w:rPr>
              <w:t>COPT Defense Properties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(CDP)</w:t>
            </w:r>
          </w:p>
        </w:tc>
        <w:tc>
          <w:tcPr>
            <w:tcW w:w="3960" w:type="dxa"/>
            <w:vAlign w:val="bottom"/>
            <w:shd w:val="clear" w:color="auto" w:fill="B2B2B2"/>
          </w:tcPr>
          <w:p>
            <w:pPr>
              <w:ind w:left="100"/>
              <w:spacing w:after="0"/>
              <w:rPr>
                <w:sz w:val="20"/>
                <w:szCs w:val="20"/>
                <w:color w:val="auto"/>
              </w:rPr>
            </w:pPr>
            <w:r>
              <w:rPr>
                <w:rFonts w:ascii="Arial" w:cs="Arial" w:eastAsia="Arial" w:hAnsi="Arial"/>
                <w:sz w:val="18"/>
                <w:szCs w:val="18"/>
                <w:color w:val="auto"/>
              </w:rPr>
              <w:t>Omega Healthcare Investors, Inc. (OHI)</w:t>
            </w:r>
          </w:p>
        </w:tc>
      </w:tr>
      <w:tr>
        <w:trPr>
          <w:trHeight w:val="256"/>
        </w:trPr>
        <w:tc>
          <w:tcPr>
            <w:tcW w:w="4240" w:type="dxa"/>
            <w:vAlign w:val="bottom"/>
          </w:tcPr>
          <w:p>
            <w:pPr>
              <w:spacing w:after="0"/>
              <w:rPr>
                <w:sz w:val="20"/>
                <w:szCs w:val="20"/>
                <w:color w:val="auto"/>
              </w:rPr>
            </w:pPr>
            <w:r>
              <w:rPr>
                <w:rFonts w:ascii="Arial" w:cs="Arial" w:eastAsia="Arial" w:hAnsi="Arial"/>
                <w:sz w:val="18"/>
                <w:szCs w:val="18"/>
                <w:color w:val="auto"/>
              </w:rPr>
              <w:t>Crown Castle Inc. (CCI)</w:t>
            </w:r>
          </w:p>
        </w:tc>
        <w:tc>
          <w:tcPr>
            <w:tcW w:w="3960" w:type="dxa"/>
            <w:vAlign w:val="bottom"/>
          </w:tcPr>
          <w:p>
            <w:pPr>
              <w:ind w:left="100"/>
              <w:spacing w:after="0"/>
              <w:rPr>
                <w:sz w:val="20"/>
                <w:szCs w:val="20"/>
                <w:color w:val="auto"/>
              </w:rPr>
            </w:pPr>
            <w:r>
              <w:rPr>
                <w:rFonts w:ascii="Arial" w:cs="Arial" w:eastAsia="Arial" w:hAnsi="Arial"/>
                <w:sz w:val="18"/>
                <w:szCs w:val="18"/>
                <w:color w:val="auto"/>
              </w:rPr>
              <w:t>Piedmont Office Realty Trust, Inc. (PDM)</w:t>
            </w:r>
          </w:p>
        </w:tc>
      </w:tr>
      <w:tr>
        <w:trPr>
          <w:trHeight w:val="270"/>
        </w:trPr>
        <w:tc>
          <w:tcPr>
            <w:tcW w:w="4240" w:type="dxa"/>
            <w:vAlign w:val="bottom"/>
            <w:shd w:val="clear" w:color="auto" w:fill="B2B2B2"/>
          </w:tcPr>
          <w:p>
            <w:pPr>
              <w:spacing w:after="0"/>
              <w:rPr>
                <w:sz w:val="20"/>
                <w:szCs w:val="20"/>
                <w:color w:val="auto"/>
              </w:rPr>
            </w:pPr>
            <w:r>
              <w:rPr>
                <w:rFonts w:ascii="Arial" w:cs="Arial" w:eastAsia="Arial" w:hAnsi="Arial"/>
                <w:sz w:val="18"/>
                <w:szCs w:val="18"/>
                <w:color w:val="auto"/>
              </w:rPr>
              <w:t>Digital Realty Trust, Inc. (DLR)</w:t>
            </w:r>
          </w:p>
        </w:tc>
        <w:tc>
          <w:tcPr>
            <w:tcW w:w="3960" w:type="dxa"/>
            <w:vAlign w:val="bottom"/>
            <w:shd w:val="clear" w:color="auto" w:fill="B2B2B2"/>
          </w:tcPr>
          <w:p>
            <w:pPr>
              <w:ind w:left="100"/>
              <w:spacing w:after="0"/>
              <w:rPr>
                <w:sz w:val="20"/>
                <w:szCs w:val="20"/>
                <w:color w:val="auto"/>
              </w:rPr>
            </w:pPr>
            <w:r>
              <w:rPr>
                <w:rFonts w:ascii="Arial" w:cs="Arial" w:eastAsia="Arial" w:hAnsi="Arial"/>
                <w:sz w:val="18"/>
                <w:szCs w:val="18"/>
                <w:color w:val="auto"/>
              </w:rPr>
              <w:t>SBA Communications Corporation (SBAC)</w:t>
            </w:r>
          </w:p>
        </w:tc>
      </w:tr>
      <w:tr>
        <w:trPr>
          <w:trHeight w:val="265"/>
        </w:trPr>
        <w:tc>
          <w:tcPr>
            <w:tcW w:w="4240" w:type="dxa"/>
            <w:vAlign w:val="bottom"/>
          </w:tcPr>
          <w:p>
            <w:pPr>
              <w:spacing w:after="0"/>
              <w:rPr>
                <w:sz w:val="20"/>
                <w:szCs w:val="20"/>
                <w:color w:val="auto"/>
              </w:rPr>
            </w:pPr>
            <w:r>
              <w:rPr>
                <w:rFonts w:ascii="Arial" w:cs="Arial" w:eastAsia="Arial" w:hAnsi="Arial"/>
                <w:sz w:val="18"/>
                <w:szCs w:val="18"/>
                <w:color w:val="auto"/>
              </w:rPr>
              <w:t>EPR Properties (EPR)</w:t>
            </w:r>
          </w:p>
        </w:tc>
        <w:tc>
          <w:tcPr>
            <w:tcW w:w="3960" w:type="dxa"/>
            <w:vAlign w:val="bottom"/>
          </w:tcPr>
          <w:p>
            <w:pPr>
              <w:ind w:left="100"/>
              <w:spacing w:after="0"/>
              <w:rPr>
                <w:sz w:val="20"/>
                <w:szCs w:val="20"/>
                <w:color w:val="auto"/>
              </w:rPr>
            </w:pPr>
            <w:r>
              <w:rPr>
                <w:rFonts w:ascii="Arial" w:cs="Arial" w:eastAsia="Arial" w:hAnsi="Arial"/>
                <w:sz w:val="18"/>
                <w:szCs w:val="18"/>
                <w:color w:val="auto"/>
              </w:rPr>
              <w:t>Spirit Realty Capital, Inc. (SRC)</w:t>
            </w:r>
          </w:p>
        </w:tc>
      </w:tr>
      <w:tr>
        <w:trPr>
          <w:trHeight w:val="265"/>
        </w:trPr>
        <w:tc>
          <w:tcPr>
            <w:tcW w:w="4240" w:type="dxa"/>
            <w:vAlign w:val="bottom"/>
            <w:shd w:val="clear" w:color="auto" w:fill="B2B2B2"/>
          </w:tcPr>
          <w:p>
            <w:pPr>
              <w:spacing w:after="0"/>
              <w:rPr>
                <w:sz w:val="20"/>
                <w:szCs w:val="20"/>
                <w:color w:val="auto"/>
              </w:rPr>
            </w:pPr>
            <w:r>
              <w:rPr>
                <w:rFonts w:ascii="Arial" w:cs="Arial" w:eastAsia="Arial" w:hAnsi="Arial"/>
                <w:sz w:val="18"/>
                <w:szCs w:val="18"/>
                <w:color w:val="auto"/>
              </w:rPr>
              <w:t>Healthcare Realty Trust Incorporated (HR)</w:t>
            </w:r>
          </w:p>
        </w:tc>
        <w:tc>
          <w:tcPr>
            <w:tcW w:w="3960" w:type="dxa"/>
            <w:vAlign w:val="bottom"/>
            <w:shd w:val="clear" w:color="auto" w:fill="B2B2B2"/>
          </w:tcPr>
          <w:p>
            <w:pPr>
              <w:ind w:left="100"/>
              <w:spacing w:after="0"/>
              <w:rPr>
                <w:sz w:val="20"/>
                <w:szCs w:val="20"/>
                <w:color w:val="auto"/>
              </w:rPr>
            </w:pPr>
            <w:r>
              <w:rPr>
                <w:rFonts w:ascii="Arial" w:cs="Arial" w:eastAsia="Arial" w:hAnsi="Arial"/>
                <w:sz w:val="18"/>
                <w:szCs w:val="18"/>
                <w:color w:val="auto"/>
              </w:rPr>
              <w:t>UMH Properties, Inc. (UMH)</w:t>
            </w:r>
          </w:p>
        </w:tc>
      </w:tr>
      <w:tr>
        <w:trPr>
          <w:trHeight w:val="63"/>
        </w:trPr>
        <w:tc>
          <w:tcPr>
            <w:tcW w:w="4240" w:type="dxa"/>
            <w:vAlign w:val="bottom"/>
            <w:shd w:val="clear" w:color="auto" w:fill="B2B2B2"/>
          </w:tcPr>
          <w:p>
            <w:pPr>
              <w:spacing w:after="0"/>
              <w:rPr>
                <w:sz w:val="5"/>
                <w:szCs w:val="5"/>
                <w:color w:val="auto"/>
              </w:rPr>
            </w:pPr>
          </w:p>
        </w:tc>
        <w:tc>
          <w:tcPr>
            <w:tcW w:w="3960" w:type="dxa"/>
            <w:vAlign w:val="bottom"/>
            <w:shd w:val="clear" w:color="auto" w:fill="B2B2B2"/>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5" w:lineRule="exact"/>
        <w:rPr>
          <w:sz w:val="20"/>
          <w:szCs w:val="20"/>
          <w:color w:val="auto"/>
        </w:rPr>
      </w:pPr>
    </w:p>
    <w:p>
      <w:pPr>
        <w:ind w:left="1620" w:hanging="360"/>
        <w:spacing w:after="0"/>
        <w:tabs>
          <w:tab w:leader="none" w:pos="1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Formerly known as Corporate Office Properties Trust.</w:t>
      </w:r>
    </w:p>
    <w:p>
      <w:pPr>
        <w:spacing w:after="0" w:line="27" w:lineRule="exact"/>
        <w:rPr>
          <w:rFonts w:ascii="Arial" w:cs="Arial" w:eastAsia="Arial" w:hAnsi="Arial"/>
          <w:sz w:val="18"/>
          <w:szCs w:val="18"/>
          <w:color w:val="auto"/>
        </w:rPr>
      </w:pPr>
    </w:p>
    <w:p>
      <w:pPr>
        <w:ind w:left="1620" w:hanging="360"/>
        <w:spacing w:after="0"/>
        <w:tabs>
          <w:tab w:leader="none" w:pos="1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Formerly known as National Retail Properties, Inc.</w:t>
      </w:r>
    </w:p>
    <w:p>
      <w:pPr>
        <w:spacing w:after="0" w:line="207" w:lineRule="exact"/>
        <w:rPr>
          <w:sz w:val="20"/>
          <w:szCs w:val="20"/>
          <w:color w:val="auto"/>
        </w:rPr>
      </w:pPr>
    </w:p>
    <w:p>
      <w:pPr>
        <w:ind w:left="1260" w:right="579" w:firstLine="648"/>
        <w:spacing w:after="0" w:line="255" w:lineRule="auto"/>
        <w:rPr>
          <w:sz w:val="20"/>
          <w:szCs w:val="20"/>
          <w:color w:val="auto"/>
        </w:rPr>
      </w:pPr>
      <w:r>
        <w:rPr>
          <w:rFonts w:ascii="Arial" w:cs="Arial" w:eastAsia="Arial" w:hAnsi="Arial"/>
          <w:sz w:val="18"/>
          <w:szCs w:val="18"/>
          <w:color w:val="auto"/>
        </w:rPr>
        <w:t>To provide additional perspective, Old Uniti’s compensation committee also reviewed, with the assistance of Pearl Meyer, pay levels for comparable positions within the broader REIT industry, as reported in the NAREIT Compensation Survey. Peer Group compensation data and data for size-appropriate companies collected from the NAREIT survey were blended to create composite market values for each position (the “Market Data”). In determining appropriate pay opportunities for our NEOs, Old Uniti’s compensation committee also considered a variety of other factors in addition to the Market Data, such as each executive’s qualifications, responsibilities, past performance and expected future contributions.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color w:val="00ABD1"/>
        </w:rPr>
        <w:t>Elements of 2025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52120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0" w:lineRule="exact"/>
        <w:rPr>
          <w:sz w:val="20"/>
          <w:szCs w:val="20"/>
          <w:color w:val="auto"/>
        </w:rPr>
      </w:pPr>
    </w:p>
    <w:p>
      <w:pPr>
        <w:ind w:left="1260" w:right="619" w:firstLine="648"/>
        <w:spacing w:after="0" w:line="256" w:lineRule="auto"/>
        <w:rPr>
          <w:sz w:val="20"/>
          <w:szCs w:val="20"/>
          <w:color w:val="auto"/>
        </w:rPr>
      </w:pPr>
      <w:r>
        <w:rPr>
          <w:rFonts w:ascii="Arial" w:cs="Arial" w:eastAsia="Arial" w:hAnsi="Arial"/>
          <w:sz w:val="18"/>
          <w:szCs w:val="18"/>
          <w:i w:val="1"/>
          <w:iCs w:val="1"/>
          <w:color w:val="00ABD1"/>
        </w:rPr>
        <w:t xml:space="preserve">2025 Target Total Direct Compensation. </w:t>
      </w:r>
      <w:r>
        <w:rPr>
          <w:rFonts w:ascii="Arial" w:cs="Arial" w:eastAsia="Arial" w:hAnsi="Arial"/>
          <w:sz w:val="18"/>
          <w:szCs w:val="18"/>
          <w:color w:val="000000"/>
        </w:rPr>
        <w:t>In designing Old Uniti’s 2025 annual executive</w:t>
      </w:r>
      <w:r>
        <w:rPr>
          <w:rFonts w:ascii="Arial" w:cs="Arial" w:eastAsia="Arial" w:hAnsi="Arial"/>
          <w:sz w:val="18"/>
          <w:szCs w:val="18"/>
          <w:i w:val="1"/>
          <w:iCs w:val="1"/>
          <w:color w:val="00ABD1"/>
        </w:rPr>
        <w:t xml:space="preserve"> </w:t>
      </w:r>
      <w:r>
        <w:rPr>
          <w:rFonts w:ascii="Arial" w:cs="Arial" w:eastAsia="Arial" w:hAnsi="Arial"/>
          <w:sz w:val="18"/>
          <w:szCs w:val="18"/>
          <w:color w:val="000000"/>
        </w:rPr>
        <w:t>compensation program, Old Uniti’s compensation committee reviewed each NEO’s base salary, annual target cash incentives and annual target long-term incentives (collectively, “Target Total Direct Compensation”) against the Market Data. The compensation committee used this analysis to inform compensation decisions with the objective of providing competitive Target Total Direct Compensation aligned with the compensation philosophy and individual roles and responsibilities, and generally positioning compensation within a competitive range of market outcomes.</w:t>
      </w:r>
    </w:p>
    <w:p>
      <w:pPr>
        <w:spacing w:after="0" w:line="183" w:lineRule="exact"/>
        <w:rPr>
          <w:sz w:val="20"/>
          <w:szCs w:val="20"/>
          <w:color w:val="auto"/>
        </w:rPr>
      </w:pPr>
    </w:p>
    <w:p>
      <w:pPr>
        <w:ind w:left="1260" w:right="619" w:firstLine="648"/>
        <w:spacing w:after="0" w:line="287" w:lineRule="auto"/>
        <w:rPr>
          <w:sz w:val="20"/>
          <w:szCs w:val="20"/>
          <w:color w:val="auto"/>
        </w:rPr>
      </w:pPr>
      <w:r>
        <w:rPr>
          <w:rFonts w:ascii="Arial" w:cs="Arial" w:eastAsia="Arial" w:hAnsi="Arial"/>
          <w:sz w:val="18"/>
          <w:szCs w:val="18"/>
          <w:color w:val="auto"/>
        </w:rPr>
        <w:t>The Target Total Direct Compensation of Messrs. Gunderman, Bullington, Heard and Friloux in 2025 were as follows:</w:t>
      </w:r>
    </w:p>
    <w:p>
      <w:pPr>
        <w:spacing w:after="0" w:line="189" w:lineRule="exact"/>
        <w:rPr>
          <w:sz w:val="20"/>
          <w:szCs w:val="20"/>
          <w:color w:val="auto"/>
        </w:rPr>
      </w:pPr>
    </w:p>
    <w:tbl>
      <w:tblPr>
        <w:tblLayout w:type="fixed"/>
        <w:tblInd w:w="256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0" w:type="dxa"/>
            <w:vAlign w:val="bottom"/>
            <w:gridSpan w:val="2"/>
          </w:tcPr>
          <w:p>
            <w:pPr>
              <w:jc w:val="center"/>
              <w:ind w:left="910"/>
              <w:spacing w:after="0"/>
              <w:rPr>
                <w:sz w:val="20"/>
                <w:szCs w:val="20"/>
                <w:color w:val="auto"/>
              </w:rPr>
            </w:pPr>
            <w:r>
              <w:rPr>
                <w:rFonts w:ascii="Arial" w:cs="Arial" w:eastAsia="Arial" w:hAnsi="Arial"/>
                <w:sz w:val="18"/>
                <w:szCs w:val="18"/>
                <w:b w:val="1"/>
                <w:bCs w:val="1"/>
                <w:color w:val="auto"/>
                <w:w w:val="95"/>
              </w:rPr>
              <w:t>Target Total Direct</w:t>
            </w:r>
          </w:p>
        </w:tc>
        <w:tc>
          <w:tcPr>
            <w:tcW w:w="80" w:type="dxa"/>
            <w:vAlign w:val="bottom"/>
          </w:tcPr>
          <w:p>
            <w:pPr>
              <w:spacing w:after="0"/>
              <w:rPr>
                <w:sz w:val="18"/>
                <w:szCs w:val="18"/>
                <w:color w:val="auto"/>
              </w:rPr>
            </w:pPr>
          </w:p>
        </w:tc>
      </w:tr>
      <w:tr>
        <w:trPr>
          <w:trHeight w:val="235"/>
        </w:trPr>
        <w:tc>
          <w:tcPr>
            <w:tcW w:w="40" w:type="dxa"/>
            <w:vAlign w:val="bottom"/>
          </w:tcPr>
          <w:p>
            <w:pPr>
              <w:spacing w:after="0"/>
              <w:rPr>
                <w:sz w:val="20"/>
                <w:szCs w:val="20"/>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3"/>
              </w:rPr>
              <w:t>Name</w:t>
            </w:r>
          </w:p>
        </w:tc>
        <w:tc>
          <w:tcPr>
            <w:tcW w:w="2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Compensation</w:t>
            </w:r>
          </w:p>
        </w:tc>
        <w:tc>
          <w:tcPr>
            <w:tcW w:w="80" w:type="dxa"/>
            <w:vAlign w:val="bottom"/>
          </w:tcPr>
          <w:p>
            <w:pPr>
              <w:spacing w:after="0"/>
              <w:rPr>
                <w:sz w:val="20"/>
                <w:szCs w:val="20"/>
                <w:color w:val="auto"/>
              </w:rPr>
            </w:pPr>
          </w:p>
        </w:tc>
      </w:tr>
      <w:tr>
        <w:trPr>
          <w:trHeight w:val="250"/>
        </w:trPr>
        <w:tc>
          <w:tcPr>
            <w:tcW w:w="40" w:type="dxa"/>
            <w:vAlign w:val="bottom"/>
            <w:shd w:val="clear" w:color="auto" w:fill="B2B2B2"/>
          </w:tcPr>
          <w:p>
            <w:pPr>
              <w:spacing w:after="0"/>
              <w:rPr>
                <w:sz w:val="21"/>
                <w:szCs w:val="21"/>
                <w:color w:val="auto"/>
              </w:rPr>
            </w:pPr>
          </w:p>
        </w:tc>
        <w:tc>
          <w:tcPr>
            <w:tcW w:w="290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Kenneth A. Gunderman</w:t>
            </w:r>
          </w:p>
        </w:tc>
        <w:tc>
          <w:tcPr>
            <w:tcW w:w="1060" w:type="dxa"/>
            <w:vAlign w:val="bottom"/>
            <w:shd w:val="clear" w:color="auto" w:fill="B2B2B2"/>
          </w:tcPr>
          <w:p>
            <w:pPr>
              <w:spacing w:after="0"/>
              <w:rPr>
                <w:sz w:val="21"/>
                <w:szCs w:val="21"/>
                <w:color w:val="auto"/>
              </w:rPr>
            </w:pPr>
          </w:p>
        </w:tc>
        <w:tc>
          <w:tcPr>
            <w:tcW w:w="1540" w:type="dxa"/>
            <w:vAlign w:val="bottom"/>
            <w:shd w:val="clear" w:color="auto" w:fill="B2B2B2"/>
          </w:tcPr>
          <w:p>
            <w:pPr>
              <w:jc w:val="center"/>
              <w:spacing w:after="0"/>
              <w:rPr>
                <w:sz w:val="20"/>
                <w:szCs w:val="20"/>
                <w:color w:val="auto"/>
              </w:rPr>
            </w:pPr>
            <w:r>
              <w:rPr>
                <w:rFonts w:ascii="Arial" w:cs="Arial" w:eastAsia="Arial" w:hAnsi="Arial"/>
                <w:sz w:val="18"/>
                <w:szCs w:val="18"/>
                <w:color w:val="auto"/>
              </w:rPr>
              <w:t>​$5,437,500</w:t>
            </w:r>
          </w:p>
        </w:tc>
        <w:tc>
          <w:tcPr>
            <w:tcW w:w="80" w:type="dxa"/>
            <w:vAlign w:val="bottom"/>
            <w:shd w:val="clear" w:color="auto" w:fill="B2B2B2"/>
          </w:tcPr>
          <w:p>
            <w:pPr>
              <w:ind w:left="20"/>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tcPr>
          <w:p>
            <w:pPr>
              <w:spacing w:after="0"/>
              <w:rPr>
                <w:sz w:val="23"/>
                <w:szCs w:val="23"/>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Paul Bullington</w:t>
            </w:r>
          </w:p>
        </w:tc>
        <w:tc>
          <w:tcPr>
            <w:tcW w:w="106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​$2,379,300</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shd w:val="clear" w:color="auto" w:fill="B2B2B2"/>
          </w:tcPr>
          <w:p>
            <w:pPr>
              <w:spacing w:after="0"/>
              <w:rPr>
                <w:sz w:val="23"/>
                <w:szCs w:val="23"/>
                <w:color w:val="auto"/>
              </w:rPr>
            </w:pPr>
          </w:p>
        </w:tc>
        <w:tc>
          <w:tcPr>
            <w:tcW w:w="290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Daniel L. Heard</w:t>
            </w:r>
          </w:p>
        </w:tc>
        <w:tc>
          <w:tcPr>
            <w:tcW w:w="1060" w:type="dxa"/>
            <w:vAlign w:val="bottom"/>
            <w:shd w:val="clear" w:color="auto" w:fill="B2B2B2"/>
          </w:tcPr>
          <w:p>
            <w:pPr>
              <w:spacing w:after="0"/>
              <w:rPr>
                <w:sz w:val="23"/>
                <w:szCs w:val="23"/>
                <w:color w:val="auto"/>
              </w:rPr>
            </w:pPr>
          </w:p>
        </w:tc>
        <w:tc>
          <w:tcPr>
            <w:tcW w:w="1540" w:type="dxa"/>
            <w:vAlign w:val="bottom"/>
            <w:shd w:val="clear" w:color="auto" w:fill="B2B2B2"/>
          </w:tcPr>
          <w:p>
            <w:pPr>
              <w:jc w:val="center"/>
              <w:spacing w:after="0"/>
              <w:rPr>
                <w:sz w:val="20"/>
                <w:szCs w:val="20"/>
                <w:color w:val="auto"/>
              </w:rPr>
            </w:pPr>
            <w:r>
              <w:rPr>
                <w:rFonts w:ascii="Arial" w:cs="Arial" w:eastAsia="Arial" w:hAnsi="Arial"/>
                <w:sz w:val="18"/>
                <w:szCs w:val="18"/>
                <w:color w:val="auto"/>
              </w:rPr>
              <w:t>​$1,591,350</w:t>
            </w:r>
          </w:p>
        </w:tc>
        <w:tc>
          <w:tcPr>
            <w:tcW w:w="80" w:type="dxa"/>
            <w:vAlign w:val="bottom"/>
            <w:shd w:val="clear" w:color="auto" w:fill="B2B2B2"/>
          </w:tcPr>
          <w:p>
            <w:pPr>
              <w:ind w:left="20"/>
              <w:spacing w:after="0"/>
              <w:rPr>
                <w:sz w:val="20"/>
                <w:szCs w:val="20"/>
                <w:color w:val="auto"/>
              </w:rPr>
            </w:pPr>
            <w:r>
              <w:rPr>
                <w:rFonts w:ascii="Arial" w:cs="Arial" w:eastAsia="Arial" w:hAnsi="Arial"/>
                <w:sz w:val="18"/>
                <w:szCs w:val="18"/>
                <w:color w:val="auto"/>
              </w:rPr>
              <w:t>​</w:t>
            </w:r>
          </w:p>
        </w:tc>
      </w:tr>
      <w:tr>
        <w:trPr>
          <w:trHeight w:val="274"/>
        </w:trPr>
        <w:tc>
          <w:tcPr>
            <w:tcW w:w="40" w:type="dxa"/>
            <w:vAlign w:val="bottom"/>
          </w:tcPr>
          <w:p>
            <w:pPr>
              <w:spacing w:after="0"/>
              <w:rPr>
                <w:sz w:val="23"/>
                <w:szCs w:val="23"/>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Michael Friloux</w:t>
            </w:r>
          </w:p>
        </w:tc>
        <w:tc>
          <w:tcPr>
            <w:tcW w:w="106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​$1,292,974</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bl>
    <w:p>
      <w:pPr>
        <w:spacing w:after="0" w:line="166" w:lineRule="exact"/>
        <w:rPr>
          <w:sz w:val="20"/>
          <w:szCs w:val="20"/>
          <w:color w:val="auto"/>
        </w:rPr>
      </w:pPr>
    </w:p>
    <w:p>
      <w:pPr>
        <w:ind w:left="1260" w:right="439" w:firstLine="648"/>
        <w:spacing w:after="0" w:line="259" w:lineRule="auto"/>
        <w:rPr>
          <w:sz w:val="20"/>
          <w:szCs w:val="20"/>
          <w:color w:val="auto"/>
        </w:rPr>
      </w:pPr>
      <w:r>
        <w:rPr>
          <w:rFonts w:ascii="Arial" w:cs="Arial" w:eastAsia="Arial" w:hAnsi="Arial"/>
          <w:sz w:val="18"/>
          <w:szCs w:val="18"/>
          <w:color w:val="auto"/>
        </w:rPr>
        <w:t>Mr. Harrobin’s Target Total Direct Compensation was not reviewed against the Market Data for 2025, but Old Uniti’s compensation committee consulted with Pearl Meyer in connection with his hiring by Old Uniti. His compensation package was designed with a goal of approximating his compensation starting in 2026 consistent with the Company’s compensation philosophy. For details, please see “New Hire Compensation Arrangements for Mr. Harrobin” below.</w:t>
      </w:r>
    </w:p>
    <w:p>
      <w:pPr>
        <w:spacing w:after="0" w:line="179" w:lineRule="exact"/>
        <w:rPr>
          <w:sz w:val="20"/>
          <w:szCs w:val="20"/>
          <w:color w:val="auto"/>
        </w:rPr>
      </w:pPr>
    </w:p>
    <w:p>
      <w:pPr>
        <w:ind w:left="1260" w:right="599" w:firstLine="648"/>
        <w:spacing w:after="0" w:line="318" w:lineRule="auto"/>
        <w:rPr>
          <w:sz w:val="20"/>
          <w:szCs w:val="20"/>
          <w:color w:val="auto"/>
        </w:rPr>
      </w:pPr>
      <w:r>
        <w:rPr>
          <w:rFonts w:ascii="Arial" w:cs="Arial" w:eastAsia="Arial" w:hAnsi="Arial"/>
          <w:sz w:val="17"/>
          <w:szCs w:val="17"/>
          <w:i w:val="1"/>
          <w:iCs w:val="1"/>
          <w:color w:val="00ABD1"/>
        </w:rPr>
        <w:t xml:space="preserve">Compensation Mix. </w:t>
      </w:r>
      <w:r>
        <w:rPr>
          <w:rFonts w:ascii="Arial" w:cs="Arial" w:eastAsia="Arial" w:hAnsi="Arial"/>
          <w:sz w:val="17"/>
          <w:szCs w:val="17"/>
          <w:color w:val="000000"/>
        </w:rPr>
        <w:t>Because of the ability of executive officers to directly influence the overall</w:t>
      </w:r>
      <w:r>
        <w:rPr>
          <w:rFonts w:ascii="Arial" w:cs="Arial" w:eastAsia="Arial" w:hAnsi="Arial"/>
          <w:sz w:val="17"/>
          <w:szCs w:val="17"/>
          <w:i w:val="1"/>
          <w:iCs w:val="1"/>
          <w:color w:val="00ABD1"/>
        </w:rPr>
        <w:t xml:space="preserve"> </w:t>
      </w:r>
      <w:r>
        <w:rPr>
          <w:rFonts w:ascii="Arial" w:cs="Arial" w:eastAsia="Arial" w:hAnsi="Arial"/>
          <w:sz w:val="17"/>
          <w:szCs w:val="17"/>
          <w:color w:val="000000"/>
        </w:rPr>
        <w:t>performance of the Company, and consistent with our philosophy of linking pay to performance, it is our</w:t>
      </w:r>
    </w:p>
    <w:p>
      <w:pPr>
        <w:sectPr>
          <w:pgSz w:w="11900" w:h="16838" w:orient="portrait"/>
          <w:cols w:equalWidth="0" w:num="1">
            <w:col w:w="9879"/>
          </w:cols>
          <w:pgMar w:left="580" w:top="97" w:right="1440" w:bottom="1440" w:gutter="0" w:footer="0" w:header="0"/>
        </w:sectPr>
      </w:pPr>
    </w:p>
    <w:p>
      <w:pPr>
        <w:spacing w:after="0" w:line="30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63" w:lineRule="auto"/>
        <w:rPr>
          <w:sz w:val="20"/>
          <w:szCs w:val="20"/>
          <w:color w:val="auto"/>
        </w:rPr>
      </w:pPr>
      <w:r>
        <w:rPr>
          <w:rFonts w:ascii="Arial" w:cs="Arial" w:eastAsia="Arial" w:hAnsi="Arial"/>
          <w:sz w:val="17"/>
          <w:szCs w:val="17"/>
          <w:color w:val="auto"/>
        </w:rPr>
        <w:t>(and it was Old Uniti’s) goal to allocate a significant portion of compensation paid to our executive officers to performance-based, short- and long-term incentive programs. In addition, as an executive officer’s responsibility and ability to affect financial results of the Company increase, base salary will become a smaller component of total compensation and long-term, equity-based compensation will become a larger component of total compensation, further aligning the executive officer’s interests with those of the Company and its stockholders. The following charts illustrate the mix of Target Total Direct Compensation for Mr. Gunderman and the average Target Total Direct Compensation for Messrs. Bullington, Heard and Friloux based on compensation opportunities provided in fiscal year 2025.</w:t>
      </w:r>
    </w:p>
    <w:p>
      <w:pPr>
        <w:spacing w:after="0" w:line="203" w:lineRule="exact"/>
        <w:rPr>
          <w:sz w:val="20"/>
          <w:szCs w:val="20"/>
          <w:color w:val="auto"/>
        </w:rPr>
      </w:pPr>
    </w:p>
    <w:p>
      <w:pPr>
        <w:ind w:left="2480"/>
        <w:spacing w:after="0"/>
        <w:tabs>
          <w:tab w:leader="none" w:pos="6300" w:val="left"/>
        </w:tabs>
        <w:rPr>
          <w:sz w:val="20"/>
          <w:szCs w:val="20"/>
          <w:color w:val="auto"/>
        </w:rPr>
      </w:pPr>
      <w:r>
        <w:rPr>
          <w:rFonts w:ascii="Arial" w:cs="Arial" w:eastAsia="Arial" w:hAnsi="Arial"/>
          <w:sz w:val="18"/>
          <w:szCs w:val="18"/>
          <w:b w:val="1"/>
          <w:bCs w:val="1"/>
          <w:color w:val="auto"/>
        </w:rPr>
        <w:t>Target Pay Mix for</w:t>
      </w:r>
      <w:r>
        <w:rPr>
          <w:sz w:val="20"/>
          <w:szCs w:val="20"/>
          <w:color w:val="auto"/>
        </w:rPr>
        <w:tab/>
      </w:r>
      <w:r>
        <w:rPr>
          <w:rFonts w:ascii="Arial" w:cs="Arial" w:eastAsia="Arial" w:hAnsi="Arial"/>
          <w:sz w:val="17"/>
          <w:szCs w:val="17"/>
          <w:b w:val="1"/>
          <w:bCs w:val="1"/>
          <w:color w:val="auto"/>
        </w:rPr>
        <w:t>Average Target Pay Mix for</w:t>
      </w:r>
    </w:p>
    <w:p>
      <w:pPr>
        <w:spacing w:after="0" w:line="14" w:lineRule="exact"/>
        <w:rPr>
          <w:sz w:val="20"/>
          <w:szCs w:val="20"/>
          <w:color w:val="auto"/>
        </w:rPr>
      </w:pPr>
    </w:p>
    <w:p>
      <w:pPr>
        <w:ind w:left="2600"/>
        <w:spacing w:after="0"/>
        <w:tabs>
          <w:tab w:leader="none" w:pos="5860" w:val="left"/>
        </w:tabs>
        <w:rPr>
          <w:sz w:val="20"/>
          <w:szCs w:val="20"/>
          <w:color w:val="auto"/>
        </w:rPr>
      </w:pPr>
      <w:r>
        <w:rPr>
          <w:rFonts w:ascii="Arial" w:cs="Arial" w:eastAsia="Arial" w:hAnsi="Arial"/>
          <w:sz w:val="18"/>
          <w:szCs w:val="18"/>
          <w:b w:val="1"/>
          <w:bCs w:val="1"/>
          <w:color w:val="auto"/>
        </w:rPr>
        <w:t>Mr. Gunderman</w:t>
      </w:r>
      <w:r>
        <w:rPr>
          <w:sz w:val="20"/>
          <w:szCs w:val="20"/>
          <w:color w:val="auto"/>
        </w:rPr>
        <w:tab/>
      </w:r>
      <w:r>
        <w:rPr>
          <w:rFonts w:ascii="Arial" w:cs="Arial" w:eastAsia="Arial" w:hAnsi="Arial"/>
          <w:sz w:val="17"/>
          <w:szCs w:val="17"/>
          <w:b w:val="1"/>
          <w:bCs w:val="1"/>
          <w:color w:val="auto"/>
        </w:rPr>
        <w:t>Messrs. Bullington, Heard and Friloux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57785</wp:posOffset>
            </wp:positionV>
            <wp:extent cx="1482725" cy="14827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82725" cy="148272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57785</wp:posOffset>
            </wp:positionV>
            <wp:extent cx="1482725" cy="14827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82725"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60" w:right="519" w:firstLine="648"/>
        <w:spacing w:after="0" w:line="271" w:lineRule="auto"/>
        <w:rPr>
          <w:sz w:val="20"/>
          <w:szCs w:val="20"/>
          <w:color w:val="auto"/>
        </w:rPr>
      </w:pPr>
      <w:r>
        <w:rPr>
          <w:rFonts w:ascii="Arial" w:cs="Arial" w:eastAsia="Arial" w:hAnsi="Arial"/>
          <w:sz w:val="18"/>
          <w:szCs w:val="18"/>
          <w:color w:val="auto"/>
        </w:rPr>
        <w:t>Variable pay represents 86.67% of Target Total Direct Compensation for Mr. Gunderman and an average of 76.78% for Messrs. Bullington, Heard and Friloux.</w:t>
      </w:r>
    </w:p>
    <w:p>
      <w:pPr>
        <w:spacing w:after="0" w:line="154" w:lineRule="exact"/>
        <w:rPr>
          <w:sz w:val="20"/>
          <w:szCs w:val="20"/>
          <w:color w:val="auto"/>
        </w:rPr>
      </w:pPr>
    </w:p>
    <w:p>
      <w:pPr>
        <w:ind w:left="1900"/>
        <w:spacing w:after="0"/>
        <w:tabs>
          <w:tab w:leader="none" w:pos="6520" w:val="left"/>
        </w:tabs>
        <w:rPr>
          <w:sz w:val="20"/>
          <w:szCs w:val="20"/>
          <w:color w:val="auto"/>
        </w:rPr>
      </w:pPr>
      <w:r>
        <w:rPr>
          <w:rFonts w:ascii="Arial" w:cs="Arial" w:eastAsia="Arial" w:hAnsi="Arial"/>
          <w:sz w:val="18"/>
          <w:szCs w:val="18"/>
          <w:i w:val="1"/>
          <w:iCs w:val="1"/>
          <w:color w:val="00ABD1"/>
        </w:rPr>
        <w:t>New Hire Compensation Arrangements for Mr. Harrobin.</w:t>
      </w:r>
      <w:r>
        <w:rPr>
          <w:sz w:val="20"/>
          <w:szCs w:val="20"/>
          <w:color w:val="auto"/>
        </w:rPr>
        <w:tab/>
      </w:r>
      <w:r>
        <w:rPr>
          <w:rFonts w:ascii="Arial" w:cs="Arial" w:eastAsia="Arial" w:hAnsi="Arial"/>
          <w:sz w:val="17"/>
          <w:szCs w:val="17"/>
          <w:color w:val="auto"/>
        </w:rPr>
        <w:t>On April 28, 2025, Mr. Harrobin was</w:t>
      </w:r>
    </w:p>
    <w:p>
      <w:pPr>
        <w:spacing w:after="0" w:line="27" w:lineRule="exact"/>
        <w:rPr>
          <w:sz w:val="20"/>
          <w:szCs w:val="20"/>
          <w:color w:val="auto"/>
        </w:rPr>
      </w:pPr>
    </w:p>
    <w:p>
      <w:pPr>
        <w:ind w:left="1260" w:right="519"/>
        <w:spacing w:after="0" w:line="241" w:lineRule="auto"/>
        <w:rPr>
          <w:sz w:val="20"/>
          <w:szCs w:val="20"/>
          <w:color w:val="auto"/>
        </w:rPr>
      </w:pPr>
      <w:r>
        <w:rPr>
          <w:rFonts w:ascii="Arial" w:cs="Arial" w:eastAsia="Arial" w:hAnsi="Arial"/>
          <w:sz w:val="18"/>
          <w:szCs w:val="18"/>
          <w:color w:val="auto"/>
        </w:rPr>
        <w:t>hired by Old Uniti to serve as President of Kinetic following closing of the Merger. In connection with his appointment, Mr. Harrobin’s base salary was set at $750,000 and he received (i) a one-time, sign-on cash bonus of $5,600,000, of which one-half was paid at the time of his appointment and the remainder was paid following the completion of fiscal 2025 and (ii) a one-time equity award in the form of time-based restricted stock in an amount equal to $2,000,000 with such restricted stock vesting in equal installments on each of the first three anniversaries of Mr. Harrobin’s start date. In addition, as discussed below, Mr. Harrobin became eligible to receive additional compensation in the form of (i) a cash bonus under the Prior STIP in an amount equal to not less than 200% of Mr. Harrobin’s base salary; and (ii) an equity award under the 2015 Plan with a target amount equal to not less than 365% of Mr. Harrobin’s base salary. The Company also agreed to provide Mr. Harrobin with a housing allowance during his first year of employment.</w:t>
      </w:r>
    </w:p>
    <w:p>
      <w:pPr>
        <w:spacing w:after="0" w:line="180" w:lineRule="exact"/>
        <w:rPr>
          <w:sz w:val="20"/>
          <w:szCs w:val="20"/>
          <w:color w:val="auto"/>
        </w:rPr>
      </w:pPr>
    </w:p>
    <w:p>
      <w:pPr>
        <w:ind w:left="1260" w:right="459" w:firstLine="648"/>
        <w:spacing w:after="0" w:line="260" w:lineRule="auto"/>
        <w:rPr>
          <w:sz w:val="20"/>
          <w:szCs w:val="20"/>
          <w:color w:val="auto"/>
        </w:rPr>
      </w:pPr>
      <w:r>
        <w:rPr>
          <w:rFonts w:ascii="Arial" w:cs="Arial" w:eastAsia="Arial" w:hAnsi="Arial"/>
          <w:sz w:val="17"/>
          <w:szCs w:val="17"/>
          <w:color w:val="auto"/>
        </w:rPr>
        <w:t>To induce Mr. Harrobin to join Old Uniti, Old Uniti’s compensation committee, in consultation with its independent compensation consultant, approved the new-hire compensation package outlined above, which included certain one-time opportunities for Mr. Harrobin. The inducement awards and award opportunities, which were higher than Old Uniti’s typical annual award opportunities, were designed to make Mr. Harrobin whole for significant equity and compensation forfeited upon leaving his former employer. His compensation opportunities were heavily negotiated as a critical inducement for him to join Old Uniti and to lead Kinetic following the closing of the Merger, reflecting the unique, highly sought-after experience he brings to our leadership team. His compensation in 2025 is not indicative of future annual opportunities, which will align with the Company’s standard compensation practices and philosophy. Old Uniti deemed this necessary to align the executive’s interests with Old Uniti’s stockholders, as well as the Company’s stockholders following the Merger, immediately upon hiring.</w:t>
      </w:r>
    </w:p>
    <w:p>
      <w:pPr>
        <w:spacing w:after="0" w:line="168" w:lineRule="exact"/>
        <w:rPr>
          <w:sz w:val="20"/>
          <w:szCs w:val="20"/>
          <w:color w:val="auto"/>
        </w:rPr>
      </w:pPr>
    </w:p>
    <w:p>
      <w:pPr>
        <w:ind w:left="1260" w:right="539" w:firstLine="648"/>
        <w:spacing w:after="0" w:line="248" w:lineRule="auto"/>
        <w:rPr>
          <w:sz w:val="20"/>
          <w:szCs w:val="20"/>
          <w:color w:val="auto"/>
        </w:rPr>
      </w:pPr>
      <w:r>
        <w:rPr>
          <w:rFonts w:ascii="Arial" w:cs="Arial" w:eastAsia="Arial" w:hAnsi="Arial"/>
          <w:sz w:val="18"/>
          <w:szCs w:val="18"/>
          <w:i w:val="1"/>
          <w:iCs w:val="1"/>
          <w:color w:val="00ABD1"/>
        </w:rPr>
        <w:t xml:space="preserve">Annual Base Salaries. </w:t>
      </w:r>
      <w:r>
        <w:rPr>
          <w:rFonts w:ascii="Arial" w:cs="Arial" w:eastAsia="Arial" w:hAnsi="Arial"/>
          <w:sz w:val="18"/>
          <w:szCs w:val="18"/>
          <w:color w:val="000000"/>
        </w:rPr>
        <w:t>Base salaries for the NEOs were initially established in connection with</w:t>
      </w:r>
      <w:r>
        <w:rPr>
          <w:rFonts w:ascii="Arial" w:cs="Arial" w:eastAsia="Arial" w:hAnsi="Arial"/>
          <w:sz w:val="18"/>
          <w:szCs w:val="18"/>
          <w:i w:val="1"/>
          <w:iCs w:val="1"/>
          <w:color w:val="00ABD1"/>
        </w:rPr>
        <w:t xml:space="preserve"> </w:t>
      </w:r>
      <w:r>
        <w:rPr>
          <w:rFonts w:ascii="Arial" w:cs="Arial" w:eastAsia="Arial" w:hAnsi="Arial"/>
          <w:sz w:val="18"/>
          <w:szCs w:val="18"/>
          <w:color w:val="000000"/>
        </w:rPr>
        <w:t>their hiring by Old Uniti, taking into account each executive’s position, responsibilities, expertise and experience, as well as internal pay equity and the Market Data. The Compensation Committee views base salary as a fixed component of compensation that provides a stable level of income and supports the attraction and retention of qualified executives. Base salary also serves as the foundation for determining</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519"/>
        <w:spacing w:after="0" w:line="259" w:lineRule="auto"/>
        <w:rPr>
          <w:sz w:val="20"/>
          <w:szCs w:val="20"/>
          <w:color w:val="auto"/>
        </w:rPr>
      </w:pPr>
      <w:r>
        <w:rPr>
          <w:rFonts w:ascii="Arial" w:cs="Arial" w:eastAsia="Arial" w:hAnsi="Arial"/>
          <w:sz w:val="17"/>
          <w:szCs w:val="17"/>
          <w:color w:val="auto"/>
        </w:rPr>
        <w:t>incentive compensation opportunities, as both annual and long-term incentive awards are generally expressed as a multiple of base salary. Base salaries are reviewed annually and may be adjusted based</w:t>
      </w:r>
    </w:p>
    <w:p>
      <w:pPr>
        <w:spacing w:after="0" w:line="1" w:lineRule="exact"/>
        <w:rPr>
          <w:sz w:val="20"/>
          <w:szCs w:val="20"/>
          <w:color w:val="auto"/>
        </w:rPr>
      </w:pPr>
    </w:p>
    <w:p>
      <w:pPr>
        <w:ind w:left="1260" w:right="579"/>
        <w:spacing w:after="0"/>
        <w:rPr>
          <w:sz w:val="20"/>
          <w:szCs w:val="20"/>
          <w:color w:val="auto"/>
        </w:rPr>
      </w:pPr>
      <w:r>
        <w:rPr>
          <w:rFonts w:ascii="Arial" w:cs="Arial" w:eastAsia="Arial" w:hAnsi="Arial"/>
          <w:sz w:val="17"/>
          <w:szCs w:val="17"/>
          <w:color w:val="auto"/>
        </w:rPr>
        <w:t>on changes in an executive’s responsibilities, individual performance and market considerations. As an executive’s scope of responsibility and ability to influence financial results increase, a greater proportion</w:t>
      </w:r>
    </w:p>
    <w:p>
      <w:pPr>
        <w:spacing w:after="0" w:line="1"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of total compensation is delivered through variable, performance-based incentives (particularly long-term, equity-based awards), further aligning the executive’s interests with those of our stockholders.</w:t>
      </w:r>
    </w:p>
    <w:p>
      <w:pPr>
        <w:spacing w:after="0" w:line="158" w:lineRule="exact"/>
        <w:rPr>
          <w:sz w:val="20"/>
          <w:szCs w:val="20"/>
          <w:color w:val="auto"/>
        </w:rPr>
      </w:pPr>
    </w:p>
    <w:p>
      <w:pPr>
        <w:ind w:left="1260" w:right="539" w:firstLine="648"/>
        <w:spacing w:after="0" w:line="253" w:lineRule="auto"/>
        <w:rPr>
          <w:sz w:val="20"/>
          <w:szCs w:val="20"/>
          <w:color w:val="auto"/>
        </w:rPr>
      </w:pPr>
      <w:r>
        <w:rPr>
          <w:rFonts w:ascii="Arial" w:cs="Arial" w:eastAsia="Arial" w:hAnsi="Arial"/>
          <w:sz w:val="18"/>
          <w:szCs w:val="18"/>
          <w:color w:val="auto"/>
        </w:rPr>
        <w:t>The following table sets forth the base salaries for the NEOs for 2024 and 2025. The 2025 base salaries were established prior to the Merger, and no adjustments were made in connection with the Merger.</w:t>
      </w:r>
    </w:p>
    <w:p>
      <w:pPr>
        <w:spacing w:after="0" w:line="83" w:lineRule="exact"/>
        <w:rPr>
          <w:sz w:val="20"/>
          <w:szCs w:val="20"/>
          <w:color w:val="auto"/>
        </w:rPr>
      </w:pPr>
    </w:p>
    <w:tbl>
      <w:tblPr>
        <w:tblLayout w:type="fixed"/>
        <w:tblInd w:w="240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2024</w:t>
            </w:r>
          </w:p>
        </w:tc>
        <w:tc>
          <w:tcPr>
            <w:tcW w:w="2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2025</w:t>
            </w:r>
          </w:p>
        </w:tc>
        <w:tc>
          <w:tcPr>
            <w:tcW w:w="80" w:type="dxa"/>
            <w:vAlign w:val="bottom"/>
          </w:tcPr>
          <w:p>
            <w:pPr>
              <w:spacing w:after="0"/>
              <w:rPr>
                <w:sz w:val="17"/>
                <w:szCs w:val="17"/>
                <w:color w:val="auto"/>
              </w:rPr>
            </w:pPr>
          </w:p>
        </w:tc>
      </w:tr>
      <w:tr>
        <w:trPr>
          <w:trHeight w:val="235"/>
        </w:trPr>
        <w:tc>
          <w:tcPr>
            <w:tcW w:w="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Name</w:t>
            </w:r>
          </w:p>
        </w:tc>
        <w:tc>
          <w:tcPr>
            <w:tcW w:w="306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Base Salary</w:t>
            </w:r>
          </w:p>
        </w:tc>
        <w:tc>
          <w:tcPr>
            <w:tcW w:w="24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Base Salary</w:t>
            </w:r>
          </w:p>
        </w:tc>
        <w:tc>
          <w:tcPr>
            <w:tcW w:w="80" w:type="dxa"/>
            <w:vAlign w:val="bottom"/>
          </w:tcPr>
          <w:p>
            <w:pPr>
              <w:spacing w:after="0"/>
              <w:rPr>
                <w:sz w:val="20"/>
                <w:szCs w:val="20"/>
                <w:color w:val="auto"/>
              </w:rPr>
            </w:pPr>
          </w:p>
        </w:tc>
      </w:tr>
      <w:tr>
        <w:trPr>
          <w:trHeight w:val="250"/>
        </w:trPr>
        <w:tc>
          <w:tcPr>
            <w:tcW w:w="40" w:type="dxa"/>
            <w:vAlign w:val="bottom"/>
            <w:shd w:val="clear" w:color="auto" w:fill="B2B2B2"/>
          </w:tcPr>
          <w:p>
            <w:pPr>
              <w:spacing w:after="0"/>
              <w:rPr>
                <w:sz w:val="21"/>
                <w:szCs w:val="21"/>
                <w:color w:val="auto"/>
              </w:rPr>
            </w:pPr>
          </w:p>
        </w:tc>
        <w:tc>
          <w:tcPr>
            <w:tcW w:w="35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Kenneth A. Gunderman</w:t>
            </w:r>
          </w:p>
        </w:tc>
        <w:tc>
          <w:tcPr>
            <w:tcW w:w="1020" w:type="dxa"/>
            <w:vAlign w:val="bottom"/>
            <w:gridSpan w:val="2"/>
            <w:shd w:val="clear" w:color="auto" w:fill="B2B2B2"/>
          </w:tcPr>
          <w:p>
            <w:pPr>
              <w:jc w:val="right"/>
              <w:ind w:right="50"/>
              <w:spacing w:after="0"/>
              <w:rPr>
                <w:sz w:val="20"/>
                <w:szCs w:val="20"/>
                <w:color w:val="auto"/>
              </w:rPr>
            </w:pPr>
            <w:r>
              <w:rPr>
                <w:rFonts w:ascii="Arial" w:cs="Arial" w:eastAsia="Arial" w:hAnsi="Arial"/>
                <w:sz w:val="18"/>
                <w:szCs w:val="18"/>
                <w:color w:val="auto"/>
              </w:rPr>
              <w:t>​$725,000</w:t>
            </w:r>
          </w:p>
        </w:tc>
        <w:tc>
          <w:tcPr>
            <w:tcW w:w="240" w:type="dxa"/>
            <w:vAlign w:val="bottom"/>
            <w:shd w:val="clear" w:color="auto" w:fill="B2B2B2"/>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B2B2B2"/>
          </w:tcPr>
          <w:p>
            <w:pPr>
              <w:jc w:val="center"/>
              <w:spacing w:after="0"/>
              <w:rPr>
                <w:sz w:val="20"/>
                <w:szCs w:val="20"/>
                <w:color w:val="auto"/>
              </w:rPr>
            </w:pPr>
            <w:r>
              <w:rPr>
                <w:rFonts w:ascii="Arial" w:cs="Arial" w:eastAsia="Arial" w:hAnsi="Arial"/>
                <w:sz w:val="18"/>
                <w:szCs w:val="18"/>
                <w:color w:val="auto"/>
              </w:rPr>
              <w:t>​$725,000</w:t>
            </w:r>
          </w:p>
        </w:tc>
        <w:tc>
          <w:tcPr>
            <w:tcW w:w="80" w:type="dxa"/>
            <w:vAlign w:val="bottom"/>
            <w:shd w:val="clear" w:color="auto" w:fill="B2B2B2"/>
          </w:tcPr>
          <w:p>
            <w:pPr>
              <w:ind w:left="20"/>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tcPr>
          <w:p>
            <w:pPr>
              <w:spacing w:after="0"/>
              <w:rPr>
                <w:sz w:val="23"/>
                <w:szCs w:val="23"/>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Paul Bullington</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​$453,200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center"/>
              <w:spacing w:after="0"/>
              <w:rPr>
                <w:sz w:val="20"/>
                <w:szCs w:val="20"/>
                <w:color w:val="auto"/>
              </w:rPr>
            </w:pPr>
            <w:r>
              <w:rPr>
                <w:rFonts w:ascii="Arial" w:cs="Arial" w:eastAsia="Arial" w:hAnsi="Arial"/>
                <w:sz w:val="18"/>
                <w:szCs w:val="18"/>
                <w:color w:val="auto"/>
              </w:rPr>
              <w:t>​$453,200</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shd w:val="clear" w:color="auto" w:fill="B2B2B2"/>
          </w:tcPr>
          <w:p>
            <w:pPr>
              <w:spacing w:after="0"/>
              <w:rPr>
                <w:sz w:val="23"/>
                <w:szCs w:val="23"/>
                <w:color w:val="auto"/>
              </w:rPr>
            </w:pPr>
          </w:p>
        </w:tc>
        <w:tc>
          <w:tcPr>
            <w:tcW w:w="35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John Harrobin</w:t>
            </w:r>
          </w:p>
        </w:tc>
        <w:tc>
          <w:tcPr>
            <w:tcW w:w="260" w:type="dxa"/>
            <w:vAlign w:val="bottom"/>
            <w:shd w:val="clear" w:color="auto" w:fill="B2B2B2"/>
          </w:tcPr>
          <w:p>
            <w:pPr>
              <w:ind w:lef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B2B2B2"/>
          </w:tcPr>
          <w:p>
            <w:pPr>
              <w:jc w:val="center"/>
              <w:spacing w:after="0"/>
              <w:rPr>
                <w:sz w:val="20"/>
                <w:szCs w:val="20"/>
                <w:color w:val="auto"/>
              </w:rPr>
            </w:pPr>
            <w:r>
              <w:rPr>
                <w:rFonts w:ascii="Arial" w:cs="Arial" w:eastAsia="Arial" w:hAnsi="Arial"/>
                <w:sz w:val="18"/>
                <w:szCs w:val="18"/>
                <w:color w:val="auto"/>
              </w:rPr>
              <w:t>​$750,000</w:t>
            </w:r>
          </w:p>
        </w:tc>
        <w:tc>
          <w:tcPr>
            <w:tcW w:w="80" w:type="dxa"/>
            <w:vAlign w:val="bottom"/>
            <w:shd w:val="clear" w:color="auto" w:fill="B2B2B2"/>
          </w:tcPr>
          <w:p>
            <w:pPr>
              <w:ind w:left="20"/>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tcPr>
          <w:p>
            <w:pPr>
              <w:spacing w:after="0"/>
              <w:rPr>
                <w:sz w:val="23"/>
                <w:szCs w:val="23"/>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Daniel L. Heard</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​$412,000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center"/>
              <w:spacing w:after="0"/>
              <w:rPr>
                <w:sz w:val="20"/>
                <w:szCs w:val="20"/>
                <w:color w:val="auto"/>
              </w:rPr>
            </w:pPr>
            <w:r>
              <w:rPr>
                <w:rFonts w:ascii="Arial" w:cs="Arial" w:eastAsia="Arial" w:hAnsi="Arial"/>
                <w:sz w:val="18"/>
                <w:szCs w:val="18"/>
                <w:color w:val="auto"/>
              </w:rPr>
              <w:t>​$424,360</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shd w:val="clear" w:color="auto" w:fill="B2B2B2"/>
          </w:tcPr>
          <w:p>
            <w:pPr>
              <w:spacing w:after="0"/>
              <w:rPr>
                <w:sz w:val="21"/>
                <w:szCs w:val="21"/>
                <w:color w:val="auto"/>
              </w:rPr>
            </w:pPr>
          </w:p>
        </w:tc>
        <w:tc>
          <w:tcPr>
            <w:tcW w:w="35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Michael Friloux</w:t>
            </w:r>
          </w:p>
        </w:tc>
        <w:tc>
          <w:tcPr>
            <w:tcW w:w="1020" w:type="dxa"/>
            <w:vAlign w:val="bottom"/>
            <w:gridSpan w:val="2"/>
            <w:shd w:val="clear" w:color="auto" w:fill="B2B2B2"/>
          </w:tcPr>
          <w:p>
            <w:pPr>
              <w:jc w:val="right"/>
              <w:ind w:right="50"/>
              <w:spacing w:after="0"/>
              <w:rPr>
                <w:sz w:val="20"/>
                <w:szCs w:val="20"/>
                <w:color w:val="auto"/>
              </w:rPr>
            </w:pPr>
            <w:r>
              <w:rPr>
                <w:rFonts w:ascii="Arial" w:cs="Arial" w:eastAsia="Arial" w:hAnsi="Arial"/>
                <w:sz w:val="18"/>
                <w:szCs w:val="18"/>
                <w:color w:val="auto"/>
              </w:rPr>
              <w:t>​$334,750</w:t>
            </w:r>
          </w:p>
        </w:tc>
        <w:tc>
          <w:tcPr>
            <w:tcW w:w="240" w:type="dxa"/>
            <w:vAlign w:val="bottom"/>
            <w:shd w:val="clear" w:color="auto" w:fill="B2B2B2"/>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B2B2B2"/>
          </w:tcPr>
          <w:p>
            <w:pPr>
              <w:jc w:val="center"/>
              <w:spacing w:after="0"/>
              <w:rPr>
                <w:sz w:val="20"/>
                <w:szCs w:val="20"/>
                <w:color w:val="auto"/>
              </w:rPr>
            </w:pPr>
            <w:r>
              <w:rPr>
                <w:rFonts w:ascii="Arial" w:cs="Arial" w:eastAsia="Arial" w:hAnsi="Arial"/>
                <w:sz w:val="18"/>
                <w:szCs w:val="18"/>
                <w:color w:val="auto"/>
              </w:rPr>
              <w:t>​$344,793</w:t>
            </w:r>
          </w:p>
        </w:tc>
        <w:tc>
          <w:tcPr>
            <w:tcW w:w="80" w:type="dxa"/>
            <w:vAlign w:val="bottom"/>
            <w:shd w:val="clear" w:color="auto" w:fill="B2B2B2"/>
          </w:tcPr>
          <w:p>
            <w:pPr>
              <w:ind w:left="20"/>
              <w:spacing w:after="0"/>
              <w:rPr>
                <w:sz w:val="20"/>
                <w:szCs w:val="20"/>
                <w:color w:val="auto"/>
              </w:rPr>
            </w:pPr>
            <w:r>
              <w:rPr>
                <w:rFonts w:ascii="Arial" w:cs="Arial" w:eastAsia="Arial" w:hAnsi="Arial"/>
                <w:sz w:val="18"/>
                <w:szCs w:val="18"/>
                <w:color w:val="auto"/>
              </w:rPr>
              <w:t>​</w:t>
            </w:r>
          </w:p>
        </w:tc>
      </w:tr>
    </w:tbl>
    <w:p>
      <w:pPr>
        <w:spacing w:after="0" w:line="184" w:lineRule="exact"/>
        <w:rPr>
          <w:sz w:val="20"/>
          <w:szCs w:val="20"/>
          <w:color w:val="auto"/>
        </w:rPr>
      </w:pPr>
    </w:p>
    <w:p>
      <w:pPr>
        <w:ind w:left="1260" w:right="539" w:firstLine="648"/>
        <w:spacing w:after="0" w:line="247" w:lineRule="auto"/>
        <w:rPr>
          <w:sz w:val="20"/>
          <w:szCs w:val="20"/>
          <w:color w:val="auto"/>
        </w:rPr>
      </w:pPr>
      <w:r>
        <w:rPr>
          <w:rFonts w:ascii="Arial" w:cs="Arial" w:eastAsia="Arial" w:hAnsi="Arial"/>
          <w:sz w:val="18"/>
          <w:szCs w:val="18"/>
          <w:color w:val="auto"/>
        </w:rPr>
        <w:t>As noted above, there were no increases for the NEOs who served during 2024 except for Messrs. Heard and Friloux. After a review of the base salary and target annual cash incentive award levels for the NEOs, Old Uniti’s compensation committee determined that base salary adjustments for Messrs. Heard and Friloux were consistent with our annual merit cycle and better align their Target Total Direct Compensation within a competitive range of the Market Data.</w:t>
      </w:r>
    </w:p>
    <w:p>
      <w:pPr>
        <w:spacing w:after="0" w:line="177" w:lineRule="exact"/>
        <w:rPr>
          <w:sz w:val="20"/>
          <w:szCs w:val="20"/>
          <w:color w:val="auto"/>
        </w:rPr>
      </w:pPr>
    </w:p>
    <w:p>
      <w:pPr>
        <w:ind w:left="1260" w:right="499" w:firstLine="648"/>
        <w:spacing w:after="0" w:line="243" w:lineRule="auto"/>
        <w:rPr>
          <w:sz w:val="20"/>
          <w:szCs w:val="20"/>
          <w:color w:val="auto"/>
        </w:rPr>
      </w:pPr>
      <w:r>
        <w:rPr>
          <w:rFonts w:ascii="Arial" w:cs="Arial" w:eastAsia="Arial" w:hAnsi="Arial"/>
          <w:sz w:val="18"/>
          <w:szCs w:val="18"/>
          <w:i w:val="1"/>
          <w:iCs w:val="1"/>
          <w:color w:val="00ABD1"/>
        </w:rPr>
        <w:t xml:space="preserve">Short-Term Incentives. </w:t>
      </w:r>
      <w:r>
        <w:rPr>
          <w:rFonts w:ascii="Arial" w:cs="Arial" w:eastAsia="Arial" w:hAnsi="Arial"/>
          <w:sz w:val="18"/>
          <w:szCs w:val="18"/>
          <w:color w:val="000000"/>
        </w:rPr>
        <w:t>Old Uniti maintained the Prior STIP which permitted its compensation</w:t>
      </w:r>
      <w:r>
        <w:rPr>
          <w:rFonts w:ascii="Arial" w:cs="Arial" w:eastAsia="Arial" w:hAnsi="Arial"/>
          <w:sz w:val="18"/>
          <w:szCs w:val="18"/>
          <w:i w:val="1"/>
          <w:iCs w:val="1"/>
          <w:color w:val="00ABD1"/>
        </w:rPr>
        <w:t xml:space="preserve"> </w:t>
      </w:r>
      <w:r>
        <w:rPr>
          <w:rFonts w:ascii="Arial" w:cs="Arial" w:eastAsia="Arial" w:hAnsi="Arial"/>
          <w:sz w:val="18"/>
          <w:szCs w:val="18"/>
          <w:color w:val="000000"/>
        </w:rPr>
        <w:t>committee to award and pay cash bonuses to officers, employees and consultants of Old Uniti or any of its subsidiaries or affiliates. The Prior STIP was designed to motivate, attract and retain qualified officers, consultants and other key employees and to promote the alignment of such persons’ interests with those of Old Uniti’s stockholders. The Prior STIP provided Old Uniti’s compensation committee authority to construe and interpret the Prior STIP, make rules and regulations relating to its administration, designate eligible persons to receive awards, establish the terms and conditions of the awards, select performance criteria and goals for awards and determine if and to what extent such goals have been satisfied and make all other determinations necessary or advisable for the administration of the Prior STIP. Following the Merger, the Company adopted and maintains the Uniti Group Inc. Annual Short-Term Incentive Plan, which is substantially similar to the Prior STIP and will be utilized to award and pay cash awards to officers, employees and consultants of the Company or any of its subsidiaries or affiliates, starting in 2026.</w:t>
      </w:r>
    </w:p>
    <w:p>
      <w:pPr>
        <w:spacing w:after="0" w:line="192" w:lineRule="exact"/>
        <w:rPr>
          <w:sz w:val="20"/>
          <w:szCs w:val="20"/>
          <w:color w:val="auto"/>
        </w:rPr>
      </w:pPr>
    </w:p>
    <w:p>
      <w:pPr>
        <w:ind w:left="1260" w:right="499" w:firstLine="648"/>
        <w:spacing w:after="0" w:line="245" w:lineRule="auto"/>
        <w:rPr>
          <w:sz w:val="20"/>
          <w:szCs w:val="20"/>
          <w:color w:val="auto"/>
        </w:rPr>
      </w:pPr>
      <w:r>
        <w:rPr>
          <w:rFonts w:ascii="Arial" w:cs="Arial" w:eastAsia="Arial" w:hAnsi="Arial"/>
          <w:sz w:val="18"/>
          <w:szCs w:val="18"/>
          <w:i w:val="1"/>
          <w:iCs w:val="1"/>
          <w:color w:val="00ABD1"/>
        </w:rPr>
        <w:t xml:space="preserve">2025 Cash Incentive Opportunities. </w:t>
      </w:r>
      <w:r>
        <w:rPr>
          <w:rFonts w:ascii="Arial" w:cs="Arial" w:eastAsia="Arial" w:hAnsi="Arial"/>
          <w:sz w:val="18"/>
          <w:szCs w:val="18"/>
          <w:color w:val="000000"/>
        </w:rPr>
        <w:t>In February 2025, Old Uniti’s compensation committee</w:t>
      </w:r>
      <w:r>
        <w:rPr>
          <w:rFonts w:ascii="Arial" w:cs="Arial" w:eastAsia="Arial" w:hAnsi="Arial"/>
          <w:sz w:val="18"/>
          <w:szCs w:val="18"/>
          <w:i w:val="1"/>
          <w:iCs w:val="1"/>
          <w:color w:val="00ABD1"/>
        </w:rPr>
        <w:t xml:space="preserve"> </w:t>
      </w:r>
      <w:r>
        <w:rPr>
          <w:rFonts w:ascii="Arial" w:cs="Arial" w:eastAsia="Arial" w:hAnsi="Arial"/>
          <w:sz w:val="18"/>
          <w:szCs w:val="18"/>
          <w:color w:val="000000"/>
        </w:rPr>
        <w:t>approved award opportunities under the Prior STIP for its then executive officers, payable upon the attainment of certain company-wide performance goals during 2025 (the “2025 STIP”) based on each NEO’s base salary at the time of payout. In connection with the Merger, the Company assumed these awards for our executive officers. The following table sets forth the target cash incentive opportunities for the NEOs under the 2025 STIP:</w:t>
      </w:r>
    </w:p>
    <w:p>
      <w:pPr>
        <w:spacing w:after="0" w:line="73" w:lineRule="exact"/>
        <w:rPr>
          <w:sz w:val="20"/>
          <w:szCs w:val="20"/>
          <w:color w:val="auto"/>
        </w:rPr>
      </w:pPr>
    </w:p>
    <w:tbl>
      <w:tblPr>
        <w:tblLayout w:type="fixed"/>
        <w:tblInd w:w="240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b w:val="1"/>
                <w:bCs w:val="1"/>
                <w:color w:val="auto"/>
                <w:w w:val="98"/>
              </w:rPr>
              <w:t>Target Cash Incentive as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3"/>
        </w:trPr>
        <w:tc>
          <w:tcPr>
            <w:tcW w:w="40" w:type="dxa"/>
            <w:vAlign w:val="bottom"/>
          </w:tcPr>
          <w:p>
            <w:pPr>
              <w:spacing w:after="0"/>
              <w:rPr>
                <w:sz w:val="23"/>
                <w:szCs w:val="23"/>
                <w:color w:val="auto"/>
              </w:rPr>
            </w:pPr>
          </w:p>
        </w:tc>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100" w:type="dxa"/>
            <w:vAlign w:val="bottom"/>
          </w:tcPr>
          <w:p>
            <w:pPr>
              <w:ind w:left="280"/>
              <w:spacing w:after="0"/>
              <w:rPr>
                <w:sz w:val="20"/>
                <w:szCs w:val="20"/>
                <w:color w:val="auto"/>
              </w:rPr>
            </w:pPr>
            <w:r>
              <w:rPr>
                <w:rFonts w:ascii="Arial" w:cs="Arial" w:eastAsia="Arial" w:hAnsi="Arial"/>
                <w:sz w:val="18"/>
                <w:szCs w:val="18"/>
                <w:b w:val="1"/>
                <w:bCs w:val="1"/>
                <w:color w:val="auto"/>
              </w:rPr>
              <w:t>% of Base Salary</w:t>
            </w:r>
            <w:r>
              <w:rPr>
                <w:rFonts w:ascii="Arial" w:cs="Arial" w:eastAsia="Arial" w:hAnsi="Arial"/>
                <w:sz w:val="23"/>
                <w:szCs w:val="23"/>
                <w:b w:val="1"/>
                <w:bCs w:val="1"/>
                <w:color w:val="auto"/>
                <w:vertAlign w:val="superscript"/>
              </w:rPr>
              <w:t>(3)</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57"/>
        </w:trPr>
        <w:tc>
          <w:tcPr>
            <w:tcW w:w="40" w:type="dxa"/>
            <w:vAlign w:val="bottom"/>
            <w:tcBorders>
              <w:top w:val="single" w:sz="8" w:color="B2B2B2"/>
            </w:tcBorders>
            <w:shd w:val="clear" w:color="auto" w:fill="B2B2B2"/>
          </w:tcPr>
          <w:p>
            <w:pPr>
              <w:spacing w:after="0"/>
              <w:rPr>
                <w:sz w:val="22"/>
                <w:szCs w:val="22"/>
                <w:color w:val="auto"/>
              </w:rPr>
            </w:pPr>
          </w:p>
        </w:tc>
        <w:tc>
          <w:tcPr>
            <w:tcW w:w="50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w w:val="71"/>
              </w:rPr>
              <w:t>Kenneth</w:t>
            </w:r>
          </w:p>
        </w:tc>
        <w:tc>
          <w:tcPr>
            <w:tcW w:w="3220" w:type="dxa"/>
            <w:vAlign w:val="bottom"/>
            <w:tcBorders>
              <w:top w:val="single" w:sz="8" w:color="B2B2B2"/>
            </w:tcBorders>
            <w:shd w:val="clear" w:color="auto" w:fill="B2B2B2"/>
          </w:tcPr>
          <w:p>
            <w:pPr>
              <w:ind w:left="220"/>
              <w:spacing w:after="0" w:line="256" w:lineRule="exact"/>
              <w:rPr>
                <w:sz w:val="20"/>
                <w:szCs w:val="20"/>
                <w:color w:val="auto"/>
              </w:rPr>
            </w:pPr>
            <w:r>
              <w:rPr>
                <w:rFonts w:ascii="Arial" w:cs="Arial" w:eastAsia="Arial" w:hAnsi="Arial"/>
                <w:sz w:val="18"/>
                <w:szCs w:val="18"/>
                <w:color w:val="auto"/>
              </w:rPr>
              <w:t>A. Gunderman</w:t>
            </w:r>
            <w:r>
              <w:rPr>
                <w:rFonts w:ascii="Arial" w:cs="Arial" w:eastAsia="Arial" w:hAnsi="Arial"/>
                <w:sz w:val="23"/>
                <w:szCs w:val="23"/>
                <w:color w:val="auto"/>
                <w:vertAlign w:val="superscript"/>
              </w:rPr>
              <w:t>(1)</w:t>
            </w:r>
          </w:p>
        </w:tc>
        <w:tc>
          <w:tcPr>
            <w:tcW w:w="2100" w:type="dxa"/>
            <w:vAlign w:val="bottom"/>
            <w:tcBorders>
              <w:top w:val="single" w:sz="8" w:color="auto"/>
            </w:tcBorders>
            <w:shd w:val="clear" w:color="auto" w:fill="B2B2B2"/>
          </w:tcPr>
          <w:p>
            <w:pPr>
              <w:ind w:left="900"/>
              <w:spacing w:after="0"/>
              <w:rPr>
                <w:sz w:val="20"/>
                <w:szCs w:val="20"/>
                <w:color w:val="auto"/>
              </w:rPr>
            </w:pPr>
            <w:r>
              <w:rPr>
                <w:rFonts w:ascii="Arial" w:cs="Arial" w:eastAsia="Arial" w:hAnsi="Arial"/>
                <w:sz w:val="18"/>
                <w:szCs w:val="18"/>
                <w:color w:val="auto"/>
              </w:rPr>
              <w:t>​225%</w:t>
            </w:r>
          </w:p>
        </w:tc>
        <w:tc>
          <w:tcPr>
            <w:tcW w:w="80" w:type="dxa"/>
            <w:vAlign w:val="bottom"/>
            <w:tcBorders>
              <w:top w:val="single" w:sz="8" w:color="auto"/>
            </w:tcBorders>
            <w:gridSpan w:val="2"/>
            <w:shd w:val="clear" w:color="auto" w:fill="B2B2B2"/>
          </w:tcPr>
          <w:p>
            <w:pPr>
              <w:ind w:left="20"/>
              <w:spacing w:after="0"/>
              <w:rPr>
                <w:sz w:val="20"/>
                <w:szCs w:val="20"/>
                <w:color w:val="auto"/>
              </w:rPr>
            </w:pPr>
            <w:r>
              <w:rPr>
                <w:rFonts w:ascii="Arial" w:cs="Arial" w:eastAsia="Arial" w:hAnsi="Arial"/>
                <w:sz w:val="18"/>
                <w:szCs w:val="18"/>
                <w:color w:val="auto"/>
              </w:rPr>
              <w:t>​</w:t>
            </w:r>
          </w:p>
        </w:tc>
      </w:tr>
      <w:tr>
        <w:trPr>
          <w:trHeight w:val="256"/>
        </w:trPr>
        <w:tc>
          <w:tcPr>
            <w:tcW w:w="40" w:type="dxa"/>
            <w:vAlign w:val="bottom"/>
          </w:tcPr>
          <w:p>
            <w:pPr>
              <w:spacing w:after="0"/>
              <w:rPr>
                <w:sz w:val="22"/>
                <w:szCs w:val="22"/>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Paul Bullington</w:t>
            </w:r>
          </w:p>
        </w:tc>
        <w:tc>
          <w:tcPr>
            <w:tcW w:w="2100" w:type="dxa"/>
            <w:vAlign w:val="bottom"/>
          </w:tcPr>
          <w:p>
            <w:pPr>
              <w:ind w:left="900"/>
              <w:spacing w:after="0"/>
              <w:rPr>
                <w:sz w:val="20"/>
                <w:szCs w:val="20"/>
                <w:color w:val="auto"/>
              </w:rPr>
            </w:pPr>
            <w:r>
              <w:rPr>
                <w:rFonts w:ascii="Arial" w:cs="Arial" w:eastAsia="Arial" w:hAnsi="Arial"/>
                <w:sz w:val="18"/>
                <w:szCs w:val="18"/>
                <w:color w:val="auto"/>
              </w:rPr>
              <w:t>​100%</w:t>
            </w:r>
          </w:p>
        </w:tc>
        <w:tc>
          <w:tcPr>
            <w:tcW w:w="8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84"/>
        </w:trPr>
        <w:tc>
          <w:tcPr>
            <w:tcW w:w="40" w:type="dxa"/>
            <w:vAlign w:val="bottom"/>
            <w:shd w:val="clear" w:color="auto" w:fill="B2B2B2"/>
          </w:tcPr>
          <w:p>
            <w:pPr>
              <w:spacing w:after="0"/>
              <w:rPr>
                <w:sz w:val="24"/>
                <w:szCs w:val="24"/>
                <w:color w:val="auto"/>
              </w:rPr>
            </w:pPr>
          </w:p>
        </w:tc>
        <w:tc>
          <w:tcPr>
            <w:tcW w:w="37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John Harrobin</w:t>
            </w:r>
            <w:r>
              <w:rPr>
                <w:rFonts w:ascii="Arial" w:cs="Arial" w:eastAsia="Arial" w:hAnsi="Arial"/>
                <w:sz w:val="23"/>
                <w:szCs w:val="23"/>
                <w:color w:val="auto"/>
                <w:vertAlign w:val="superscript"/>
              </w:rPr>
              <w:t>(2)</w:t>
            </w:r>
          </w:p>
        </w:tc>
        <w:tc>
          <w:tcPr>
            <w:tcW w:w="2100" w:type="dxa"/>
            <w:vAlign w:val="bottom"/>
            <w:shd w:val="clear" w:color="auto" w:fill="B2B2B2"/>
          </w:tcPr>
          <w:p>
            <w:pPr>
              <w:ind w:left="900"/>
              <w:spacing w:after="0"/>
              <w:rPr>
                <w:sz w:val="20"/>
                <w:szCs w:val="20"/>
                <w:color w:val="auto"/>
              </w:rPr>
            </w:pPr>
            <w:r>
              <w:rPr>
                <w:rFonts w:ascii="Arial" w:cs="Arial" w:eastAsia="Arial" w:hAnsi="Arial"/>
                <w:sz w:val="18"/>
                <w:szCs w:val="18"/>
                <w:color w:val="auto"/>
              </w:rPr>
              <w:t>​200%</w:t>
            </w:r>
          </w:p>
        </w:tc>
        <w:tc>
          <w:tcPr>
            <w:tcW w:w="8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w:t>
            </w:r>
          </w:p>
        </w:tc>
      </w:tr>
      <w:tr>
        <w:trPr>
          <w:trHeight w:val="256"/>
        </w:trPr>
        <w:tc>
          <w:tcPr>
            <w:tcW w:w="40" w:type="dxa"/>
            <w:vAlign w:val="bottom"/>
          </w:tcPr>
          <w:p>
            <w:pPr>
              <w:spacing w:after="0"/>
              <w:rPr>
                <w:sz w:val="22"/>
                <w:szCs w:val="22"/>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Daniel L. Heard</w:t>
            </w:r>
          </w:p>
        </w:tc>
        <w:tc>
          <w:tcPr>
            <w:tcW w:w="2100" w:type="dxa"/>
            <w:vAlign w:val="bottom"/>
          </w:tcPr>
          <w:p>
            <w:pPr>
              <w:ind w:left="900"/>
              <w:spacing w:after="0"/>
              <w:rPr>
                <w:sz w:val="20"/>
                <w:szCs w:val="20"/>
                <w:color w:val="auto"/>
              </w:rPr>
            </w:pPr>
            <w:r>
              <w:rPr>
                <w:rFonts w:ascii="Arial" w:cs="Arial" w:eastAsia="Arial" w:hAnsi="Arial"/>
                <w:sz w:val="18"/>
                <w:szCs w:val="18"/>
                <w:color w:val="auto"/>
              </w:rPr>
              <w:t>​100%</w:t>
            </w:r>
          </w:p>
        </w:tc>
        <w:tc>
          <w:tcPr>
            <w:tcW w:w="8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shd w:val="clear" w:color="auto" w:fill="B2B2B2"/>
          </w:tcPr>
          <w:p>
            <w:pPr>
              <w:spacing w:after="0"/>
              <w:rPr>
                <w:sz w:val="19"/>
                <w:szCs w:val="19"/>
                <w:color w:val="auto"/>
              </w:rPr>
            </w:pPr>
          </w:p>
        </w:tc>
        <w:tc>
          <w:tcPr>
            <w:tcW w:w="37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Michael Friloux</w:t>
            </w:r>
          </w:p>
        </w:tc>
        <w:tc>
          <w:tcPr>
            <w:tcW w:w="2100" w:type="dxa"/>
            <w:vAlign w:val="bottom"/>
            <w:shd w:val="clear" w:color="auto" w:fill="B2B2B2"/>
          </w:tcPr>
          <w:p>
            <w:pPr>
              <w:ind w:left="900"/>
              <w:spacing w:after="0"/>
              <w:rPr>
                <w:sz w:val="20"/>
                <w:szCs w:val="20"/>
                <w:color w:val="auto"/>
              </w:rPr>
            </w:pPr>
            <w:r>
              <w:rPr>
                <w:rFonts w:ascii="Arial" w:cs="Arial" w:eastAsia="Arial" w:hAnsi="Arial"/>
                <w:sz w:val="18"/>
                <w:szCs w:val="18"/>
                <w:color w:val="auto"/>
              </w:rPr>
              <w:t>​100%</w:t>
            </w:r>
          </w:p>
        </w:tc>
        <w:tc>
          <w:tcPr>
            <w:tcW w:w="8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85725</wp:posOffset>
            </wp:positionV>
            <wp:extent cx="12344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64" w:lineRule="exact"/>
        <w:rPr>
          <w:sz w:val="20"/>
          <w:szCs w:val="20"/>
          <w:color w:val="auto"/>
        </w:rPr>
      </w:pPr>
    </w:p>
    <w:p>
      <w:pPr>
        <w:ind w:left="1620" w:right="539" w:hanging="360"/>
        <w:spacing w:after="0" w:line="268"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Mr. Gunderman’s award opportunities are greater than the other NEOs considering his role and responsibility as CEO and his greater ability to affect financial results of the Company relative to the other NEOs.</w:t>
      </w:r>
    </w:p>
    <w:p>
      <w:pPr>
        <w:sectPr>
          <w:pgSz w:w="11900" w:h="16838" w:orient="portrait"/>
          <w:cols w:equalWidth="0" w:num="1">
            <w:col w:w="9879"/>
          </w:cols>
          <w:pgMar w:left="580" w:top="97"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620" w:right="1119" w:hanging="360"/>
        <w:spacing w:after="0" w:line="257"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Harrobin’s award opportunities for 2025 are greater than the other NEOs because of his negotiated new-hire compensation package, as more fully disclosed above under “New Hire Compensation Arrangements for Mr. Harrobin.”</w:t>
      </w:r>
    </w:p>
    <w:p>
      <w:pPr>
        <w:spacing w:after="0" w:line="1" w:lineRule="exact"/>
        <w:rPr>
          <w:rFonts w:ascii="Arial" w:cs="Arial" w:eastAsia="Arial" w:hAnsi="Arial"/>
          <w:sz w:val="18"/>
          <w:szCs w:val="18"/>
          <w:color w:val="auto"/>
        </w:rPr>
      </w:pPr>
    </w:p>
    <w:p>
      <w:pPr>
        <w:ind w:left="1620" w:right="439" w:hanging="360"/>
        <w:spacing w:after="0" w:line="254"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than for Mr. Harrobin (who could earn more, but not less than his target cash incentive amount for 2025), no payout is earned under the 2025 STIP for below-threshold performance. The threshold and maximum incentive opportunities for each NEO (other than Mr. Harrobin, whose maximum opportunity was 150% of his target cash incentive) under the 2025 STIP (expressed as a percentage of base salary) are as follows:</w:t>
      </w:r>
    </w:p>
    <w:p>
      <w:pPr>
        <w:spacing w:after="0" w:line="210" w:lineRule="exact"/>
        <w:rPr>
          <w:sz w:val="20"/>
          <w:szCs w:val="20"/>
          <w:color w:val="auto"/>
        </w:rPr>
      </w:pPr>
    </w:p>
    <w:tbl>
      <w:tblPr>
        <w:tblLayout w:type="fixed"/>
        <w:tblInd w:w="2600" w:type="dxa"/>
        <w:tblCellMar>
          <w:top w:w="0" w:type="dxa"/>
          <w:left w:w="0" w:type="dxa"/>
          <w:bottom w:w="0" w:type="dxa"/>
          <w:right w:w="0" w:type="dxa"/>
        </w:tblCellMar>
      </w:tblPr>
      <w:tr>
        <w:trPr>
          <w:trHeight w:val="235"/>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b w:val="1"/>
                <w:bCs w:val="1"/>
                <w:color w:val="auto"/>
                <w:w w:val="97"/>
              </w:rPr>
              <w:t>Name</w:t>
            </w:r>
          </w:p>
        </w:tc>
        <w:tc>
          <w:tcPr>
            <w:tcW w:w="2160" w:type="dxa"/>
            <w:vAlign w:val="bottom"/>
          </w:tcPr>
          <w:p>
            <w:pPr>
              <w:spacing w:after="0"/>
              <w:rPr>
                <w:sz w:val="20"/>
                <w:szCs w:val="20"/>
                <w:color w:val="auto"/>
              </w:rPr>
            </w:pPr>
          </w:p>
        </w:tc>
        <w:tc>
          <w:tcPr>
            <w:tcW w:w="1800" w:type="dxa"/>
            <w:vAlign w:val="bottom"/>
            <w:gridSpan w:val="4"/>
          </w:tcPr>
          <w:p>
            <w:pPr>
              <w:ind w:left="800"/>
              <w:spacing w:after="0"/>
              <w:rPr>
                <w:sz w:val="20"/>
                <w:szCs w:val="20"/>
                <w:color w:val="auto"/>
              </w:rPr>
            </w:pPr>
            <w:r>
              <w:rPr>
                <w:rFonts w:ascii="Arial" w:cs="Arial" w:eastAsia="Arial" w:hAnsi="Arial"/>
                <w:sz w:val="18"/>
                <w:szCs w:val="18"/>
                <w:b w:val="1"/>
                <w:bCs w:val="1"/>
                <w:color w:val="auto"/>
              </w:rPr>
              <w:t>Threshold</w:t>
            </w:r>
          </w:p>
        </w:tc>
        <w:tc>
          <w:tcPr>
            <w:tcW w:w="1000" w:type="dxa"/>
            <w:vAlign w:val="bottom"/>
            <w:gridSpan w:val="4"/>
          </w:tcPr>
          <w:p>
            <w:pPr>
              <w:ind w:left="100"/>
              <w:spacing w:after="0"/>
              <w:rPr>
                <w:sz w:val="20"/>
                <w:szCs w:val="20"/>
                <w:color w:val="auto"/>
              </w:rPr>
            </w:pPr>
            <w:r>
              <w:rPr>
                <w:rFonts w:ascii="Arial" w:cs="Arial" w:eastAsia="Arial" w:hAnsi="Arial"/>
                <w:sz w:val="18"/>
                <w:szCs w:val="18"/>
                <w:b w:val="1"/>
                <w:bCs w:val="1"/>
                <w:color w:val="auto"/>
              </w:rPr>
              <w:t>Maximum</w:t>
            </w: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60" w:type="dxa"/>
            <w:vAlign w:val="bottom"/>
            <w:shd w:val="clear" w:color="auto" w:fill="B2B2B2"/>
          </w:tcPr>
          <w:p>
            <w:pPr>
              <w:spacing w:after="0"/>
              <w:rPr>
                <w:sz w:val="22"/>
                <w:szCs w:val="22"/>
                <w:color w:val="auto"/>
              </w:rPr>
            </w:pPr>
          </w:p>
        </w:tc>
        <w:tc>
          <w:tcPr>
            <w:tcW w:w="26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Kenneth A. Gunderman</w:t>
            </w:r>
          </w:p>
        </w:tc>
        <w:tc>
          <w:tcPr>
            <w:tcW w:w="800" w:type="dxa"/>
            <w:vAlign w:val="bottom"/>
            <w:shd w:val="clear" w:color="auto" w:fill="B2B2B2"/>
          </w:tcPr>
          <w:p>
            <w:pPr>
              <w:spacing w:after="0"/>
              <w:rPr>
                <w:sz w:val="22"/>
                <w:szCs w:val="22"/>
                <w:color w:val="auto"/>
              </w:rPr>
            </w:pPr>
          </w:p>
        </w:tc>
        <w:tc>
          <w:tcPr>
            <w:tcW w:w="86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​112.5%</w:t>
            </w:r>
          </w:p>
        </w:tc>
        <w:tc>
          <w:tcPr>
            <w:tcW w:w="140" w:type="dxa"/>
            <w:vAlign w:val="bottom"/>
            <w:shd w:val="clear" w:color="auto" w:fill="B2B2B2"/>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B2B2B2"/>
          </w:tcPr>
          <w:p>
            <w:pPr>
              <w:spacing w:after="0"/>
              <w:rPr>
                <w:sz w:val="22"/>
                <w:szCs w:val="22"/>
                <w:color w:val="auto"/>
              </w:rPr>
            </w:pPr>
          </w:p>
        </w:tc>
        <w:tc>
          <w:tcPr>
            <w:tcW w:w="82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​337.5%</w:t>
            </w:r>
          </w:p>
        </w:tc>
        <w:tc>
          <w:tcPr>
            <w:tcW w:w="80" w:type="dxa"/>
            <w:vAlign w:val="bottom"/>
            <w:shd w:val="clear" w:color="auto" w:fill="B2B2B2"/>
          </w:tcPr>
          <w:p>
            <w:pPr>
              <w:ind w:left="20"/>
              <w:spacing w:after="0"/>
              <w:rPr>
                <w:sz w:val="20"/>
                <w:szCs w:val="20"/>
                <w:color w:val="auto"/>
              </w:rPr>
            </w:pPr>
            <w:r>
              <w:rPr>
                <w:rFonts w:ascii="Arial" w:cs="Arial" w:eastAsia="Arial" w:hAnsi="Arial"/>
                <w:sz w:val="18"/>
                <w:szCs w:val="18"/>
                <w:color w:val="auto"/>
              </w:rPr>
              <w:t>​</w:t>
            </w:r>
          </w:p>
        </w:tc>
      </w:tr>
      <w:tr>
        <w:trPr>
          <w:trHeight w:val="270"/>
        </w:trPr>
        <w:tc>
          <w:tcPr>
            <w:tcW w:w="60" w:type="dxa"/>
            <w:vAlign w:val="bottom"/>
          </w:tcPr>
          <w:p>
            <w:pPr>
              <w:spacing w:after="0"/>
              <w:rPr>
                <w:sz w:val="23"/>
                <w:szCs w:val="23"/>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Paul Bullington</w:t>
            </w:r>
          </w:p>
        </w:tc>
        <w:tc>
          <w:tcPr>
            <w:tcW w:w="800" w:type="dxa"/>
            <w:vAlign w:val="bottom"/>
          </w:tcPr>
          <w:p>
            <w:pPr>
              <w:spacing w:after="0"/>
              <w:rPr>
                <w:sz w:val="23"/>
                <w:szCs w:val="23"/>
                <w:color w:val="auto"/>
              </w:rPr>
            </w:pP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70"/>
        </w:trPr>
        <w:tc>
          <w:tcPr>
            <w:tcW w:w="60" w:type="dxa"/>
            <w:vAlign w:val="bottom"/>
            <w:shd w:val="clear" w:color="auto" w:fill="B2B2B2"/>
          </w:tcPr>
          <w:p>
            <w:pPr>
              <w:spacing w:after="0"/>
              <w:rPr>
                <w:sz w:val="23"/>
                <w:szCs w:val="23"/>
                <w:color w:val="auto"/>
              </w:rPr>
            </w:pPr>
          </w:p>
        </w:tc>
        <w:tc>
          <w:tcPr>
            <w:tcW w:w="26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Daniel L. Heard</w:t>
            </w:r>
          </w:p>
        </w:tc>
        <w:tc>
          <w:tcPr>
            <w:tcW w:w="800" w:type="dxa"/>
            <w:vAlign w:val="bottom"/>
            <w:shd w:val="clear" w:color="auto" w:fill="B2B2B2"/>
          </w:tcPr>
          <w:p>
            <w:pPr>
              <w:spacing w:after="0"/>
              <w:rPr>
                <w:sz w:val="23"/>
                <w:szCs w:val="23"/>
                <w:color w:val="auto"/>
              </w:rPr>
            </w:pPr>
          </w:p>
        </w:tc>
        <w:tc>
          <w:tcPr>
            <w:tcW w:w="340" w:type="dxa"/>
            <w:vAlign w:val="bottom"/>
            <w:shd w:val="clear" w:color="auto" w:fill="B2B2B2"/>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B2B2B2"/>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B2B2B2"/>
          </w:tcPr>
          <w:p>
            <w:pPr>
              <w:spacing w:after="0"/>
              <w:rPr>
                <w:sz w:val="23"/>
                <w:szCs w:val="23"/>
                <w:color w:val="auto"/>
              </w:rPr>
            </w:pPr>
          </w:p>
        </w:tc>
        <w:tc>
          <w:tcPr>
            <w:tcW w:w="280" w:type="dxa"/>
            <w:vAlign w:val="bottom"/>
            <w:shd w:val="clear" w:color="auto" w:fill="B2B2B2"/>
          </w:tcPr>
          <w:p>
            <w:pPr>
              <w:ind w:lef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B2B2B2"/>
          </w:tcPr>
          <w:p>
            <w:pPr>
              <w:ind w:left="20"/>
              <w:spacing w:after="0"/>
              <w:rPr>
                <w:sz w:val="20"/>
                <w:szCs w:val="20"/>
                <w:color w:val="auto"/>
              </w:rPr>
            </w:pPr>
            <w:r>
              <w:rPr>
                <w:rFonts w:ascii="Arial" w:cs="Arial" w:eastAsia="Arial" w:hAnsi="Arial"/>
                <w:sz w:val="18"/>
                <w:szCs w:val="18"/>
                <w:color w:val="auto"/>
              </w:rPr>
              <w:t>​</w:t>
            </w:r>
          </w:p>
        </w:tc>
      </w:tr>
      <w:tr>
        <w:trPr>
          <w:trHeight w:val="274"/>
        </w:trPr>
        <w:tc>
          <w:tcPr>
            <w:tcW w:w="60" w:type="dxa"/>
            <w:vAlign w:val="bottom"/>
          </w:tcPr>
          <w:p>
            <w:pPr>
              <w:spacing w:after="0"/>
              <w:rPr>
                <w:sz w:val="23"/>
                <w:szCs w:val="23"/>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Michael Friloux</w:t>
            </w:r>
          </w:p>
        </w:tc>
        <w:tc>
          <w:tcPr>
            <w:tcW w:w="800" w:type="dxa"/>
            <w:vAlign w:val="bottom"/>
          </w:tcPr>
          <w:p>
            <w:pPr>
              <w:spacing w:after="0"/>
              <w:rPr>
                <w:sz w:val="23"/>
                <w:szCs w:val="23"/>
                <w:color w:val="auto"/>
              </w:rPr>
            </w:pP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bl>
    <w:p>
      <w:pPr>
        <w:spacing w:after="0" w:line="153" w:lineRule="exact"/>
        <w:rPr>
          <w:sz w:val="20"/>
          <w:szCs w:val="20"/>
          <w:color w:val="auto"/>
        </w:rPr>
      </w:pPr>
    </w:p>
    <w:p>
      <w:pPr>
        <w:ind w:left="1260" w:right="419" w:firstLine="648"/>
        <w:spacing w:after="0" w:line="245" w:lineRule="auto"/>
        <w:rPr>
          <w:sz w:val="20"/>
          <w:szCs w:val="20"/>
          <w:color w:val="auto"/>
        </w:rPr>
      </w:pPr>
      <w:r>
        <w:rPr>
          <w:rFonts w:ascii="Arial" w:cs="Arial" w:eastAsia="Arial" w:hAnsi="Arial"/>
          <w:sz w:val="18"/>
          <w:szCs w:val="18"/>
          <w:color w:val="auto"/>
        </w:rPr>
        <w:t>Awards under the 2025 STIP were based on company-wide financial performance measures as discussed in greater detail below. Old Uniti’s compensation committee initially selected the specific financial measures because they were consistent with Old Uniti’s overall strategy and/or were among the most important and closely followed measures of Old Uniti’s performance by the investing community and Old Uniti’s stockholders. In connection with the Merger, the Company assumed the performance measures for the awards under the 2025 STIP. Each NEO (other than Mr. Harrobin) had threshold, target and maximum cash incentive opportunities that are aligned with threshold, target and maximum performance outcomes, with linear interpolation between the specified levels. Old Uniti utilized the following quantitative measures of financial performance in the 2025 STIP:</w:t>
      </w:r>
    </w:p>
    <w:p>
      <w:pPr>
        <w:spacing w:after="0" w:line="213"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Performance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8"/>
              </w:rPr>
              <w:t>Weighting for</w:t>
            </w:r>
          </w:p>
        </w:tc>
        <w:tc>
          <w:tcPr>
            <w:tcW w:w="12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235"/>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Measure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all NEOs</w:t>
            </w:r>
          </w:p>
        </w:tc>
        <w:tc>
          <w:tcPr>
            <w:tcW w:w="120" w:type="dxa"/>
            <w:vAlign w:val="bottom"/>
          </w:tcPr>
          <w:p>
            <w:pPr>
              <w:spacing w:after="0"/>
              <w:rPr>
                <w:sz w:val="20"/>
                <w:szCs w:val="20"/>
                <w:color w:val="auto"/>
              </w:rPr>
            </w:pPr>
          </w:p>
        </w:tc>
        <w:tc>
          <w:tcPr>
            <w:tcW w:w="3860" w:type="dxa"/>
            <w:vAlign w:val="bottom"/>
          </w:tcPr>
          <w:p>
            <w:pPr>
              <w:ind w:left="1440"/>
              <w:spacing w:after="0"/>
              <w:rPr>
                <w:sz w:val="20"/>
                <w:szCs w:val="20"/>
                <w:color w:val="auto"/>
              </w:rPr>
            </w:pPr>
            <w:r>
              <w:rPr>
                <w:rFonts w:ascii="Arial" w:cs="Arial" w:eastAsia="Arial" w:hAnsi="Arial"/>
                <w:sz w:val="18"/>
                <w:szCs w:val="18"/>
                <w:b w:val="1"/>
                <w:bCs w:val="1"/>
                <w:color w:val="auto"/>
              </w:rPr>
              <w:t>Description</w:t>
            </w:r>
          </w:p>
        </w:tc>
      </w:tr>
      <w:tr>
        <w:trPr>
          <w:trHeight w:val="191"/>
        </w:trPr>
        <w:tc>
          <w:tcPr>
            <w:tcW w:w="2920" w:type="dxa"/>
            <w:vAlign w:val="bottom"/>
            <w:tcBorders>
              <w:top w:val="single" w:sz="8" w:color="auto"/>
            </w:tcBorders>
            <w:shd w:val="clear" w:color="auto" w:fill="B2B2B2"/>
          </w:tcPr>
          <w:p>
            <w:pPr>
              <w:spacing w:after="0" w:line="191" w:lineRule="exact"/>
              <w:rPr>
                <w:sz w:val="20"/>
                <w:szCs w:val="20"/>
                <w:color w:val="auto"/>
              </w:rPr>
            </w:pPr>
            <w:r>
              <w:rPr>
                <w:rFonts w:ascii="Arial" w:cs="Arial" w:eastAsia="Arial" w:hAnsi="Arial"/>
                <w:sz w:val="18"/>
                <w:szCs w:val="18"/>
                <w:color w:val="auto"/>
              </w:rPr>
              <w:t>Consolidated Adjusted Funds From</w:t>
            </w:r>
          </w:p>
        </w:tc>
        <w:tc>
          <w:tcPr>
            <w:tcW w:w="120" w:type="dxa"/>
            <w:vAlign w:val="bottom"/>
            <w:tcBorders>
              <w:top w:val="single" w:sz="8" w:color="B2B2B2"/>
            </w:tcBorders>
            <w:shd w:val="clear" w:color="auto" w:fill="B2B2B2"/>
          </w:tcPr>
          <w:p>
            <w:pPr>
              <w:spacing w:after="0"/>
              <w:rPr>
                <w:sz w:val="16"/>
                <w:szCs w:val="16"/>
                <w:color w:val="auto"/>
              </w:rPr>
            </w:pPr>
          </w:p>
        </w:tc>
        <w:tc>
          <w:tcPr>
            <w:tcW w:w="1180" w:type="dxa"/>
            <w:vAlign w:val="bottom"/>
            <w:tcBorders>
              <w:top w:val="single" w:sz="8" w:color="auto"/>
            </w:tcBorders>
            <w:shd w:val="clear" w:color="auto" w:fill="B2B2B2"/>
          </w:tcPr>
          <w:p>
            <w:pPr>
              <w:ind w:left="520"/>
              <w:spacing w:after="0" w:line="191" w:lineRule="exact"/>
              <w:rPr>
                <w:sz w:val="20"/>
                <w:szCs w:val="20"/>
                <w:color w:val="auto"/>
              </w:rPr>
            </w:pPr>
            <w:r>
              <w:rPr>
                <w:rFonts w:ascii="Arial" w:cs="Arial" w:eastAsia="Arial" w:hAnsi="Arial"/>
                <w:sz w:val="18"/>
                <w:szCs w:val="18"/>
                <w:color w:val="auto"/>
              </w:rPr>
              <w:t> </w:t>
            </w:r>
          </w:p>
        </w:tc>
        <w:tc>
          <w:tcPr>
            <w:tcW w:w="120" w:type="dxa"/>
            <w:vAlign w:val="bottom"/>
            <w:tcBorders>
              <w:top w:val="single" w:sz="8" w:color="B2B2B2"/>
            </w:tcBorders>
            <w:shd w:val="clear" w:color="auto" w:fill="B2B2B2"/>
          </w:tcPr>
          <w:p>
            <w:pPr>
              <w:spacing w:after="0"/>
              <w:rPr>
                <w:sz w:val="16"/>
                <w:szCs w:val="16"/>
                <w:color w:val="auto"/>
              </w:rPr>
            </w:pPr>
          </w:p>
        </w:tc>
        <w:tc>
          <w:tcPr>
            <w:tcW w:w="3860" w:type="dxa"/>
            <w:vAlign w:val="bottom"/>
            <w:tcBorders>
              <w:top w:val="single" w:sz="8" w:color="auto"/>
            </w:tcBorders>
            <w:shd w:val="clear" w:color="auto" w:fill="B2B2B2"/>
          </w:tcPr>
          <w:p>
            <w:pPr>
              <w:spacing w:after="0" w:line="191" w:lineRule="exact"/>
              <w:rPr>
                <w:sz w:val="20"/>
                <w:szCs w:val="20"/>
                <w:color w:val="auto"/>
              </w:rPr>
            </w:pPr>
            <w:r>
              <w:rPr>
                <w:rFonts w:ascii="Arial" w:cs="Arial" w:eastAsia="Arial" w:hAnsi="Arial"/>
                <w:sz w:val="18"/>
                <w:szCs w:val="18"/>
                <w:color w:val="auto"/>
              </w:rPr>
              <w:t> </w:t>
            </w:r>
          </w:p>
        </w:tc>
      </w:tr>
      <w:tr>
        <w:trPr>
          <w:trHeight w:val="216"/>
        </w:trPr>
        <w:tc>
          <w:tcPr>
            <w:tcW w:w="304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Operations (“AFFO”)</w:t>
            </w:r>
          </w:p>
        </w:tc>
        <w:tc>
          <w:tcPr>
            <w:tcW w:w="1180" w:type="dxa"/>
            <w:vAlign w:val="bottom"/>
            <w:shd w:val="clear" w:color="auto" w:fill="B2B2B2"/>
          </w:tcPr>
          <w:p>
            <w:pPr>
              <w:jc w:val="center"/>
              <w:spacing w:after="0"/>
              <w:rPr>
                <w:sz w:val="20"/>
                <w:szCs w:val="20"/>
                <w:color w:val="auto"/>
              </w:rPr>
            </w:pPr>
            <w:r>
              <w:rPr>
                <w:rFonts w:ascii="Arial" w:cs="Arial" w:eastAsia="Arial" w:hAnsi="Arial"/>
                <w:sz w:val="18"/>
                <w:szCs w:val="18"/>
                <w:color w:val="auto"/>
                <w:w w:val="99"/>
              </w:rPr>
              <w:t>60%</w:t>
            </w: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w w:val="99"/>
              </w:rPr>
              <w:t>Represents funds from operations from Old Uniti</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w w:val="96"/>
              </w:rPr>
              <w:t>calculated in accordance with NAREIT’s definition</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rPr>
              <w:t>of funds from operations, adjusted to exclude</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w w:val="99"/>
              </w:rPr>
              <w:t>costs related to litigation and our settlement with</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rPr>
              <w:t>Windstream, the impact of certain non-cash</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rPr>
              <w:t>revenues and expenses (such as stock-based</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rPr>
              <w:t>compensation expense; the amortization and/or</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rPr>
              <w:t>depreciation of debt and equity discounts,</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rPr>
              <w:t>deferred financing costs, non-real estate assets,</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rPr>
              <w:t>non-cash rights-of-use assets, and other non-</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rPr>
              <w:t>cash revenues to the extent that cash has not</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rPr>
              <w:t>been received, such as revenue associated with</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rPr>
              <w:t>the amortization of tenant capital improvements;</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rPr>
              <w:t>straight line revenues; maintenance capital</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rPr>
              <w:t>expenditures; and non-cash income taxes),</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rPr>
              <w:t>capital markets transactions, including cash</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rPr>
              <w:t>interest expense in connection with mid-year</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w w:val="98"/>
              </w:rPr>
              <w:t>notes issuances, incremental acquisition, pursuit,</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rPr>
              <w:t>transaction and integration costs (including</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rPr>
              <w:t>related to the Merger) and similar items, for the</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w w:val="99"/>
              </w:rPr>
              <w:t>year ended December 31, 2025. The calculation</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w w:val="99"/>
              </w:rPr>
              <w:t>of AFFO for purposes of the 2025 STIP is based</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rPr>
              <w:t>on actual results of Old Uniti through the closing</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rPr>
              <w:t>of the Merger and the results of the business</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w w:val="98"/>
              </w:rPr>
              <w:t>lines that constituted Old Uniti for the period from</w:t>
            </w:r>
          </w:p>
        </w:tc>
      </w:tr>
      <w:tr>
        <w:trPr>
          <w:trHeight w:val="239"/>
        </w:trPr>
        <w:tc>
          <w:tcPr>
            <w:tcW w:w="292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180" w:type="dxa"/>
            <w:vAlign w:val="bottom"/>
            <w:shd w:val="clear" w:color="auto" w:fill="B2B2B2"/>
          </w:tcPr>
          <w:p>
            <w:pPr>
              <w:spacing w:after="0"/>
              <w:rPr>
                <w:sz w:val="20"/>
                <w:szCs w:val="20"/>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rPr>
              <w:t>closing to December 31, 2025.</w:t>
            </w:r>
          </w:p>
        </w:tc>
      </w:tr>
      <w:tr>
        <w:trPr>
          <w:trHeight w:val="77"/>
        </w:trPr>
        <w:tc>
          <w:tcPr>
            <w:tcW w:w="2920" w:type="dxa"/>
            <w:vAlign w:val="bottom"/>
            <w:shd w:val="clear" w:color="auto" w:fill="B2B2B2"/>
          </w:tcPr>
          <w:p>
            <w:pPr>
              <w:spacing w:after="0"/>
              <w:rPr>
                <w:sz w:val="6"/>
                <w:szCs w:val="6"/>
                <w:color w:val="auto"/>
              </w:rPr>
            </w:pPr>
          </w:p>
        </w:tc>
        <w:tc>
          <w:tcPr>
            <w:tcW w:w="120" w:type="dxa"/>
            <w:vAlign w:val="bottom"/>
            <w:shd w:val="clear" w:color="auto" w:fill="B2B2B2"/>
          </w:tcPr>
          <w:p>
            <w:pPr>
              <w:spacing w:after="0"/>
              <w:rPr>
                <w:sz w:val="6"/>
                <w:szCs w:val="6"/>
                <w:color w:val="auto"/>
              </w:rPr>
            </w:pPr>
          </w:p>
        </w:tc>
        <w:tc>
          <w:tcPr>
            <w:tcW w:w="1180" w:type="dxa"/>
            <w:vAlign w:val="bottom"/>
            <w:shd w:val="clear" w:color="auto" w:fill="B2B2B2"/>
          </w:tcPr>
          <w:p>
            <w:pPr>
              <w:spacing w:after="0"/>
              <w:rPr>
                <w:sz w:val="6"/>
                <w:szCs w:val="6"/>
                <w:color w:val="auto"/>
              </w:rPr>
            </w:pPr>
          </w:p>
        </w:tc>
        <w:tc>
          <w:tcPr>
            <w:tcW w:w="120" w:type="dxa"/>
            <w:vAlign w:val="bottom"/>
            <w:shd w:val="clear" w:color="auto" w:fill="B2B2B2"/>
          </w:tcPr>
          <w:p>
            <w:pPr>
              <w:spacing w:after="0"/>
              <w:rPr>
                <w:sz w:val="6"/>
                <w:szCs w:val="6"/>
                <w:color w:val="auto"/>
              </w:rPr>
            </w:pPr>
          </w:p>
        </w:tc>
        <w:tc>
          <w:tcPr>
            <w:tcW w:w="3860" w:type="dxa"/>
            <w:vAlign w:val="bottom"/>
            <w:shd w:val="clear" w:color="auto" w:fill="B2B2B2"/>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-3762375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-3762375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Performance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8"/>
              </w:rPr>
              <w:t>Weighting for</w:t>
            </w:r>
          </w:p>
        </w:tc>
        <w:tc>
          <w:tcPr>
            <w:tcW w:w="12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235"/>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Measure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all NEOs</w:t>
            </w:r>
          </w:p>
        </w:tc>
        <w:tc>
          <w:tcPr>
            <w:tcW w:w="120" w:type="dxa"/>
            <w:vAlign w:val="bottom"/>
          </w:tcPr>
          <w:p>
            <w:pPr>
              <w:spacing w:after="0"/>
              <w:rPr>
                <w:sz w:val="20"/>
                <w:szCs w:val="20"/>
                <w:color w:val="auto"/>
              </w:rPr>
            </w:pPr>
          </w:p>
        </w:tc>
        <w:tc>
          <w:tcPr>
            <w:tcW w:w="3860" w:type="dxa"/>
            <w:vAlign w:val="bottom"/>
          </w:tcPr>
          <w:p>
            <w:pPr>
              <w:ind w:left="1440"/>
              <w:spacing w:after="0"/>
              <w:rPr>
                <w:sz w:val="20"/>
                <w:szCs w:val="20"/>
                <w:color w:val="auto"/>
              </w:rPr>
            </w:pPr>
            <w:r>
              <w:rPr>
                <w:rFonts w:ascii="Arial" w:cs="Arial" w:eastAsia="Arial" w:hAnsi="Arial"/>
                <w:sz w:val="18"/>
                <w:szCs w:val="18"/>
                <w:b w:val="1"/>
                <w:bCs w:val="1"/>
                <w:color w:val="auto"/>
              </w:rPr>
              <w:t>Description</w:t>
            </w:r>
          </w:p>
        </w:tc>
      </w:tr>
      <w:tr>
        <w:trPr>
          <w:trHeight w:val="204"/>
        </w:trPr>
        <w:tc>
          <w:tcPr>
            <w:tcW w:w="2920" w:type="dxa"/>
            <w:vAlign w:val="bottom"/>
            <w:tcBorders>
              <w:top w:val="single" w:sz="8" w:color="auto"/>
            </w:tcBorders>
          </w:tcPr>
          <w:p>
            <w:pPr>
              <w:spacing w:after="0" w:line="204" w:lineRule="exact"/>
              <w:rPr>
                <w:sz w:val="20"/>
                <w:szCs w:val="20"/>
                <w:color w:val="auto"/>
              </w:rPr>
            </w:pPr>
            <w:r>
              <w:rPr>
                <w:rFonts w:ascii="Arial" w:cs="Arial" w:eastAsia="Arial" w:hAnsi="Arial"/>
                <w:sz w:val="18"/>
                <w:szCs w:val="18"/>
                <w:color w:val="auto"/>
              </w:rPr>
              <w:t>Consolidated Bookings</w:t>
            </w:r>
          </w:p>
        </w:tc>
        <w:tc>
          <w:tcPr>
            <w:tcW w:w="120" w:type="dxa"/>
            <w:vAlign w:val="bottom"/>
          </w:tcPr>
          <w:p>
            <w:pPr>
              <w:spacing w:after="0"/>
              <w:rPr>
                <w:sz w:val="17"/>
                <w:szCs w:val="17"/>
                <w:color w:val="auto"/>
              </w:rPr>
            </w:pPr>
          </w:p>
        </w:tc>
        <w:tc>
          <w:tcPr>
            <w:tcW w:w="1180" w:type="dxa"/>
            <w:vAlign w:val="bottom"/>
            <w:tcBorders>
              <w:top w:val="single" w:sz="8" w:color="auto"/>
            </w:tcBorders>
          </w:tcPr>
          <w:p>
            <w:pPr>
              <w:jc w:val="center"/>
              <w:spacing w:after="0" w:line="204" w:lineRule="exact"/>
              <w:rPr>
                <w:sz w:val="20"/>
                <w:szCs w:val="20"/>
                <w:color w:val="auto"/>
              </w:rPr>
            </w:pPr>
            <w:r>
              <w:rPr>
                <w:rFonts w:ascii="Arial" w:cs="Arial" w:eastAsia="Arial" w:hAnsi="Arial"/>
                <w:sz w:val="18"/>
                <w:szCs w:val="18"/>
                <w:color w:val="auto"/>
                <w:w w:val="99"/>
              </w:rPr>
              <w:t>20%</w:t>
            </w:r>
          </w:p>
        </w:tc>
        <w:tc>
          <w:tcPr>
            <w:tcW w:w="120" w:type="dxa"/>
            <w:vAlign w:val="bottom"/>
          </w:tcPr>
          <w:p>
            <w:pPr>
              <w:spacing w:after="0"/>
              <w:rPr>
                <w:sz w:val="17"/>
                <w:szCs w:val="17"/>
                <w:color w:val="auto"/>
              </w:rPr>
            </w:pPr>
          </w:p>
        </w:tc>
        <w:tc>
          <w:tcPr>
            <w:tcW w:w="3860" w:type="dxa"/>
            <w:vAlign w:val="bottom"/>
            <w:tcBorders>
              <w:top w:val="single" w:sz="8" w:color="auto"/>
            </w:tcBorders>
          </w:tcPr>
          <w:p>
            <w:pPr>
              <w:spacing w:after="0" w:line="204" w:lineRule="exact"/>
              <w:rPr>
                <w:sz w:val="20"/>
                <w:szCs w:val="20"/>
                <w:color w:val="auto"/>
              </w:rPr>
            </w:pPr>
            <w:r>
              <w:rPr>
                <w:rFonts w:ascii="Arial" w:cs="Arial" w:eastAsia="Arial" w:hAnsi="Arial"/>
                <w:sz w:val="18"/>
                <w:szCs w:val="18"/>
                <w:color w:val="auto"/>
              </w:rPr>
              <w:t>Represents new monthly recurring revenue</w:t>
            </w:r>
          </w:p>
        </w:tc>
      </w:tr>
      <w:tr>
        <w:trPr>
          <w:trHeight w:val="235"/>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bookings across all product lines.</w:t>
            </w:r>
          </w:p>
        </w:tc>
      </w:tr>
      <w:tr>
        <w:trPr>
          <w:trHeight w:val="211"/>
        </w:trPr>
        <w:tc>
          <w:tcPr>
            <w:tcW w:w="304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On-Time Delivery</w:t>
            </w:r>
          </w:p>
        </w:tc>
        <w:tc>
          <w:tcPr>
            <w:tcW w:w="1180" w:type="dxa"/>
            <w:vAlign w:val="bottom"/>
            <w:shd w:val="clear" w:color="auto" w:fill="B2B2B2"/>
          </w:tcPr>
          <w:p>
            <w:pPr>
              <w:jc w:val="center"/>
              <w:spacing w:after="0"/>
              <w:rPr>
                <w:sz w:val="20"/>
                <w:szCs w:val="20"/>
                <w:color w:val="auto"/>
              </w:rPr>
            </w:pPr>
            <w:r>
              <w:rPr>
                <w:rFonts w:ascii="Arial" w:cs="Arial" w:eastAsia="Arial" w:hAnsi="Arial"/>
                <w:sz w:val="18"/>
                <w:szCs w:val="18"/>
                <w:color w:val="auto"/>
                <w:w w:val="99"/>
              </w:rPr>
              <w:t>20%</w:t>
            </w: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rPr>
              <w:t>Represents the percentage of customer</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rPr>
              <w:t>activation dates that meet the original service</w:t>
            </w:r>
          </w:p>
        </w:tc>
      </w:tr>
      <w:tr>
        <w:trPr>
          <w:trHeight w:val="216"/>
        </w:trPr>
        <w:tc>
          <w:tcPr>
            <w:tcW w:w="29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rPr>
              <w:t>activation date agreed upon between the</w:t>
            </w:r>
          </w:p>
        </w:tc>
      </w:tr>
      <w:tr>
        <w:trPr>
          <w:trHeight w:val="239"/>
        </w:trPr>
        <w:tc>
          <w:tcPr>
            <w:tcW w:w="292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180" w:type="dxa"/>
            <w:vAlign w:val="bottom"/>
            <w:shd w:val="clear" w:color="auto" w:fill="B2B2B2"/>
          </w:tcPr>
          <w:p>
            <w:pPr>
              <w:spacing w:after="0"/>
              <w:rPr>
                <w:sz w:val="20"/>
                <w:szCs w:val="20"/>
                <w:color w:val="auto"/>
              </w:rPr>
            </w:pPr>
          </w:p>
        </w:tc>
        <w:tc>
          <w:tcPr>
            <w:tcW w:w="3980" w:type="dxa"/>
            <w:vAlign w:val="bottom"/>
            <w:gridSpan w:val="2"/>
            <w:shd w:val="clear" w:color="auto" w:fill="B2B2B2"/>
          </w:tcPr>
          <w:p>
            <w:pPr>
              <w:ind w:left="120"/>
              <w:spacing w:after="0"/>
              <w:rPr>
                <w:sz w:val="20"/>
                <w:szCs w:val="20"/>
                <w:color w:val="auto"/>
              </w:rPr>
            </w:pPr>
            <w:r>
              <w:rPr>
                <w:rFonts w:ascii="Arial" w:cs="Arial" w:eastAsia="Arial" w:hAnsi="Arial"/>
                <w:sz w:val="18"/>
                <w:szCs w:val="18"/>
                <w:color w:val="auto"/>
              </w:rPr>
              <w:t>customer and Uniti.</w:t>
            </w:r>
          </w:p>
        </w:tc>
      </w:tr>
      <w:tr>
        <w:trPr>
          <w:trHeight w:val="77"/>
        </w:trPr>
        <w:tc>
          <w:tcPr>
            <w:tcW w:w="2920" w:type="dxa"/>
            <w:vAlign w:val="bottom"/>
            <w:shd w:val="clear" w:color="auto" w:fill="B2B2B2"/>
          </w:tcPr>
          <w:p>
            <w:pPr>
              <w:spacing w:after="0"/>
              <w:rPr>
                <w:sz w:val="6"/>
                <w:szCs w:val="6"/>
                <w:color w:val="auto"/>
              </w:rPr>
            </w:pPr>
          </w:p>
        </w:tc>
        <w:tc>
          <w:tcPr>
            <w:tcW w:w="120" w:type="dxa"/>
            <w:vAlign w:val="bottom"/>
            <w:shd w:val="clear" w:color="auto" w:fill="B2B2B2"/>
          </w:tcPr>
          <w:p>
            <w:pPr>
              <w:spacing w:after="0"/>
              <w:rPr>
                <w:sz w:val="6"/>
                <w:szCs w:val="6"/>
                <w:color w:val="auto"/>
              </w:rPr>
            </w:pPr>
          </w:p>
        </w:tc>
        <w:tc>
          <w:tcPr>
            <w:tcW w:w="1180" w:type="dxa"/>
            <w:vAlign w:val="bottom"/>
            <w:shd w:val="clear" w:color="auto" w:fill="B2B2B2"/>
          </w:tcPr>
          <w:p>
            <w:pPr>
              <w:spacing w:after="0"/>
              <w:rPr>
                <w:sz w:val="6"/>
                <w:szCs w:val="6"/>
                <w:color w:val="auto"/>
              </w:rPr>
            </w:pPr>
          </w:p>
        </w:tc>
        <w:tc>
          <w:tcPr>
            <w:tcW w:w="120" w:type="dxa"/>
            <w:vAlign w:val="bottom"/>
            <w:shd w:val="clear" w:color="auto" w:fill="B2B2B2"/>
          </w:tcPr>
          <w:p>
            <w:pPr>
              <w:spacing w:after="0"/>
              <w:rPr>
                <w:sz w:val="6"/>
                <w:szCs w:val="6"/>
                <w:color w:val="auto"/>
              </w:rPr>
            </w:pPr>
          </w:p>
        </w:tc>
        <w:tc>
          <w:tcPr>
            <w:tcW w:w="3860" w:type="dxa"/>
            <w:vAlign w:val="bottom"/>
            <w:shd w:val="clear" w:color="auto" w:fill="B2B2B2"/>
          </w:tcPr>
          <w:p>
            <w:pPr>
              <w:spacing w:after="0"/>
              <w:rPr>
                <w:sz w:val="6"/>
                <w:szCs w:val="6"/>
                <w:color w:val="auto"/>
              </w:rPr>
            </w:pPr>
          </w:p>
        </w:tc>
      </w:tr>
    </w:tbl>
    <w:p>
      <w:pPr>
        <w:spacing w:after="0" w:line="211" w:lineRule="exact"/>
        <w:rPr>
          <w:sz w:val="20"/>
          <w:szCs w:val="20"/>
          <w:color w:val="auto"/>
        </w:rPr>
      </w:pPr>
    </w:p>
    <w:p>
      <w:pPr>
        <w:ind w:left="1260" w:right="1059" w:firstLine="648"/>
        <w:spacing w:after="0" w:line="287" w:lineRule="auto"/>
        <w:rPr>
          <w:sz w:val="20"/>
          <w:szCs w:val="20"/>
          <w:color w:val="auto"/>
        </w:rPr>
      </w:pPr>
      <w:r>
        <w:rPr>
          <w:rFonts w:ascii="Arial" w:cs="Arial" w:eastAsia="Arial" w:hAnsi="Arial"/>
          <w:sz w:val="18"/>
          <w:szCs w:val="18"/>
          <w:color w:val="auto"/>
        </w:rPr>
        <w:t>The table below sets forth the performance goal levels, as well as actual results, for each performance measure described above:</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Performance</w:t>
            </w: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97"/>
              </w:rPr>
              <w:t>Threshold</w:t>
            </w:r>
          </w:p>
        </w:tc>
        <w:tc>
          <w:tcPr>
            <w:tcW w:w="22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Target</w:t>
            </w:r>
          </w:p>
        </w:tc>
        <w:tc>
          <w:tcPr>
            <w:tcW w:w="240" w:type="dxa"/>
            <w:vAlign w:val="bottom"/>
            <w:vMerge w:val="restart"/>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95"/>
              </w:rPr>
              <w:t>Maximum</w:t>
            </w:r>
          </w:p>
        </w:tc>
        <w:tc>
          <w:tcPr>
            <w:tcW w:w="22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202"/>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Measures</w:t>
            </w:r>
          </w:p>
        </w:tc>
        <w:tc>
          <w:tcPr>
            <w:tcW w:w="4480" w:type="dxa"/>
            <w:vAlign w:val="bottom"/>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Results</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B2B2B2"/>
          </w:tcPr>
          <w:p>
            <w:pPr>
              <w:spacing w:after="0"/>
              <w:rPr>
                <w:sz w:val="20"/>
                <w:szCs w:val="20"/>
                <w:color w:val="auto"/>
              </w:rPr>
            </w:pPr>
            <w:r>
              <w:rPr>
                <w:rFonts w:ascii="Arial" w:cs="Arial" w:eastAsia="Arial" w:hAnsi="Arial"/>
                <w:sz w:val="14"/>
                <w:szCs w:val="14"/>
                <w:color w:val="auto"/>
              </w:rPr>
              <w:t>Consolidated AFFO</w:t>
            </w:r>
          </w:p>
        </w:tc>
        <w:tc>
          <w:tcPr>
            <w:tcW w:w="680" w:type="dxa"/>
            <w:vAlign w:val="bottom"/>
            <w:shd w:val="clear" w:color="auto" w:fill="B2B2B2"/>
          </w:tcPr>
          <w:p>
            <w:pPr>
              <w:jc w:val="center"/>
              <w:spacing w:after="0"/>
              <w:rPr>
                <w:sz w:val="20"/>
                <w:szCs w:val="20"/>
                <w:color w:val="auto"/>
              </w:rPr>
            </w:pPr>
            <w:r>
              <w:rPr>
                <w:rFonts w:ascii="Arial" w:cs="Arial" w:eastAsia="Arial" w:hAnsi="Arial"/>
                <w:sz w:val="14"/>
                <w:szCs w:val="14"/>
                <w:color w:val="auto"/>
                <w:w w:val="99"/>
              </w:rPr>
              <w:t>$368.0M</w:t>
            </w:r>
          </w:p>
        </w:tc>
        <w:tc>
          <w:tcPr>
            <w:tcW w:w="1000" w:type="dxa"/>
            <w:vAlign w:val="bottom"/>
            <w:gridSpan w:val="3"/>
            <w:shd w:val="clear" w:color="auto" w:fill="B2B2B2"/>
          </w:tcPr>
          <w:p>
            <w:pPr>
              <w:jc w:val="center"/>
              <w:ind w:right="20"/>
              <w:spacing w:after="0"/>
              <w:rPr>
                <w:sz w:val="20"/>
                <w:szCs w:val="20"/>
                <w:color w:val="auto"/>
              </w:rPr>
            </w:pPr>
            <w:r>
              <w:rPr>
                <w:rFonts w:ascii="Arial" w:cs="Arial" w:eastAsia="Arial" w:hAnsi="Arial"/>
                <w:sz w:val="14"/>
                <w:szCs w:val="14"/>
                <w:color w:val="auto"/>
                <w:w w:val="99"/>
              </w:rPr>
              <w:t>$373.0M</w:t>
            </w:r>
          </w:p>
        </w:tc>
        <w:tc>
          <w:tcPr>
            <w:tcW w:w="640" w:type="dxa"/>
            <w:vAlign w:val="bottom"/>
            <w:shd w:val="clear" w:color="auto" w:fill="B2B2B2"/>
          </w:tcPr>
          <w:p>
            <w:pPr>
              <w:jc w:val="center"/>
              <w:spacing w:after="0"/>
              <w:rPr>
                <w:sz w:val="20"/>
                <w:szCs w:val="20"/>
                <w:color w:val="auto"/>
              </w:rPr>
            </w:pPr>
            <w:r>
              <w:rPr>
                <w:rFonts w:ascii="Arial" w:cs="Arial" w:eastAsia="Arial" w:hAnsi="Arial"/>
                <w:sz w:val="14"/>
                <w:szCs w:val="14"/>
                <w:color w:val="auto"/>
                <w:w w:val="99"/>
              </w:rPr>
              <w:t>$378.0M</w:t>
            </w:r>
          </w:p>
        </w:tc>
        <w:tc>
          <w:tcPr>
            <w:tcW w:w="760" w:type="dxa"/>
            <w:vAlign w:val="bottom"/>
            <w:gridSpan w:val="2"/>
            <w:shd w:val="clear" w:color="auto" w:fill="B2B2B2"/>
          </w:tcPr>
          <w:p>
            <w:pPr>
              <w:jc w:val="center"/>
              <w:ind w:left="149"/>
              <w:spacing w:after="0"/>
              <w:rPr>
                <w:sz w:val="20"/>
                <w:szCs w:val="20"/>
                <w:color w:val="auto"/>
              </w:rPr>
            </w:pPr>
            <w:r>
              <w:rPr>
                <w:rFonts w:ascii="Arial" w:cs="Arial" w:eastAsia="Arial" w:hAnsi="Arial"/>
                <w:sz w:val="14"/>
                <w:szCs w:val="14"/>
                <w:color w:val="auto"/>
                <w:w w:val="99"/>
              </w:rPr>
              <w:t>$379.4M</w:t>
            </w:r>
          </w:p>
        </w:tc>
        <w:tc>
          <w:tcPr>
            <w:tcW w:w="0" w:type="dxa"/>
            <w:vAlign w:val="bottom"/>
          </w:tcPr>
          <w:p>
            <w:pPr>
              <w:spacing w:after="0"/>
              <w:rPr>
                <w:sz w:val="1"/>
                <w:szCs w:val="1"/>
                <w:color w:val="auto"/>
              </w:rPr>
            </w:pPr>
          </w:p>
        </w:tc>
      </w:tr>
      <w:tr>
        <w:trPr>
          <w:trHeight w:val="222"/>
        </w:trPr>
        <w:tc>
          <w:tcPr>
            <w:tcW w:w="5120" w:type="dxa"/>
            <w:vAlign w:val="bottom"/>
            <w:gridSpan w:val="2"/>
          </w:tcPr>
          <w:p>
            <w:pPr>
              <w:spacing w:after="0"/>
              <w:rPr>
                <w:sz w:val="20"/>
                <w:szCs w:val="20"/>
                <w:color w:val="auto"/>
              </w:rPr>
            </w:pPr>
            <w:r>
              <w:rPr>
                <w:rFonts w:ascii="Arial" w:cs="Arial" w:eastAsia="Arial" w:hAnsi="Arial"/>
                <w:sz w:val="14"/>
                <w:szCs w:val="14"/>
                <w:color w:val="auto"/>
              </w:rPr>
              <w:t>Consolidated Bookings</w:t>
            </w: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$3.1M</w:t>
            </w:r>
          </w:p>
        </w:tc>
        <w:tc>
          <w:tcPr>
            <w:tcW w:w="220" w:type="dxa"/>
            <w:vAlign w:val="bottom"/>
          </w:tcPr>
          <w:p>
            <w:pPr>
              <w:spacing w:after="0"/>
              <w:rPr>
                <w:sz w:val="19"/>
                <w:szCs w:val="19"/>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$3.6M</w:t>
            </w:r>
          </w:p>
        </w:tc>
        <w:tc>
          <w:tcPr>
            <w:tcW w:w="640" w:type="dxa"/>
            <w:vAlign w:val="bottom"/>
          </w:tcPr>
          <w:p>
            <w:pPr>
              <w:jc w:val="center"/>
              <w:spacing w:after="0"/>
              <w:rPr>
                <w:sz w:val="20"/>
                <w:szCs w:val="20"/>
                <w:color w:val="auto"/>
              </w:rPr>
            </w:pPr>
            <w:r>
              <w:rPr>
                <w:rFonts w:ascii="Arial" w:cs="Arial" w:eastAsia="Arial" w:hAnsi="Arial"/>
                <w:sz w:val="14"/>
                <w:szCs w:val="14"/>
                <w:color w:val="auto"/>
                <w:w w:val="97"/>
              </w:rPr>
              <w:t>$3.9M</w:t>
            </w:r>
          </w:p>
        </w:tc>
        <w:tc>
          <w:tcPr>
            <w:tcW w:w="22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97"/>
              </w:rPr>
              <w:t>$3.2M</w:t>
            </w: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20" w:type="dxa"/>
            <w:vAlign w:val="bottom"/>
            <w:gridSpan w:val="2"/>
            <w:shd w:val="clear" w:color="auto" w:fill="B2B2B2"/>
          </w:tcPr>
          <w:p>
            <w:pPr>
              <w:spacing w:after="0"/>
              <w:rPr>
                <w:sz w:val="20"/>
                <w:szCs w:val="20"/>
                <w:color w:val="auto"/>
              </w:rPr>
            </w:pPr>
            <w:r>
              <w:rPr>
                <w:rFonts w:ascii="Arial" w:cs="Arial" w:eastAsia="Arial" w:hAnsi="Arial"/>
                <w:sz w:val="14"/>
                <w:szCs w:val="14"/>
                <w:color w:val="auto"/>
              </w:rPr>
              <w:t>On-Time Delivery</w:t>
            </w:r>
          </w:p>
        </w:tc>
        <w:tc>
          <w:tcPr>
            <w:tcW w:w="680" w:type="dxa"/>
            <w:vAlign w:val="bottom"/>
            <w:shd w:val="clear" w:color="auto" w:fill="B2B2B2"/>
          </w:tcPr>
          <w:p>
            <w:pPr>
              <w:jc w:val="center"/>
              <w:spacing w:after="0"/>
              <w:rPr>
                <w:sz w:val="20"/>
                <w:szCs w:val="20"/>
                <w:color w:val="auto"/>
              </w:rPr>
            </w:pPr>
            <w:r>
              <w:rPr>
                <w:rFonts w:ascii="Arial" w:cs="Arial" w:eastAsia="Arial" w:hAnsi="Arial"/>
                <w:sz w:val="14"/>
                <w:szCs w:val="14"/>
                <w:color w:val="auto"/>
              </w:rPr>
              <w:t>85.0%</w:t>
            </w:r>
          </w:p>
        </w:tc>
        <w:tc>
          <w:tcPr>
            <w:tcW w:w="760" w:type="dxa"/>
            <w:vAlign w:val="bottom"/>
            <w:gridSpan w:val="2"/>
            <w:shd w:val="clear" w:color="auto" w:fill="B2B2B2"/>
          </w:tcPr>
          <w:p>
            <w:pPr>
              <w:jc w:val="center"/>
              <w:ind w:left="169"/>
              <w:spacing w:after="0"/>
              <w:rPr>
                <w:sz w:val="20"/>
                <w:szCs w:val="20"/>
                <w:color w:val="auto"/>
              </w:rPr>
            </w:pPr>
            <w:r>
              <w:rPr>
                <w:rFonts w:ascii="Arial" w:cs="Arial" w:eastAsia="Arial" w:hAnsi="Arial"/>
                <w:sz w:val="14"/>
                <w:szCs w:val="14"/>
                <w:color w:val="auto"/>
              </w:rPr>
              <w:t>90.0%</w:t>
            </w:r>
          </w:p>
        </w:tc>
        <w:tc>
          <w:tcPr>
            <w:tcW w:w="240" w:type="dxa"/>
            <w:vAlign w:val="bottom"/>
            <w:shd w:val="clear" w:color="auto" w:fill="B2B2B2"/>
          </w:tcPr>
          <w:p>
            <w:pPr>
              <w:spacing w:after="0"/>
              <w:rPr>
                <w:sz w:val="19"/>
                <w:szCs w:val="19"/>
                <w:color w:val="auto"/>
              </w:rPr>
            </w:pPr>
          </w:p>
        </w:tc>
        <w:tc>
          <w:tcPr>
            <w:tcW w:w="640" w:type="dxa"/>
            <w:vAlign w:val="bottom"/>
            <w:shd w:val="clear" w:color="auto" w:fill="B2B2B2"/>
          </w:tcPr>
          <w:p>
            <w:pPr>
              <w:jc w:val="center"/>
              <w:spacing w:after="0"/>
              <w:rPr>
                <w:sz w:val="20"/>
                <w:szCs w:val="20"/>
                <w:color w:val="auto"/>
              </w:rPr>
            </w:pPr>
            <w:r>
              <w:rPr>
                <w:rFonts w:ascii="Arial" w:cs="Arial" w:eastAsia="Arial" w:hAnsi="Arial"/>
                <w:sz w:val="14"/>
                <w:szCs w:val="14"/>
                <w:color w:val="auto"/>
              </w:rPr>
              <w:t>95.0%</w:t>
            </w:r>
          </w:p>
        </w:tc>
        <w:tc>
          <w:tcPr>
            <w:tcW w:w="760" w:type="dxa"/>
            <w:vAlign w:val="bottom"/>
            <w:gridSpan w:val="2"/>
            <w:shd w:val="clear" w:color="auto" w:fill="B2B2B2"/>
          </w:tcPr>
          <w:p>
            <w:pPr>
              <w:jc w:val="center"/>
              <w:ind w:left="169"/>
              <w:spacing w:after="0"/>
              <w:rPr>
                <w:sz w:val="20"/>
                <w:szCs w:val="20"/>
                <w:color w:val="auto"/>
              </w:rPr>
            </w:pPr>
            <w:r>
              <w:rPr>
                <w:rFonts w:ascii="Arial" w:cs="Arial" w:eastAsia="Arial" w:hAnsi="Arial"/>
                <w:sz w:val="14"/>
                <w:szCs w:val="14"/>
                <w:color w:val="auto"/>
                <w:w w:val="99"/>
              </w:rPr>
              <w:t>96%</w:t>
            </w:r>
          </w:p>
        </w:tc>
        <w:tc>
          <w:tcPr>
            <w:tcW w:w="0" w:type="dxa"/>
            <w:vAlign w:val="bottom"/>
          </w:tcPr>
          <w:p>
            <w:pPr>
              <w:spacing w:after="0"/>
              <w:rPr>
                <w:sz w:val="1"/>
                <w:szCs w:val="1"/>
                <w:color w:val="auto"/>
              </w:rPr>
            </w:pPr>
          </w:p>
        </w:tc>
      </w:tr>
      <w:tr>
        <w:trPr>
          <w:trHeight w:val="89"/>
        </w:trPr>
        <w:tc>
          <w:tcPr>
            <w:tcW w:w="640" w:type="dxa"/>
            <w:vAlign w:val="bottom"/>
            <w:shd w:val="clear" w:color="auto" w:fill="B2B2B2"/>
          </w:tcPr>
          <w:p>
            <w:pPr>
              <w:spacing w:after="0"/>
              <w:rPr>
                <w:sz w:val="7"/>
                <w:szCs w:val="7"/>
                <w:color w:val="auto"/>
              </w:rPr>
            </w:pPr>
          </w:p>
        </w:tc>
        <w:tc>
          <w:tcPr>
            <w:tcW w:w="4480" w:type="dxa"/>
            <w:vAlign w:val="bottom"/>
            <w:shd w:val="clear" w:color="auto" w:fill="B2B2B2"/>
          </w:tcPr>
          <w:p>
            <w:pPr>
              <w:spacing w:after="0"/>
              <w:rPr>
                <w:sz w:val="7"/>
                <w:szCs w:val="7"/>
                <w:color w:val="auto"/>
              </w:rPr>
            </w:pPr>
          </w:p>
        </w:tc>
        <w:tc>
          <w:tcPr>
            <w:tcW w:w="680" w:type="dxa"/>
            <w:vAlign w:val="bottom"/>
            <w:shd w:val="clear" w:color="auto" w:fill="B2B2B2"/>
          </w:tcPr>
          <w:p>
            <w:pPr>
              <w:spacing w:after="0"/>
              <w:rPr>
                <w:sz w:val="7"/>
                <w:szCs w:val="7"/>
                <w:color w:val="auto"/>
              </w:rPr>
            </w:pPr>
          </w:p>
        </w:tc>
        <w:tc>
          <w:tcPr>
            <w:tcW w:w="220" w:type="dxa"/>
            <w:vAlign w:val="bottom"/>
            <w:shd w:val="clear" w:color="auto" w:fill="B2B2B2"/>
          </w:tcPr>
          <w:p>
            <w:pPr>
              <w:spacing w:after="0"/>
              <w:rPr>
                <w:sz w:val="7"/>
                <w:szCs w:val="7"/>
                <w:color w:val="auto"/>
              </w:rPr>
            </w:pPr>
          </w:p>
        </w:tc>
        <w:tc>
          <w:tcPr>
            <w:tcW w:w="540" w:type="dxa"/>
            <w:vAlign w:val="bottom"/>
            <w:shd w:val="clear" w:color="auto" w:fill="B2B2B2"/>
          </w:tcPr>
          <w:p>
            <w:pPr>
              <w:spacing w:after="0"/>
              <w:rPr>
                <w:sz w:val="7"/>
                <w:szCs w:val="7"/>
                <w:color w:val="auto"/>
              </w:rPr>
            </w:pPr>
          </w:p>
        </w:tc>
        <w:tc>
          <w:tcPr>
            <w:tcW w:w="240" w:type="dxa"/>
            <w:vAlign w:val="bottom"/>
            <w:shd w:val="clear" w:color="auto" w:fill="B2B2B2"/>
          </w:tcPr>
          <w:p>
            <w:pPr>
              <w:spacing w:after="0"/>
              <w:rPr>
                <w:sz w:val="7"/>
                <w:szCs w:val="7"/>
                <w:color w:val="auto"/>
              </w:rPr>
            </w:pPr>
          </w:p>
        </w:tc>
        <w:tc>
          <w:tcPr>
            <w:tcW w:w="640" w:type="dxa"/>
            <w:vAlign w:val="bottom"/>
            <w:shd w:val="clear" w:color="auto" w:fill="B2B2B2"/>
          </w:tcPr>
          <w:p>
            <w:pPr>
              <w:spacing w:after="0"/>
              <w:rPr>
                <w:sz w:val="7"/>
                <w:szCs w:val="7"/>
                <w:color w:val="auto"/>
              </w:rPr>
            </w:pPr>
          </w:p>
        </w:tc>
        <w:tc>
          <w:tcPr>
            <w:tcW w:w="220" w:type="dxa"/>
            <w:vAlign w:val="bottom"/>
            <w:shd w:val="clear" w:color="auto" w:fill="B2B2B2"/>
          </w:tcPr>
          <w:p>
            <w:pPr>
              <w:spacing w:after="0"/>
              <w:rPr>
                <w:sz w:val="7"/>
                <w:szCs w:val="7"/>
                <w:color w:val="auto"/>
              </w:rPr>
            </w:pPr>
          </w:p>
        </w:tc>
        <w:tc>
          <w:tcPr>
            <w:tcW w:w="540" w:type="dxa"/>
            <w:vAlign w:val="bottom"/>
            <w:shd w:val="clear" w:color="auto" w:fill="B2B2B2"/>
          </w:tcPr>
          <w:p>
            <w:pPr>
              <w:spacing w:after="0"/>
              <w:rPr>
                <w:sz w:val="7"/>
                <w:szCs w:val="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60" w:right="559" w:firstLine="648"/>
        <w:spacing w:after="0" w:line="259" w:lineRule="auto"/>
        <w:rPr>
          <w:sz w:val="20"/>
          <w:szCs w:val="20"/>
          <w:color w:val="auto"/>
        </w:rPr>
      </w:pPr>
      <w:r>
        <w:rPr>
          <w:rFonts w:ascii="Arial" w:cs="Arial" w:eastAsia="Arial" w:hAnsi="Arial"/>
          <w:sz w:val="18"/>
          <w:szCs w:val="18"/>
          <w:i w:val="1"/>
          <w:iCs w:val="1"/>
          <w:color w:val="00ABD1"/>
        </w:rPr>
        <w:t xml:space="preserve">2025 Payouts. </w:t>
      </w:r>
      <w:r>
        <w:rPr>
          <w:rFonts w:ascii="Arial" w:cs="Arial" w:eastAsia="Arial" w:hAnsi="Arial"/>
          <w:sz w:val="18"/>
          <w:szCs w:val="18"/>
          <w:color w:val="000000"/>
        </w:rPr>
        <w:t>For 2025, each NEO earned a performance-based cash award based on the</w:t>
      </w:r>
      <w:r>
        <w:rPr>
          <w:rFonts w:ascii="Arial" w:cs="Arial" w:eastAsia="Arial" w:hAnsi="Arial"/>
          <w:sz w:val="18"/>
          <w:szCs w:val="18"/>
          <w:i w:val="1"/>
          <w:iCs w:val="1"/>
          <w:color w:val="00ABD1"/>
        </w:rPr>
        <w:t xml:space="preserve"> </w:t>
      </w:r>
      <w:r>
        <w:rPr>
          <w:rFonts w:ascii="Arial" w:cs="Arial" w:eastAsia="Arial" w:hAnsi="Arial"/>
          <w:sz w:val="18"/>
          <w:szCs w:val="18"/>
          <w:color w:val="000000"/>
        </w:rPr>
        <w:t>weighted achievement of corporate financial measures. As reflected in the table above, the Company exceeded the maximum performance goal for Consolidated AFFO and On-Time Delivery and exceeded the threshold performance goal for Consolidated Bookings. Based on such performance, the following table shows the payouts to the NEOs under the 2025 STIP:</w:t>
      </w:r>
    </w:p>
    <w:p>
      <w:pPr>
        <w:spacing w:after="0" w:line="215" w:lineRule="exact"/>
        <w:rPr>
          <w:sz w:val="20"/>
          <w:szCs w:val="20"/>
          <w:color w:val="auto"/>
        </w:rPr>
      </w:pPr>
    </w:p>
    <w:tbl>
      <w:tblPr>
        <w:tblLayout w:type="fixed"/>
        <w:tblInd w:w="282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5"/>
              </w:rPr>
              <w:t>% of Target</w:t>
            </w:r>
          </w:p>
        </w:tc>
        <w:tc>
          <w:tcPr>
            <w:tcW w:w="40" w:type="dxa"/>
            <w:vAlign w:val="bottom"/>
          </w:tcPr>
          <w:p>
            <w:pPr>
              <w:spacing w:after="0"/>
              <w:rPr>
                <w:sz w:val="18"/>
                <w:szCs w:val="18"/>
                <w:color w:val="auto"/>
              </w:rPr>
            </w:pPr>
          </w:p>
        </w:tc>
      </w:tr>
      <w:tr>
        <w:trPr>
          <w:trHeight w:val="203"/>
        </w:trPr>
        <w:tc>
          <w:tcPr>
            <w:tcW w:w="5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Cash Incentive</w:t>
            </w:r>
          </w:p>
        </w:tc>
        <w:tc>
          <w:tcPr>
            <w:tcW w:w="40" w:type="dxa"/>
            <w:vAlign w:val="bottom"/>
          </w:tcPr>
          <w:p>
            <w:pPr>
              <w:spacing w:after="0"/>
              <w:rPr>
                <w:sz w:val="17"/>
                <w:szCs w:val="17"/>
                <w:color w:val="auto"/>
              </w:rPr>
            </w:pPr>
          </w:p>
        </w:tc>
      </w:tr>
      <w:tr>
        <w:trPr>
          <w:trHeight w:val="203"/>
        </w:trPr>
        <w:tc>
          <w:tcPr>
            <w:tcW w:w="5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Opportunity</w:t>
            </w:r>
          </w:p>
        </w:tc>
        <w:tc>
          <w:tcPr>
            <w:tcW w:w="40" w:type="dxa"/>
            <w:vAlign w:val="bottom"/>
          </w:tcPr>
          <w:p>
            <w:pPr>
              <w:spacing w:after="0"/>
              <w:rPr>
                <w:sz w:val="17"/>
                <w:szCs w:val="17"/>
                <w:color w:val="auto"/>
              </w:rPr>
            </w:pPr>
          </w:p>
        </w:tc>
      </w:tr>
      <w:tr>
        <w:trPr>
          <w:trHeight w:val="235"/>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Name</w:t>
            </w:r>
          </w:p>
        </w:tc>
        <w:tc>
          <w:tcPr>
            <w:tcW w:w="1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Payout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Amount</w:t>
            </w:r>
          </w:p>
        </w:tc>
        <w:tc>
          <w:tcPr>
            <w:tcW w:w="40" w:type="dxa"/>
            <w:vAlign w:val="bottom"/>
          </w:tcPr>
          <w:p>
            <w:pPr>
              <w:spacing w:after="0"/>
              <w:rPr>
                <w:sz w:val="20"/>
                <w:szCs w:val="20"/>
                <w:color w:val="auto"/>
              </w:rPr>
            </w:pPr>
          </w:p>
        </w:tc>
      </w:tr>
      <w:tr>
        <w:trPr>
          <w:trHeight w:val="250"/>
        </w:trPr>
        <w:tc>
          <w:tcPr>
            <w:tcW w:w="22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Kenneth A. Gunderman</w:t>
            </w:r>
          </w:p>
        </w:tc>
        <w:tc>
          <w:tcPr>
            <w:tcW w:w="1420" w:type="dxa"/>
            <w:vAlign w:val="bottom"/>
            <w:gridSpan w:val="4"/>
            <w:shd w:val="clear" w:color="auto" w:fill="B2B2B2"/>
          </w:tcPr>
          <w:p>
            <w:pPr>
              <w:jc w:val="right"/>
              <w:ind w:right="100"/>
              <w:spacing w:after="0"/>
              <w:rPr>
                <w:sz w:val="20"/>
                <w:szCs w:val="20"/>
                <w:color w:val="auto"/>
              </w:rPr>
            </w:pPr>
            <w:r>
              <w:rPr>
                <w:rFonts w:ascii="Arial" w:cs="Arial" w:eastAsia="Arial" w:hAnsi="Arial"/>
                <w:sz w:val="18"/>
                <w:szCs w:val="18"/>
                <w:color w:val="auto"/>
              </w:rPr>
              <w:t>​$2,158,514</w:t>
            </w:r>
          </w:p>
        </w:tc>
        <w:tc>
          <w:tcPr>
            <w:tcW w:w="120" w:type="dxa"/>
            <w:vAlign w:val="bottom"/>
            <w:shd w:val="clear" w:color="auto" w:fill="B2B2B2"/>
          </w:tcPr>
          <w:p>
            <w:pPr>
              <w:spacing w:after="0"/>
              <w:rPr>
                <w:sz w:val="21"/>
                <w:szCs w:val="21"/>
                <w:color w:val="auto"/>
              </w:rPr>
            </w:pPr>
          </w:p>
        </w:tc>
        <w:tc>
          <w:tcPr>
            <w:tcW w:w="1280" w:type="dxa"/>
            <w:vAlign w:val="bottom"/>
            <w:tcBorders>
              <w:right w:val="single" w:sz="8" w:color="B2B2B2"/>
            </w:tcBorders>
            <w:shd w:val="clear" w:color="auto" w:fill="B2B2B2"/>
          </w:tcPr>
          <w:p>
            <w:pPr>
              <w:ind w:left="480"/>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Paul Bullington</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599,687</w:t>
            </w:r>
          </w:p>
        </w:tc>
        <w:tc>
          <w:tcPr>
            <w:tcW w:w="120" w:type="dxa"/>
            <w:vAlign w:val="bottom"/>
          </w:tcPr>
          <w:p>
            <w:pPr>
              <w:spacing w:after="0"/>
              <w:rPr>
                <w:sz w:val="23"/>
                <w:szCs w:val="23"/>
                <w:color w:val="auto"/>
              </w:rPr>
            </w:pPr>
          </w:p>
        </w:tc>
        <w:tc>
          <w:tcPr>
            <w:tcW w:w="1280" w:type="dxa"/>
            <w:vAlign w:val="bottom"/>
          </w:tcPr>
          <w:p>
            <w:pPr>
              <w:ind w:left="480"/>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2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John Harrobin</w:t>
            </w:r>
          </w:p>
        </w:tc>
        <w:tc>
          <w:tcPr>
            <w:tcW w:w="1420" w:type="dxa"/>
            <w:vAlign w:val="bottom"/>
            <w:gridSpan w:val="4"/>
            <w:shd w:val="clear" w:color="auto" w:fill="B2B2B2"/>
          </w:tcPr>
          <w:p>
            <w:pPr>
              <w:jc w:val="right"/>
              <w:ind w:right="100"/>
              <w:spacing w:after="0"/>
              <w:rPr>
                <w:sz w:val="20"/>
                <w:szCs w:val="20"/>
                <w:color w:val="auto"/>
              </w:rPr>
            </w:pPr>
            <w:r>
              <w:rPr>
                <w:rFonts w:ascii="Arial" w:cs="Arial" w:eastAsia="Arial" w:hAnsi="Arial"/>
                <w:sz w:val="18"/>
                <w:szCs w:val="18"/>
                <w:color w:val="auto"/>
              </w:rPr>
              <w:t>​$1,984,841</w:t>
            </w:r>
          </w:p>
        </w:tc>
        <w:tc>
          <w:tcPr>
            <w:tcW w:w="120" w:type="dxa"/>
            <w:vAlign w:val="bottom"/>
            <w:shd w:val="clear" w:color="auto" w:fill="B2B2B2"/>
          </w:tcPr>
          <w:p>
            <w:pPr>
              <w:spacing w:after="0"/>
              <w:rPr>
                <w:sz w:val="23"/>
                <w:szCs w:val="23"/>
                <w:color w:val="auto"/>
              </w:rPr>
            </w:pPr>
          </w:p>
        </w:tc>
        <w:tc>
          <w:tcPr>
            <w:tcW w:w="1280" w:type="dxa"/>
            <w:vAlign w:val="bottom"/>
            <w:tcBorders>
              <w:right w:val="single" w:sz="8" w:color="B2B2B2"/>
            </w:tcBorders>
            <w:shd w:val="clear" w:color="auto" w:fill="B2B2B2"/>
          </w:tcPr>
          <w:p>
            <w:pPr>
              <w:ind w:left="480"/>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Daniel L. Heard</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575,604</w:t>
            </w:r>
          </w:p>
        </w:tc>
        <w:tc>
          <w:tcPr>
            <w:tcW w:w="120" w:type="dxa"/>
            <w:vAlign w:val="bottom"/>
          </w:tcPr>
          <w:p>
            <w:pPr>
              <w:spacing w:after="0"/>
              <w:rPr>
                <w:sz w:val="23"/>
                <w:szCs w:val="23"/>
                <w:color w:val="auto"/>
              </w:rPr>
            </w:pPr>
          </w:p>
        </w:tc>
        <w:tc>
          <w:tcPr>
            <w:tcW w:w="1280" w:type="dxa"/>
            <w:vAlign w:val="bottom"/>
          </w:tcPr>
          <w:p>
            <w:pPr>
              <w:ind w:left="480"/>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43"/>
        </w:trPr>
        <w:tc>
          <w:tcPr>
            <w:tcW w:w="22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Michael Friloux</w:t>
            </w:r>
          </w:p>
        </w:tc>
        <w:tc>
          <w:tcPr>
            <w:tcW w:w="520" w:type="dxa"/>
            <w:vAlign w:val="bottom"/>
            <w:gridSpan w:val="2"/>
            <w:shd w:val="clear" w:color="auto" w:fill="B2B2B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456,239</w:t>
            </w:r>
          </w:p>
        </w:tc>
        <w:tc>
          <w:tcPr>
            <w:tcW w:w="120" w:type="dxa"/>
            <w:vAlign w:val="bottom"/>
            <w:shd w:val="clear" w:color="auto" w:fill="B2B2B2"/>
          </w:tcPr>
          <w:p>
            <w:pPr>
              <w:spacing w:after="0"/>
              <w:rPr>
                <w:sz w:val="21"/>
                <w:szCs w:val="21"/>
                <w:color w:val="auto"/>
              </w:rPr>
            </w:pPr>
          </w:p>
        </w:tc>
        <w:tc>
          <w:tcPr>
            <w:tcW w:w="1280" w:type="dxa"/>
            <w:vAlign w:val="bottom"/>
            <w:tcBorders>
              <w:right w:val="single" w:sz="8" w:color="B2B2B2"/>
            </w:tcBorders>
            <w:shd w:val="clear" w:color="auto" w:fill="B2B2B2"/>
          </w:tcPr>
          <w:p>
            <w:pPr>
              <w:ind w:left="480"/>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20"/>
                <w:szCs w:val="20"/>
                <w:color w:val="auto"/>
              </w:rPr>
            </w:pPr>
            <w:r>
              <w:rPr>
                <w:rFonts w:ascii="Arial" w:cs="Arial" w:eastAsia="Arial" w:hAnsi="Arial"/>
                <w:sz w:val="18"/>
                <w:szCs w:val="18"/>
                <w:color w:val="auto"/>
              </w:rPr>
              <w:t>​</w:t>
            </w:r>
          </w:p>
        </w:tc>
      </w:tr>
    </w:tbl>
    <w:p>
      <w:pPr>
        <w:spacing w:after="0" w:line="197" w:lineRule="exact"/>
        <w:rPr>
          <w:sz w:val="20"/>
          <w:szCs w:val="20"/>
          <w:color w:val="auto"/>
        </w:rPr>
      </w:pPr>
    </w:p>
    <w:p>
      <w:pPr>
        <w:ind w:left="1260" w:right="439" w:firstLine="648"/>
        <w:spacing w:after="0" w:line="255" w:lineRule="auto"/>
        <w:rPr>
          <w:sz w:val="20"/>
          <w:szCs w:val="20"/>
          <w:color w:val="auto"/>
        </w:rPr>
      </w:pPr>
      <w:r>
        <w:rPr>
          <w:rFonts w:ascii="Arial" w:cs="Arial" w:eastAsia="Arial" w:hAnsi="Arial"/>
          <w:sz w:val="18"/>
          <w:szCs w:val="18"/>
          <w:i w:val="1"/>
          <w:iCs w:val="1"/>
          <w:color w:val="00ABD1"/>
        </w:rPr>
        <w:t xml:space="preserve">Equity-Based Compensation. </w:t>
      </w:r>
      <w:r>
        <w:rPr>
          <w:rFonts w:ascii="Arial" w:cs="Arial" w:eastAsia="Arial" w:hAnsi="Arial"/>
          <w:sz w:val="18"/>
          <w:szCs w:val="18"/>
          <w:color w:val="000000"/>
        </w:rPr>
        <w:t>Prior to the Merger, Old Uniti maintained the 2015 Plan, which</w:t>
      </w:r>
      <w:r>
        <w:rPr>
          <w:rFonts w:ascii="Arial" w:cs="Arial" w:eastAsia="Arial" w:hAnsi="Arial"/>
          <w:sz w:val="18"/>
          <w:szCs w:val="18"/>
          <w:i w:val="1"/>
          <w:iCs w:val="1"/>
          <w:color w:val="00ABD1"/>
        </w:rPr>
        <w:t xml:space="preserve"> </w:t>
      </w:r>
      <w:r>
        <w:rPr>
          <w:rFonts w:ascii="Arial" w:cs="Arial" w:eastAsia="Arial" w:hAnsi="Arial"/>
          <w:sz w:val="18"/>
          <w:szCs w:val="18"/>
          <w:color w:val="000000"/>
        </w:rPr>
        <w:t>allowed it to make equity grants to its employees, including its executive officers. In connection with the Merger, all equity awards outstanding under the 2015 Plan were assumed by the Company and remain subject to the same terms and conditions (including any vesting, forfeiture and dividend equivalent terms) as were applicable to such award prior to closing of the Merger, but were converted into an award with respect to 0.6029 shares of the Company’s common stock (rounded up or down to the nearest whole share) for each share of Old Uniti common stock subject to the assumed award pursuant to the Exchange Ratio. All assumed awards reported in this Proxy Statement have been retrospectively adjusted to reflect the Exchange Ratio and are reported on an as-converted basis.</w:t>
      </w:r>
    </w:p>
    <w:p>
      <w:pPr>
        <w:spacing w:after="0" w:line="181" w:lineRule="exact"/>
        <w:rPr>
          <w:sz w:val="20"/>
          <w:szCs w:val="20"/>
          <w:color w:val="auto"/>
        </w:rPr>
      </w:pPr>
    </w:p>
    <w:p>
      <w:pPr>
        <w:ind w:left="1260" w:right="419" w:firstLine="648"/>
        <w:spacing w:after="0" w:line="271" w:lineRule="auto"/>
        <w:rPr>
          <w:sz w:val="20"/>
          <w:szCs w:val="20"/>
          <w:color w:val="auto"/>
        </w:rPr>
      </w:pPr>
      <w:r>
        <w:rPr>
          <w:rFonts w:ascii="Arial" w:cs="Arial" w:eastAsia="Arial" w:hAnsi="Arial"/>
          <w:sz w:val="17"/>
          <w:szCs w:val="17"/>
          <w:color w:val="auto"/>
        </w:rPr>
        <w:t>In connection with the Merger, the Company adopted the Uniti Group Inc. 2025 Equity Incentive Plan (“2025 Plan”), which permits us to make grants of equity awards to our employees, including our executive officers. We intend to make equity grants to our executive officers as part of our annual compensation program to align their long-term interests with that of our stockholders and to maintain the competitiveness of our total compensation package. As noted later in this CD&amp;A, our NEOs are subject to robust stock ownership guidelines to reinforce a focus on long-term shareholder value creation. It is the Compensation Committee’s policy to review and grant all annual equity compensation awards to directors, executive officers, and all other eligible employees at its first regularly scheduled meeting of each year, which it expects to occur in February of each year, with each such grant based on the average closing price of our common stock as reported on Nasdaq for the 20 trading days prior to the grant date.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79" w:firstLine="648"/>
        <w:spacing w:after="0" w:line="267" w:lineRule="auto"/>
        <w:rPr>
          <w:sz w:val="20"/>
          <w:szCs w:val="20"/>
          <w:color w:val="auto"/>
        </w:rPr>
      </w:pPr>
      <w:r>
        <w:rPr>
          <w:rFonts w:ascii="Arial" w:cs="Arial" w:eastAsia="Arial" w:hAnsi="Arial"/>
          <w:sz w:val="18"/>
          <w:szCs w:val="18"/>
          <w:color w:val="auto"/>
        </w:rPr>
        <w:t>During 2025, Old Uniti granted time-based restricted stock and performance-based restricted stock units (“PBRSUs”) to its executive officers as part of its annual compensation program pursuant to the 2015 Plan. Holders of time-based restricted stock are entitled to dividends when paid by the Company and PBRSUs accrue a dividend equivalent that is paid in cash when and solely to the extent that the underlying PBRSUs vest. Like Old Uniti’s compensation committee, the Compensation Committee views restricted stock and PBRSUs as being more effective in managing equity plan dilution than stock options.</w:t>
      </w:r>
    </w:p>
    <w:p>
      <w:pPr>
        <w:spacing w:after="0" w:line="18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During 2025, Old Uniti made, and the Company assumed, equity grants to each NEO, of which</w:t>
      </w:r>
    </w:p>
    <w:p>
      <w:pPr>
        <w:spacing w:after="0" w:line="32" w:lineRule="exact"/>
        <w:rPr>
          <w:sz w:val="20"/>
          <w:szCs w:val="20"/>
          <w:color w:val="auto"/>
        </w:rPr>
      </w:pPr>
    </w:p>
    <w:p>
      <w:pPr>
        <w:ind w:left="1260" w:right="499"/>
        <w:spacing w:after="0" w:line="269" w:lineRule="auto"/>
        <w:tabs>
          <w:tab w:leader="none" w:pos="1463" w:val="left"/>
        </w:tabs>
        <w:numPr>
          <w:ilvl w:val="0"/>
          <w:numId w:val="68"/>
        </w:numPr>
        <w:rPr>
          <w:rFonts w:ascii="Arial" w:cs="Arial" w:eastAsia="Arial" w:hAnsi="Arial"/>
          <w:sz w:val="18"/>
          <w:szCs w:val="18"/>
          <w:color w:val="auto"/>
        </w:rPr>
      </w:pPr>
      <w:r>
        <w:rPr>
          <w:rFonts w:ascii="Arial" w:cs="Arial" w:eastAsia="Arial" w:hAnsi="Arial"/>
          <w:sz w:val="18"/>
          <w:szCs w:val="18"/>
          <w:color w:val="auto"/>
        </w:rPr>
        <w:t>50% was in the form of PBRSUs that are eligible for vesting in February 2028 if we meet specified relative total shareholder return (“TSR”) performance goals, as further described below, and (ii) 50% was in the form of time-based restricted stock that vests in three equal installments on the anniversary of the grant date. The target value of the equity awards granted to our NEOs in 2025 was as follows:</w:t>
      </w:r>
    </w:p>
    <w:p>
      <w:pPr>
        <w:spacing w:after="0" w:line="220" w:lineRule="exact"/>
        <w:rPr>
          <w:sz w:val="20"/>
          <w:szCs w:val="20"/>
          <w:color w:val="auto"/>
        </w:rPr>
      </w:pPr>
    </w:p>
    <w:tbl>
      <w:tblPr>
        <w:tblLayout w:type="fixed"/>
        <w:tblInd w:w="282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8"/>
              </w:rPr>
              <w:t>Target Value of</w:t>
            </w:r>
          </w:p>
        </w:tc>
        <w:tc>
          <w:tcPr>
            <w:tcW w:w="6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Restricted</w:t>
            </w:r>
          </w:p>
        </w:tc>
        <w:tc>
          <w:tcPr>
            <w:tcW w:w="60" w:type="dxa"/>
            <w:vAlign w:val="bottom"/>
          </w:tcPr>
          <w:p>
            <w:pPr>
              <w:spacing w:after="0"/>
              <w:rPr>
                <w:sz w:val="14"/>
                <w:szCs w:val="14"/>
                <w:color w:val="auto"/>
              </w:rPr>
            </w:pPr>
          </w:p>
        </w:tc>
      </w:tr>
      <w:tr>
        <w:trPr>
          <w:trHeight w:val="185"/>
        </w:trPr>
        <w:tc>
          <w:tcPr>
            <w:tcW w:w="6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w w:val="99"/>
              </w:rPr>
              <w:t>Name</w:t>
            </w:r>
          </w:p>
        </w:tc>
        <w:tc>
          <w:tcPr>
            <w:tcW w:w="3160" w:type="dxa"/>
            <w:vAlign w:val="bottom"/>
          </w:tcPr>
          <w:p>
            <w:pPr>
              <w:spacing w:after="0"/>
              <w:rPr>
                <w:sz w:val="16"/>
                <w:szCs w:val="16"/>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Shares and PBRSUs</w:t>
            </w:r>
          </w:p>
        </w:tc>
        <w:tc>
          <w:tcPr>
            <w:tcW w:w="60" w:type="dxa"/>
            <w:vAlign w:val="bottom"/>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shd w:val="clear" w:color="auto" w:fill="B2B2B2"/>
          </w:tcPr>
          <w:p>
            <w:pPr>
              <w:spacing w:after="0"/>
              <w:rPr>
                <w:sz w:val="21"/>
                <w:szCs w:val="21"/>
                <w:color w:val="auto"/>
              </w:rPr>
            </w:pPr>
          </w:p>
        </w:tc>
        <w:tc>
          <w:tcPr>
            <w:tcW w:w="35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Kenneth A. Gunderman</w:t>
            </w:r>
          </w:p>
        </w:tc>
        <w:tc>
          <w:tcPr>
            <w:tcW w:w="1400" w:type="dxa"/>
            <w:vAlign w:val="bottom"/>
            <w:gridSpan w:val="3"/>
            <w:shd w:val="clear" w:color="auto" w:fill="B2B2B2"/>
          </w:tcPr>
          <w:p>
            <w:pPr>
              <w:jc w:val="right"/>
              <w:ind w:right="240"/>
              <w:spacing w:after="0"/>
              <w:rPr>
                <w:sz w:val="20"/>
                <w:szCs w:val="20"/>
                <w:color w:val="auto"/>
              </w:rPr>
            </w:pPr>
            <w:r>
              <w:rPr>
                <w:rFonts w:ascii="Arial" w:cs="Arial" w:eastAsia="Arial" w:hAnsi="Arial"/>
                <w:sz w:val="18"/>
                <w:szCs w:val="18"/>
                <w:color w:val="auto"/>
              </w:rPr>
              <w:t>​$3,081,250</w:t>
            </w:r>
          </w:p>
        </w:tc>
        <w:tc>
          <w:tcPr>
            <w:tcW w:w="60" w:type="dxa"/>
            <w:vAlign w:val="bottom"/>
            <w:shd w:val="clear" w:color="auto" w:fill="B2B2B2"/>
          </w:tcPr>
          <w:p>
            <w:pPr>
              <w:spacing w:after="0"/>
              <w:rPr>
                <w:sz w:val="20"/>
                <w:szCs w:val="20"/>
                <w:color w:val="auto"/>
              </w:rPr>
            </w:pPr>
            <w:r>
              <w:rPr>
                <w:rFonts w:ascii="Arial" w:cs="Arial" w:eastAsia="Arial" w:hAnsi="Arial"/>
                <w:sz w:val="18"/>
                <w:szCs w:val="18"/>
                <w:color w:val="auto"/>
              </w:rPr>
              <w:t>​</w:t>
            </w:r>
          </w:p>
        </w:tc>
      </w:tr>
      <w:tr>
        <w:trPr>
          <w:trHeight w:val="257"/>
        </w:trPr>
        <w:tc>
          <w:tcPr>
            <w:tcW w:w="60" w:type="dxa"/>
            <w:vAlign w:val="bottom"/>
          </w:tcPr>
          <w:p>
            <w:pPr>
              <w:spacing w:after="0"/>
              <w:rPr>
                <w:sz w:val="22"/>
                <w:szCs w:val="22"/>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Paul Bullington</w:t>
            </w: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​$1,472,900</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83"/>
        </w:trPr>
        <w:tc>
          <w:tcPr>
            <w:tcW w:w="60" w:type="dxa"/>
            <w:vAlign w:val="bottom"/>
            <w:shd w:val="clear" w:color="auto" w:fill="B2B2B2"/>
          </w:tcPr>
          <w:p>
            <w:pPr>
              <w:spacing w:after="0"/>
              <w:rPr>
                <w:sz w:val="24"/>
                <w:szCs w:val="24"/>
                <w:color w:val="auto"/>
              </w:rPr>
            </w:pPr>
          </w:p>
        </w:tc>
        <w:tc>
          <w:tcPr>
            <w:tcW w:w="35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John Harrobin</w:t>
            </w:r>
            <w:r>
              <w:rPr>
                <w:rFonts w:ascii="Arial" w:cs="Arial" w:eastAsia="Arial" w:hAnsi="Arial"/>
                <w:sz w:val="23"/>
                <w:szCs w:val="23"/>
                <w:color w:val="auto"/>
                <w:vertAlign w:val="superscript"/>
              </w:rPr>
              <w:t>(1)</w:t>
            </w:r>
          </w:p>
        </w:tc>
        <w:tc>
          <w:tcPr>
            <w:tcW w:w="1400" w:type="dxa"/>
            <w:vAlign w:val="bottom"/>
            <w:gridSpan w:val="3"/>
            <w:shd w:val="clear" w:color="auto" w:fill="B2B2B2"/>
          </w:tcPr>
          <w:p>
            <w:pPr>
              <w:jc w:val="right"/>
              <w:ind w:right="240"/>
              <w:spacing w:after="0"/>
              <w:rPr>
                <w:sz w:val="20"/>
                <w:szCs w:val="20"/>
                <w:color w:val="auto"/>
              </w:rPr>
            </w:pPr>
            <w:r>
              <w:rPr>
                <w:rFonts w:ascii="Arial" w:cs="Arial" w:eastAsia="Arial" w:hAnsi="Arial"/>
                <w:sz w:val="18"/>
                <w:szCs w:val="18"/>
                <w:color w:val="auto"/>
              </w:rPr>
              <w:t>​$4,737,500</w:t>
            </w:r>
          </w:p>
        </w:tc>
        <w:tc>
          <w:tcPr>
            <w:tcW w:w="60" w:type="dxa"/>
            <w:vAlign w:val="bottom"/>
            <w:shd w:val="clear" w:color="auto" w:fill="B2B2B2"/>
          </w:tcPr>
          <w:p>
            <w:pPr>
              <w:spacing w:after="0"/>
              <w:rPr>
                <w:sz w:val="20"/>
                <w:szCs w:val="20"/>
                <w:color w:val="auto"/>
              </w:rPr>
            </w:pPr>
            <w:r>
              <w:rPr>
                <w:rFonts w:ascii="Arial" w:cs="Arial" w:eastAsia="Arial" w:hAnsi="Arial"/>
                <w:sz w:val="18"/>
                <w:szCs w:val="18"/>
                <w:color w:val="auto"/>
              </w:rPr>
              <w:t>​</w:t>
            </w:r>
          </w:p>
        </w:tc>
      </w:tr>
      <w:tr>
        <w:trPr>
          <w:trHeight w:val="257"/>
        </w:trPr>
        <w:tc>
          <w:tcPr>
            <w:tcW w:w="60" w:type="dxa"/>
            <w:vAlign w:val="bottom"/>
          </w:tcPr>
          <w:p>
            <w:pPr>
              <w:spacing w:after="0"/>
              <w:rPr>
                <w:sz w:val="22"/>
                <w:szCs w:val="22"/>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Daniel L. Heard</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742,630</w:t>
            </w:r>
          </w:p>
        </w:tc>
        <w:tc>
          <w:tcPr>
            <w:tcW w:w="2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60" w:type="dxa"/>
            <w:vAlign w:val="bottom"/>
            <w:shd w:val="clear" w:color="auto" w:fill="B2B2B2"/>
          </w:tcPr>
          <w:p>
            <w:pPr>
              <w:spacing w:after="0"/>
              <w:rPr>
                <w:sz w:val="23"/>
                <w:szCs w:val="23"/>
                <w:color w:val="auto"/>
              </w:rPr>
            </w:pPr>
          </w:p>
        </w:tc>
        <w:tc>
          <w:tcPr>
            <w:tcW w:w="35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Michael Friloux</w:t>
            </w:r>
          </w:p>
        </w:tc>
        <w:tc>
          <w:tcPr>
            <w:tcW w:w="420" w:type="dxa"/>
            <w:vAlign w:val="bottom"/>
            <w:shd w:val="clear" w:color="auto" w:fill="B2B2B2"/>
          </w:tcPr>
          <w:p>
            <w:pPr>
              <w:ind w:lef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603,388</w:t>
            </w:r>
          </w:p>
        </w:tc>
        <w:tc>
          <w:tcPr>
            <w:tcW w:w="20" w:type="dxa"/>
            <w:vAlign w:val="bottom"/>
            <w:shd w:val="clear" w:color="auto" w:fill="B2B2B2"/>
          </w:tcPr>
          <w:p>
            <w:pPr>
              <w:spacing w:after="0"/>
              <w:rPr>
                <w:sz w:val="23"/>
                <w:szCs w:val="23"/>
                <w:color w:val="auto"/>
              </w:rPr>
            </w:pPr>
          </w:p>
        </w:tc>
        <w:tc>
          <w:tcPr>
            <w:tcW w:w="60" w:type="dxa"/>
            <w:vAlign w:val="bottom"/>
            <w:shd w:val="clear" w:color="auto" w:fill="B2B2B2"/>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111125</wp:posOffset>
            </wp:positionV>
            <wp:extent cx="123444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45" w:lineRule="exact"/>
        <w:rPr>
          <w:sz w:val="20"/>
          <w:szCs w:val="20"/>
          <w:color w:val="auto"/>
        </w:rPr>
      </w:pPr>
    </w:p>
    <w:p>
      <w:pPr>
        <w:ind w:left="1620" w:right="499" w:hanging="360"/>
        <w:spacing w:after="0" w:line="268"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Mr. Harrobin also received a $2,000,000 one-time, sign-on time-based restricted stock grant that vests in three equal installments on the anniversary of the grant date. See “New Hire Compensation Arrangements for Mr. Harrobin” above.</w:t>
      </w:r>
    </w:p>
    <w:p>
      <w:pPr>
        <w:spacing w:after="0" w:line="171" w:lineRule="exact"/>
        <w:rPr>
          <w:sz w:val="20"/>
          <w:szCs w:val="20"/>
          <w:color w:val="auto"/>
        </w:rPr>
      </w:pPr>
    </w:p>
    <w:p>
      <w:pPr>
        <w:ind w:left="1260" w:right="559" w:firstLine="648"/>
        <w:spacing w:after="0" w:line="271" w:lineRule="auto"/>
        <w:rPr>
          <w:sz w:val="20"/>
          <w:szCs w:val="20"/>
          <w:color w:val="auto"/>
        </w:rPr>
      </w:pPr>
      <w:r>
        <w:rPr>
          <w:rFonts w:ascii="Arial" w:cs="Arial" w:eastAsia="Arial" w:hAnsi="Arial"/>
          <w:sz w:val="18"/>
          <w:szCs w:val="18"/>
          <w:color w:val="auto"/>
        </w:rPr>
        <w:t>The actual amount of the PBRSUs granted in 2025 that may be earned and become vested will be between 0% and 200% of the target amount, depending on our achievement of relative TSR over a three-year period from February 20, 2025 to February 20, 2028 as compared to the TSR of the Peer Group (as defined above) for the same period. Specifically, the metrics for the three-year performance cycle ending February 20, 2028 are:</w:t>
      </w:r>
    </w:p>
    <w:p>
      <w:pPr>
        <w:spacing w:after="0" w:line="21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Below</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60" w:type="dxa"/>
            <w:vAlign w:val="bottom"/>
          </w:tcPr>
          <w:p>
            <w:pPr>
              <w:spacing w:after="0"/>
              <w:rPr>
                <w:sz w:val="16"/>
                <w:szCs w:val="16"/>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Performance Criteria</w:t>
            </w:r>
          </w:p>
        </w:tc>
        <w:tc>
          <w:tcPr>
            <w:tcW w:w="1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Threshold</w:t>
            </w:r>
          </w:p>
        </w:tc>
        <w:tc>
          <w:tcPr>
            <w:tcW w:w="2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Threshold</w:t>
            </w:r>
          </w:p>
        </w:tc>
        <w:tc>
          <w:tcPr>
            <w:tcW w:w="2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80" w:type="dxa"/>
            <w:vAlign w:val="bottom"/>
          </w:tcPr>
          <w:p>
            <w:pPr>
              <w:spacing w:after="0"/>
              <w:rPr>
                <w:sz w:val="16"/>
                <w:szCs w:val="16"/>
                <w:color w:val="auto"/>
              </w:rPr>
            </w:pPr>
          </w:p>
        </w:tc>
      </w:tr>
      <w:tr>
        <w:trPr>
          <w:trHeight w:val="250"/>
        </w:trPr>
        <w:tc>
          <w:tcPr>
            <w:tcW w:w="60" w:type="dxa"/>
            <w:vAlign w:val="bottom"/>
            <w:shd w:val="clear" w:color="auto" w:fill="B2B2B2"/>
          </w:tcPr>
          <w:p>
            <w:pPr>
              <w:spacing w:after="0"/>
              <w:rPr>
                <w:sz w:val="21"/>
                <w:szCs w:val="21"/>
                <w:color w:val="auto"/>
              </w:rPr>
            </w:pPr>
          </w:p>
        </w:tc>
        <w:tc>
          <w:tcPr>
            <w:tcW w:w="2920" w:type="dxa"/>
            <w:vAlign w:val="bottom"/>
            <w:gridSpan w:val="2"/>
            <w:shd w:val="clear" w:color="auto" w:fill="B2B2B2"/>
          </w:tcPr>
          <w:p>
            <w:pPr>
              <w:spacing w:after="0"/>
              <w:rPr>
                <w:sz w:val="20"/>
                <w:szCs w:val="20"/>
                <w:color w:val="auto"/>
              </w:rPr>
            </w:pPr>
            <w:r>
              <w:rPr>
                <w:rFonts w:ascii="Arial" w:cs="Arial" w:eastAsia="Arial" w:hAnsi="Arial"/>
                <w:sz w:val="14"/>
                <w:szCs w:val="14"/>
                <w:color w:val="auto"/>
              </w:rPr>
              <w:t>TSR position within the Peer Group</w:t>
            </w:r>
          </w:p>
        </w:tc>
        <w:tc>
          <w:tcPr>
            <w:tcW w:w="1900" w:type="dxa"/>
            <w:vAlign w:val="bottom"/>
            <w:gridSpan w:val="3"/>
            <w:shd w:val="clear" w:color="auto" w:fill="B2B2B2"/>
          </w:tcPr>
          <w:p>
            <w:pPr>
              <w:jc w:val="center"/>
              <w:ind w:left="428"/>
              <w:spacing w:after="0"/>
              <w:rPr>
                <w:sz w:val="20"/>
                <w:szCs w:val="20"/>
                <w:color w:val="auto"/>
              </w:rPr>
            </w:pPr>
            <w:r>
              <w:rPr>
                <w:rFonts w:ascii="Arial" w:cs="Arial" w:eastAsia="Arial" w:hAnsi="Arial"/>
                <w:sz w:val="14"/>
                <w:szCs w:val="14"/>
                <w:color w:val="auto"/>
                <w:w w:val="97"/>
              </w:rPr>
              <w:t>&lt;33</w:t>
            </w:r>
            <w:r>
              <w:rPr>
                <w:rFonts w:ascii="Arial" w:cs="Arial" w:eastAsia="Arial" w:hAnsi="Arial"/>
                <w:sz w:val="17"/>
                <w:szCs w:val="17"/>
                <w:color w:val="auto"/>
                <w:w w:val="97"/>
                <w:vertAlign w:val="superscript"/>
              </w:rPr>
              <w:t>rd</w:t>
            </w:r>
            <w:r>
              <w:rPr>
                <w:rFonts w:ascii="Arial" w:cs="Arial" w:eastAsia="Arial" w:hAnsi="Arial"/>
                <w:sz w:val="14"/>
                <w:szCs w:val="14"/>
                <w:color w:val="auto"/>
                <w:w w:val="97"/>
              </w:rPr>
              <w:t xml:space="preserve"> percentile</w:t>
            </w:r>
          </w:p>
        </w:tc>
        <w:tc>
          <w:tcPr>
            <w:tcW w:w="920" w:type="dxa"/>
            <w:vAlign w:val="bottom"/>
            <w:shd w:val="clear" w:color="auto" w:fill="B2B2B2"/>
          </w:tcPr>
          <w:p>
            <w:pPr>
              <w:jc w:val="center"/>
              <w:spacing w:after="0"/>
              <w:rPr>
                <w:sz w:val="20"/>
                <w:szCs w:val="20"/>
                <w:color w:val="auto"/>
              </w:rPr>
            </w:pPr>
            <w:r>
              <w:rPr>
                <w:rFonts w:ascii="Arial" w:cs="Arial" w:eastAsia="Arial" w:hAnsi="Arial"/>
                <w:sz w:val="14"/>
                <w:szCs w:val="14"/>
                <w:color w:val="auto"/>
                <w:w w:val="97"/>
              </w:rPr>
              <w:t>33</w:t>
            </w:r>
            <w:r>
              <w:rPr>
                <w:rFonts w:ascii="Arial" w:cs="Arial" w:eastAsia="Arial" w:hAnsi="Arial"/>
                <w:sz w:val="17"/>
                <w:szCs w:val="17"/>
                <w:color w:val="auto"/>
                <w:w w:val="97"/>
                <w:vertAlign w:val="superscript"/>
              </w:rPr>
              <w:t>rd</w:t>
            </w:r>
            <w:r>
              <w:rPr>
                <w:rFonts w:ascii="Arial" w:cs="Arial" w:eastAsia="Arial" w:hAnsi="Arial"/>
                <w:sz w:val="14"/>
                <w:szCs w:val="14"/>
                <w:color w:val="auto"/>
                <w:w w:val="97"/>
              </w:rPr>
              <w:t xml:space="preserve"> percentile</w:t>
            </w:r>
          </w:p>
        </w:tc>
        <w:tc>
          <w:tcPr>
            <w:tcW w:w="240" w:type="dxa"/>
            <w:vAlign w:val="bottom"/>
            <w:shd w:val="clear" w:color="auto" w:fill="B2B2B2"/>
          </w:tcPr>
          <w:p>
            <w:pPr>
              <w:spacing w:after="0"/>
              <w:rPr>
                <w:sz w:val="21"/>
                <w:szCs w:val="21"/>
                <w:color w:val="auto"/>
              </w:rPr>
            </w:pPr>
          </w:p>
        </w:tc>
        <w:tc>
          <w:tcPr>
            <w:tcW w:w="1040" w:type="dxa"/>
            <w:vAlign w:val="bottom"/>
            <w:gridSpan w:val="2"/>
            <w:shd w:val="clear" w:color="auto" w:fill="B2B2B2"/>
          </w:tcPr>
          <w:p>
            <w:pPr>
              <w:jc w:val="center"/>
              <w:ind w:right="160"/>
              <w:spacing w:after="0"/>
              <w:rPr>
                <w:sz w:val="20"/>
                <w:szCs w:val="20"/>
                <w:color w:val="auto"/>
              </w:rPr>
            </w:pPr>
            <w:r>
              <w:rPr>
                <w:rFonts w:ascii="Arial" w:cs="Arial" w:eastAsia="Arial" w:hAnsi="Arial"/>
                <w:sz w:val="14"/>
                <w:szCs w:val="14"/>
                <w:color w:val="auto"/>
                <w:w w:val="98"/>
              </w:rPr>
              <w:t>50</w:t>
            </w:r>
            <w:r>
              <w:rPr>
                <w:rFonts w:ascii="Arial" w:cs="Arial" w:eastAsia="Arial" w:hAnsi="Arial"/>
                <w:sz w:val="17"/>
                <w:szCs w:val="17"/>
                <w:color w:val="auto"/>
                <w:w w:val="98"/>
                <w:vertAlign w:val="superscript"/>
              </w:rPr>
              <w:t>th</w:t>
            </w:r>
            <w:r>
              <w:rPr>
                <w:rFonts w:ascii="Arial" w:cs="Arial" w:eastAsia="Arial" w:hAnsi="Arial"/>
                <w:sz w:val="14"/>
                <w:szCs w:val="14"/>
                <w:color w:val="auto"/>
                <w:w w:val="98"/>
              </w:rPr>
              <w:t xml:space="preserve"> percentile</w:t>
            </w:r>
          </w:p>
        </w:tc>
        <w:tc>
          <w:tcPr>
            <w:tcW w:w="1120" w:type="dxa"/>
            <w:vAlign w:val="bottom"/>
            <w:gridSpan w:val="3"/>
            <w:shd w:val="clear" w:color="auto" w:fill="B2B2B2"/>
          </w:tcPr>
          <w:p>
            <w:pPr>
              <w:jc w:val="center"/>
              <w:spacing w:after="0"/>
              <w:rPr>
                <w:sz w:val="20"/>
                <w:szCs w:val="20"/>
                <w:color w:val="auto"/>
              </w:rPr>
            </w:pPr>
            <w:r>
              <w:rPr>
                <w:rFonts w:ascii="Arial" w:cs="Arial" w:eastAsia="Arial" w:hAnsi="Arial"/>
                <w:sz w:val="14"/>
                <w:szCs w:val="14"/>
                <w:color w:val="auto"/>
                <w:w w:val="98"/>
              </w:rPr>
              <w:t>&gt;75</w:t>
            </w:r>
            <w:r>
              <w:rPr>
                <w:rFonts w:ascii="Arial" w:cs="Arial" w:eastAsia="Arial" w:hAnsi="Arial"/>
                <w:sz w:val="17"/>
                <w:szCs w:val="17"/>
                <w:color w:val="auto"/>
                <w:w w:val="98"/>
                <w:vertAlign w:val="superscript"/>
              </w:rPr>
              <w:t>th</w:t>
            </w:r>
            <w:r>
              <w:rPr>
                <w:rFonts w:ascii="Arial" w:cs="Arial" w:eastAsia="Arial" w:hAnsi="Arial"/>
                <w:sz w:val="14"/>
                <w:szCs w:val="14"/>
                <w:color w:val="auto"/>
                <w:w w:val="98"/>
              </w:rPr>
              <w:t xml:space="preserve"> percentile</w:t>
            </w:r>
          </w:p>
        </w:tc>
      </w:tr>
      <w:tr>
        <w:trPr>
          <w:trHeight w:val="228"/>
        </w:trPr>
        <w:tc>
          <w:tcPr>
            <w:tcW w:w="6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Payout Opportunity</w:t>
            </w:r>
          </w:p>
        </w:tc>
        <w:tc>
          <w:tcPr>
            <w:tcW w:w="74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0% of Target</w:t>
            </w:r>
          </w:p>
        </w:tc>
        <w:tc>
          <w:tcPr>
            <w:tcW w:w="920" w:type="dxa"/>
            <w:vAlign w:val="bottom"/>
          </w:tcPr>
          <w:p>
            <w:pPr>
              <w:jc w:val="center"/>
              <w:spacing w:after="0"/>
              <w:rPr>
                <w:sz w:val="20"/>
                <w:szCs w:val="20"/>
                <w:color w:val="auto"/>
              </w:rPr>
            </w:pPr>
            <w:r>
              <w:rPr>
                <w:rFonts w:ascii="Arial" w:cs="Arial" w:eastAsia="Arial" w:hAnsi="Arial"/>
                <w:sz w:val="14"/>
                <w:szCs w:val="14"/>
                <w:color w:val="auto"/>
              </w:rPr>
              <w:t>50% of Target</w:t>
            </w:r>
          </w:p>
        </w:tc>
        <w:tc>
          <w:tcPr>
            <w:tcW w:w="1280" w:type="dxa"/>
            <w:vAlign w:val="bottom"/>
            <w:gridSpan w:val="3"/>
          </w:tcPr>
          <w:p>
            <w:pPr>
              <w:jc w:val="center"/>
              <w:ind w:left="28"/>
              <w:spacing w:after="0"/>
              <w:rPr>
                <w:sz w:val="20"/>
                <w:szCs w:val="20"/>
                <w:color w:val="auto"/>
              </w:rPr>
            </w:pPr>
            <w:r>
              <w:rPr>
                <w:rFonts w:ascii="Arial" w:cs="Arial" w:eastAsia="Arial" w:hAnsi="Arial"/>
                <w:sz w:val="14"/>
                <w:szCs w:val="14"/>
                <w:color w:val="auto"/>
                <w:w w:val="98"/>
              </w:rPr>
              <w:t>100% of Target</w:t>
            </w:r>
          </w:p>
        </w:tc>
        <w:tc>
          <w:tcPr>
            <w:tcW w:w="1120" w:type="dxa"/>
            <w:vAlign w:val="bottom"/>
            <w:gridSpan w:val="3"/>
          </w:tcPr>
          <w:p>
            <w:pPr>
              <w:jc w:val="center"/>
              <w:spacing w:after="0"/>
              <w:rPr>
                <w:sz w:val="20"/>
                <w:szCs w:val="20"/>
                <w:color w:val="auto"/>
              </w:rPr>
            </w:pPr>
            <w:r>
              <w:rPr>
                <w:rFonts w:ascii="Arial" w:cs="Arial" w:eastAsia="Arial" w:hAnsi="Arial"/>
                <w:sz w:val="14"/>
                <w:szCs w:val="14"/>
                <w:color w:val="auto"/>
                <w:w w:val="98"/>
              </w:rPr>
              <w:t>200% of Target</w:t>
            </w:r>
          </w:p>
        </w:tc>
      </w:tr>
    </w:tbl>
    <w:p>
      <w:pPr>
        <w:spacing w:after="0" w:line="226" w:lineRule="exact"/>
        <w:rPr>
          <w:sz w:val="20"/>
          <w:szCs w:val="20"/>
          <w:color w:val="auto"/>
        </w:rPr>
      </w:pPr>
    </w:p>
    <w:p>
      <w:pPr>
        <w:ind w:left="1260" w:right="499" w:firstLine="648"/>
        <w:spacing w:after="0" w:line="267" w:lineRule="auto"/>
        <w:rPr>
          <w:sz w:val="20"/>
          <w:szCs w:val="20"/>
          <w:color w:val="auto"/>
        </w:rPr>
      </w:pPr>
      <w:r>
        <w:rPr>
          <w:rFonts w:ascii="Arial" w:cs="Arial" w:eastAsia="Arial" w:hAnsi="Arial"/>
          <w:sz w:val="18"/>
          <w:szCs w:val="18"/>
          <w:color w:val="auto"/>
        </w:rPr>
        <w:t>Threshold, target and maximum performance result in the executive officers earning 50%, 100% or 200% of the target number of PBRSUs, with linear interpolation between specified levels. No performance shares are earned for below-threshold performance, and payout is capped at 200% of target even if performance exceeds the maximum goal.</w:t>
      </w:r>
    </w:p>
    <w:p>
      <w:pPr>
        <w:spacing w:after="0" w:line="186" w:lineRule="exact"/>
        <w:rPr>
          <w:sz w:val="20"/>
          <w:szCs w:val="20"/>
          <w:color w:val="auto"/>
        </w:rPr>
      </w:pPr>
    </w:p>
    <w:p>
      <w:pPr>
        <w:ind w:left="1260" w:right="479" w:firstLine="648"/>
        <w:spacing w:after="0" w:line="271" w:lineRule="auto"/>
        <w:rPr>
          <w:sz w:val="20"/>
          <w:szCs w:val="20"/>
          <w:color w:val="auto"/>
        </w:rPr>
      </w:pPr>
      <w:r>
        <w:rPr>
          <w:rFonts w:ascii="Arial" w:cs="Arial" w:eastAsia="Arial" w:hAnsi="Arial"/>
          <w:sz w:val="18"/>
          <w:szCs w:val="18"/>
          <w:color w:val="auto"/>
        </w:rPr>
        <w:t>The number of time-based restricted shares and PBRSUs granted during 2025 were both based on the average closing price of our common stock as reported on Nasdaq for the 20 trading days prior to the grant date. Under SEC rules, for purposes of this Proxy Statement we are required to value these awards using different calculations in the compensation tables following this CD&amp;A. For ease of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879"/>
        <w:spacing w:after="0" w:line="287" w:lineRule="auto"/>
        <w:rPr>
          <w:sz w:val="20"/>
          <w:szCs w:val="20"/>
          <w:color w:val="auto"/>
        </w:rPr>
      </w:pPr>
      <w:r>
        <w:rPr>
          <w:rFonts w:ascii="Arial" w:cs="Arial" w:eastAsia="Arial" w:hAnsi="Arial"/>
          <w:sz w:val="18"/>
          <w:szCs w:val="18"/>
          <w:color w:val="auto"/>
        </w:rPr>
        <w:t>the table below reconciles the values of these awards from the amount reported in this CD&amp;A to the amounts reported in the compensation tables.</w:t>
      </w:r>
    </w:p>
    <w:p>
      <w:pPr>
        <w:spacing w:after="0" w:line="17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7"/>
              </w:rPr>
              <w:t>Grant Date Fair Value</w:t>
            </w:r>
          </w:p>
        </w:tc>
        <w:tc>
          <w:tcPr>
            <w:tcW w:w="6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3"/>
          </w:tcPr>
          <w:p>
            <w:pPr>
              <w:jc w:val="center"/>
              <w:ind w:right="60"/>
              <w:spacing w:after="0" w:line="202" w:lineRule="exact"/>
              <w:rPr>
                <w:sz w:val="20"/>
                <w:szCs w:val="20"/>
                <w:color w:val="auto"/>
              </w:rPr>
            </w:pPr>
            <w:r>
              <w:rPr>
                <w:rFonts w:ascii="Arial" w:cs="Arial" w:eastAsia="Arial" w:hAnsi="Arial"/>
                <w:sz w:val="18"/>
                <w:szCs w:val="18"/>
                <w:b w:val="1"/>
                <w:bCs w:val="1"/>
                <w:color w:val="auto"/>
                <w:w w:val="97"/>
              </w:rPr>
              <w:t>of Annual Awards</w:t>
            </w:r>
          </w:p>
        </w:tc>
        <w:tc>
          <w:tcPr>
            <w:tcW w:w="6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3"/>
          </w:tcPr>
          <w:p>
            <w:pPr>
              <w:jc w:val="center"/>
              <w:ind w:right="60"/>
              <w:spacing w:after="0" w:line="202" w:lineRule="exact"/>
              <w:rPr>
                <w:sz w:val="20"/>
                <w:szCs w:val="20"/>
                <w:color w:val="auto"/>
              </w:rPr>
            </w:pPr>
            <w:r>
              <w:rPr>
                <w:rFonts w:ascii="Arial" w:cs="Arial" w:eastAsia="Arial" w:hAnsi="Arial"/>
                <w:sz w:val="18"/>
                <w:szCs w:val="18"/>
                <w:b w:val="1"/>
                <w:bCs w:val="1"/>
                <w:color w:val="auto"/>
                <w:w w:val="97"/>
              </w:rPr>
              <w:t>(included in the</w:t>
            </w:r>
          </w:p>
        </w:tc>
        <w:tc>
          <w:tcPr>
            <w:tcW w:w="6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06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Annual Award Amount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3"/>
          </w:tcPr>
          <w:p>
            <w:pPr>
              <w:jc w:val="center"/>
              <w:ind w:right="60"/>
              <w:spacing w:after="0" w:line="202" w:lineRule="exact"/>
              <w:rPr>
                <w:sz w:val="20"/>
                <w:szCs w:val="20"/>
                <w:color w:val="auto"/>
              </w:rPr>
            </w:pPr>
            <w:r>
              <w:rPr>
                <w:rFonts w:ascii="Arial" w:cs="Arial" w:eastAsia="Arial" w:hAnsi="Arial"/>
                <w:sz w:val="18"/>
                <w:szCs w:val="18"/>
                <w:b w:val="1"/>
                <w:bCs w:val="1"/>
                <w:color w:val="auto"/>
                <w:w w:val="99"/>
              </w:rPr>
              <w:t>Summary</w:t>
            </w:r>
          </w:p>
        </w:tc>
        <w:tc>
          <w:tcPr>
            <w:tcW w:w="60" w:type="dxa"/>
            <w:vAlign w:val="bottom"/>
          </w:tcPr>
          <w:p>
            <w:pPr>
              <w:spacing w:after="0"/>
              <w:rPr>
                <w:sz w:val="17"/>
                <w:szCs w:val="17"/>
                <w:color w:val="auto"/>
              </w:rPr>
            </w:pPr>
          </w:p>
        </w:tc>
      </w:tr>
      <w:tr>
        <w:trPr>
          <w:trHeight w:val="235"/>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b w:val="1"/>
                <w:bCs w:val="1"/>
                <w:color w:val="auto"/>
                <w:w w:val="97"/>
              </w:rPr>
              <w:t>Name</w:t>
            </w:r>
          </w:p>
        </w:tc>
        <w:tc>
          <w:tcPr>
            <w:tcW w:w="2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9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(at target level)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7"/>
              </w:rPr>
              <w:t>Compensation Table)</w:t>
            </w:r>
          </w:p>
        </w:tc>
        <w:tc>
          <w:tcPr>
            <w:tcW w:w="60" w:type="dxa"/>
            <w:vAlign w:val="bottom"/>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 w:type="dxa"/>
            <w:vAlign w:val="bottom"/>
            <w:shd w:val="clear" w:color="auto" w:fill="B2B2B2"/>
          </w:tcPr>
          <w:p>
            <w:pPr>
              <w:spacing w:after="0"/>
              <w:rPr>
                <w:sz w:val="21"/>
                <w:szCs w:val="21"/>
                <w:color w:val="auto"/>
              </w:rPr>
            </w:pPr>
          </w:p>
        </w:tc>
        <w:tc>
          <w:tcPr>
            <w:tcW w:w="29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Kenneth A. Gunderman</w:t>
            </w:r>
          </w:p>
        </w:tc>
        <w:tc>
          <w:tcPr>
            <w:tcW w:w="1160" w:type="dxa"/>
            <w:vAlign w:val="bottom"/>
            <w:shd w:val="clear" w:color="auto" w:fill="B2B2B2"/>
          </w:tcPr>
          <w:p>
            <w:pPr>
              <w:spacing w:after="0"/>
              <w:rPr>
                <w:sz w:val="21"/>
                <w:szCs w:val="21"/>
                <w:color w:val="auto"/>
              </w:rPr>
            </w:pPr>
          </w:p>
        </w:tc>
        <w:tc>
          <w:tcPr>
            <w:tcW w:w="1900" w:type="dxa"/>
            <w:vAlign w:val="bottom"/>
            <w:gridSpan w:val="2"/>
            <w:shd w:val="clear" w:color="auto" w:fill="B2B2B2"/>
          </w:tcPr>
          <w:p>
            <w:pPr>
              <w:jc w:val="right"/>
              <w:ind w:right="410"/>
              <w:spacing w:after="0"/>
              <w:rPr>
                <w:sz w:val="20"/>
                <w:szCs w:val="20"/>
                <w:color w:val="auto"/>
              </w:rPr>
            </w:pPr>
            <w:r>
              <w:rPr>
                <w:rFonts w:ascii="Arial" w:cs="Arial" w:eastAsia="Arial" w:hAnsi="Arial"/>
                <w:sz w:val="18"/>
                <w:szCs w:val="18"/>
                <w:color w:val="auto"/>
              </w:rPr>
              <w:t>​$3,081,250</w:t>
            </w:r>
          </w:p>
        </w:tc>
        <w:tc>
          <w:tcPr>
            <w:tcW w:w="160" w:type="dxa"/>
            <w:vAlign w:val="bottom"/>
            <w:shd w:val="clear" w:color="auto" w:fill="B2B2B2"/>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B2B2B2"/>
          </w:tcPr>
          <w:p>
            <w:pPr>
              <w:spacing w:after="0"/>
              <w:rPr>
                <w:sz w:val="21"/>
                <w:szCs w:val="21"/>
                <w:color w:val="auto"/>
              </w:rPr>
            </w:pPr>
          </w:p>
        </w:tc>
        <w:tc>
          <w:tcPr>
            <w:tcW w:w="1800" w:type="dxa"/>
            <w:vAlign w:val="bottom"/>
            <w:gridSpan w:val="3"/>
            <w:shd w:val="clear" w:color="auto" w:fill="B2B2B2"/>
          </w:tcPr>
          <w:p>
            <w:pPr>
              <w:jc w:val="right"/>
              <w:ind w:right="440"/>
              <w:spacing w:after="0"/>
              <w:rPr>
                <w:sz w:val="20"/>
                <w:szCs w:val="20"/>
                <w:color w:val="auto"/>
              </w:rPr>
            </w:pPr>
            <w:r>
              <w:rPr>
                <w:rFonts w:ascii="Arial" w:cs="Arial" w:eastAsia="Arial" w:hAnsi="Arial"/>
                <w:sz w:val="18"/>
                <w:szCs w:val="18"/>
                <w:color w:val="auto"/>
              </w:rPr>
              <w:t>​$3,653,427</w:t>
            </w:r>
          </w:p>
        </w:tc>
        <w:tc>
          <w:tcPr>
            <w:tcW w:w="60" w:type="dxa"/>
            <w:vAlign w:val="bottom"/>
            <w:shd w:val="clear" w:color="auto" w:fill="B2B2B2"/>
          </w:tcPr>
          <w:p>
            <w:pPr>
              <w:ind w:left="20"/>
              <w:spacing w:after="0"/>
              <w:rPr>
                <w:sz w:val="20"/>
                <w:szCs w:val="20"/>
                <w:color w:val="auto"/>
              </w:rPr>
            </w:pPr>
            <w:r>
              <w:rPr>
                <w:rFonts w:ascii="Arial" w:cs="Arial" w:eastAsia="Arial" w:hAnsi="Arial"/>
                <w:sz w:val="18"/>
                <w:szCs w:val="18"/>
                <w:color w:val="auto"/>
              </w:rPr>
              <w:t>​</w:t>
            </w:r>
          </w:p>
        </w:tc>
      </w:tr>
      <w:tr>
        <w:trPr>
          <w:trHeight w:val="257"/>
        </w:trPr>
        <w:tc>
          <w:tcPr>
            <w:tcW w:w="60" w:type="dxa"/>
            <w:vAlign w:val="bottom"/>
          </w:tcPr>
          <w:p>
            <w:pPr>
              <w:spacing w:after="0"/>
              <w:rPr>
                <w:sz w:val="22"/>
                <w:szCs w:val="22"/>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Paul Bullington</w:t>
            </w:r>
          </w:p>
        </w:tc>
        <w:tc>
          <w:tcPr>
            <w:tcW w:w="1160" w:type="dxa"/>
            <w:vAlign w:val="bottom"/>
          </w:tcPr>
          <w:p>
            <w:pPr>
              <w:spacing w:after="0"/>
              <w:rPr>
                <w:sz w:val="22"/>
                <w:szCs w:val="22"/>
                <w:color w:val="auto"/>
              </w:rPr>
            </w:pPr>
          </w:p>
        </w:tc>
        <w:tc>
          <w:tcPr>
            <w:tcW w:w="1900" w:type="dxa"/>
            <w:vAlign w:val="bottom"/>
            <w:gridSpan w:val="2"/>
          </w:tcPr>
          <w:p>
            <w:pPr>
              <w:jc w:val="right"/>
              <w:ind w:right="410"/>
              <w:spacing w:after="0"/>
              <w:rPr>
                <w:sz w:val="20"/>
                <w:szCs w:val="20"/>
                <w:color w:val="auto"/>
              </w:rPr>
            </w:pPr>
            <w:r>
              <w:rPr>
                <w:rFonts w:ascii="Arial" w:cs="Arial" w:eastAsia="Arial" w:hAnsi="Arial"/>
                <w:sz w:val="18"/>
                <w:szCs w:val="18"/>
                <w:color w:val="auto"/>
              </w:rPr>
              <w:t>​$1,472,900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0" w:type="dxa"/>
            <w:vAlign w:val="bottom"/>
            <w:gridSpan w:val="3"/>
          </w:tcPr>
          <w:p>
            <w:pPr>
              <w:jc w:val="right"/>
              <w:ind w:right="440"/>
              <w:spacing w:after="0"/>
              <w:rPr>
                <w:sz w:val="20"/>
                <w:szCs w:val="20"/>
                <w:color w:val="auto"/>
              </w:rPr>
            </w:pPr>
            <w:r>
              <w:rPr>
                <w:rFonts w:ascii="Arial" w:cs="Arial" w:eastAsia="Arial" w:hAnsi="Arial"/>
                <w:sz w:val="18"/>
                <w:szCs w:val="18"/>
                <w:color w:val="auto"/>
              </w:rPr>
              <w:t>​$1,746,413</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70"/>
        </w:trPr>
        <w:tc>
          <w:tcPr>
            <w:tcW w:w="60" w:type="dxa"/>
            <w:vAlign w:val="bottom"/>
            <w:shd w:val="clear" w:color="auto" w:fill="B2B2B2"/>
          </w:tcPr>
          <w:p>
            <w:pPr>
              <w:spacing w:after="0"/>
              <w:rPr>
                <w:sz w:val="23"/>
                <w:szCs w:val="23"/>
                <w:color w:val="auto"/>
              </w:rPr>
            </w:pPr>
          </w:p>
        </w:tc>
        <w:tc>
          <w:tcPr>
            <w:tcW w:w="29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John Harrobin</w:t>
            </w:r>
          </w:p>
        </w:tc>
        <w:tc>
          <w:tcPr>
            <w:tcW w:w="1160" w:type="dxa"/>
            <w:vAlign w:val="bottom"/>
            <w:shd w:val="clear" w:color="auto" w:fill="B2B2B2"/>
          </w:tcPr>
          <w:p>
            <w:pPr>
              <w:spacing w:after="0"/>
              <w:rPr>
                <w:sz w:val="23"/>
                <w:szCs w:val="23"/>
                <w:color w:val="auto"/>
              </w:rPr>
            </w:pPr>
          </w:p>
        </w:tc>
        <w:tc>
          <w:tcPr>
            <w:tcW w:w="1900" w:type="dxa"/>
            <w:vAlign w:val="bottom"/>
            <w:gridSpan w:val="2"/>
            <w:shd w:val="clear" w:color="auto" w:fill="B2B2B2"/>
          </w:tcPr>
          <w:p>
            <w:pPr>
              <w:jc w:val="right"/>
              <w:ind w:right="410"/>
              <w:spacing w:after="0"/>
              <w:rPr>
                <w:sz w:val="20"/>
                <w:szCs w:val="20"/>
                <w:color w:val="auto"/>
              </w:rPr>
            </w:pPr>
            <w:r>
              <w:rPr>
                <w:rFonts w:ascii="Arial" w:cs="Arial" w:eastAsia="Arial" w:hAnsi="Arial"/>
                <w:sz w:val="18"/>
                <w:szCs w:val="18"/>
                <w:color w:val="auto"/>
              </w:rPr>
              <w:t>​$4,737,500</w:t>
            </w:r>
          </w:p>
        </w:tc>
        <w:tc>
          <w:tcPr>
            <w:tcW w:w="160" w:type="dxa"/>
            <w:vAlign w:val="bottom"/>
            <w:shd w:val="clear" w:color="auto" w:fill="B2B2B2"/>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B2B2B2"/>
          </w:tcPr>
          <w:p>
            <w:pPr>
              <w:spacing w:after="0"/>
              <w:rPr>
                <w:sz w:val="23"/>
                <w:szCs w:val="23"/>
                <w:color w:val="auto"/>
              </w:rPr>
            </w:pPr>
          </w:p>
        </w:tc>
        <w:tc>
          <w:tcPr>
            <w:tcW w:w="1800" w:type="dxa"/>
            <w:vAlign w:val="bottom"/>
            <w:gridSpan w:val="3"/>
            <w:shd w:val="clear" w:color="auto" w:fill="B2B2B2"/>
          </w:tcPr>
          <w:p>
            <w:pPr>
              <w:jc w:val="right"/>
              <w:ind w:right="440"/>
              <w:spacing w:after="0"/>
              <w:rPr>
                <w:sz w:val="20"/>
                <w:szCs w:val="20"/>
                <w:color w:val="auto"/>
              </w:rPr>
            </w:pPr>
            <w:r>
              <w:rPr>
                <w:rFonts w:ascii="Arial" w:cs="Arial" w:eastAsia="Arial" w:hAnsi="Arial"/>
                <w:sz w:val="18"/>
                <w:szCs w:val="18"/>
                <w:color w:val="auto"/>
              </w:rPr>
              <w:t>​$4,908,833</w:t>
            </w:r>
          </w:p>
        </w:tc>
        <w:tc>
          <w:tcPr>
            <w:tcW w:w="60" w:type="dxa"/>
            <w:vAlign w:val="bottom"/>
            <w:shd w:val="clear" w:color="auto" w:fill="B2B2B2"/>
          </w:tcPr>
          <w:p>
            <w:pPr>
              <w:ind w:left="20"/>
              <w:spacing w:after="0"/>
              <w:rPr>
                <w:sz w:val="20"/>
                <w:szCs w:val="20"/>
                <w:color w:val="auto"/>
              </w:rPr>
            </w:pPr>
            <w:r>
              <w:rPr>
                <w:rFonts w:ascii="Arial" w:cs="Arial" w:eastAsia="Arial" w:hAnsi="Arial"/>
                <w:sz w:val="18"/>
                <w:szCs w:val="18"/>
                <w:color w:val="auto"/>
              </w:rPr>
              <w:t>​</w:t>
            </w:r>
          </w:p>
        </w:tc>
      </w:tr>
      <w:tr>
        <w:trPr>
          <w:trHeight w:val="270"/>
        </w:trPr>
        <w:tc>
          <w:tcPr>
            <w:tcW w:w="60" w:type="dxa"/>
            <w:vAlign w:val="bottom"/>
          </w:tcPr>
          <w:p>
            <w:pPr>
              <w:spacing w:after="0"/>
              <w:rPr>
                <w:sz w:val="23"/>
                <w:szCs w:val="23"/>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Daniel L. Heard</w:t>
            </w:r>
          </w:p>
        </w:tc>
        <w:tc>
          <w:tcPr>
            <w:tcW w:w="1160" w:type="dxa"/>
            <w:vAlign w:val="bottom"/>
          </w:tcPr>
          <w:p>
            <w:pPr>
              <w:spacing w:after="0"/>
              <w:rPr>
                <w:sz w:val="23"/>
                <w:szCs w:val="23"/>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742,630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880,527</w:t>
            </w:r>
          </w:p>
        </w:tc>
        <w:tc>
          <w:tcPr>
            <w:tcW w:w="20" w:type="dxa"/>
            <w:vAlign w:val="bottom"/>
          </w:tcPr>
          <w:p>
            <w:pPr>
              <w:spacing w:after="0"/>
              <w:rPr>
                <w:sz w:val="23"/>
                <w:szCs w:val="23"/>
                <w:color w:val="auto"/>
              </w:rPr>
            </w:pP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70"/>
        </w:trPr>
        <w:tc>
          <w:tcPr>
            <w:tcW w:w="60" w:type="dxa"/>
            <w:vAlign w:val="bottom"/>
            <w:shd w:val="clear" w:color="auto" w:fill="B2B2B2"/>
          </w:tcPr>
          <w:p>
            <w:pPr>
              <w:spacing w:after="0"/>
              <w:rPr>
                <w:sz w:val="23"/>
                <w:szCs w:val="23"/>
                <w:color w:val="auto"/>
              </w:rPr>
            </w:pPr>
          </w:p>
        </w:tc>
        <w:tc>
          <w:tcPr>
            <w:tcW w:w="29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Michael Friloux</w:t>
            </w:r>
          </w:p>
        </w:tc>
        <w:tc>
          <w:tcPr>
            <w:tcW w:w="1160" w:type="dxa"/>
            <w:vAlign w:val="bottom"/>
            <w:shd w:val="clear" w:color="auto" w:fill="B2B2B2"/>
          </w:tcPr>
          <w:p>
            <w:pPr>
              <w:spacing w:after="0"/>
              <w:rPr>
                <w:sz w:val="23"/>
                <w:szCs w:val="23"/>
                <w:color w:val="auto"/>
              </w:rPr>
            </w:pPr>
          </w:p>
        </w:tc>
        <w:tc>
          <w:tcPr>
            <w:tcW w:w="660" w:type="dxa"/>
            <w:vAlign w:val="bottom"/>
            <w:shd w:val="clear" w:color="auto" w:fill="B2B2B2"/>
          </w:tcPr>
          <w:p>
            <w:pPr>
              <w:ind w:left="4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B2B2B2"/>
          </w:tcPr>
          <w:p>
            <w:pPr>
              <w:jc w:val="right"/>
              <w:ind w:right="410"/>
              <w:spacing w:after="0"/>
              <w:rPr>
                <w:sz w:val="20"/>
                <w:szCs w:val="20"/>
                <w:color w:val="auto"/>
              </w:rPr>
            </w:pPr>
            <w:r>
              <w:rPr>
                <w:rFonts w:ascii="Arial" w:cs="Arial" w:eastAsia="Arial" w:hAnsi="Arial"/>
                <w:sz w:val="18"/>
                <w:szCs w:val="18"/>
                <w:color w:val="auto"/>
              </w:rPr>
              <w:t>603,388</w:t>
            </w:r>
          </w:p>
        </w:tc>
        <w:tc>
          <w:tcPr>
            <w:tcW w:w="160" w:type="dxa"/>
            <w:vAlign w:val="bottom"/>
            <w:shd w:val="clear" w:color="auto" w:fill="B2B2B2"/>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B2B2B2"/>
          </w:tcPr>
          <w:p>
            <w:pPr>
              <w:spacing w:after="0"/>
              <w:rPr>
                <w:sz w:val="23"/>
                <w:szCs w:val="23"/>
                <w:color w:val="auto"/>
              </w:rPr>
            </w:pPr>
          </w:p>
        </w:tc>
        <w:tc>
          <w:tcPr>
            <w:tcW w:w="620" w:type="dxa"/>
            <w:vAlign w:val="bottom"/>
            <w:shd w:val="clear" w:color="auto" w:fill="B2B2B2"/>
          </w:tcPr>
          <w:p>
            <w:pPr>
              <w:ind w:left="4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2B2B2"/>
          </w:tcPr>
          <w:p>
            <w:pPr>
              <w:jc w:val="right"/>
              <w:ind w:right="330"/>
              <w:spacing w:after="0"/>
              <w:rPr>
                <w:sz w:val="20"/>
                <w:szCs w:val="20"/>
                <w:color w:val="auto"/>
              </w:rPr>
            </w:pPr>
            <w:r>
              <w:rPr>
                <w:rFonts w:ascii="Arial" w:cs="Arial" w:eastAsia="Arial" w:hAnsi="Arial"/>
                <w:sz w:val="18"/>
                <w:szCs w:val="18"/>
                <w:color w:val="auto"/>
              </w:rPr>
              <w:t>715,433</w:t>
            </w:r>
          </w:p>
        </w:tc>
        <w:tc>
          <w:tcPr>
            <w:tcW w:w="20" w:type="dxa"/>
            <w:vAlign w:val="bottom"/>
            <w:shd w:val="clear" w:color="auto" w:fill="B2B2B2"/>
          </w:tcPr>
          <w:p>
            <w:pPr>
              <w:spacing w:after="0"/>
              <w:rPr>
                <w:sz w:val="23"/>
                <w:szCs w:val="23"/>
                <w:color w:val="auto"/>
              </w:rPr>
            </w:pPr>
          </w:p>
        </w:tc>
        <w:tc>
          <w:tcPr>
            <w:tcW w:w="60" w:type="dxa"/>
            <w:vAlign w:val="bottom"/>
            <w:shd w:val="clear" w:color="auto" w:fill="B2B2B2"/>
          </w:tcPr>
          <w:p>
            <w:pPr>
              <w:ind w:left="20"/>
              <w:spacing w:after="0"/>
              <w:rPr>
                <w:sz w:val="20"/>
                <w:szCs w:val="20"/>
                <w:color w:val="auto"/>
              </w:rPr>
            </w:pPr>
            <w:r>
              <w:rPr>
                <w:rFonts w:ascii="Arial" w:cs="Arial" w:eastAsia="Arial" w:hAnsi="Arial"/>
                <w:sz w:val="18"/>
                <w:szCs w:val="18"/>
                <w:color w:val="auto"/>
              </w:rPr>
              <w:t>​</w:t>
            </w:r>
          </w:p>
        </w:tc>
      </w:tr>
    </w:tbl>
    <w:p>
      <w:pPr>
        <w:spacing w:after="0" w:line="184" w:lineRule="exact"/>
        <w:rPr>
          <w:sz w:val="20"/>
          <w:szCs w:val="20"/>
          <w:color w:val="auto"/>
        </w:rPr>
      </w:pPr>
    </w:p>
    <w:p>
      <w:pPr>
        <w:ind w:left="1260" w:right="439" w:firstLine="648"/>
        <w:spacing w:after="0" w:line="248" w:lineRule="auto"/>
        <w:rPr>
          <w:sz w:val="20"/>
          <w:szCs w:val="20"/>
          <w:color w:val="auto"/>
        </w:rPr>
      </w:pPr>
      <w:r>
        <w:rPr>
          <w:rFonts w:ascii="Arial" w:cs="Arial" w:eastAsia="Arial" w:hAnsi="Arial"/>
          <w:sz w:val="18"/>
          <w:szCs w:val="18"/>
          <w:color w:val="auto"/>
        </w:rPr>
        <w:t>While our short-term cash incentive plans are designed to incentivize achievement of specific near-term financial and operational performance goals, equity incentive opportunities are designed to focus on long-term performance by linking a substantial portion of compensation to the long-term stability and success of our Company. The equity awards granted by Old Uniti in 2025 were designed to appropriately align the long-term interests of the executive officers with that of the stockholders and serve as a critical tool in attracting and retaining qualified executives.</w:t>
      </w:r>
    </w:p>
    <w:p>
      <w:pPr>
        <w:spacing w:after="0" w:line="175" w:lineRule="exact"/>
        <w:rPr>
          <w:sz w:val="20"/>
          <w:szCs w:val="20"/>
          <w:color w:val="auto"/>
        </w:rPr>
      </w:pPr>
    </w:p>
    <w:p>
      <w:pPr>
        <w:ind w:left="1260" w:right="499" w:firstLine="648"/>
        <w:spacing w:after="0" w:line="271" w:lineRule="auto"/>
        <w:rPr>
          <w:sz w:val="20"/>
          <w:szCs w:val="20"/>
          <w:color w:val="auto"/>
        </w:rPr>
      </w:pPr>
      <w:r>
        <w:rPr>
          <w:rFonts w:ascii="Arial" w:cs="Arial" w:eastAsia="Arial" w:hAnsi="Arial"/>
          <w:sz w:val="17"/>
          <w:szCs w:val="17"/>
          <w:i w:val="1"/>
          <w:iCs w:val="1"/>
          <w:color w:val="00ABD1"/>
        </w:rPr>
        <w:t xml:space="preserve">Special Merger Grants. </w:t>
      </w:r>
      <w:r>
        <w:rPr>
          <w:rFonts w:ascii="Arial" w:cs="Arial" w:eastAsia="Arial" w:hAnsi="Arial"/>
          <w:sz w:val="17"/>
          <w:szCs w:val="17"/>
          <w:color w:val="000000"/>
        </w:rPr>
        <w:t>In connection with the Merger, previously disclosed one-time equity</w:t>
      </w:r>
      <w:r>
        <w:rPr>
          <w:rFonts w:ascii="Arial" w:cs="Arial" w:eastAsia="Arial" w:hAnsi="Arial"/>
          <w:sz w:val="17"/>
          <w:szCs w:val="17"/>
          <w:i w:val="1"/>
          <w:iCs w:val="1"/>
          <w:color w:val="00ABD1"/>
        </w:rPr>
        <w:t xml:space="preserve"> </w:t>
      </w:r>
      <w:r>
        <w:rPr>
          <w:rFonts w:ascii="Arial" w:cs="Arial" w:eastAsia="Arial" w:hAnsi="Arial"/>
          <w:sz w:val="17"/>
          <w:szCs w:val="17"/>
          <w:color w:val="000000"/>
        </w:rPr>
        <w:t>awards granted in 2024 (the “Special Merger Grants”), consisting of PBRSUs (the “Merger PBRSUs”) and time-based restricted stock (the “Merger RSAs”) were assumed by the Company and converted into awards denominated in shares of Company common stock in accordance with the Merger Agreement. These awards were designed to create additional incentives that extend beyond the stockholder return objectives and time frame of previously granted equity awards, with the goal of driving outstanding levels of performance and value creation during the three-year period after closing of the Merger. The Special Merger Grants were also intended to provide additional incentives for Old Uniti’s executive officers to consider further value-creating transactions following the closing of the Merger.</w:t>
      </w:r>
    </w:p>
    <w:p>
      <w:pPr>
        <w:spacing w:after="0" w:line="174" w:lineRule="exact"/>
        <w:rPr>
          <w:sz w:val="20"/>
          <w:szCs w:val="20"/>
          <w:color w:val="auto"/>
        </w:rPr>
      </w:pPr>
    </w:p>
    <w:p>
      <w:pPr>
        <w:ind w:left="1260" w:right="479" w:firstLine="648"/>
        <w:spacing w:after="0" w:line="259" w:lineRule="auto"/>
        <w:rPr>
          <w:sz w:val="20"/>
          <w:szCs w:val="20"/>
          <w:color w:val="auto"/>
        </w:rPr>
      </w:pPr>
      <w:r>
        <w:rPr>
          <w:rFonts w:ascii="Arial" w:cs="Arial" w:eastAsia="Arial" w:hAnsi="Arial"/>
          <w:sz w:val="18"/>
          <w:szCs w:val="18"/>
          <w:color w:val="auto"/>
        </w:rPr>
        <w:t>The Merger RSAs vest in installments of 20%, 30% and 50% on the first, second and third anniversaries of the closing of the Merger. The Merger PBRSUs vest based on the Company’s relative TSR metric over a three-year period beginning on August 1, 2025, measured against the peer group (the “Merger PBRSU Peer Group”) set forth below that was established by the Compensation Committee following the closing of the Merger:</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8"/>
          <w:szCs w:val="18"/>
          <w:color w:val="00ABD1"/>
        </w:rPr>
        <w:t>Peer Group for Evaluating the Merger PBRSUs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57" w:lineRule="exact"/>
        <w:rPr>
          <w:sz w:val="20"/>
          <w:szCs w:val="20"/>
          <w:color w:val="auto"/>
        </w:rPr>
      </w:pPr>
    </w:p>
    <w:tbl>
      <w:tblPr>
        <w:tblLayout w:type="fixed"/>
        <w:tblInd w:w="1260" w:type="dxa"/>
        <w:tblCellMar>
          <w:top w:w="0" w:type="dxa"/>
          <w:left w:w="0" w:type="dxa"/>
          <w:bottom w:w="0" w:type="dxa"/>
          <w:right w:w="0" w:type="dxa"/>
        </w:tblCellMar>
      </w:tblPr>
      <w:tr>
        <w:trPr>
          <w:trHeight w:val="235"/>
        </w:trPr>
        <w:tc>
          <w:tcPr>
            <w:tcW w:w="3660" w:type="dxa"/>
            <w:vAlign w:val="bottom"/>
          </w:tcPr>
          <w:p>
            <w:pPr>
              <w:spacing w:after="0"/>
              <w:rPr>
                <w:sz w:val="20"/>
                <w:szCs w:val="20"/>
                <w:color w:val="auto"/>
              </w:rPr>
            </w:pPr>
            <w:r>
              <w:rPr>
                <w:rFonts w:ascii="Arial" w:cs="Arial" w:eastAsia="Arial" w:hAnsi="Arial"/>
                <w:sz w:val="18"/>
                <w:szCs w:val="18"/>
                <w:color w:val="auto"/>
              </w:rPr>
              <w:t>American Tower Corporation (AMT)</w:t>
            </w:r>
          </w:p>
        </w:tc>
        <w:tc>
          <w:tcPr>
            <w:tcW w:w="4540" w:type="dxa"/>
            <w:vAlign w:val="bottom"/>
          </w:tcPr>
          <w:p>
            <w:pPr>
              <w:ind w:left="100"/>
              <w:spacing w:after="0"/>
              <w:rPr>
                <w:sz w:val="20"/>
                <w:szCs w:val="20"/>
                <w:color w:val="auto"/>
              </w:rPr>
            </w:pPr>
            <w:r>
              <w:rPr>
                <w:rFonts w:ascii="Arial" w:cs="Arial" w:eastAsia="Arial" w:hAnsi="Arial"/>
                <w:sz w:val="18"/>
                <w:szCs w:val="18"/>
                <w:color w:val="auto"/>
              </w:rPr>
              <w:t>Qorvo, Inc. (QRVO)</w:t>
            </w:r>
          </w:p>
        </w:tc>
      </w:tr>
      <w:tr>
        <w:trPr>
          <w:trHeight w:val="256"/>
        </w:trPr>
        <w:tc>
          <w:tcPr>
            <w:tcW w:w="3660" w:type="dxa"/>
            <w:vAlign w:val="bottom"/>
            <w:shd w:val="clear" w:color="auto" w:fill="B2B2B2"/>
          </w:tcPr>
          <w:p>
            <w:pPr>
              <w:spacing w:after="0"/>
              <w:rPr>
                <w:sz w:val="20"/>
                <w:szCs w:val="20"/>
                <w:color w:val="auto"/>
              </w:rPr>
            </w:pPr>
            <w:r>
              <w:rPr>
                <w:rFonts w:ascii="Arial" w:cs="Arial" w:eastAsia="Arial" w:hAnsi="Arial"/>
                <w:sz w:val="18"/>
                <w:szCs w:val="18"/>
                <w:color w:val="auto"/>
              </w:rPr>
              <w:t>Crown Castle Inc. (CCI)</w:t>
            </w:r>
          </w:p>
        </w:tc>
        <w:tc>
          <w:tcPr>
            <w:tcW w:w="4540" w:type="dxa"/>
            <w:vAlign w:val="bottom"/>
            <w:shd w:val="clear" w:color="auto" w:fill="B2B2B2"/>
          </w:tcPr>
          <w:p>
            <w:pPr>
              <w:ind w:left="100"/>
              <w:spacing w:after="0"/>
              <w:rPr>
                <w:sz w:val="20"/>
                <w:szCs w:val="20"/>
                <w:color w:val="auto"/>
              </w:rPr>
            </w:pPr>
            <w:r>
              <w:rPr>
                <w:rFonts w:ascii="Arial" w:cs="Arial" w:eastAsia="Arial" w:hAnsi="Arial"/>
                <w:sz w:val="18"/>
                <w:szCs w:val="18"/>
                <w:color w:val="auto"/>
              </w:rPr>
              <w:t>Viasat, Inc. (VSAT)</w:t>
            </w:r>
          </w:p>
        </w:tc>
      </w:tr>
      <w:tr>
        <w:trPr>
          <w:trHeight w:val="257"/>
        </w:trPr>
        <w:tc>
          <w:tcPr>
            <w:tcW w:w="3660" w:type="dxa"/>
            <w:vAlign w:val="bottom"/>
          </w:tcPr>
          <w:p>
            <w:pPr>
              <w:spacing w:after="0"/>
              <w:rPr>
                <w:sz w:val="20"/>
                <w:szCs w:val="20"/>
                <w:color w:val="auto"/>
              </w:rPr>
            </w:pPr>
            <w:r>
              <w:rPr>
                <w:rFonts w:ascii="Arial" w:cs="Arial" w:eastAsia="Arial" w:hAnsi="Arial"/>
                <w:sz w:val="18"/>
                <w:szCs w:val="18"/>
                <w:color w:val="auto"/>
              </w:rPr>
              <w:t>Sirius XM Holdings Inc. (SIRI)</w:t>
            </w:r>
          </w:p>
        </w:tc>
        <w:tc>
          <w:tcPr>
            <w:tcW w:w="4540" w:type="dxa"/>
            <w:vAlign w:val="bottom"/>
          </w:tcPr>
          <w:p>
            <w:pPr>
              <w:ind w:left="100"/>
              <w:spacing w:after="0"/>
              <w:rPr>
                <w:sz w:val="20"/>
                <w:szCs w:val="20"/>
                <w:color w:val="auto"/>
              </w:rPr>
            </w:pPr>
            <w:r>
              <w:rPr>
                <w:rFonts w:ascii="Arial" w:cs="Arial" w:eastAsia="Arial" w:hAnsi="Arial"/>
                <w:sz w:val="18"/>
                <w:szCs w:val="18"/>
                <w:color w:val="auto"/>
              </w:rPr>
              <w:t>Iridium Communications Inc. (IRDM)</w:t>
            </w:r>
          </w:p>
        </w:tc>
      </w:tr>
      <w:tr>
        <w:trPr>
          <w:trHeight w:val="270"/>
        </w:trPr>
        <w:tc>
          <w:tcPr>
            <w:tcW w:w="3660" w:type="dxa"/>
            <w:vAlign w:val="bottom"/>
            <w:shd w:val="clear" w:color="auto" w:fill="B2B2B2"/>
          </w:tcPr>
          <w:p>
            <w:pPr>
              <w:spacing w:after="0"/>
              <w:rPr>
                <w:sz w:val="20"/>
                <w:szCs w:val="20"/>
                <w:color w:val="auto"/>
              </w:rPr>
            </w:pPr>
            <w:r>
              <w:rPr>
                <w:rFonts w:ascii="Arial" w:cs="Arial" w:eastAsia="Arial" w:hAnsi="Arial"/>
                <w:sz w:val="18"/>
                <w:szCs w:val="18"/>
                <w:color w:val="auto"/>
              </w:rPr>
              <w:t>Lumen Technologies, Inc. (LUMN)</w:t>
            </w:r>
          </w:p>
        </w:tc>
        <w:tc>
          <w:tcPr>
            <w:tcW w:w="4540" w:type="dxa"/>
            <w:vAlign w:val="bottom"/>
            <w:shd w:val="clear" w:color="auto" w:fill="B2B2B2"/>
          </w:tcPr>
          <w:p>
            <w:pPr>
              <w:ind w:left="100"/>
              <w:spacing w:after="0"/>
              <w:rPr>
                <w:sz w:val="20"/>
                <w:szCs w:val="20"/>
                <w:color w:val="auto"/>
              </w:rPr>
            </w:pPr>
            <w:r>
              <w:rPr>
                <w:rFonts w:ascii="Arial" w:cs="Arial" w:eastAsia="Arial" w:hAnsi="Arial"/>
                <w:sz w:val="18"/>
                <w:szCs w:val="18"/>
                <w:color w:val="auto"/>
              </w:rPr>
              <w:t>Cogent Communications Holdings, Inc. (CCOI)</w:t>
            </w:r>
          </w:p>
        </w:tc>
      </w:tr>
      <w:tr>
        <w:trPr>
          <w:trHeight w:val="260"/>
        </w:trPr>
        <w:tc>
          <w:tcPr>
            <w:tcW w:w="3660" w:type="dxa"/>
            <w:vAlign w:val="bottom"/>
          </w:tcPr>
          <w:p>
            <w:pPr>
              <w:spacing w:after="0"/>
              <w:rPr>
                <w:sz w:val="20"/>
                <w:szCs w:val="20"/>
                <w:color w:val="auto"/>
              </w:rPr>
            </w:pPr>
            <w:r>
              <w:rPr>
                <w:rFonts w:ascii="Arial" w:cs="Arial" w:eastAsia="Arial" w:hAnsi="Arial"/>
                <w:sz w:val="18"/>
                <w:szCs w:val="18"/>
                <w:color w:val="auto"/>
              </w:rPr>
              <w:t>Frontier Communications Parent, Inc. (FYBR)</w:t>
            </w:r>
          </w:p>
        </w:tc>
        <w:tc>
          <w:tcPr>
            <w:tcW w:w="4540" w:type="dxa"/>
            <w:vAlign w:val="bottom"/>
          </w:tcPr>
          <w:p>
            <w:pPr>
              <w:ind w:left="100"/>
              <w:spacing w:after="0"/>
              <w:rPr>
                <w:sz w:val="20"/>
                <w:szCs w:val="20"/>
                <w:color w:val="auto"/>
              </w:rPr>
            </w:pPr>
            <w:r>
              <w:rPr>
                <w:rFonts w:ascii="Arial" w:cs="Arial" w:eastAsia="Arial" w:hAnsi="Arial"/>
                <w:sz w:val="18"/>
                <w:szCs w:val="18"/>
                <w:color w:val="auto"/>
              </w:rPr>
              <w:t>EchoStar Corporation (SATS)</w:t>
            </w:r>
          </w:p>
        </w:tc>
      </w:tr>
    </w:tbl>
    <w:p>
      <w:pPr>
        <w:spacing w:after="0" w:line="207" w:lineRule="exact"/>
        <w:rPr>
          <w:sz w:val="20"/>
          <w:szCs w:val="20"/>
          <w:color w:val="auto"/>
        </w:rPr>
      </w:pPr>
    </w:p>
    <w:p>
      <w:pPr>
        <w:jc w:val="both"/>
        <w:ind w:left="1260" w:right="659" w:firstLine="648"/>
        <w:spacing w:after="0" w:line="291" w:lineRule="auto"/>
        <w:rPr>
          <w:sz w:val="20"/>
          <w:szCs w:val="20"/>
          <w:color w:val="auto"/>
        </w:rPr>
      </w:pPr>
      <w:r>
        <w:rPr>
          <w:rFonts w:ascii="Arial" w:cs="Arial" w:eastAsia="Arial" w:hAnsi="Arial"/>
          <w:sz w:val="17"/>
          <w:szCs w:val="17"/>
          <w:color w:val="auto"/>
        </w:rPr>
        <w:t>The material terms of the Special Merger Grants were otherwise disclosed in Old Uniti’s proxy statement for its 2025 annual meeting of stockholders. Additional information regarding the accounting treatment of these awards is included in the Summary Compensation Table and related footnotes.</w:t>
      </w:r>
    </w:p>
    <w:p>
      <w:pPr>
        <w:spacing w:after="0" w:line="153" w:lineRule="exact"/>
        <w:rPr>
          <w:sz w:val="20"/>
          <w:szCs w:val="20"/>
          <w:color w:val="auto"/>
        </w:rPr>
      </w:pPr>
    </w:p>
    <w:p>
      <w:pPr>
        <w:ind w:left="1260" w:right="439" w:firstLine="648"/>
        <w:spacing w:after="0" w:line="257" w:lineRule="auto"/>
        <w:rPr>
          <w:sz w:val="20"/>
          <w:szCs w:val="20"/>
          <w:color w:val="auto"/>
        </w:rPr>
      </w:pPr>
      <w:r>
        <w:rPr>
          <w:rFonts w:ascii="Arial" w:cs="Arial" w:eastAsia="Arial" w:hAnsi="Arial"/>
          <w:sz w:val="18"/>
          <w:szCs w:val="18"/>
          <w:i w:val="1"/>
          <w:iCs w:val="1"/>
          <w:color w:val="00ABD1"/>
        </w:rPr>
        <w:t xml:space="preserve">2022 PBRSU Results. </w:t>
      </w:r>
      <w:r>
        <w:rPr>
          <w:rFonts w:ascii="Arial" w:cs="Arial" w:eastAsia="Arial" w:hAnsi="Arial"/>
          <w:sz w:val="18"/>
          <w:szCs w:val="18"/>
          <w:color w:val="000000"/>
        </w:rPr>
        <w:t>In 2022, we granted PBRSUs to each of Mr. Gunderman, Mr. Bullington,</w:t>
      </w:r>
      <w:r>
        <w:rPr>
          <w:rFonts w:ascii="Arial" w:cs="Arial" w:eastAsia="Arial" w:hAnsi="Arial"/>
          <w:sz w:val="18"/>
          <w:szCs w:val="18"/>
          <w:i w:val="1"/>
          <w:iCs w:val="1"/>
          <w:color w:val="00ABD1"/>
        </w:rPr>
        <w:t xml:space="preserve"> </w:t>
      </w:r>
      <w:r>
        <w:rPr>
          <w:rFonts w:ascii="Arial" w:cs="Arial" w:eastAsia="Arial" w:hAnsi="Arial"/>
          <w:sz w:val="18"/>
          <w:szCs w:val="18"/>
          <w:color w:val="000000"/>
        </w:rPr>
        <w:t>Mr. Heard and Mr. Friloux that were eligible for vesting in February 2025 if we met specified relative TSR performance goals over a three-year period ended February 23, 2025. In measuring our relative TSR, 50% was weighted to our performance against our 2022 TSR comparator peer group (as previously disclosed), measured by percentile ranking. As a result of actual performance, none of the 2022 PBRSUs vested.</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color w:val="00ABD1"/>
        </w:rPr>
        <w:t>Other Compensation Practices, Policies and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3" w:lineRule="exact"/>
        <w:rPr>
          <w:sz w:val="20"/>
          <w:szCs w:val="20"/>
          <w:color w:val="auto"/>
        </w:rPr>
      </w:pPr>
    </w:p>
    <w:p>
      <w:pPr>
        <w:ind w:left="1900"/>
        <w:spacing w:after="0"/>
        <w:tabs>
          <w:tab w:leader="none" w:pos="4340" w:val="left"/>
        </w:tabs>
        <w:rPr>
          <w:sz w:val="20"/>
          <w:szCs w:val="20"/>
          <w:color w:val="auto"/>
        </w:rPr>
      </w:pPr>
      <w:r>
        <w:rPr>
          <w:rFonts w:ascii="Arial" w:cs="Arial" w:eastAsia="Arial" w:hAnsi="Arial"/>
          <w:sz w:val="18"/>
          <w:szCs w:val="18"/>
          <w:i w:val="1"/>
          <w:iCs w:val="1"/>
          <w:color w:val="00ABD1"/>
        </w:rPr>
        <w:t>Stock Ownership Guidelines.</w:t>
      </w:r>
      <w:r>
        <w:rPr>
          <w:sz w:val="20"/>
          <w:szCs w:val="20"/>
          <w:color w:val="auto"/>
        </w:rPr>
        <w:tab/>
      </w:r>
      <w:r>
        <w:rPr>
          <w:rFonts w:ascii="Arial" w:cs="Arial" w:eastAsia="Arial" w:hAnsi="Arial"/>
          <w:sz w:val="17"/>
          <w:szCs w:val="17"/>
          <w:color w:val="auto"/>
        </w:rPr>
        <w:t>We believe that share ownership by our directors and senior</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officers helps to align their interests with our stockholders’ interests. We have adopted minimum stock</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ownership guidelines applicable to our directors and executive officers. Directors who are not executive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officers are expected to maintain beneficial ownership of shares of our common stock valued at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$500,000. Our executive officers are expected to maintain beneficial ownership of shares of our common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 with a value equal to the following:</w:t>
      </w:r>
    </w:p>
    <w:p>
      <w:pPr>
        <w:spacing w:after="0" w:line="234" w:lineRule="exact"/>
        <w:rPr>
          <w:sz w:val="20"/>
          <w:szCs w:val="20"/>
          <w:color w:val="auto"/>
        </w:rPr>
      </w:pPr>
    </w:p>
    <w:tbl>
      <w:tblPr>
        <w:tblLayout w:type="fixed"/>
        <w:tblInd w:w="2340" w:type="dxa"/>
        <w:tblCellMar>
          <w:top w:w="0" w:type="dxa"/>
          <w:left w:w="0" w:type="dxa"/>
          <w:bottom w:w="0" w:type="dxa"/>
          <w:right w:w="0" w:type="dxa"/>
        </w:tblCellMar>
      </w:tblPr>
      <w:tr>
        <w:trPr>
          <w:trHeight w:val="248"/>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Officer</w:t>
            </w:r>
          </w:p>
        </w:tc>
        <w:tc>
          <w:tcPr>
            <w:tcW w:w="1420" w:type="dxa"/>
            <w:vAlign w:val="bottom"/>
          </w:tcPr>
          <w:p>
            <w:pPr>
              <w:spacing w:after="0"/>
              <w:rPr>
                <w:sz w:val="21"/>
                <w:szCs w:val="21"/>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Ownership Level</w:t>
            </w:r>
          </w:p>
        </w:tc>
      </w:tr>
      <w:tr>
        <w:trPr>
          <w:trHeight w:val="20"/>
        </w:trPr>
        <w:tc>
          <w:tcPr>
            <w:tcW w:w="5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41"/>
        </w:trPr>
        <w:tc>
          <w:tcPr>
            <w:tcW w:w="300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3040" w:type="dxa"/>
            <w:vAlign w:val="bottom"/>
            <w:gridSpan w:val="3"/>
          </w:tcPr>
          <w:p>
            <w:pPr>
              <w:ind w:left="1220"/>
              <w:spacing w:after="0"/>
              <w:rPr>
                <w:sz w:val="20"/>
                <w:szCs w:val="20"/>
                <w:color w:val="auto"/>
              </w:rPr>
            </w:pPr>
            <w:r>
              <w:rPr>
                <w:rFonts w:ascii="Arial" w:cs="Arial" w:eastAsia="Arial" w:hAnsi="Arial"/>
                <w:sz w:val="18"/>
                <w:szCs w:val="18"/>
                <w:color w:val="auto"/>
              </w:rPr>
              <w:t>five times base salary</w:t>
            </w:r>
          </w:p>
        </w:tc>
      </w:tr>
      <w:tr>
        <w:trPr>
          <w:trHeight w:val="257"/>
        </w:trPr>
        <w:tc>
          <w:tcPr>
            <w:tcW w:w="3000" w:type="dxa"/>
            <w:vAlign w:val="bottom"/>
            <w:gridSpan w:val="2"/>
          </w:tcPr>
          <w:p>
            <w:pPr>
              <w:spacing w:after="0"/>
              <w:rPr>
                <w:sz w:val="20"/>
                <w:szCs w:val="20"/>
                <w:color w:val="auto"/>
              </w:rPr>
            </w:pPr>
            <w:r>
              <w:rPr>
                <w:rFonts w:ascii="Arial" w:cs="Arial" w:eastAsia="Arial" w:hAnsi="Arial"/>
                <w:sz w:val="18"/>
                <w:szCs w:val="18"/>
                <w:color w:val="auto"/>
              </w:rPr>
              <w:t>Other Officers</w:t>
            </w:r>
          </w:p>
        </w:tc>
        <w:tc>
          <w:tcPr>
            <w:tcW w:w="3040" w:type="dxa"/>
            <w:vAlign w:val="bottom"/>
            <w:gridSpan w:val="3"/>
          </w:tcPr>
          <w:p>
            <w:pPr>
              <w:ind w:left="1220"/>
              <w:spacing w:after="0"/>
              <w:rPr>
                <w:sz w:val="20"/>
                <w:szCs w:val="20"/>
                <w:color w:val="auto"/>
              </w:rPr>
            </w:pPr>
            <w:r>
              <w:rPr>
                <w:rFonts w:ascii="Arial" w:cs="Arial" w:eastAsia="Arial" w:hAnsi="Arial"/>
                <w:sz w:val="18"/>
                <w:szCs w:val="18"/>
                <w:color w:val="auto"/>
                <w:w w:val="96"/>
              </w:rPr>
              <w:t>three times base salary</w:t>
            </w:r>
          </w:p>
        </w:tc>
      </w:tr>
    </w:tbl>
    <w:p>
      <w:pPr>
        <w:spacing w:after="0" w:line="193" w:lineRule="exact"/>
        <w:rPr>
          <w:sz w:val="20"/>
          <w:szCs w:val="20"/>
          <w:color w:val="auto"/>
        </w:rPr>
      </w:pPr>
    </w:p>
    <w:p>
      <w:pPr>
        <w:ind w:left="1260" w:right="459" w:firstLine="648"/>
        <w:spacing w:after="0" w:line="253" w:lineRule="auto"/>
        <w:rPr>
          <w:sz w:val="20"/>
          <w:szCs w:val="20"/>
          <w:color w:val="auto"/>
        </w:rPr>
      </w:pPr>
      <w:r>
        <w:rPr>
          <w:rFonts w:ascii="Arial" w:cs="Arial" w:eastAsia="Arial" w:hAnsi="Arial"/>
          <w:sz w:val="18"/>
          <w:szCs w:val="18"/>
          <w:color w:val="auto"/>
        </w:rPr>
        <w:t>The minimum share requirement for each director or officer is calculated based on the 20-day trailing average of the closing price of a share of Company common stock ending on the day prior to the determination date. The determination date is calculated on the day of their initial appointment or election (or such later date as necessary to allow for a 20-day trailing average price to be calculated) and is recalculated annually at each annual meeting of stockholders. Until the director or officer satisfies the specified ownership levels, the guidelines require that each officer and director retain 100% of the shares received, net of tax payment obligations, upon the vesting of any stock or equity awards granted to such director or officer. For the purposes of the guidelines, stock options and unvested shares or units of restricted stock are not considered to be owned. The table below sets forth the applicable ownership guideline amount for each of our current directors and executive officers and the number of shares of common stock that each such officer or director is deemed to own under the guidelines as of March 23, 2026.</w:t>
      </w:r>
    </w:p>
    <w:p>
      <w:pPr>
        <w:spacing w:after="0" w:line="208"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Guideline</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320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w:t>
            </w:r>
          </w:p>
        </w:tc>
        <w:tc>
          <w:tcPr>
            <w:tcW w:w="2720" w:type="dxa"/>
            <w:vAlign w:val="bottom"/>
            <w:gridSpan w:val="3"/>
          </w:tcPr>
          <w:p>
            <w:pPr>
              <w:ind w:left="1180"/>
              <w:spacing w:after="0" w:line="240" w:lineRule="exact"/>
              <w:rPr>
                <w:sz w:val="20"/>
                <w:szCs w:val="20"/>
                <w:color w:val="auto"/>
              </w:rPr>
            </w:pPr>
            <w:r>
              <w:rPr>
                <w:rFonts w:ascii="Arial" w:cs="Arial" w:eastAsia="Arial" w:hAnsi="Arial"/>
                <w:sz w:val="18"/>
                <w:szCs w:val="18"/>
                <w:b w:val="1"/>
                <w:bCs w:val="1"/>
                <w:color w:val="auto"/>
              </w:rPr>
              <w:t>​ ​ Share Amount</w:t>
            </w:r>
            <w:r>
              <w:rPr>
                <w:rFonts w:ascii="Arial" w:cs="Arial" w:eastAsia="Arial" w:hAnsi="Arial"/>
                <w:sz w:val="23"/>
                <w:szCs w:val="23"/>
                <w:b w:val="1"/>
                <w:bCs w:val="1"/>
                <w:color w:val="auto"/>
                <w:vertAlign w:val="superscript"/>
              </w:rPr>
              <w:t>(1)</w:t>
            </w:r>
          </w:p>
        </w:tc>
        <w:tc>
          <w:tcPr>
            <w:tcW w:w="1580" w:type="dxa"/>
            <w:vAlign w:val="bottom"/>
            <w:gridSpan w:val="5"/>
          </w:tcPr>
          <w:p>
            <w:pPr>
              <w:ind w:left="60"/>
              <w:spacing w:after="0"/>
              <w:rPr>
                <w:sz w:val="20"/>
                <w:szCs w:val="20"/>
                <w:color w:val="auto"/>
              </w:rPr>
            </w:pPr>
            <w:r>
              <w:rPr>
                <w:rFonts w:ascii="Arial" w:cs="Arial" w:eastAsia="Arial" w:hAnsi="Arial"/>
                <w:sz w:val="18"/>
                <w:szCs w:val="18"/>
                <w:b w:val="1"/>
                <w:bCs w:val="1"/>
                <w:color w:val="auto"/>
              </w:rPr>
              <w:t>​ ​ Shares Owned ​</w:t>
            </w:r>
          </w:p>
        </w:tc>
      </w:tr>
      <w:tr>
        <w:trPr>
          <w:trHeight w:val="20"/>
        </w:trPr>
        <w:tc>
          <w:tcPr>
            <w:tcW w:w="60" w:type="dxa"/>
            <w:vAlign w:val="bottom"/>
            <w:tcBorders>
              <w:bottom w:val="single" w:sz="8" w:color="B2B2B2"/>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B2B2B2"/>
            </w:tcBorders>
          </w:tcPr>
          <w:p>
            <w:pPr>
              <w:spacing w:after="0" w:line="20" w:lineRule="exact"/>
              <w:rPr>
                <w:sz w:val="1"/>
                <w:szCs w:val="1"/>
                <w:color w:val="auto"/>
              </w:rPr>
            </w:pPr>
          </w:p>
        </w:tc>
        <w:tc>
          <w:tcPr>
            <w:tcW w:w="1360" w:type="dxa"/>
            <w:vAlign w:val="bottom"/>
            <w:tcBorders>
              <w:bottom w:val="single" w:sz="8" w:color="B2B2B2"/>
            </w:tcBorders>
          </w:tcPr>
          <w:p>
            <w:pPr>
              <w:spacing w:after="0" w:line="20" w:lineRule="exact"/>
              <w:rPr>
                <w:sz w:val="1"/>
                <w:szCs w:val="1"/>
                <w:color w:val="auto"/>
              </w:rPr>
            </w:pPr>
          </w:p>
        </w:tc>
        <w:tc>
          <w:tcPr>
            <w:tcW w:w="1340" w:type="dxa"/>
            <w:vAlign w:val="bottom"/>
            <w:tcBorders>
              <w:top w:val="single" w:sz="8" w:color="auto"/>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6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3200" w:type="dxa"/>
            <w:vAlign w:val="bottom"/>
            <w:gridSpan w:val="3"/>
            <w:shd w:val="clear" w:color="auto" w:fill="B2B2B2"/>
          </w:tcPr>
          <w:p>
            <w:pPr>
              <w:ind w:left="20"/>
              <w:spacing w:after="0"/>
              <w:rPr>
                <w:sz w:val="20"/>
                <w:szCs w:val="20"/>
                <w:color w:val="auto"/>
              </w:rPr>
            </w:pPr>
            <w:r>
              <w:rPr>
                <w:rFonts w:ascii="Arial" w:cs="Arial" w:eastAsia="Arial" w:hAnsi="Arial"/>
                <w:sz w:val="18"/>
                <w:szCs w:val="18"/>
                <w:color w:val="auto"/>
              </w:rPr>
              <w:t>​Scott G. Bruce</w:t>
            </w:r>
          </w:p>
        </w:tc>
        <w:tc>
          <w:tcPr>
            <w:tcW w:w="1360" w:type="dxa"/>
            <w:vAlign w:val="bottom"/>
            <w:shd w:val="clear" w:color="auto" w:fill="B2B2B2"/>
          </w:tcPr>
          <w:p>
            <w:pPr>
              <w:ind w:left="1180"/>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B2B2B2"/>
          </w:tcPr>
          <w:p>
            <w:pPr>
              <w:jc w:val="center"/>
              <w:ind w:righ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75,758</w:t>
            </w:r>
          </w:p>
        </w:tc>
        <w:tc>
          <w:tcPr>
            <w:tcW w:w="260" w:type="dxa"/>
            <w:vAlign w:val="bottom"/>
            <w:shd w:val="clear" w:color="auto" w:fill="B2B2B2"/>
          </w:tcPr>
          <w:p>
            <w:pPr>
              <w:spacing w:after="0"/>
              <w:rPr>
                <w:sz w:val="20"/>
                <w:szCs w:val="20"/>
                <w:color w:val="auto"/>
              </w:rPr>
            </w:pPr>
            <w:r>
              <w:rPr>
                <w:rFonts w:ascii="Arial" w:cs="Arial" w:eastAsia="Arial" w:hAnsi="Arial"/>
                <w:sz w:val="18"/>
                <w:szCs w:val="18"/>
                <w:color w:val="auto"/>
              </w:rPr>
              <w:t>​​ ​</w:t>
            </w:r>
          </w:p>
        </w:tc>
        <w:tc>
          <w:tcPr>
            <w:tcW w:w="1220" w:type="dxa"/>
            <w:vAlign w:val="bottom"/>
            <w:gridSpan w:val="2"/>
            <w:shd w:val="clear" w:color="auto" w:fill="B2B2B2"/>
          </w:tcPr>
          <w:p>
            <w:pPr>
              <w:jc w:val="right"/>
              <w:ind w:right="19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128,016</w:t>
            </w:r>
          </w:p>
        </w:tc>
        <w:tc>
          <w:tcPr>
            <w:tcW w:w="80" w:type="dxa"/>
            <w:vAlign w:val="bottom"/>
            <w:shd w:val="clear" w:color="auto" w:fill="B2B2B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56"/>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​Paul Bullington</w:t>
            </w:r>
          </w:p>
        </w:tc>
        <w:tc>
          <w:tcPr>
            <w:tcW w:w="1360" w:type="dxa"/>
            <w:vAlign w:val="bottom"/>
          </w:tcPr>
          <w:p>
            <w:pPr>
              <w:ind w:left="1180"/>
              <w:spacing w:after="0"/>
              <w:rPr>
                <w:sz w:val="20"/>
                <w:szCs w:val="20"/>
                <w:color w:val="auto"/>
              </w:rPr>
            </w:pPr>
            <w:r>
              <w:rPr>
                <w:rFonts w:ascii="Arial" w:cs="Arial" w:eastAsia="Arial" w:hAnsi="Arial"/>
                <w:sz w:val="18"/>
                <w:szCs w:val="18"/>
                <w:color w:val="auto"/>
              </w:rPr>
              <w:t>​ ​</w:t>
            </w: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206,000</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178,466</w:t>
            </w:r>
          </w:p>
        </w:tc>
        <w:tc>
          <w:tcPr>
            <w:tcW w:w="10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70"/>
        </w:trPr>
        <w:tc>
          <w:tcPr>
            <w:tcW w:w="3200" w:type="dxa"/>
            <w:vAlign w:val="bottom"/>
            <w:gridSpan w:val="3"/>
            <w:shd w:val="clear" w:color="auto" w:fill="B2B2B2"/>
          </w:tcPr>
          <w:p>
            <w:pPr>
              <w:ind w:left="20"/>
              <w:spacing w:after="0"/>
              <w:rPr>
                <w:sz w:val="20"/>
                <w:szCs w:val="20"/>
                <w:color w:val="auto"/>
              </w:rPr>
            </w:pPr>
            <w:r>
              <w:rPr>
                <w:rFonts w:ascii="Arial" w:cs="Arial" w:eastAsia="Arial" w:hAnsi="Arial"/>
                <w:sz w:val="18"/>
                <w:szCs w:val="18"/>
                <w:color w:val="auto"/>
              </w:rPr>
              <w:t>​Randy Dunbar</w:t>
            </w:r>
          </w:p>
        </w:tc>
        <w:tc>
          <w:tcPr>
            <w:tcW w:w="1360" w:type="dxa"/>
            <w:vAlign w:val="bottom"/>
            <w:shd w:val="clear" w:color="auto" w:fill="B2B2B2"/>
          </w:tcPr>
          <w:p>
            <w:pPr>
              <w:ind w:left="1180"/>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B2B2B2"/>
          </w:tcPr>
          <w:p>
            <w:pPr>
              <w:jc w:val="center"/>
              <w:ind w:righ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75,758</w:t>
            </w:r>
          </w:p>
        </w:tc>
        <w:tc>
          <w:tcPr>
            <w:tcW w:w="260" w:type="dxa"/>
            <w:vAlign w:val="bottom"/>
            <w:shd w:val="clear" w:color="auto" w:fill="B2B2B2"/>
          </w:tcPr>
          <w:p>
            <w:pPr>
              <w:spacing w:after="0"/>
              <w:rPr>
                <w:sz w:val="20"/>
                <w:szCs w:val="20"/>
                <w:color w:val="auto"/>
              </w:rPr>
            </w:pPr>
            <w:r>
              <w:rPr>
                <w:rFonts w:ascii="Arial" w:cs="Arial" w:eastAsia="Arial" w:hAnsi="Arial"/>
                <w:sz w:val="18"/>
                <w:szCs w:val="18"/>
                <w:color w:val="auto"/>
              </w:rPr>
              <w:t>​​ ​</w:t>
            </w:r>
          </w:p>
        </w:tc>
        <w:tc>
          <w:tcPr>
            <w:tcW w:w="360" w:type="dxa"/>
            <w:vAlign w:val="bottom"/>
            <w:shd w:val="clear" w:color="auto" w:fill="B2B2B2"/>
          </w:tcPr>
          <w:p>
            <w:pPr>
              <w:ind w:left="26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B2B2B2"/>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shd w:val="clear" w:color="auto" w:fill="B2B2B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70"/>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​Francis X. (“Skip”) Frantz</w:t>
            </w:r>
          </w:p>
        </w:tc>
        <w:tc>
          <w:tcPr>
            <w:tcW w:w="1360" w:type="dxa"/>
            <w:vAlign w:val="bottom"/>
          </w:tcPr>
          <w:p>
            <w:pPr>
              <w:ind w:left="1180"/>
              <w:spacing w:after="0"/>
              <w:rPr>
                <w:sz w:val="20"/>
                <w:szCs w:val="20"/>
                <w:color w:val="auto"/>
              </w:rPr>
            </w:pPr>
            <w:r>
              <w:rPr>
                <w:rFonts w:ascii="Arial" w:cs="Arial" w:eastAsia="Arial" w:hAnsi="Arial"/>
                <w:sz w:val="18"/>
                <w:szCs w:val="18"/>
                <w:color w:val="auto"/>
              </w:rPr>
              <w:t>​ ​</w:t>
            </w: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75,758</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198,385</w:t>
            </w:r>
          </w:p>
        </w:tc>
        <w:tc>
          <w:tcPr>
            <w:tcW w:w="10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70"/>
        </w:trPr>
        <w:tc>
          <w:tcPr>
            <w:tcW w:w="3200" w:type="dxa"/>
            <w:vAlign w:val="bottom"/>
            <w:gridSpan w:val="3"/>
            <w:shd w:val="clear" w:color="auto" w:fill="B2B2B2"/>
          </w:tcPr>
          <w:p>
            <w:pPr>
              <w:ind w:left="20"/>
              <w:spacing w:after="0"/>
              <w:rPr>
                <w:sz w:val="20"/>
                <w:szCs w:val="20"/>
                <w:color w:val="auto"/>
              </w:rPr>
            </w:pPr>
            <w:r>
              <w:rPr>
                <w:rFonts w:ascii="Arial" w:cs="Arial" w:eastAsia="Arial" w:hAnsi="Arial"/>
                <w:sz w:val="18"/>
                <w:szCs w:val="18"/>
                <w:color w:val="auto"/>
              </w:rPr>
              <w:t>​Michael Friloux</w:t>
            </w:r>
          </w:p>
        </w:tc>
        <w:tc>
          <w:tcPr>
            <w:tcW w:w="1360" w:type="dxa"/>
            <w:vAlign w:val="bottom"/>
            <w:shd w:val="clear" w:color="auto" w:fill="B2B2B2"/>
          </w:tcPr>
          <w:p>
            <w:pPr>
              <w:ind w:left="1180"/>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B2B2B2"/>
          </w:tcPr>
          <w:p>
            <w:pPr>
              <w:jc w:val="center"/>
              <w:ind w:righ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156,724</w:t>
            </w:r>
          </w:p>
        </w:tc>
        <w:tc>
          <w:tcPr>
            <w:tcW w:w="260" w:type="dxa"/>
            <w:vAlign w:val="bottom"/>
            <w:shd w:val="clear" w:color="auto" w:fill="B2B2B2"/>
          </w:tcPr>
          <w:p>
            <w:pPr>
              <w:spacing w:after="0"/>
              <w:rPr>
                <w:sz w:val="20"/>
                <w:szCs w:val="20"/>
                <w:color w:val="auto"/>
              </w:rPr>
            </w:pPr>
            <w:r>
              <w:rPr>
                <w:rFonts w:ascii="Arial" w:cs="Arial" w:eastAsia="Arial" w:hAnsi="Arial"/>
                <w:sz w:val="18"/>
                <w:szCs w:val="18"/>
                <w:color w:val="auto"/>
              </w:rPr>
              <w:t>​​ ​</w:t>
            </w:r>
          </w:p>
        </w:tc>
        <w:tc>
          <w:tcPr>
            <w:tcW w:w="360" w:type="dxa"/>
            <w:vAlign w:val="bottom"/>
            <w:shd w:val="clear" w:color="auto" w:fill="B2B2B2"/>
          </w:tcPr>
          <w:p>
            <w:pPr>
              <w:ind w:left="26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B2B2B2"/>
          </w:tcPr>
          <w:p>
            <w:pPr>
              <w:jc w:val="right"/>
              <w:ind w:right="190"/>
              <w:spacing w:after="0"/>
              <w:rPr>
                <w:sz w:val="20"/>
                <w:szCs w:val="20"/>
                <w:color w:val="auto"/>
              </w:rPr>
            </w:pPr>
            <w:r>
              <w:rPr>
                <w:rFonts w:ascii="Arial" w:cs="Arial" w:eastAsia="Arial" w:hAnsi="Arial"/>
                <w:sz w:val="18"/>
                <w:szCs w:val="18"/>
                <w:color w:val="auto"/>
              </w:rPr>
              <w:t>76,534</w:t>
            </w:r>
          </w:p>
        </w:tc>
        <w:tc>
          <w:tcPr>
            <w:tcW w:w="80" w:type="dxa"/>
            <w:vAlign w:val="bottom"/>
            <w:shd w:val="clear" w:color="auto" w:fill="B2B2B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70"/>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​Kenneth A. Gunderman</w:t>
            </w:r>
          </w:p>
        </w:tc>
        <w:tc>
          <w:tcPr>
            <w:tcW w:w="1360" w:type="dxa"/>
            <w:vAlign w:val="bottom"/>
          </w:tcPr>
          <w:p>
            <w:pPr>
              <w:ind w:left="1180"/>
              <w:spacing w:after="0"/>
              <w:rPr>
                <w:sz w:val="20"/>
                <w:szCs w:val="20"/>
                <w:color w:val="auto"/>
              </w:rPr>
            </w:pPr>
            <w:r>
              <w:rPr>
                <w:rFonts w:ascii="Arial" w:cs="Arial" w:eastAsia="Arial" w:hAnsi="Arial"/>
                <w:sz w:val="18"/>
                <w:szCs w:val="18"/>
                <w:color w:val="auto"/>
              </w:rPr>
              <w:t>​ ​</w:t>
            </w: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549,242</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894,948</w:t>
            </w:r>
          </w:p>
        </w:tc>
        <w:tc>
          <w:tcPr>
            <w:tcW w:w="10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70"/>
        </w:trPr>
        <w:tc>
          <w:tcPr>
            <w:tcW w:w="3200" w:type="dxa"/>
            <w:vAlign w:val="bottom"/>
            <w:gridSpan w:val="3"/>
            <w:shd w:val="clear" w:color="auto" w:fill="B2B2B2"/>
          </w:tcPr>
          <w:p>
            <w:pPr>
              <w:ind w:left="20"/>
              <w:spacing w:after="0"/>
              <w:rPr>
                <w:sz w:val="20"/>
                <w:szCs w:val="20"/>
                <w:color w:val="auto"/>
              </w:rPr>
            </w:pPr>
            <w:r>
              <w:rPr>
                <w:rFonts w:ascii="Arial" w:cs="Arial" w:eastAsia="Arial" w:hAnsi="Arial"/>
                <w:sz w:val="18"/>
                <w:szCs w:val="18"/>
                <w:color w:val="auto"/>
              </w:rPr>
              <w:t>​John Harrobin</w:t>
            </w:r>
          </w:p>
        </w:tc>
        <w:tc>
          <w:tcPr>
            <w:tcW w:w="1360" w:type="dxa"/>
            <w:vAlign w:val="bottom"/>
            <w:shd w:val="clear" w:color="auto" w:fill="B2B2B2"/>
          </w:tcPr>
          <w:p>
            <w:pPr>
              <w:ind w:left="1180"/>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B2B2B2"/>
          </w:tcPr>
          <w:p>
            <w:pPr>
              <w:jc w:val="center"/>
              <w:ind w:righ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340,909</w:t>
            </w:r>
          </w:p>
        </w:tc>
        <w:tc>
          <w:tcPr>
            <w:tcW w:w="260" w:type="dxa"/>
            <w:vAlign w:val="bottom"/>
            <w:shd w:val="clear" w:color="auto" w:fill="B2B2B2"/>
          </w:tcPr>
          <w:p>
            <w:pPr>
              <w:spacing w:after="0"/>
              <w:rPr>
                <w:sz w:val="20"/>
                <w:szCs w:val="20"/>
                <w:color w:val="auto"/>
              </w:rPr>
            </w:pPr>
            <w:r>
              <w:rPr>
                <w:rFonts w:ascii="Arial" w:cs="Arial" w:eastAsia="Arial" w:hAnsi="Arial"/>
                <w:sz w:val="18"/>
                <w:szCs w:val="18"/>
                <w:color w:val="auto"/>
              </w:rPr>
              <w:t>​​ ​</w:t>
            </w:r>
          </w:p>
        </w:tc>
        <w:tc>
          <w:tcPr>
            <w:tcW w:w="360" w:type="dxa"/>
            <w:vAlign w:val="bottom"/>
            <w:shd w:val="clear" w:color="auto" w:fill="B2B2B2"/>
          </w:tcPr>
          <w:p>
            <w:pPr>
              <w:ind w:left="26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B2B2B2"/>
          </w:tcPr>
          <w:p>
            <w:pPr>
              <w:jc w:val="right"/>
              <w:ind w:right="190"/>
              <w:spacing w:after="0"/>
              <w:rPr>
                <w:sz w:val="20"/>
                <w:szCs w:val="20"/>
                <w:color w:val="auto"/>
              </w:rPr>
            </w:pPr>
            <w:r>
              <w:rPr>
                <w:rFonts w:ascii="Arial" w:cs="Arial" w:eastAsia="Arial" w:hAnsi="Arial"/>
                <w:sz w:val="18"/>
                <w:szCs w:val="18"/>
                <w:color w:val="auto"/>
              </w:rPr>
              <w:t>602</w:t>
            </w:r>
          </w:p>
        </w:tc>
        <w:tc>
          <w:tcPr>
            <w:tcW w:w="80" w:type="dxa"/>
            <w:vAlign w:val="bottom"/>
            <w:shd w:val="clear" w:color="auto" w:fill="B2B2B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70"/>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​Daniel L. Heard</w:t>
            </w:r>
          </w:p>
        </w:tc>
        <w:tc>
          <w:tcPr>
            <w:tcW w:w="1360" w:type="dxa"/>
            <w:vAlign w:val="bottom"/>
          </w:tcPr>
          <w:p>
            <w:pPr>
              <w:ind w:left="1180"/>
              <w:spacing w:after="0"/>
              <w:rPr>
                <w:sz w:val="20"/>
                <w:szCs w:val="20"/>
                <w:color w:val="auto"/>
              </w:rPr>
            </w:pPr>
            <w:r>
              <w:rPr>
                <w:rFonts w:ascii="Arial" w:cs="Arial" w:eastAsia="Arial" w:hAnsi="Arial"/>
                <w:sz w:val="18"/>
                <w:szCs w:val="18"/>
                <w:color w:val="auto"/>
              </w:rPr>
              <w:t>​ ​</w:t>
            </w: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192,891</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163,110</w:t>
            </w:r>
          </w:p>
        </w:tc>
        <w:tc>
          <w:tcPr>
            <w:tcW w:w="10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70"/>
        </w:trPr>
        <w:tc>
          <w:tcPr>
            <w:tcW w:w="3200" w:type="dxa"/>
            <w:vAlign w:val="bottom"/>
            <w:gridSpan w:val="3"/>
            <w:shd w:val="clear" w:color="auto" w:fill="B2B2B2"/>
          </w:tcPr>
          <w:p>
            <w:pPr>
              <w:ind w:left="20"/>
              <w:spacing w:after="0"/>
              <w:rPr>
                <w:sz w:val="20"/>
                <w:szCs w:val="20"/>
                <w:color w:val="auto"/>
              </w:rPr>
            </w:pPr>
            <w:r>
              <w:rPr>
                <w:rFonts w:ascii="Arial" w:cs="Arial" w:eastAsia="Arial" w:hAnsi="Arial"/>
                <w:sz w:val="18"/>
                <w:szCs w:val="18"/>
                <w:color w:val="auto"/>
              </w:rPr>
              <w:t>​Mary McLaughlin</w:t>
            </w:r>
          </w:p>
        </w:tc>
        <w:tc>
          <w:tcPr>
            <w:tcW w:w="1360" w:type="dxa"/>
            <w:vAlign w:val="bottom"/>
            <w:shd w:val="clear" w:color="auto" w:fill="B2B2B2"/>
          </w:tcPr>
          <w:p>
            <w:pPr>
              <w:ind w:left="1180"/>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B2B2B2"/>
          </w:tcPr>
          <w:p>
            <w:pPr>
              <w:jc w:val="center"/>
              <w:ind w:righ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75,758</w:t>
            </w:r>
          </w:p>
        </w:tc>
        <w:tc>
          <w:tcPr>
            <w:tcW w:w="260" w:type="dxa"/>
            <w:vAlign w:val="bottom"/>
            <w:shd w:val="clear" w:color="auto" w:fill="B2B2B2"/>
          </w:tcPr>
          <w:p>
            <w:pPr>
              <w:spacing w:after="0"/>
              <w:rPr>
                <w:sz w:val="20"/>
                <w:szCs w:val="20"/>
                <w:color w:val="auto"/>
              </w:rPr>
            </w:pPr>
            <w:r>
              <w:rPr>
                <w:rFonts w:ascii="Arial" w:cs="Arial" w:eastAsia="Arial" w:hAnsi="Arial"/>
                <w:sz w:val="18"/>
                <w:szCs w:val="18"/>
                <w:color w:val="auto"/>
              </w:rPr>
              <w:t>​​ ​</w:t>
            </w:r>
          </w:p>
        </w:tc>
        <w:tc>
          <w:tcPr>
            <w:tcW w:w="360" w:type="dxa"/>
            <w:vAlign w:val="bottom"/>
            <w:shd w:val="clear" w:color="auto" w:fill="B2B2B2"/>
          </w:tcPr>
          <w:p>
            <w:pPr>
              <w:ind w:left="26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B2B2B2"/>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shd w:val="clear" w:color="auto" w:fill="B2B2B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70"/>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​Joseph Natale</w:t>
            </w:r>
          </w:p>
        </w:tc>
        <w:tc>
          <w:tcPr>
            <w:tcW w:w="1360" w:type="dxa"/>
            <w:vAlign w:val="bottom"/>
          </w:tcPr>
          <w:p>
            <w:pPr>
              <w:ind w:left="1180"/>
              <w:spacing w:after="0"/>
              <w:rPr>
                <w:sz w:val="20"/>
                <w:szCs w:val="20"/>
                <w:color w:val="auto"/>
              </w:rPr>
            </w:pPr>
            <w:r>
              <w:rPr>
                <w:rFonts w:ascii="Arial" w:cs="Arial" w:eastAsia="Arial" w:hAnsi="Arial"/>
                <w:sz w:val="18"/>
                <w:szCs w:val="18"/>
                <w:color w:val="auto"/>
              </w:rPr>
              <w:t>​ ​</w:t>
            </w: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75,758</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36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70"/>
        </w:trPr>
        <w:tc>
          <w:tcPr>
            <w:tcW w:w="3200" w:type="dxa"/>
            <w:vAlign w:val="bottom"/>
            <w:gridSpan w:val="3"/>
            <w:shd w:val="clear" w:color="auto" w:fill="B2B2B2"/>
          </w:tcPr>
          <w:p>
            <w:pPr>
              <w:ind w:left="20"/>
              <w:spacing w:after="0"/>
              <w:rPr>
                <w:sz w:val="20"/>
                <w:szCs w:val="20"/>
                <w:color w:val="auto"/>
              </w:rPr>
            </w:pPr>
            <w:r>
              <w:rPr>
                <w:rFonts w:ascii="Arial" w:cs="Arial" w:eastAsia="Arial" w:hAnsi="Arial"/>
                <w:sz w:val="18"/>
                <w:szCs w:val="18"/>
                <w:color w:val="auto"/>
              </w:rPr>
              <w:t>​Carmen Perez-Carlton</w:t>
            </w:r>
          </w:p>
        </w:tc>
        <w:tc>
          <w:tcPr>
            <w:tcW w:w="1360" w:type="dxa"/>
            <w:vAlign w:val="bottom"/>
            <w:shd w:val="clear" w:color="auto" w:fill="B2B2B2"/>
          </w:tcPr>
          <w:p>
            <w:pPr>
              <w:ind w:left="1180"/>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B2B2B2"/>
          </w:tcPr>
          <w:p>
            <w:pPr>
              <w:jc w:val="center"/>
              <w:ind w:righ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75,758</w:t>
            </w:r>
          </w:p>
        </w:tc>
        <w:tc>
          <w:tcPr>
            <w:tcW w:w="260" w:type="dxa"/>
            <w:vAlign w:val="bottom"/>
            <w:shd w:val="clear" w:color="auto" w:fill="B2B2B2"/>
          </w:tcPr>
          <w:p>
            <w:pPr>
              <w:spacing w:after="0"/>
              <w:rPr>
                <w:sz w:val="20"/>
                <w:szCs w:val="20"/>
                <w:color w:val="auto"/>
              </w:rPr>
            </w:pPr>
            <w:r>
              <w:rPr>
                <w:rFonts w:ascii="Arial" w:cs="Arial" w:eastAsia="Arial" w:hAnsi="Arial"/>
                <w:sz w:val="18"/>
                <w:szCs w:val="18"/>
                <w:color w:val="auto"/>
              </w:rPr>
              <w:t>​​ ​</w:t>
            </w:r>
          </w:p>
        </w:tc>
        <w:tc>
          <w:tcPr>
            <w:tcW w:w="360" w:type="dxa"/>
            <w:vAlign w:val="bottom"/>
            <w:shd w:val="clear" w:color="auto" w:fill="B2B2B2"/>
          </w:tcPr>
          <w:p>
            <w:pPr>
              <w:ind w:left="26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B2B2B2"/>
          </w:tcPr>
          <w:p>
            <w:pPr>
              <w:jc w:val="right"/>
              <w:ind w:right="190"/>
              <w:spacing w:after="0"/>
              <w:rPr>
                <w:sz w:val="20"/>
                <w:szCs w:val="20"/>
                <w:color w:val="auto"/>
              </w:rPr>
            </w:pPr>
            <w:r>
              <w:rPr>
                <w:rFonts w:ascii="Arial" w:cs="Arial" w:eastAsia="Arial" w:hAnsi="Arial"/>
                <w:sz w:val="18"/>
                <w:szCs w:val="18"/>
                <w:color w:val="auto"/>
              </w:rPr>
              <w:t>93,577</w:t>
            </w:r>
          </w:p>
        </w:tc>
        <w:tc>
          <w:tcPr>
            <w:tcW w:w="80" w:type="dxa"/>
            <w:vAlign w:val="bottom"/>
            <w:shd w:val="clear" w:color="auto" w:fill="B2B2B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70"/>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​Paul Sunu</w:t>
            </w:r>
          </w:p>
        </w:tc>
        <w:tc>
          <w:tcPr>
            <w:tcW w:w="1360" w:type="dxa"/>
            <w:vAlign w:val="bottom"/>
          </w:tcPr>
          <w:p>
            <w:pPr>
              <w:ind w:left="1180"/>
              <w:spacing w:after="0"/>
              <w:rPr>
                <w:sz w:val="20"/>
                <w:szCs w:val="20"/>
                <w:color w:val="auto"/>
              </w:rPr>
            </w:pPr>
            <w:r>
              <w:rPr>
                <w:rFonts w:ascii="Arial" w:cs="Arial" w:eastAsia="Arial" w:hAnsi="Arial"/>
                <w:sz w:val="18"/>
                <w:szCs w:val="18"/>
                <w:color w:val="auto"/>
              </w:rPr>
              <w:t>​ ​</w:t>
            </w: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75,758</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36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70"/>
        </w:trPr>
        <w:tc>
          <w:tcPr>
            <w:tcW w:w="3200" w:type="dxa"/>
            <w:vAlign w:val="bottom"/>
            <w:gridSpan w:val="3"/>
            <w:shd w:val="clear" w:color="auto" w:fill="B2B2B2"/>
          </w:tcPr>
          <w:p>
            <w:pPr>
              <w:ind w:left="20"/>
              <w:spacing w:after="0"/>
              <w:rPr>
                <w:sz w:val="20"/>
                <w:szCs w:val="20"/>
                <w:color w:val="auto"/>
              </w:rPr>
            </w:pPr>
            <w:r>
              <w:rPr>
                <w:rFonts w:ascii="Arial" w:cs="Arial" w:eastAsia="Arial" w:hAnsi="Arial"/>
                <w:sz w:val="18"/>
                <w:szCs w:val="18"/>
                <w:color w:val="auto"/>
              </w:rPr>
              <w:t>​Harold Zeitz</w:t>
            </w:r>
          </w:p>
        </w:tc>
        <w:tc>
          <w:tcPr>
            <w:tcW w:w="1360" w:type="dxa"/>
            <w:vAlign w:val="bottom"/>
            <w:shd w:val="clear" w:color="auto" w:fill="B2B2B2"/>
          </w:tcPr>
          <w:p>
            <w:pPr>
              <w:ind w:left="1180"/>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B2B2B2"/>
          </w:tcPr>
          <w:p>
            <w:pPr>
              <w:jc w:val="center"/>
              <w:ind w:righ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75,758</w:t>
            </w:r>
          </w:p>
        </w:tc>
        <w:tc>
          <w:tcPr>
            <w:tcW w:w="260" w:type="dxa"/>
            <w:vAlign w:val="bottom"/>
            <w:shd w:val="clear" w:color="auto" w:fill="B2B2B2"/>
          </w:tcPr>
          <w:p>
            <w:pPr>
              <w:spacing w:after="0"/>
              <w:rPr>
                <w:sz w:val="20"/>
                <w:szCs w:val="20"/>
                <w:color w:val="auto"/>
              </w:rPr>
            </w:pPr>
            <w:r>
              <w:rPr>
                <w:rFonts w:ascii="Arial" w:cs="Arial" w:eastAsia="Arial" w:hAnsi="Arial"/>
                <w:sz w:val="18"/>
                <w:szCs w:val="18"/>
                <w:color w:val="auto"/>
              </w:rPr>
              <w:t>​​ ​</w:t>
            </w:r>
          </w:p>
        </w:tc>
        <w:tc>
          <w:tcPr>
            <w:tcW w:w="360" w:type="dxa"/>
            <w:vAlign w:val="bottom"/>
            <w:shd w:val="clear" w:color="auto" w:fill="B2B2B2"/>
          </w:tcPr>
          <w:p>
            <w:pPr>
              <w:ind w:left="26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B2B2B2"/>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shd w:val="clear" w:color="auto" w:fill="B2B2B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12344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4" w:lineRule="exact"/>
        <w:rPr>
          <w:sz w:val="20"/>
          <w:szCs w:val="20"/>
          <w:color w:val="auto"/>
        </w:rPr>
      </w:pPr>
    </w:p>
    <w:p>
      <w:pPr>
        <w:ind w:left="1620" w:right="459" w:hanging="360"/>
        <w:spacing w:after="0" w:line="318" w:lineRule="auto"/>
        <w:tabs>
          <w:tab w:leader="none" w:pos="16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Calculated based upon the 20-day trailing average of the closing price of a share of Company Common Stock ending August 29, 2025 (20 trading days after initial appointment), which was $6.60.</w:t>
      </w:r>
    </w:p>
    <w:p>
      <w:pPr>
        <w:spacing w:after="0" w:line="130" w:lineRule="exact"/>
        <w:rPr>
          <w:sz w:val="20"/>
          <w:szCs w:val="20"/>
          <w:color w:val="auto"/>
        </w:rPr>
      </w:pPr>
    </w:p>
    <w:p>
      <w:pPr>
        <w:ind w:left="1260" w:right="419" w:firstLine="648"/>
        <w:spacing w:after="0" w:line="256" w:lineRule="auto"/>
        <w:rPr>
          <w:sz w:val="20"/>
          <w:szCs w:val="20"/>
          <w:color w:val="auto"/>
        </w:rPr>
      </w:pPr>
      <w:r>
        <w:rPr>
          <w:rFonts w:ascii="Arial" w:cs="Arial" w:eastAsia="Arial" w:hAnsi="Arial"/>
          <w:sz w:val="18"/>
          <w:szCs w:val="18"/>
          <w:i w:val="1"/>
          <w:iCs w:val="1"/>
          <w:color w:val="00ABD1"/>
        </w:rPr>
        <w:t xml:space="preserve">Clawback Policy. </w:t>
      </w:r>
      <w:r>
        <w:rPr>
          <w:rFonts w:ascii="Arial" w:cs="Arial" w:eastAsia="Arial" w:hAnsi="Arial"/>
          <w:sz w:val="18"/>
          <w:szCs w:val="18"/>
          <w:color w:val="000000"/>
        </w:rPr>
        <w:t>In accordance with the Nasdaq listing standards, we maintain a clawback</w:t>
      </w:r>
      <w:r>
        <w:rPr>
          <w:rFonts w:ascii="Arial" w:cs="Arial" w:eastAsia="Arial" w:hAnsi="Arial"/>
          <w:sz w:val="18"/>
          <w:szCs w:val="18"/>
          <w:i w:val="1"/>
          <w:iCs w:val="1"/>
          <w:color w:val="00ABD1"/>
        </w:rPr>
        <w:t xml:space="preserve"> </w:t>
      </w:r>
      <w:r>
        <w:rPr>
          <w:rFonts w:ascii="Arial" w:cs="Arial" w:eastAsia="Arial" w:hAnsi="Arial"/>
          <w:sz w:val="18"/>
          <w:szCs w:val="18"/>
          <w:color w:val="000000"/>
        </w:rPr>
        <w:t>policy (the “Clawback Policy”) that requires executive officers to repay or forfeit erroneously awarded compensation in the event that our financial statements become subject to restatement. The Clawback Policy applies to any compensation that is granted, earned or vested based wholly or in part upon attainment of a financial reporting measure, in each case granted or awarded during the three fiscal years preceding the restatement, and any other compensation as the Compensation Committee of our Board of Directors may designate as subject to the Clawback Policy.</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59" w:firstLine="648"/>
        <w:spacing w:after="0" w:line="255" w:lineRule="auto"/>
        <w:rPr>
          <w:sz w:val="20"/>
          <w:szCs w:val="20"/>
          <w:color w:val="auto"/>
        </w:rPr>
      </w:pPr>
      <w:r>
        <w:rPr>
          <w:rFonts w:ascii="Arial" w:cs="Arial" w:eastAsia="Arial" w:hAnsi="Arial"/>
          <w:sz w:val="18"/>
          <w:szCs w:val="18"/>
          <w:i w:val="1"/>
          <w:iCs w:val="1"/>
          <w:color w:val="00ABD1"/>
        </w:rPr>
        <w:t xml:space="preserve">Other Benefit Plans. </w:t>
      </w:r>
      <w:r>
        <w:rPr>
          <w:rFonts w:ascii="Arial" w:cs="Arial" w:eastAsia="Arial" w:hAnsi="Arial"/>
          <w:sz w:val="18"/>
          <w:szCs w:val="18"/>
          <w:color w:val="000000"/>
        </w:rPr>
        <w:t>Similar to all of our employees, executive officers are eligible to elect</w:t>
      </w:r>
      <w:r>
        <w:rPr>
          <w:rFonts w:ascii="Arial" w:cs="Arial" w:eastAsia="Arial" w:hAnsi="Arial"/>
          <w:sz w:val="18"/>
          <w:szCs w:val="18"/>
          <w:i w:val="1"/>
          <w:iCs w:val="1"/>
          <w:color w:val="00ABD1"/>
        </w:rPr>
        <w:t xml:space="preserve"> </w:t>
      </w:r>
      <w:r>
        <w:rPr>
          <w:rFonts w:ascii="Arial" w:cs="Arial" w:eastAsia="Arial" w:hAnsi="Arial"/>
          <w:sz w:val="18"/>
          <w:szCs w:val="18"/>
          <w:color w:val="000000"/>
        </w:rPr>
        <w:t>health, welfare, and life insurance and 401(k) retirement benefits from Uniti, and are eligible to participate in the Uniti Group Inc. Employee Stock Purchase Plan. Old Uniti previously maintained (and the Company assumed) the Uniti Group Inc. Deferred Compensation Plan, a non-qualified deferred compensation plan that offers participants the ability to defer compensation above the IRS qualified plan limits. Amounts deferred under the plan accrue interest at the lesser of the Company’s weighted average cost of capital or the then current yield on the United States 10-year Treasury Note. As of December 31, 2025, the applicable rate under the plan was 4.152%. On February 26, 2026, the Compensation Committee determined to terminate the Uniti Group Inc. Deferred Compensation Plan.</w:t>
      </w:r>
    </w:p>
    <w:p>
      <w:pPr>
        <w:spacing w:after="0" w:line="181" w:lineRule="exact"/>
        <w:rPr>
          <w:sz w:val="20"/>
          <w:szCs w:val="20"/>
          <w:color w:val="auto"/>
        </w:rPr>
      </w:pPr>
    </w:p>
    <w:p>
      <w:pPr>
        <w:ind w:left="1260" w:right="419" w:firstLine="648"/>
        <w:spacing w:after="0" w:line="256" w:lineRule="auto"/>
        <w:rPr>
          <w:sz w:val="20"/>
          <w:szCs w:val="20"/>
          <w:color w:val="auto"/>
        </w:rPr>
      </w:pPr>
      <w:r>
        <w:rPr>
          <w:rFonts w:ascii="Arial" w:cs="Arial" w:eastAsia="Arial" w:hAnsi="Arial"/>
          <w:sz w:val="18"/>
          <w:szCs w:val="18"/>
          <w:i w:val="1"/>
          <w:iCs w:val="1"/>
          <w:color w:val="00ABD1"/>
        </w:rPr>
        <w:t xml:space="preserve">Severance and Change-in-Control Provisions. </w:t>
      </w:r>
      <w:r>
        <w:rPr>
          <w:rFonts w:ascii="Arial" w:cs="Arial" w:eastAsia="Arial" w:hAnsi="Arial"/>
          <w:sz w:val="18"/>
          <w:szCs w:val="18"/>
          <w:color w:val="000000"/>
        </w:rPr>
        <w:t>Our executive officers have entered into</w:t>
      </w:r>
      <w:r>
        <w:rPr>
          <w:rFonts w:ascii="Arial" w:cs="Arial" w:eastAsia="Arial" w:hAnsi="Arial"/>
          <w:sz w:val="18"/>
          <w:szCs w:val="18"/>
          <w:i w:val="1"/>
          <w:iCs w:val="1"/>
          <w:color w:val="00ABD1"/>
        </w:rPr>
        <w:t xml:space="preserve"> </w:t>
      </w:r>
      <w:r>
        <w:rPr>
          <w:rFonts w:ascii="Arial" w:cs="Arial" w:eastAsia="Arial" w:hAnsi="Arial"/>
          <w:sz w:val="18"/>
          <w:szCs w:val="18"/>
          <w:color w:val="000000"/>
        </w:rPr>
        <w:t>agreements or are otherwise eligible to participate in broad-based company severance and other retirement policies that provide for severance benefits upon qualifying termination of employment, including enhanced severance if the termination occurs in connection with a change in control. These agreements and policies are described below under “Agreements with our Named Executive Officers.” We believe the arrangements are reasonable and were an important part of the recruitment and expected long-term retention of our executive management team.</w:t>
      </w:r>
    </w:p>
    <w:p>
      <w:pPr>
        <w:spacing w:after="0" w:line="183" w:lineRule="exact"/>
        <w:rPr>
          <w:sz w:val="20"/>
          <w:szCs w:val="20"/>
          <w:color w:val="auto"/>
        </w:rPr>
      </w:pPr>
    </w:p>
    <w:p>
      <w:pPr>
        <w:ind w:left="1260" w:right="479" w:firstLine="648"/>
        <w:spacing w:after="0" w:line="254" w:lineRule="auto"/>
        <w:rPr>
          <w:sz w:val="20"/>
          <w:szCs w:val="20"/>
          <w:color w:val="auto"/>
        </w:rPr>
      </w:pPr>
      <w:r>
        <w:rPr>
          <w:rFonts w:ascii="Arial" w:cs="Arial" w:eastAsia="Arial" w:hAnsi="Arial"/>
          <w:sz w:val="18"/>
          <w:szCs w:val="18"/>
          <w:i w:val="1"/>
          <w:iCs w:val="1"/>
          <w:color w:val="00ABD1"/>
        </w:rPr>
        <w:t xml:space="preserve">Practices Related to the Timing of Equity Grants. </w:t>
      </w:r>
      <w:r>
        <w:rPr>
          <w:rFonts w:ascii="Arial" w:cs="Arial" w:eastAsia="Arial" w:hAnsi="Arial"/>
          <w:sz w:val="18"/>
          <w:szCs w:val="18"/>
          <w:color w:val="000000"/>
        </w:rPr>
        <w:t>It is the Compensation Committee’s general</w:t>
      </w:r>
      <w:r>
        <w:rPr>
          <w:rFonts w:ascii="Arial" w:cs="Arial" w:eastAsia="Arial" w:hAnsi="Arial"/>
          <w:sz w:val="18"/>
          <w:szCs w:val="18"/>
          <w:i w:val="1"/>
          <w:iCs w:val="1"/>
          <w:color w:val="00ABD1"/>
        </w:rPr>
        <w:t xml:space="preserve"> </w:t>
      </w:r>
      <w:r>
        <w:rPr>
          <w:rFonts w:ascii="Arial" w:cs="Arial" w:eastAsia="Arial" w:hAnsi="Arial"/>
          <w:sz w:val="18"/>
          <w:szCs w:val="18"/>
          <w:color w:val="000000"/>
        </w:rPr>
        <w:t>practice to review and approve annual equity grants to eligible employees (including the executive officers) on a pre-determined schedule at its regularly scheduled meeting in the first quarter of each year, which is expected to occur in February of each year. The Compensation Committee does not time the granting of equity awards in relation to the release of, or otherwise take into account, material nonpublic information when determining the timing or terms of our equity awards. Instead, the timing of annual equity awards follows the regular annual compensation cycle in accordance with Company’s policy for granting equity awards. The Company has not timed the disclosure of material nonpublic information for the purpose of affecting the value of executive compensation. During the last completed fiscal year, neither Old Uniti nor the Company granted stock options to any NEO.</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color w:val="00ABD1"/>
        </w:rPr>
        <w:t>Risk Considerations in our Overall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3" w:lineRule="exact"/>
        <w:rPr>
          <w:sz w:val="20"/>
          <w:szCs w:val="20"/>
          <w:color w:val="auto"/>
        </w:rPr>
      </w:pPr>
    </w:p>
    <w:p>
      <w:pPr>
        <w:ind w:left="1260" w:right="419" w:firstLine="648"/>
        <w:spacing w:after="0" w:line="255" w:lineRule="auto"/>
        <w:rPr>
          <w:sz w:val="20"/>
          <w:szCs w:val="20"/>
          <w:color w:val="auto"/>
        </w:rPr>
      </w:pPr>
      <w:r>
        <w:rPr>
          <w:rFonts w:ascii="Arial" w:cs="Arial" w:eastAsia="Arial" w:hAnsi="Arial"/>
          <w:sz w:val="18"/>
          <w:szCs w:val="18"/>
          <w:color w:val="auto"/>
        </w:rPr>
        <w:t>The Compensation Committee has assessed the risks that could arise from our compensation policies for all employees, including employees who are not officers, and has concluded that such policies are not reasonably likely to have a material adverse effect on us. To the extent that our compensation programs create a potential misalignment of risk incentives, the Compensation Committee believes that it has adequate compensating controls to mitigate against the potential impact of any such misalignment. These compensating controls include robust stock ownership guidelines, the Clawback Policy, capped incentive award opportunities, a three-year vesting cycle for equity-based compensation and oversight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00ABD1"/>
        </w:rPr>
        <w:t>Compensation Committee Report</w:t>
      </w:r>
    </w:p>
    <w:p>
      <w:pPr>
        <w:spacing w:after="0" w:line="26"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00ABD1"/>
        </w:rPr>
        <w:t>on Executive Compensation</w:t>
      </w:r>
    </w:p>
    <w:p>
      <w:pPr>
        <w:spacing w:after="0" w:line="207" w:lineRule="exact"/>
        <w:rPr>
          <w:sz w:val="20"/>
          <w:szCs w:val="20"/>
          <w:color w:val="auto"/>
        </w:rPr>
      </w:pPr>
    </w:p>
    <w:p>
      <w:pPr>
        <w:ind w:left="1260" w:right="599" w:firstLine="648"/>
        <w:spacing w:after="0" w:line="256" w:lineRule="auto"/>
        <w:rPr>
          <w:sz w:val="20"/>
          <w:szCs w:val="20"/>
          <w:color w:val="auto"/>
        </w:rPr>
      </w:pPr>
      <w:r>
        <w:rPr>
          <w:rFonts w:ascii="Arial" w:cs="Arial" w:eastAsia="Arial" w:hAnsi="Arial"/>
          <w:sz w:val="18"/>
          <w:szCs w:val="18"/>
          <w:color w:val="auto"/>
        </w:rPr>
        <w:t>The Compensation Committee has reviewed the disclosures under the caption “Compensation Discussion &amp; Analysis” contained in this Proxy Statement for the 2026 Annual Meeting of Stockholders and has discussed such disclosures with the management of Uniti. Based on such review and discussion, the Compensation Committee recommended to the Board of Directors that the “Compensation Discussion &amp; Analysis” be included in Uniti’s Annual Report on Form 10-K for the fiscal year ended December 31, 2025 and Proxy Statement on Schedule 14A for the 2026 Annual Meeting of Stockholders for filing with the SEC.</w:t>
      </w:r>
    </w:p>
    <w:p>
      <w:pPr>
        <w:spacing w:after="0" w:line="183" w:lineRule="exact"/>
        <w:rPr>
          <w:sz w:val="20"/>
          <w:szCs w:val="20"/>
          <w:color w:val="auto"/>
        </w:rPr>
      </w:pPr>
    </w:p>
    <w:p>
      <w:pPr>
        <w:ind w:left="1260" w:right="659" w:firstLine="648"/>
        <w:spacing w:after="0" w:line="287" w:lineRule="auto"/>
        <w:rPr>
          <w:sz w:val="20"/>
          <w:szCs w:val="20"/>
          <w:color w:val="auto"/>
        </w:rPr>
      </w:pPr>
      <w:r>
        <w:rPr>
          <w:rFonts w:ascii="Arial" w:cs="Arial" w:eastAsia="Arial" w:hAnsi="Arial"/>
          <w:sz w:val="18"/>
          <w:szCs w:val="18"/>
          <w:color w:val="auto"/>
        </w:rPr>
        <w:t>The undersigned members of the Compensation Committee have submitted this Report to the Board of Directors.</w:t>
      </w:r>
    </w:p>
    <w:p>
      <w:pPr>
        <w:spacing w:after="0" w:line="200" w:lineRule="exact"/>
        <w:rPr>
          <w:sz w:val="20"/>
          <w:szCs w:val="20"/>
          <w:color w:val="auto"/>
        </w:rPr>
      </w:pPr>
    </w:p>
    <w:p>
      <w:pPr>
        <w:spacing w:after="0" w:line="385"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00ABD1"/>
        </w:rPr>
        <w:t>COMPENSATION COMMITTEE:</w:t>
      </w:r>
    </w:p>
    <w:p>
      <w:pPr>
        <w:spacing w:after="0" w:line="33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xml:space="preserve">Scott G. Bruce, </w:t>
      </w:r>
      <w:r>
        <w:rPr>
          <w:rFonts w:ascii="Arial" w:cs="Arial" w:eastAsia="Arial" w:hAnsi="Arial"/>
          <w:sz w:val="18"/>
          <w:szCs w:val="18"/>
          <w:i w:val="1"/>
          <w:iCs w:val="1"/>
          <w:color w:val="auto"/>
        </w:rPr>
        <w:t>Chair</w:t>
      </w:r>
    </w:p>
    <w:p>
      <w:pPr>
        <w:spacing w:after="0" w:line="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Joseph Natale</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Carmen Perez-Carlton</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Harold Zeitz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60325</wp:posOffset>
            </wp:positionV>
            <wp:extent cx="52120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40" w:lineRule="exact"/>
        <w:rPr>
          <w:sz w:val="20"/>
          <w:szCs w:val="20"/>
          <w:color w:val="auto"/>
        </w:rPr>
      </w:pPr>
    </w:p>
    <w:p>
      <w:pPr>
        <w:ind w:left="1260" w:right="439" w:firstLine="648"/>
        <w:spacing w:after="0" w:line="273" w:lineRule="auto"/>
        <w:rPr>
          <w:sz w:val="20"/>
          <w:szCs w:val="20"/>
          <w:color w:val="auto"/>
        </w:rPr>
      </w:pPr>
      <w:r>
        <w:rPr>
          <w:rFonts w:ascii="Arial" w:cs="Arial" w:eastAsia="Arial" w:hAnsi="Arial"/>
          <w:sz w:val="18"/>
          <w:szCs w:val="18"/>
          <w:color w:val="auto"/>
        </w:rPr>
        <w:t>The following table shows the combined total compensation awarded to, earned by or paid to the NEOs by Old Uniti and the Company in fiscal year 2025. The table also summarizes, for each of our NEOs who was also an NEO of Old Uniti for 2024 and 2023, the total compensation paid to or earned by the officer for such years.</w:t>
      </w:r>
    </w:p>
    <w:p>
      <w:pPr>
        <w:spacing w:after="0" w:line="198" w:lineRule="exact"/>
        <w:rPr>
          <w:sz w:val="20"/>
          <w:szCs w:val="20"/>
          <w:color w:val="auto"/>
        </w:rPr>
      </w:pPr>
    </w:p>
    <w:tbl>
      <w:tblPr>
        <w:tblLayout w:type="fixed"/>
        <w:tblInd w:w="126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5"/>
              </w:rPr>
              <w:t>Changes in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Pension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3"/>
              </w:rPr>
              <w:t>Non-Equity</w:t>
            </w:r>
          </w:p>
        </w:tc>
        <w:tc>
          <w:tcPr>
            <w:tcW w:w="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5"/>
              </w:rPr>
              <w:t>Value and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Nonqualified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6"/>
              </w:rPr>
              <w:t>Incentive</w:t>
            </w:r>
          </w:p>
        </w:tc>
        <w:tc>
          <w:tcPr>
            <w:tcW w:w="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3"/>
              </w:rPr>
              <w:t>Deferred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gridSpan w:val="2"/>
          </w:tcPr>
          <w:p>
            <w:pPr>
              <w:jc w:val="center"/>
              <w:ind w:right="80"/>
              <w:spacing w:after="0" w:line="122" w:lineRule="exact"/>
              <w:rPr>
                <w:sz w:val="20"/>
                <w:szCs w:val="20"/>
                <w:color w:val="auto"/>
              </w:rPr>
            </w:pPr>
            <w:r>
              <w:rPr>
                <w:rFonts w:ascii="Arial" w:cs="Arial" w:eastAsia="Arial" w:hAnsi="Arial"/>
                <w:sz w:val="12"/>
                <w:szCs w:val="12"/>
                <w:b w:val="1"/>
                <w:bCs w:val="1"/>
                <w:color w:val="auto"/>
                <w:w w:val="97"/>
              </w:rPr>
              <w:t>Stock</w:t>
            </w:r>
          </w:p>
        </w:tc>
        <w:tc>
          <w:tcPr>
            <w:tcW w:w="420" w:type="dxa"/>
            <w:vAlign w:val="bottom"/>
          </w:tcPr>
          <w:p>
            <w:pPr>
              <w:ind w:left="20"/>
              <w:spacing w:after="0" w:line="122" w:lineRule="exact"/>
              <w:rPr>
                <w:sz w:val="20"/>
                <w:szCs w:val="20"/>
                <w:color w:val="auto"/>
              </w:rPr>
            </w:pPr>
            <w:r>
              <w:rPr>
                <w:rFonts w:ascii="Arial" w:cs="Arial" w:eastAsia="Arial" w:hAnsi="Arial"/>
                <w:sz w:val="12"/>
                <w:szCs w:val="12"/>
                <w:b w:val="1"/>
                <w:bCs w:val="1"/>
                <w:color w:val="auto"/>
                <w:w w:val="98"/>
              </w:rPr>
              <w:t>Option</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center"/>
              <w:ind w:right="158"/>
              <w:spacing w:after="0" w:line="122" w:lineRule="exact"/>
              <w:rPr>
                <w:sz w:val="20"/>
                <w:szCs w:val="20"/>
                <w:color w:val="auto"/>
              </w:rPr>
            </w:pPr>
            <w:r>
              <w:rPr>
                <w:rFonts w:ascii="Arial" w:cs="Arial" w:eastAsia="Arial" w:hAnsi="Arial"/>
                <w:sz w:val="12"/>
                <w:szCs w:val="12"/>
                <w:b w:val="1"/>
                <w:bCs w:val="1"/>
                <w:color w:val="auto"/>
                <w:w w:val="94"/>
              </w:rPr>
              <w:t>Plan</w:t>
            </w:r>
          </w:p>
        </w:tc>
        <w:tc>
          <w:tcPr>
            <w:tcW w:w="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5"/>
              </w:rPr>
              <w:t>Compensation</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4"/>
              </w:rPr>
              <w:t>All Other</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tcPr>
          <w:p>
            <w:pPr>
              <w:jc w:val="right"/>
              <w:ind w:right="157"/>
              <w:spacing w:after="0" w:line="135" w:lineRule="exact"/>
              <w:rPr>
                <w:sz w:val="20"/>
                <w:szCs w:val="20"/>
                <w:color w:val="auto"/>
              </w:rPr>
            </w:pPr>
            <w:r>
              <w:rPr>
                <w:rFonts w:ascii="Arial" w:cs="Arial" w:eastAsia="Arial" w:hAnsi="Arial"/>
                <w:sz w:val="12"/>
                <w:szCs w:val="12"/>
                <w:b w:val="1"/>
                <w:bCs w:val="1"/>
                <w:color w:val="auto"/>
                <w:w w:val="99"/>
              </w:rPr>
              <w:t>Salary</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Bonus</w:t>
            </w:r>
          </w:p>
        </w:tc>
        <w:tc>
          <w:tcPr>
            <w:tcW w:w="64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6"/>
              </w:rPr>
              <w:t>Awards</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w w:val="92"/>
              </w:rPr>
              <w:t>Awards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5"/>
              </w:rPr>
              <w:t>Compensation</w:t>
            </w:r>
          </w:p>
        </w:tc>
        <w:tc>
          <w:tcPr>
            <w:tcW w:w="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Earnings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Compensation</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 and Principal Position</w:t>
            </w:r>
          </w:p>
        </w:tc>
        <w:tc>
          <w:tcPr>
            <w:tcW w:w="40" w:type="dxa"/>
            <w:vAlign w:val="bottom"/>
          </w:tcPr>
          <w:p>
            <w:pPr>
              <w:spacing w:after="0"/>
              <w:rPr>
                <w:sz w:val="14"/>
                <w:szCs w:val="14"/>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w w:val="92"/>
              </w:rPr>
              <w:t>Year</w:t>
            </w:r>
          </w:p>
        </w:tc>
        <w:tc>
          <w:tcPr>
            <w:tcW w:w="60" w:type="dxa"/>
            <w:vAlign w:val="bottom"/>
          </w:tcPr>
          <w:p>
            <w:pPr>
              <w:spacing w:after="0"/>
              <w:rPr>
                <w:sz w:val="14"/>
                <w:szCs w:val="14"/>
                <w:color w:val="auto"/>
              </w:rPr>
            </w:pPr>
          </w:p>
        </w:tc>
        <w:tc>
          <w:tcPr>
            <w:tcW w:w="460" w:type="dxa"/>
            <w:vAlign w:val="bottom"/>
            <w:tcBorders>
              <w:bottom w:val="single" w:sz="8" w:color="auto"/>
            </w:tcBorders>
          </w:tcPr>
          <w:p>
            <w:pPr>
              <w:jc w:val="right"/>
              <w:ind w:right="104"/>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($)(1)</w:t>
            </w:r>
          </w:p>
        </w:tc>
        <w:tc>
          <w:tcPr>
            <w:tcW w:w="60" w:type="dxa"/>
            <w:vAlign w:val="bottom"/>
          </w:tcPr>
          <w:p>
            <w:pPr>
              <w:spacing w:after="0"/>
              <w:rPr>
                <w:sz w:val="14"/>
                <w:szCs w:val="14"/>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18"/>
              <w:spacing w:after="0"/>
              <w:rPr>
                <w:sz w:val="20"/>
                <w:szCs w:val="20"/>
                <w:color w:val="auto"/>
              </w:rPr>
            </w:pPr>
            <w:r>
              <w:rPr>
                <w:rFonts w:ascii="Arial" w:cs="Arial" w:eastAsia="Arial" w:hAnsi="Arial"/>
                <w:sz w:val="12"/>
                <w:szCs w:val="12"/>
                <w:b w:val="1"/>
                <w:bCs w:val="1"/>
                <w:color w:val="auto"/>
                <w:w w:val="95"/>
              </w:rPr>
              <w:t>($)(2)</w:t>
            </w:r>
          </w:p>
        </w:tc>
        <w:tc>
          <w:tcPr>
            <w:tcW w:w="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($)(3)</w:t>
            </w: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tcPr>
          <w:p>
            <w:pPr>
              <w:jc w:val="right"/>
              <w:ind w:right="204"/>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1960" w:type="dxa"/>
            <w:vAlign w:val="bottom"/>
            <w:gridSpan w:val="2"/>
          </w:tcPr>
          <w:p>
            <w:pPr>
              <w:spacing w:after="0"/>
              <w:rPr>
                <w:sz w:val="20"/>
                <w:szCs w:val="20"/>
                <w:color w:val="auto"/>
              </w:rPr>
            </w:pPr>
            <w:r>
              <w:rPr>
                <w:rFonts w:ascii="Arial" w:cs="Arial" w:eastAsia="Arial" w:hAnsi="Arial"/>
                <w:sz w:val="13"/>
                <w:szCs w:val="13"/>
                <w:color w:val="auto"/>
              </w:rPr>
              <w:t>Kenneth A. Gunderman</w:t>
            </w:r>
          </w:p>
        </w:tc>
        <w:tc>
          <w:tcPr>
            <w:tcW w:w="300" w:type="dxa"/>
            <w:vAlign w:val="bottom"/>
          </w:tcPr>
          <w:p>
            <w:pPr>
              <w:ind w:left="20"/>
              <w:spacing w:after="0" w:line="157"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2025</w:t>
            </w:r>
          </w:p>
        </w:tc>
        <w:tc>
          <w:tcPr>
            <w:tcW w:w="60" w:type="dxa"/>
            <w:vAlign w:val="bottom"/>
          </w:tcPr>
          <w:p>
            <w:pPr>
              <w:spacing w:after="0"/>
              <w:rPr>
                <w:sz w:val="13"/>
                <w:szCs w:val="13"/>
                <w:color w:val="auto"/>
              </w:rPr>
            </w:pPr>
          </w:p>
        </w:tc>
        <w:tc>
          <w:tcPr>
            <w:tcW w:w="460" w:type="dxa"/>
            <w:vAlign w:val="bottom"/>
          </w:tcPr>
          <w:p>
            <w:pPr>
              <w:jc w:val="center"/>
              <w:spacing w:after="0" w:line="157"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725,000</w:t>
            </w: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580" w:type="dxa"/>
            <w:vAlign w:val="bottom"/>
          </w:tcPr>
          <w:p>
            <w:pPr>
              <w:jc w:val="center"/>
              <w:spacing w:after="0" w:line="157"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6,294,837</w:t>
            </w:r>
          </w:p>
        </w:tc>
        <w:tc>
          <w:tcPr>
            <w:tcW w:w="60" w:type="dxa"/>
            <w:vAlign w:val="bottom"/>
          </w:tcPr>
          <w:p>
            <w:pPr>
              <w:spacing w:after="0"/>
              <w:rPr>
                <w:sz w:val="13"/>
                <w:szCs w:val="13"/>
                <w:color w:val="auto"/>
              </w:rPr>
            </w:pPr>
          </w:p>
        </w:tc>
        <w:tc>
          <w:tcPr>
            <w:tcW w:w="420" w:type="dxa"/>
            <w:vAlign w:val="bottom"/>
          </w:tcPr>
          <w:p>
            <w:pPr>
              <w:ind w:left="140"/>
              <w:spacing w:after="0" w:line="157" w:lineRule="exact"/>
              <w:rPr>
                <w:sz w:val="20"/>
                <w:szCs w:val="20"/>
                <w:color w:val="auto"/>
              </w:rPr>
            </w:pPr>
            <w:r>
              <w:rPr>
                <w:rFonts w:ascii="Arial" w:cs="Arial" w:eastAsia="Arial" w:hAnsi="Arial"/>
                <w:sz w:val="10"/>
                <w:szCs w:val="10"/>
                <w:color w:val="auto"/>
              </w:rPr>
              <w:t>​</w:t>
            </w:r>
            <w:r>
              <w:rPr>
                <w:rFonts w:ascii="Arial" w:cs="Arial" w:eastAsia="Arial" w:hAnsi="Arial"/>
                <w:sz w:val="18"/>
                <w:szCs w:val="18"/>
                <w:color w:val="auto"/>
                <w:vertAlign w:val="subscript"/>
              </w:rPr>
              <w:t>—</w:t>
            </w:r>
          </w:p>
        </w:tc>
        <w:tc>
          <w:tcPr>
            <w:tcW w:w="20" w:type="dxa"/>
            <w:vAlign w:val="bottom"/>
          </w:tcPr>
          <w:p>
            <w:pPr>
              <w:spacing w:after="0"/>
              <w:rPr>
                <w:sz w:val="13"/>
                <w:szCs w:val="13"/>
                <w:color w:val="auto"/>
              </w:rPr>
            </w:pPr>
          </w:p>
        </w:tc>
        <w:tc>
          <w:tcPr>
            <w:tcW w:w="60" w:type="dxa"/>
            <w:vAlign w:val="bottom"/>
          </w:tcPr>
          <w:p>
            <w:pPr>
              <w:jc w:val="right"/>
              <w:ind w:right="35"/>
              <w:spacing w:after="0"/>
              <w:rPr>
                <w:sz w:val="20"/>
                <w:szCs w:val="20"/>
                <w:color w:val="auto"/>
              </w:rPr>
            </w:pPr>
            <w:r>
              <w:rPr>
                <w:rFonts w:ascii="Arial" w:cs="Arial" w:eastAsia="Arial" w:hAnsi="Arial"/>
                <w:sz w:val="1"/>
                <w:szCs w:val="1"/>
                <w:color w:val="auto"/>
                <w:w w:val="4294942296"/>
              </w:rPr>
              <w:t>​</w:t>
            </w:r>
          </w:p>
        </w:tc>
        <w:tc>
          <w:tcPr>
            <w:tcW w:w="820" w:type="dxa"/>
            <w:vAlign w:val="bottom"/>
            <w:gridSpan w:val="2"/>
          </w:tcPr>
          <w:p>
            <w:pPr>
              <w:jc w:val="right"/>
              <w:ind w:right="58"/>
              <w:spacing w:after="0" w:line="157"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2,158,514</w:t>
            </w:r>
          </w:p>
        </w:tc>
        <w:tc>
          <w:tcPr>
            <w:tcW w:w="60" w:type="dxa"/>
            <w:vAlign w:val="bottom"/>
          </w:tcPr>
          <w:p>
            <w:pPr>
              <w:spacing w:after="0" w:line="134" w:lineRule="exact"/>
              <w:rPr>
                <w:sz w:val="20"/>
                <w:szCs w:val="20"/>
                <w:color w:val="auto"/>
              </w:rPr>
            </w:pPr>
            <w:r>
              <w:rPr>
                <w:rFonts w:ascii="Arial" w:cs="Arial" w:eastAsia="Arial" w:hAnsi="Arial"/>
                <w:sz w:val="13"/>
                <w:szCs w:val="13"/>
                <w:color w:val="auto"/>
              </w:rPr>
              <w:t>​</w:t>
            </w:r>
          </w:p>
        </w:tc>
        <w:tc>
          <w:tcPr>
            <w:tcW w:w="820" w:type="dxa"/>
            <w:vAlign w:val="bottom"/>
          </w:tcPr>
          <w:p>
            <w:pPr>
              <w:jc w:val="center"/>
              <w:spacing w:after="0" w:line="157" w:lineRule="exact"/>
              <w:rPr>
                <w:sz w:val="20"/>
                <w:szCs w:val="20"/>
                <w:color w:val="auto"/>
              </w:rPr>
            </w:pPr>
            <w:r>
              <w:rPr>
                <w:rFonts w:ascii="Arial" w:cs="Arial" w:eastAsia="Arial" w:hAnsi="Arial"/>
                <w:sz w:val="10"/>
                <w:szCs w:val="10"/>
                <w:color w:val="auto"/>
              </w:rPr>
              <w:t>​</w:t>
            </w:r>
            <w:r>
              <w:rPr>
                <w:rFonts w:ascii="Arial" w:cs="Arial" w:eastAsia="Arial" w:hAnsi="Arial"/>
                <w:sz w:val="18"/>
                <w:szCs w:val="18"/>
                <w:color w:val="auto"/>
                <w:vertAlign w:val="subscript"/>
              </w:rPr>
              <w:t>—</w:t>
            </w:r>
          </w:p>
        </w:tc>
        <w:tc>
          <w:tcPr>
            <w:tcW w:w="20" w:type="dxa"/>
            <w:vAlign w:val="bottom"/>
          </w:tcPr>
          <w:p>
            <w:pPr>
              <w:spacing w:after="0"/>
              <w:rPr>
                <w:sz w:val="13"/>
                <w:szCs w:val="13"/>
                <w:color w:val="auto"/>
              </w:rPr>
            </w:pPr>
          </w:p>
        </w:tc>
        <w:tc>
          <w:tcPr>
            <w:tcW w:w="60" w:type="dxa"/>
            <w:vAlign w:val="bottom"/>
          </w:tcPr>
          <w:p>
            <w:pPr>
              <w:spacing w:after="0" w:line="134" w:lineRule="exact"/>
              <w:rPr>
                <w:sz w:val="20"/>
                <w:szCs w:val="20"/>
                <w:color w:val="auto"/>
              </w:rPr>
            </w:pPr>
            <w:r>
              <w:rPr>
                <w:rFonts w:ascii="Arial" w:cs="Arial" w:eastAsia="Arial" w:hAnsi="Arial"/>
                <w:sz w:val="13"/>
                <w:szCs w:val="13"/>
                <w:color w:val="auto"/>
              </w:rPr>
              <w:t>​</w:t>
            </w:r>
          </w:p>
        </w:tc>
        <w:tc>
          <w:tcPr>
            <w:tcW w:w="820" w:type="dxa"/>
            <w:vAlign w:val="bottom"/>
          </w:tcPr>
          <w:p>
            <w:pPr>
              <w:jc w:val="center"/>
              <w:spacing w:after="0" w:line="157"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16,322</w:t>
            </w:r>
          </w:p>
        </w:tc>
        <w:tc>
          <w:tcPr>
            <w:tcW w:w="20" w:type="dxa"/>
            <w:vAlign w:val="bottom"/>
          </w:tcPr>
          <w:p>
            <w:pPr>
              <w:spacing w:after="0"/>
              <w:rPr>
                <w:sz w:val="13"/>
                <w:szCs w:val="13"/>
                <w:color w:val="auto"/>
              </w:rPr>
            </w:pPr>
          </w:p>
        </w:tc>
        <w:tc>
          <w:tcPr>
            <w:tcW w:w="40" w:type="dxa"/>
            <w:vAlign w:val="bottom"/>
          </w:tcPr>
          <w:p>
            <w:pPr>
              <w:spacing w:after="0" w:line="134"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57"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9,194,673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960" w:type="dxa"/>
            <w:vAlign w:val="bottom"/>
            <w:gridSpan w:val="2"/>
          </w:tcPr>
          <w:p>
            <w:pPr>
              <w:ind w:left="120"/>
              <w:spacing w:after="0"/>
              <w:rPr>
                <w:sz w:val="20"/>
                <w:szCs w:val="20"/>
                <w:color w:val="auto"/>
              </w:rPr>
            </w:pPr>
            <w:r>
              <w:rPr>
                <w:rFonts w:ascii="Arial" w:cs="Arial" w:eastAsia="Arial" w:hAnsi="Arial"/>
                <w:sz w:val="13"/>
                <w:szCs w:val="13"/>
                <w:color w:val="auto"/>
              </w:rPr>
              <w:t>President &amp; CEO</w:t>
            </w:r>
          </w:p>
        </w:tc>
        <w:tc>
          <w:tcPr>
            <w:tcW w:w="960" w:type="dxa"/>
            <w:vAlign w:val="bottom"/>
            <w:gridSpan w:val="5"/>
          </w:tcPr>
          <w:p>
            <w:pPr>
              <w:jc w:val="right"/>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xml:space="preserve">2024 </w:t>
            </w:r>
            <w:r>
              <w:rPr>
                <w:rFonts w:ascii="Arial" w:cs="Arial" w:eastAsia="Arial" w:hAnsi="Arial"/>
                <w:sz w:val="20"/>
                <w:szCs w:val="20"/>
                <w:color w:val="auto"/>
                <w:vertAlign w:val="superscript"/>
              </w:rPr>
              <w:t>​</w:t>
            </w:r>
            <w:r>
              <w:rPr>
                <w:rFonts w:ascii="Arial" w:cs="Arial" w:eastAsia="Arial" w:hAnsi="Arial"/>
                <w:sz w:val="11"/>
                <w:szCs w:val="11"/>
                <w:color w:val="auto"/>
              </w:rPr>
              <w:t xml:space="preserve">725,000 </w:t>
            </w:r>
            <w:r>
              <w:rPr>
                <w:rFonts w:ascii="Arial" w:cs="Arial" w:eastAsia="Arial" w:hAnsi="Arial"/>
                <w:sz w:val="20"/>
                <w:szCs w:val="20"/>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center"/>
              <w:ind w:right="6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8,424,848</w:t>
            </w:r>
          </w:p>
        </w:tc>
        <w:tc>
          <w:tcPr>
            <w:tcW w:w="420" w:type="dxa"/>
            <w:vAlign w:val="bottom"/>
          </w:tcPr>
          <w:p>
            <w:pPr>
              <w:ind w:left="140"/>
              <w:spacing w:after="0" w:line="176"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bscript"/>
              </w:rPr>
              <w:t>—</w:t>
            </w:r>
          </w:p>
        </w:tc>
        <w:tc>
          <w:tcPr>
            <w:tcW w:w="8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58"/>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2,109,750</w:t>
            </w:r>
          </w:p>
        </w:tc>
        <w:tc>
          <w:tcPr>
            <w:tcW w:w="6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tcPr>
          <w:p>
            <w:pPr>
              <w:jc w:val="center"/>
              <w:spacing w:after="0" w:line="176"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bscript"/>
              </w:rPr>
              <w:t>—</w:t>
            </w:r>
          </w:p>
        </w:tc>
        <w:tc>
          <w:tcPr>
            <w:tcW w:w="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center"/>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15,042</w:t>
            </w:r>
          </w:p>
        </w:tc>
        <w:tc>
          <w:tcPr>
            <w:tcW w:w="760" w:type="dxa"/>
            <w:vAlign w:val="bottom"/>
            <w:gridSpan w:val="4"/>
          </w:tcPr>
          <w:p>
            <w:pPr>
              <w:jc w:val="right"/>
              <w:ind w:right="40"/>
              <w:spacing w:after="0" w:line="176" w:lineRule="exact"/>
              <w:rPr>
                <w:sz w:val="20"/>
                <w:szCs w:val="20"/>
                <w:color w:val="auto"/>
              </w:rPr>
            </w:pPr>
            <w:r>
              <w:rPr>
                <w:rFonts w:ascii="Arial" w:cs="Arial" w:eastAsia="Arial" w:hAnsi="Arial"/>
                <w:sz w:val="20"/>
                <w:szCs w:val="20"/>
                <w:color w:val="auto"/>
                <w:vertAlign w:val="superscript"/>
              </w:rPr>
              <w:t>​ ​</w:t>
            </w:r>
            <w:r>
              <w:rPr>
                <w:rFonts w:ascii="Arial" w:cs="Arial" w:eastAsia="Arial" w:hAnsi="Arial"/>
                <w:sz w:val="11"/>
                <w:szCs w:val="11"/>
                <w:color w:val="auto"/>
              </w:rPr>
              <w:t>11,274,640</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5"/>
          </w:tcPr>
          <w:p>
            <w:pPr>
              <w:jc w:val="right"/>
              <w:spacing w:after="0" w:line="207"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 xml:space="preserve">2023 </w:t>
            </w:r>
            <w:r>
              <w:rPr>
                <w:rFonts w:ascii="Arial" w:cs="Arial" w:eastAsia="Arial" w:hAnsi="Arial"/>
                <w:sz w:val="24"/>
                <w:szCs w:val="24"/>
                <w:color w:val="auto"/>
                <w:vertAlign w:val="superscript"/>
              </w:rPr>
              <w:t>​</w:t>
            </w:r>
            <w:r>
              <w:rPr>
                <w:rFonts w:ascii="Arial" w:cs="Arial" w:eastAsia="Arial" w:hAnsi="Arial"/>
                <w:sz w:val="12"/>
                <w:szCs w:val="12"/>
                <w:color w:val="auto"/>
              </w:rPr>
              <w:t xml:space="preserve">725,000 </w:t>
            </w:r>
            <w:r>
              <w:rPr>
                <w:rFonts w:ascii="Arial" w:cs="Arial" w:eastAsia="Arial" w:hAnsi="Arial"/>
                <w:sz w:val="24"/>
                <w:szCs w:val="24"/>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center"/>
              <w:ind w:right="60"/>
              <w:spacing w:after="0" w:line="207"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3,110,628</w:t>
            </w:r>
          </w:p>
        </w:tc>
        <w:tc>
          <w:tcPr>
            <w:tcW w:w="420" w:type="dxa"/>
            <w:vAlign w:val="bottom"/>
          </w:tcPr>
          <w:p>
            <w:pPr>
              <w:ind w:left="140"/>
              <w:spacing w:after="0" w:line="207" w:lineRule="exact"/>
              <w:rPr>
                <w:sz w:val="20"/>
                <w:szCs w:val="20"/>
                <w:color w:val="auto"/>
              </w:rPr>
            </w:pPr>
            <w:r>
              <w:rPr>
                <w:rFonts w:ascii="Arial" w:cs="Arial" w:eastAsia="Arial" w:hAnsi="Arial"/>
                <w:sz w:val="12"/>
                <w:szCs w:val="12"/>
                <w:color w:val="auto"/>
              </w:rPr>
              <w:t>​</w:t>
            </w:r>
            <w:r>
              <w:rPr>
                <w:rFonts w:ascii="Arial" w:cs="Arial" w:eastAsia="Arial" w:hAnsi="Arial"/>
                <w:sz w:val="24"/>
                <w:szCs w:val="24"/>
                <w:color w:val="auto"/>
                <w:vertAlign w:val="subscript"/>
              </w:rPr>
              <w:t>—</w:t>
            </w:r>
          </w:p>
        </w:tc>
        <w:tc>
          <w:tcPr>
            <w:tcW w:w="8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58"/>
              <w:spacing w:after="0" w:line="207"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1,007,750</w:t>
            </w:r>
          </w:p>
        </w:tc>
        <w:tc>
          <w:tcPr>
            <w:tcW w:w="6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tcPr>
          <w:p>
            <w:pPr>
              <w:jc w:val="center"/>
              <w:spacing w:after="0" w:line="207" w:lineRule="exact"/>
              <w:rPr>
                <w:sz w:val="20"/>
                <w:szCs w:val="20"/>
                <w:color w:val="auto"/>
              </w:rPr>
            </w:pPr>
            <w:r>
              <w:rPr>
                <w:rFonts w:ascii="Arial" w:cs="Arial" w:eastAsia="Arial" w:hAnsi="Arial"/>
                <w:sz w:val="12"/>
                <w:szCs w:val="12"/>
                <w:color w:val="auto"/>
                <w:w w:val="87"/>
              </w:rPr>
              <w:t>​</w:t>
            </w:r>
            <w:r>
              <w:rPr>
                <w:rFonts w:ascii="Arial" w:cs="Arial" w:eastAsia="Arial" w:hAnsi="Arial"/>
                <w:sz w:val="24"/>
                <w:szCs w:val="24"/>
                <w:color w:val="auto"/>
                <w:w w:val="87"/>
                <w:vertAlign w:val="subscript"/>
              </w:rPr>
              <w:t>—</w:t>
            </w:r>
          </w:p>
        </w:tc>
        <w:tc>
          <w:tcPr>
            <w:tcW w:w="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center"/>
              <w:spacing w:after="0" w:line="207"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14,442</w:t>
            </w:r>
          </w:p>
        </w:tc>
        <w:tc>
          <w:tcPr>
            <w:tcW w:w="760" w:type="dxa"/>
            <w:vAlign w:val="bottom"/>
            <w:gridSpan w:val="4"/>
          </w:tcPr>
          <w:p>
            <w:pPr>
              <w:jc w:val="right"/>
              <w:ind w:right="40"/>
              <w:spacing w:after="0" w:line="207"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2"/>
                <w:szCs w:val="12"/>
                <w:color w:val="auto"/>
              </w:rPr>
              <w:t xml:space="preserve"> 4,857,820</w:t>
            </w:r>
          </w:p>
        </w:tc>
        <w:tc>
          <w:tcPr>
            <w:tcW w:w="0" w:type="dxa"/>
            <w:vAlign w:val="bottom"/>
          </w:tcPr>
          <w:p>
            <w:pPr>
              <w:spacing w:after="0"/>
              <w:rPr>
                <w:sz w:val="1"/>
                <w:szCs w:val="1"/>
                <w:color w:val="auto"/>
              </w:rPr>
            </w:pPr>
          </w:p>
        </w:tc>
      </w:tr>
      <w:tr>
        <w:trPr>
          <w:trHeight w:val="158"/>
        </w:trPr>
        <w:tc>
          <w:tcPr>
            <w:tcW w:w="60" w:type="dxa"/>
            <w:vAlign w:val="bottom"/>
            <w:shd w:val="clear" w:color="auto" w:fill="B2B2B2"/>
          </w:tcPr>
          <w:p>
            <w:pPr>
              <w:spacing w:after="0"/>
              <w:rPr>
                <w:sz w:val="13"/>
                <w:szCs w:val="13"/>
                <w:color w:val="auto"/>
              </w:rPr>
            </w:pPr>
          </w:p>
        </w:tc>
        <w:tc>
          <w:tcPr>
            <w:tcW w:w="1960" w:type="dxa"/>
            <w:vAlign w:val="bottom"/>
            <w:gridSpan w:val="2"/>
            <w:shd w:val="clear" w:color="auto" w:fill="B2B2B2"/>
          </w:tcPr>
          <w:p>
            <w:pPr>
              <w:spacing w:after="0"/>
              <w:rPr>
                <w:sz w:val="20"/>
                <w:szCs w:val="20"/>
                <w:color w:val="auto"/>
              </w:rPr>
            </w:pPr>
            <w:r>
              <w:rPr>
                <w:rFonts w:ascii="Arial" w:cs="Arial" w:eastAsia="Arial" w:hAnsi="Arial"/>
                <w:sz w:val="13"/>
                <w:szCs w:val="13"/>
                <w:color w:val="auto"/>
              </w:rPr>
              <w:t>Paul Bullington</w:t>
            </w:r>
          </w:p>
        </w:tc>
        <w:tc>
          <w:tcPr>
            <w:tcW w:w="960" w:type="dxa"/>
            <w:vAlign w:val="bottom"/>
            <w:gridSpan w:val="5"/>
            <w:shd w:val="clear" w:color="auto" w:fill="B2B2B2"/>
          </w:tcPr>
          <w:p>
            <w:pPr>
              <w:jc w:val="right"/>
              <w:spacing w:after="0" w:line="157"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2025 </w:t>
            </w:r>
            <w:r>
              <w:rPr>
                <w:rFonts w:ascii="Arial" w:cs="Arial" w:eastAsia="Arial" w:hAnsi="Arial"/>
                <w:sz w:val="18"/>
                <w:szCs w:val="18"/>
                <w:color w:val="auto"/>
                <w:vertAlign w:val="superscript"/>
              </w:rPr>
              <w:t>​</w:t>
            </w:r>
            <w:r>
              <w:rPr>
                <w:rFonts w:ascii="Arial" w:cs="Arial" w:eastAsia="Arial" w:hAnsi="Arial"/>
                <w:sz w:val="10"/>
                <w:szCs w:val="10"/>
                <w:color w:val="auto"/>
              </w:rPr>
              <w:t xml:space="preserve">453,200 </w:t>
            </w:r>
            <w:r>
              <w:rPr>
                <w:rFonts w:ascii="Arial" w:cs="Arial" w:eastAsia="Arial" w:hAnsi="Arial"/>
                <w:sz w:val="18"/>
                <w:szCs w:val="18"/>
                <w:color w:val="auto"/>
                <w:vertAlign w:val="superscript"/>
              </w:rPr>
              <w:t>​</w:t>
            </w:r>
          </w:p>
        </w:tc>
        <w:tc>
          <w:tcPr>
            <w:tcW w:w="720" w:type="dxa"/>
            <w:vAlign w:val="bottom"/>
            <w:gridSpan w:val="2"/>
            <w:shd w:val="clear" w:color="auto" w:fill="B2B2B2"/>
          </w:tcPr>
          <w:p>
            <w:pPr>
              <w:ind w:left="3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B2B2B2"/>
          </w:tcPr>
          <w:p>
            <w:pPr>
              <w:jc w:val="center"/>
              <w:ind w:right="60"/>
              <w:spacing w:after="0" w:line="157"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2,523,299</w:t>
            </w:r>
          </w:p>
        </w:tc>
        <w:tc>
          <w:tcPr>
            <w:tcW w:w="420" w:type="dxa"/>
            <w:vAlign w:val="bottom"/>
            <w:shd w:val="clear" w:color="auto" w:fill="B2B2B2"/>
          </w:tcPr>
          <w:p>
            <w:pPr>
              <w:ind w:left="140"/>
              <w:spacing w:after="0" w:line="157" w:lineRule="exact"/>
              <w:rPr>
                <w:sz w:val="20"/>
                <w:szCs w:val="20"/>
                <w:color w:val="auto"/>
              </w:rPr>
            </w:pPr>
            <w:r>
              <w:rPr>
                <w:rFonts w:ascii="Arial" w:cs="Arial" w:eastAsia="Arial" w:hAnsi="Arial"/>
                <w:sz w:val="10"/>
                <w:szCs w:val="10"/>
                <w:color w:val="auto"/>
              </w:rPr>
              <w:t>​</w:t>
            </w:r>
            <w:r>
              <w:rPr>
                <w:rFonts w:ascii="Arial" w:cs="Arial" w:eastAsia="Arial" w:hAnsi="Arial"/>
                <w:sz w:val="18"/>
                <w:szCs w:val="18"/>
                <w:color w:val="auto"/>
                <w:vertAlign w:val="subscript"/>
              </w:rPr>
              <w:t>—</w:t>
            </w:r>
          </w:p>
        </w:tc>
        <w:tc>
          <w:tcPr>
            <w:tcW w:w="80" w:type="dxa"/>
            <w:vAlign w:val="bottom"/>
            <w:gridSpan w:val="2"/>
            <w:shd w:val="clear" w:color="auto" w:fill="B2B2B2"/>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shd w:val="clear" w:color="auto" w:fill="B2B2B2"/>
          </w:tcPr>
          <w:p>
            <w:pPr>
              <w:ind w:lef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B2B2B2"/>
          </w:tcPr>
          <w:p>
            <w:pPr>
              <w:jc w:val="right"/>
              <w:ind w:right="58"/>
              <w:spacing w:after="0"/>
              <w:rPr>
                <w:sz w:val="20"/>
                <w:szCs w:val="20"/>
                <w:color w:val="auto"/>
              </w:rPr>
            </w:pPr>
            <w:r>
              <w:rPr>
                <w:rFonts w:ascii="Arial" w:cs="Arial" w:eastAsia="Arial" w:hAnsi="Arial"/>
                <w:sz w:val="13"/>
                <w:szCs w:val="13"/>
                <w:color w:val="auto"/>
              </w:rPr>
              <w:t>599,687</w:t>
            </w:r>
          </w:p>
        </w:tc>
        <w:tc>
          <w:tcPr>
            <w:tcW w:w="60" w:type="dxa"/>
            <w:vAlign w:val="bottom"/>
            <w:shd w:val="clear" w:color="auto" w:fill="B2B2B2"/>
          </w:tcPr>
          <w:p>
            <w:pPr>
              <w:spacing w:after="0"/>
              <w:rPr>
                <w:sz w:val="20"/>
                <w:szCs w:val="20"/>
                <w:color w:val="auto"/>
              </w:rPr>
            </w:pPr>
            <w:r>
              <w:rPr>
                <w:rFonts w:ascii="Arial" w:cs="Arial" w:eastAsia="Arial" w:hAnsi="Arial"/>
                <w:sz w:val="13"/>
                <w:szCs w:val="13"/>
                <w:color w:val="auto"/>
              </w:rPr>
              <w:t>​</w:t>
            </w:r>
          </w:p>
        </w:tc>
        <w:tc>
          <w:tcPr>
            <w:tcW w:w="820" w:type="dxa"/>
            <w:vAlign w:val="bottom"/>
            <w:shd w:val="clear" w:color="auto" w:fill="B2B2B2"/>
          </w:tcPr>
          <w:p>
            <w:pPr>
              <w:jc w:val="center"/>
              <w:spacing w:after="0" w:line="157" w:lineRule="exact"/>
              <w:rPr>
                <w:sz w:val="20"/>
                <w:szCs w:val="20"/>
                <w:color w:val="auto"/>
              </w:rPr>
            </w:pPr>
            <w:r>
              <w:rPr>
                <w:rFonts w:ascii="Arial" w:cs="Arial" w:eastAsia="Arial" w:hAnsi="Arial"/>
                <w:sz w:val="10"/>
                <w:szCs w:val="10"/>
                <w:color w:val="auto"/>
              </w:rPr>
              <w:t>​</w:t>
            </w:r>
            <w:r>
              <w:rPr>
                <w:rFonts w:ascii="Arial" w:cs="Arial" w:eastAsia="Arial" w:hAnsi="Arial"/>
                <w:sz w:val="18"/>
                <w:szCs w:val="18"/>
                <w:color w:val="auto"/>
                <w:vertAlign w:val="subscript"/>
              </w:rPr>
              <w:t>—</w:t>
            </w:r>
          </w:p>
        </w:tc>
        <w:tc>
          <w:tcPr>
            <w:tcW w:w="80" w:type="dxa"/>
            <w:vAlign w:val="bottom"/>
            <w:gridSpan w:val="2"/>
            <w:shd w:val="clear" w:color="auto" w:fill="B2B2B2"/>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B2B2B2"/>
          </w:tcPr>
          <w:p>
            <w:pPr>
              <w:jc w:val="center"/>
              <w:spacing w:after="0" w:line="157"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15,113</w:t>
            </w:r>
          </w:p>
        </w:tc>
        <w:tc>
          <w:tcPr>
            <w:tcW w:w="760" w:type="dxa"/>
            <w:vAlign w:val="bottom"/>
            <w:gridSpan w:val="4"/>
            <w:shd w:val="clear" w:color="auto" w:fill="B2B2B2"/>
          </w:tcPr>
          <w:p>
            <w:pPr>
              <w:jc w:val="right"/>
              <w:ind w:right="40"/>
              <w:spacing w:after="0" w:line="157" w:lineRule="exact"/>
              <w:rPr>
                <w:sz w:val="20"/>
                <w:szCs w:val="20"/>
                <w:color w:val="auto"/>
              </w:rPr>
            </w:pPr>
            <w:r>
              <w:rPr>
                <w:rFonts w:ascii="Arial" w:cs="Arial" w:eastAsia="Arial" w:hAnsi="Arial"/>
                <w:sz w:val="18"/>
                <w:szCs w:val="18"/>
                <w:color w:val="auto"/>
                <w:vertAlign w:val="superscript"/>
              </w:rPr>
              <w:t>​ ​</w:t>
            </w:r>
            <w:r>
              <w:rPr>
                <w:rFonts w:ascii="Arial" w:cs="Arial" w:eastAsia="Arial" w:hAnsi="Arial"/>
                <w:sz w:val="10"/>
                <w:szCs w:val="10"/>
                <w:color w:val="auto"/>
              </w:rPr>
              <w:t xml:space="preserve"> 3,591,299</w:t>
            </w:r>
          </w:p>
        </w:tc>
        <w:tc>
          <w:tcPr>
            <w:tcW w:w="0" w:type="dxa"/>
            <w:vAlign w:val="bottom"/>
          </w:tcPr>
          <w:p>
            <w:pPr>
              <w:spacing w:after="0"/>
              <w:rPr>
                <w:sz w:val="1"/>
                <w:szCs w:val="1"/>
                <w:color w:val="auto"/>
              </w:rPr>
            </w:pPr>
          </w:p>
        </w:tc>
      </w:tr>
      <w:tr>
        <w:trPr>
          <w:trHeight w:val="176"/>
        </w:trPr>
        <w:tc>
          <w:tcPr>
            <w:tcW w:w="60" w:type="dxa"/>
            <w:vAlign w:val="bottom"/>
            <w:shd w:val="clear" w:color="auto" w:fill="B2B2B2"/>
          </w:tcPr>
          <w:p>
            <w:pPr>
              <w:spacing w:after="0"/>
              <w:rPr>
                <w:sz w:val="15"/>
                <w:szCs w:val="15"/>
                <w:color w:val="auto"/>
              </w:rPr>
            </w:pPr>
          </w:p>
        </w:tc>
        <w:tc>
          <w:tcPr>
            <w:tcW w:w="1960" w:type="dxa"/>
            <w:vAlign w:val="bottom"/>
            <w:gridSpan w:val="2"/>
            <w:shd w:val="clear" w:color="auto" w:fill="B2B2B2"/>
          </w:tcPr>
          <w:p>
            <w:pPr>
              <w:ind w:left="120"/>
              <w:spacing w:after="0"/>
              <w:rPr>
                <w:sz w:val="20"/>
                <w:szCs w:val="20"/>
                <w:color w:val="auto"/>
              </w:rPr>
            </w:pPr>
            <w:r>
              <w:rPr>
                <w:rFonts w:ascii="Arial" w:cs="Arial" w:eastAsia="Arial" w:hAnsi="Arial"/>
                <w:sz w:val="13"/>
                <w:szCs w:val="13"/>
                <w:color w:val="auto"/>
              </w:rPr>
              <w:t>Sr. EVP, CFO &amp; Treasurer</w:t>
            </w:r>
          </w:p>
        </w:tc>
        <w:tc>
          <w:tcPr>
            <w:tcW w:w="960" w:type="dxa"/>
            <w:vAlign w:val="bottom"/>
            <w:gridSpan w:val="5"/>
            <w:shd w:val="clear" w:color="auto" w:fill="B2B2B2"/>
          </w:tcPr>
          <w:p>
            <w:pPr>
              <w:jc w:val="right"/>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xml:space="preserve">2024 </w:t>
            </w:r>
            <w:r>
              <w:rPr>
                <w:rFonts w:ascii="Arial" w:cs="Arial" w:eastAsia="Arial" w:hAnsi="Arial"/>
                <w:sz w:val="20"/>
                <w:szCs w:val="20"/>
                <w:color w:val="auto"/>
                <w:vertAlign w:val="superscript"/>
              </w:rPr>
              <w:t>​</w:t>
            </w:r>
            <w:r>
              <w:rPr>
                <w:rFonts w:ascii="Arial" w:cs="Arial" w:eastAsia="Arial" w:hAnsi="Arial"/>
                <w:sz w:val="11"/>
                <w:szCs w:val="11"/>
                <w:color w:val="auto"/>
              </w:rPr>
              <w:t xml:space="preserve">453,200 </w:t>
            </w:r>
            <w:r>
              <w:rPr>
                <w:rFonts w:ascii="Arial" w:cs="Arial" w:eastAsia="Arial" w:hAnsi="Arial"/>
                <w:sz w:val="20"/>
                <w:szCs w:val="20"/>
                <w:color w:val="auto"/>
                <w:vertAlign w:val="superscript"/>
              </w:rPr>
              <w:t>​</w:t>
            </w:r>
          </w:p>
        </w:tc>
        <w:tc>
          <w:tcPr>
            <w:tcW w:w="720" w:type="dxa"/>
            <w:vAlign w:val="bottom"/>
            <w:gridSpan w:val="2"/>
            <w:shd w:val="clear" w:color="auto" w:fill="B2B2B2"/>
          </w:tcPr>
          <w:p>
            <w:pPr>
              <w:ind w:left="3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B2B2B2"/>
          </w:tcPr>
          <w:p>
            <w:pPr>
              <w:jc w:val="center"/>
              <w:ind w:right="6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2,496,088</w:t>
            </w:r>
          </w:p>
        </w:tc>
        <w:tc>
          <w:tcPr>
            <w:tcW w:w="420" w:type="dxa"/>
            <w:vAlign w:val="bottom"/>
            <w:shd w:val="clear" w:color="auto" w:fill="B2B2B2"/>
          </w:tcPr>
          <w:p>
            <w:pPr>
              <w:ind w:left="14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w:t>
            </w:r>
          </w:p>
        </w:tc>
        <w:tc>
          <w:tcPr>
            <w:tcW w:w="80" w:type="dxa"/>
            <w:vAlign w:val="bottom"/>
            <w:gridSpan w:val="2"/>
            <w:shd w:val="clear" w:color="auto" w:fill="B2B2B2"/>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shd w:val="clear" w:color="auto" w:fill="B2B2B2"/>
          </w:tcPr>
          <w:p>
            <w:pPr>
              <w:ind w:lef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B2B2B2"/>
          </w:tcPr>
          <w:p>
            <w:pPr>
              <w:jc w:val="right"/>
              <w:ind w:right="58"/>
              <w:spacing w:after="0"/>
              <w:rPr>
                <w:sz w:val="20"/>
                <w:szCs w:val="20"/>
                <w:color w:val="auto"/>
              </w:rPr>
            </w:pPr>
            <w:r>
              <w:rPr>
                <w:rFonts w:ascii="Arial" w:cs="Arial" w:eastAsia="Arial" w:hAnsi="Arial"/>
                <w:sz w:val="13"/>
                <w:szCs w:val="13"/>
                <w:color w:val="auto"/>
              </w:rPr>
              <w:t>584,628</w:t>
            </w:r>
          </w:p>
        </w:tc>
        <w:tc>
          <w:tcPr>
            <w:tcW w:w="60" w:type="dxa"/>
            <w:vAlign w:val="bottom"/>
            <w:shd w:val="clear" w:color="auto" w:fill="B2B2B2"/>
          </w:tcPr>
          <w:p>
            <w:pPr>
              <w:spacing w:after="0"/>
              <w:rPr>
                <w:sz w:val="20"/>
                <w:szCs w:val="20"/>
                <w:color w:val="auto"/>
              </w:rPr>
            </w:pPr>
            <w:r>
              <w:rPr>
                <w:rFonts w:ascii="Arial" w:cs="Arial" w:eastAsia="Arial" w:hAnsi="Arial"/>
                <w:sz w:val="13"/>
                <w:szCs w:val="13"/>
                <w:color w:val="auto"/>
              </w:rPr>
              <w:t>​</w:t>
            </w:r>
          </w:p>
        </w:tc>
        <w:tc>
          <w:tcPr>
            <w:tcW w:w="820" w:type="dxa"/>
            <w:vAlign w:val="bottom"/>
            <w:shd w:val="clear" w:color="auto" w:fill="B2B2B2"/>
          </w:tcPr>
          <w:p>
            <w:pPr>
              <w:jc w:val="center"/>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w:t>
            </w:r>
          </w:p>
        </w:tc>
        <w:tc>
          <w:tcPr>
            <w:tcW w:w="80" w:type="dxa"/>
            <w:vAlign w:val="bottom"/>
            <w:gridSpan w:val="2"/>
            <w:shd w:val="clear" w:color="auto" w:fill="B2B2B2"/>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B2B2B2"/>
          </w:tcPr>
          <w:p>
            <w:pPr>
              <w:jc w:val="center"/>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14,913</w:t>
            </w:r>
          </w:p>
        </w:tc>
        <w:tc>
          <w:tcPr>
            <w:tcW w:w="760" w:type="dxa"/>
            <w:vAlign w:val="bottom"/>
            <w:gridSpan w:val="4"/>
            <w:shd w:val="clear" w:color="auto" w:fill="B2B2B2"/>
          </w:tcPr>
          <w:p>
            <w:pPr>
              <w:jc w:val="right"/>
              <w:ind w:right="40"/>
              <w:spacing w:after="0" w:line="176" w:lineRule="exact"/>
              <w:rPr>
                <w:sz w:val="20"/>
                <w:szCs w:val="20"/>
                <w:color w:val="auto"/>
              </w:rPr>
            </w:pPr>
            <w:r>
              <w:rPr>
                <w:rFonts w:ascii="Arial" w:cs="Arial" w:eastAsia="Arial" w:hAnsi="Arial"/>
                <w:sz w:val="20"/>
                <w:szCs w:val="20"/>
                <w:color w:val="auto"/>
                <w:vertAlign w:val="superscript"/>
              </w:rPr>
              <w:t>​ ​</w:t>
            </w:r>
            <w:r>
              <w:rPr>
                <w:rFonts w:ascii="Arial" w:cs="Arial" w:eastAsia="Arial" w:hAnsi="Arial"/>
                <w:sz w:val="11"/>
                <w:szCs w:val="11"/>
                <w:color w:val="auto"/>
              </w:rPr>
              <w:t xml:space="preserve"> 3,521,829</w:t>
            </w:r>
          </w:p>
        </w:tc>
        <w:tc>
          <w:tcPr>
            <w:tcW w:w="0" w:type="dxa"/>
            <w:vAlign w:val="bottom"/>
          </w:tcPr>
          <w:p>
            <w:pPr>
              <w:spacing w:after="0"/>
              <w:rPr>
                <w:sz w:val="1"/>
                <w:szCs w:val="1"/>
                <w:color w:val="auto"/>
              </w:rPr>
            </w:pPr>
          </w:p>
        </w:tc>
      </w:tr>
      <w:tr>
        <w:trPr>
          <w:trHeight w:val="207"/>
        </w:trPr>
        <w:tc>
          <w:tcPr>
            <w:tcW w:w="60" w:type="dxa"/>
            <w:vAlign w:val="bottom"/>
            <w:shd w:val="clear" w:color="auto" w:fill="B2B2B2"/>
          </w:tcPr>
          <w:p>
            <w:pPr>
              <w:spacing w:after="0"/>
              <w:rPr>
                <w:sz w:val="18"/>
                <w:szCs w:val="18"/>
                <w:color w:val="auto"/>
              </w:rPr>
            </w:pPr>
          </w:p>
        </w:tc>
        <w:tc>
          <w:tcPr>
            <w:tcW w:w="192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960" w:type="dxa"/>
            <w:vAlign w:val="bottom"/>
            <w:gridSpan w:val="5"/>
            <w:shd w:val="clear" w:color="auto" w:fill="B2B2B2"/>
          </w:tcPr>
          <w:p>
            <w:pPr>
              <w:jc w:val="right"/>
              <w:spacing w:after="0" w:line="207"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 xml:space="preserve">2023 </w:t>
            </w:r>
            <w:r>
              <w:rPr>
                <w:rFonts w:ascii="Arial" w:cs="Arial" w:eastAsia="Arial" w:hAnsi="Arial"/>
                <w:sz w:val="24"/>
                <w:szCs w:val="24"/>
                <w:color w:val="auto"/>
                <w:vertAlign w:val="superscript"/>
              </w:rPr>
              <w:t>​</w:t>
            </w:r>
            <w:r>
              <w:rPr>
                <w:rFonts w:ascii="Arial" w:cs="Arial" w:eastAsia="Arial" w:hAnsi="Arial"/>
                <w:sz w:val="12"/>
                <w:szCs w:val="12"/>
                <w:color w:val="auto"/>
              </w:rPr>
              <w:t xml:space="preserve">453,200 </w:t>
            </w:r>
            <w:r>
              <w:rPr>
                <w:rFonts w:ascii="Arial" w:cs="Arial" w:eastAsia="Arial" w:hAnsi="Arial"/>
                <w:sz w:val="24"/>
                <w:szCs w:val="24"/>
                <w:color w:val="auto"/>
                <w:vertAlign w:val="superscript"/>
              </w:rPr>
              <w:t>​</w:t>
            </w:r>
          </w:p>
        </w:tc>
        <w:tc>
          <w:tcPr>
            <w:tcW w:w="720" w:type="dxa"/>
            <w:vAlign w:val="bottom"/>
            <w:gridSpan w:val="2"/>
            <w:shd w:val="clear" w:color="auto" w:fill="B2B2B2"/>
          </w:tcPr>
          <w:p>
            <w:pPr>
              <w:ind w:left="3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B2B2B2"/>
          </w:tcPr>
          <w:p>
            <w:pPr>
              <w:jc w:val="center"/>
              <w:ind w:right="60"/>
              <w:spacing w:after="0" w:line="207"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 xml:space="preserve"> 880,991</w:t>
            </w:r>
          </w:p>
        </w:tc>
        <w:tc>
          <w:tcPr>
            <w:tcW w:w="420" w:type="dxa"/>
            <w:vAlign w:val="bottom"/>
            <w:shd w:val="clear" w:color="auto" w:fill="B2B2B2"/>
          </w:tcPr>
          <w:p>
            <w:pPr>
              <w:ind w:left="140"/>
              <w:spacing w:after="0" w:line="207" w:lineRule="exact"/>
              <w:rPr>
                <w:sz w:val="20"/>
                <w:szCs w:val="20"/>
                <w:color w:val="auto"/>
              </w:rPr>
            </w:pPr>
            <w:r>
              <w:rPr>
                <w:rFonts w:ascii="Arial" w:cs="Arial" w:eastAsia="Arial" w:hAnsi="Arial"/>
                <w:sz w:val="12"/>
                <w:szCs w:val="12"/>
                <w:color w:val="auto"/>
              </w:rPr>
              <w:t>​</w:t>
            </w:r>
            <w:r>
              <w:rPr>
                <w:rFonts w:ascii="Arial" w:cs="Arial" w:eastAsia="Arial" w:hAnsi="Arial"/>
                <w:sz w:val="24"/>
                <w:szCs w:val="24"/>
                <w:color w:val="auto"/>
                <w:vertAlign w:val="subscript"/>
              </w:rPr>
              <w:t>—</w:t>
            </w:r>
          </w:p>
        </w:tc>
        <w:tc>
          <w:tcPr>
            <w:tcW w:w="80" w:type="dxa"/>
            <w:vAlign w:val="bottom"/>
            <w:gridSpan w:val="2"/>
            <w:shd w:val="clear" w:color="auto" w:fill="B2B2B2"/>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shd w:val="clear" w:color="auto" w:fill="B2B2B2"/>
          </w:tcPr>
          <w:p>
            <w:pPr>
              <w:ind w:lef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B2B2B2"/>
          </w:tcPr>
          <w:p>
            <w:pPr>
              <w:jc w:val="right"/>
              <w:ind w:right="58"/>
              <w:spacing w:after="0"/>
              <w:rPr>
                <w:sz w:val="20"/>
                <w:szCs w:val="20"/>
                <w:color w:val="auto"/>
              </w:rPr>
            </w:pPr>
            <w:r>
              <w:rPr>
                <w:rFonts w:ascii="Arial" w:cs="Arial" w:eastAsia="Arial" w:hAnsi="Arial"/>
                <w:sz w:val="13"/>
                <w:szCs w:val="13"/>
                <w:color w:val="auto"/>
              </w:rPr>
              <w:t>421,476</w:t>
            </w:r>
          </w:p>
        </w:tc>
        <w:tc>
          <w:tcPr>
            <w:tcW w:w="60" w:type="dxa"/>
            <w:vAlign w:val="bottom"/>
            <w:shd w:val="clear" w:color="auto" w:fill="B2B2B2"/>
          </w:tcPr>
          <w:p>
            <w:pPr>
              <w:spacing w:after="0"/>
              <w:rPr>
                <w:sz w:val="20"/>
                <w:szCs w:val="20"/>
                <w:color w:val="auto"/>
              </w:rPr>
            </w:pPr>
            <w:r>
              <w:rPr>
                <w:rFonts w:ascii="Arial" w:cs="Arial" w:eastAsia="Arial" w:hAnsi="Arial"/>
                <w:sz w:val="13"/>
                <w:szCs w:val="13"/>
                <w:color w:val="auto"/>
              </w:rPr>
              <w:t>​</w:t>
            </w:r>
          </w:p>
        </w:tc>
        <w:tc>
          <w:tcPr>
            <w:tcW w:w="820" w:type="dxa"/>
            <w:vAlign w:val="bottom"/>
            <w:shd w:val="clear" w:color="auto" w:fill="B2B2B2"/>
          </w:tcPr>
          <w:p>
            <w:pPr>
              <w:jc w:val="center"/>
              <w:spacing w:after="0" w:line="207" w:lineRule="exact"/>
              <w:rPr>
                <w:sz w:val="20"/>
                <w:szCs w:val="20"/>
                <w:color w:val="auto"/>
              </w:rPr>
            </w:pPr>
            <w:r>
              <w:rPr>
                <w:rFonts w:ascii="Arial" w:cs="Arial" w:eastAsia="Arial" w:hAnsi="Arial"/>
                <w:sz w:val="12"/>
                <w:szCs w:val="12"/>
                <w:color w:val="auto"/>
                <w:w w:val="87"/>
              </w:rPr>
              <w:t>​</w:t>
            </w:r>
            <w:r>
              <w:rPr>
                <w:rFonts w:ascii="Arial" w:cs="Arial" w:eastAsia="Arial" w:hAnsi="Arial"/>
                <w:sz w:val="24"/>
                <w:szCs w:val="24"/>
                <w:color w:val="auto"/>
                <w:w w:val="87"/>
                <w:vertAlign w:val="subscript"/>
              </w:rPr>
              <w:t>—</w:t>
            </w:r>
          </w:p>
        </w:tc>
        <w:tc>
          <w:tcPr>
            <w:tcW w:w="80" w:type="dxa"/>
            <w:vAlign w:val="bottom"/>
            <w:gridSpan w:val="2"/>
            <w:shd w:val="clear" w:color="auto" w:fill="B2B2B2"/>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B2B2B2"/>
          </w:tcPr>
          <w:p>
            <w:pPr>
              <w:jc w:val="center"/>
              <w:spacing w:after="0" w:line="207"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13,848</w:t>
            </w:r>
          </w:p>
        </w:tc>
        <w:tc>
          <w:tcPr>
            <w:tcW w:w="760" w:type="dxa"/>
            <w:vAlign w:val="bottom"/>
            <w:gridSpan w:val="4"/>
            <w:shd w:val="clear" w:color="auto" w:fill="B2B2B2"/>
          </w:tcPr>
          <w:p>
            <w:pPr>
              <w:jc w:val="right"/>
              <w:ind w:right="40"/>
              <w:spacing w:after="0" w:line="207"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2"/>
                <w:szCs w:val="12"/>
                <w:color w:val="auto"/>
              </w:rPr>
              <w:t xml:space="preserve"> 1,769,515</w:t>
            </w: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960" w:type="dxa"/>
            <w:vAlign w:val="bottom"/>
            <w:gridSpan w:val="2"/>
          </w:tcPr>
          <w:p>
            <w:pPr>
              <w:spacing w:after="0" w:line="144" w:lineRule="exact"/>
              <w:rPr>
                <w:sz w:val="20"/>
                <w:szCs w:val="20"/>
                <w:color w:val="auto"/>
              </w:rPr>
            </w:pPr>
            <w:r>
              <w:rPr>
                <w:rFonts w:ascii="Arial" w:cs="Arial" w:eastAsia="Arial" w:hAnsi="Arial"/>
                <w:sz w:val="13"/>
                <w:szCs w:val="13"/>
                <w:color w:val="auto"/>
              </w:rPr>
              <w:t>John Harrobin</w:t>
            </w:r>
          </w:p>
        </w:tc>
        <w:tc>
          <w:tcPr>
            <w:tcW w:w="1680" w:type="dxa"/>
            <w:vAlign w:val="bottom"/>
            <w:gridSpan w:val="7"/>
          </w:tcPr>
          <w:p>
            <w:pPr>
              <w:ind w:left="20"/>
              <w:spacing w:after="0" w:line="144" w:lineRule="exact"/>
              <w:rPr>
                <w:sz w:val="20"/>
                <w:szCs w:val="20"/>
                <w:color w:val="auto"/>
              </w:rPr>
            </w:pPr>
            <w:r>
              <w:rPr>
                <w:rFonts w:ascii="Arial" w:cs="Arial" w:eastAsia="Arial" w:hAnsi="Arial"/>
                <w:sz w:val="13"/>
                <w:szCs w:val="13"/>
                <w:color w:val="auto"/>
              </w:rPr>
              <w:t>​2025 ​475,962 ​5,600,000(4)</w:t>
            </w:r>
          </w:p>
        </w:tc>
        <w:tc>
          <w:tcPr>
            <w:tcW w:w="640" w:type="dxa"/>
            <w:vAlign w:val="bottom"/>
            <w:gridSpan w:val="2"/>
          </w:tcPr>
          <w:p>
            <w:pPr>
              <w:jc w:val="center"/>
              <w:ind w:right="60"/>
              <w:spacing w:after="0" w:line="144" w:lineRule="exact"/>
              <w:rPr>
                <w:sz w:val="20"/>
                <w:szCs w:val="20"/>
                <w:color w:val="auto"/>
              </w:rPr>
            </w:pPr>
            <w:r>
              <w:rPr>
                <w:rFonts w:ascii="Arial" w:cs="Arial" w:eastAsia="Arial" w:hAnsi="Arial"/>
                <w:sz w:val="13"/>
                <w:szCs w:val="13"/>
                <w:color w:val="auto"/>
              </w:rPr>
              <w:t>​4,908,833</w:t>
            </w:r>
          </w:p>
        </w:tc>
        <w:tc>
          <w:tcPr>
            <w:tcW w:w="420" w:type="dxa"/>
            <w:vAlign w:val="bottom"/>
          </w:tcPr>
          <w:p>
            <w:pPr>
              <w:ind w:left="140"/>
              <w:spacing w:after="0" w:line="144" w:lineRule="exact"/>
              <w:rPr>
                <w:sz w:val="20"/>
                <w:szCs w:val="20"/>
                <w:color w:val="auto"/>
              </w:rPr>
            </w:pPr>
            <w:r>
              <w:rPr>
                <w:rFonts w:ascii="Arial" w:cs="Arial" w:eastAsia="Arial" w:hAnsi="Arial"/>
                <w:sz w:val="13"/>
                <w:szCs w:val="13"/>
                <w:color w:val="auto"/>
              </w:rPr>
              <w:t>​—</w:t>
            </w:r>
          </w:p>
        </w:tc>
        <w:tc>
          <w:tcPr>
            <w:tcW w:w="80" w:type="dxa"/>
            <w:vAlign w:val="bottom"/>
            <w:gridSpan w:val="2"/>
          </w:tcPr>
          <w:p>
            <w:pPr>
              <w:jc w:val="right"/>
              <w:ind w:right="35"/>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58"/>
              <w:spacing w:after="0" w:line="144" w:lineRule="exact"/>
              <w:rPr>
                <w:sz w:val="20"/>
                <w:szCs w:val="20"/>
                <w:color w:val="auto"/>
              </w:rPr>
            </w:pPr>
            <w:r>
              <w:rPr>
                <w:rFonts w:ascii="Arial" w:cs="Arial" w:eastAsia="Arial" w:hAnsi="Arial"/>
                <w:sz w:val="13"/>
                <w:szCs w:val="13"/>
                <w:color w:val="auto"/>
              </w:rPr>
              <w:t>​1,984,841</w:t>
            </w:r>
          </w:p>
        </w:tc>
        <w:tc>
          <w:tcPr>
            <w:tcW w:w="6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center"/>
              <w:spacing w:after="0" w:line="144" w:lineRule="exact"/>
              <w:rPr>
                <w:sz w:val="20"/>
                <w:szCs w:val="20"/>
                <w:color w:val="auto"/>
              </w:rPr>
            </w:pPr>
            <w:r>
              <w:rPr>
                <w:rFonts w:ascii="Arial" w:cs="Arial" w:eastAsia="Arial" w:hAnsi="Arial"/>
                <w:sz w:val="13"/>
                <w:szCs w:val="13"/>
                <w:color w:val="auto"/>
              </w:rPr>
              <w:t>​—</w:t>
            </w:r>
          </w:p>
        </w:tc>
        <w:tc>
          <w:tcPr>
            <w:tcW w:w="8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center"/>
              <w:spacing w:after="0" w:line="144" w:lineRule="exact"/>
              <w:rPr>
                <w:sz w:val="20"/>
                <w:szCs w:val="20"/>
                <w:color w:val="auto"/>
              </w:rPr>
            </w:pPr>
            <w:r>
              <w:rPr>
                <w:rFonts w:ascii="Arial" w:cs="Arial" w:eastAsia="Arial" w:hAnsi="Arial"/>
                <w:sz w:val="13"/>
                <w:szCs w:val="13"/>
                <w:color w:val="auto"/>
                <w:w w:val="95"/>
              </w:rPr>
              <w:t>​45,185</w:t>
            </w:r>
          </w:p>
        </w:tc>
        <w:tc>
          <w:tcPr>
            <w:tcW w:w="760" w:type="dxa"/>
            <w:vAlign w:val="bottom"/>
            <w:gridSpan w:val="4"/>
          </w:tcPr>
          <w:p>
            <w:pPr>
              <w:jc w:val="right"/>
              <w:ind w:right="40"/>
              <w:spacing w:after="0" w:line="144" w:lineRule="exact"/>
              <w:rPr>
                <w:sz w:val="20"/>
                <w:szCs w:val="20"/>
                <w:color w:val="auto"/>
              </w:rPr>
            </w:pPr>
            <w:r>
              <w:rPr>
                <w:rFonts w:ascii="Arial" w:cs="Arial" w:eastAsia="Arial" w:hAnsi="Arial"/>
                <w:sz w:val="13"/>
                <w:szCs w:val="13"/>
                <w:color w:val="auto"/>
              </w:rPr>
              <w:t>​ ​13,014,821</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960" w:type="dxa"/>
            <w:vAlign w:val="bottom"/>
            <w:gridSpan w:val="2"/>
          </w:tcPr>
          <w:p>
            <w:pPr>
              <w:ind w:left="120"/>
              <w:spacing w:after="0"/>
              <w:rPr>
                <w:sz w:val="20"/>
                <w:szCs w:val="20"/>
                <w:color w:val="auto"/>
              </w:rPr>
            </w:pPr>
            <w:r>
              <w:rPr>
                <w:rFonts w:ascii="Arial" w:cs="Arial" w:eastAsia="Arial" w:hAnsi="Arial"/>
                <w:sz w:val="13"/>
                <w:szCs w:val="13"/>
                <w:color w:val="auto"/>
              </w:rPr>
              <w:t>Sr. EVP &amp; President of Kinetic</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 w:type="dxa"/>
            <w:vAlign w:val="bottom"/>
            <w:shd w:val="clear" w:color="auto" w:fill="B2B2B2"/>
          </w:tcPr>
          <w:p>
            <w:pPr>
              <w:spacing w:after="0"/>
              <w:rPr>
                <w:sz w:val="13"/>
                <w:szCs w:val="13"/>
                <w:color w:val="auto"/>
              </w:rPr>
            </w:pPr>
          </w:p>
        </w:tc>
        <w:tc>
          <w:tcPr>
            <w:tcW w:w="1960" w:type="dxa"/>
            <w:vAlign w:val="bottom"/>
            <w:gridSpan w:val="2"/>
            <w:shd w:val="clear" w:color="auto" w:fill="B2B2B2"/>
          </w:tcPr>
          <w:p>
            <w:pPr>
              <w:spacing w:after="0"/>
              <w:rPr>
                <w:sz w:val="20"/>
                <w:szCs w:val="20"/>
                <w:color w:val="auto"/>
              </w:rPr>
            </w:pPr>
            <w:r>
              <w:rPr>
                <w:rFonts w:ascii="Arial" w:cs="Arial" w:eastAsia="Arial" w:hAnsi="Arial"/>
                <w:sz w:val="13"/>
                <w:szCs w:val="13"/>
                <w:color w:val="auto"/>
              </w:rPr>
              <w:t>Daniel L. Heard</w:t>
            </w:r>
          </w:p>
        </w:tc>
        <w:tc>
          <w:tcPr>
            <w:tcW w:w="960" w:type="dxa"/>
            <w:vAlign w:val="bottom"/>
            <w:gridSpan w:val="5"/>
            <w:shd w:val="clear" w:color="auto" w:fill="B2B2B2"/>
          </w:tcPr>
          <w:p>
            <w:pPr>
              <w:jc w:val="right"/>
              <w:spacing w:after="0" w:line="157"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2025 </w:t>
            </w:r>
            <w:r>
              <w:rPr>
                <w:rFonts w:ascii="Arial" w:cs="Arial" w:eastAsia="Arial" w:hAnsi="Arial"/>
                <w:sz w:val="18"/>
                <w:szCs w:val="18"/>
                <w:color w:val="auto"/>
                <w:vertAlign w:val="superscript"/>
              </w:rPr>
              <w:t>​</w:t>
            </w:r>
            <w:r>
              <w:rPr>
                <w:rFonts w:ascii="Arial" w:cs="Arial" w:eastAsia="Arial" w:hAnsi="Arial"/>
                <w:sz w:val="10"/>
                <w:szCs w:val="10"/>
                <w:color w:val="auto"/>
              </w:rPr>
              <w:t xml:space="preserve">424,360 </w:t>
            </w:r>
            <w:r>
              <w:rPr>
                <w:rFonts w:ascii="Arial" w:cs="Arial" w:eastAsia="Arial" w:hAnsi="Arial"/>
                <w:sz w:val="18"/>
                <w:szCs w:val="18"/>
                <w:color w:val="auto"/>
                <w:vertAlign w:val="superscript"/>
              </w:rPr>
              <w:t>​</w:t>
            </w:r>
          </w:p>
        </w:tc>
        <w:tc>
          <w:tcPr>
            <w:tcW w:w="720" w:type="dxa"/>
            <w:vAlign w:val="bottom"/>
            <w:gridSpan w:val="2"/>
            <w:shd w:val="clear" w:color="auto" w:fill="B2B2B2"/>
          </w:tcPr>
          <w:p>
            <w:pPr>
              <w:ind w:left="3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B2B2B2"/>
          </w:tcPr>
          <w:p>
            <w:pPr>
              <w:jc w:val="center"/>
              <w:ind w:right="60"/>
              <w:spacing w:after="0" w:line="157"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1,548,650</w:t>
            </w:r>
          </w:p>
        </w:tc>
        <w:tc>
          <w:tcPr>
            <w:tcW w:w="420" w:type="dxa"/>
            <w:vAlign w:val="bottom"/>
            <w:shd w:val="clear" w:color="auto" w:fill="B2B2B2"/>
          </w:tcPr>
          <w:p>
            <w:pPr>
              <w:ind w:left="140"/>
              <w:spacing w:after="0" w:line="157" w:lineRule="exact"/>
              <w:rPr>
                <w:sz w:val="20"/>
                <w:szCs w:val="20"/>
                <w:color w:val="auto"/>
              </w:rPr>
            </w:pPr>
            <w:r>
              <w:rPr>
                <w:rFonts w:ascii="Arial" w:cs="Arial" w:eastAsia="Arial" w:hAnsi="Arial"/>
                <w:sz w:val="10"/>
                <w:szCs w:val="10"/>
                <w:color w:val="auto"/>
              </w:rPr>
              <w:t>​</w:t>
            </w:r>
            <w:r>
              <w:rPr>
                <w:rFonts w:ascii="Arial" w:cs="Arial" w:eastAsia="Arial" w:hAnsi="Arial"/>
                <w:sz w:val="18"/>
                <w:szCs w:val="18"/>
                <w:color w:val="auto"/>
                <w:vertAlign w:val="subscript"/>
              </w:rPr>
              <w:t>—</w:t>
            </w:r>
          </w:p>
        </w:tc>
        <w:tc>
          <w:tcPr>
            <w:tcW w:w="80" w:type="dxa"/>
            <w:vAlign w:val="bottom"/>
            <w:gridSpan w:val="2"/>
            <w:shd w:val="clear" w:color="auto" w:fill="B2B2B2"/>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shd w:val="clear" w:color="auto" w:fill="B2B2B2"/>
          </w:tcPr>
          <w:p>
            <w:pPr>
              <w:ind w:lef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B2B2B2"/>
          </w:tcPr>
          <w:p>
            <w:pPr>
              <w:jc w:val="right"/>
              <w:ind w:right="58"/>
              <w:spacing w:after="0"/>
              <w:rPr>
                <w:sz w:val="20"/>
                <w:szCs w:val="20"/>
                <w:color w:val="auto"/>
              </w:rPr>
            </w:pPr>
            <w:r>
              <w:rPr>
                <w:rFonts w:ascii="Arial" w:cs="Arial" w:eastAsia="Arial" w:hAnsi="Arial"/>
                <w:sz w:val="13"/>
                <w:szCs w:val="13"/>
                <w:color w:val="auto"/>
              </w:rPr>
              <w:t>575,604</w:t>
            </w:r>
          </w:p>
        </w:tc>
        <w:tc>
          <w:tcPr>
            <w:tcW w:w="60" w:type="dxa"/>
            <w:vAlign w:val="bottom"/>
            <w:shd w:val="clear" w:color="auto" w:fill="B2B2B2"/>
          </w:tcPr>
          <w:p>
            <w:pPr>
              <w:spacing w:after="0"/>
              <w:rPr>
                <w:sz w:val="20"/>
                <w:szCs w:val="20"/>
                <w:color w:val="auto"/>
              </w:rPr>
            </w:pPr>
            <w:r>
              <w:rPr>
                <w:rFonts w:ascii="Arial" w:cs="Arial" w:eastAsia="Arial" w:hAnsi="Arial"/>
                <w:sz w:val="13"/>
                <w:szCs w:val="13"/>
                <w:color w:val="auto"/>
              </w:rPr>
              <w:t>​</w:t>
            </w:r>
          </w:p>
        </w:tc>
        <w:tc>
          <w:tcPr>
            <w:tcW w:w="820" w:type="dxa"/>
            <w:vAlign w:val="bottom"/>
            <w:shd w:val="clear" w:color="auto" w:fill="B2B2B2"/>
          </w:tcPr>
          <w:p>
            <w:pPr>
              <w:jc w:val="center"/>
              <w:spacing w:after="0" w:line="157" w:lineRule="exact"/>
              <w:rPr>
                <w:sz w:val="20"/>
                <w:szCs w:val="20"/>
                <w:color w:val="auto"/>
              </w:rPr>
            </w:pPr>
            <w:r>
              <w:rPr>
                <w:rFonts w:ascii="Arial" w:cs="Arial" w:eastAsia="Arial" w:hAnsi="Arial"/>
                <w:sz w:val="10"/>
                <w:szCs w:val="10"/>
                <w:color w:val="auto"/>
              </w:rPr>
              <w:t>​</w:t>
            </w:r>
            <w:r>
              <w:rPr>
                <w:rFonts w:ascii="Arial" w:cs="Arial" w:eastAsia="Arial" w:hAnsi="Arial"/>
                <w:sz w:val="18"/>
                <w:szCs w:val="18"/>
                <w:color w:val="auto"/>
                <w:vertAlign w:val="subscript"/>
              </w:rPr>
              <w:t>—</w:t>
            </w:r>
          </w:p>
        </w:tc>
        <w:tc>
          <w:tcPr>
            <w:tcW w:w="80" w:type="dxa"/>
            <w:vAlign w:val="bottom"/>
            <w:gridSpan w:val="2"/>
            <w:shd w:val="clear" w:color="auto" w:fill="B2B2B2"/>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B2B2B2"/>
          </w:tcPr>
          <w:p>
            <w:pPr>
              <w:jc w:val="center"/>
              <w:spacing w:after="0" w:line="157"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15,029</w:t>
            </w:r>
          </w:p>
        </w:tc>
        <w:tc>
          <w:tcPr>
            <w:tcW w:w="760" w:type="dxa"/>
            <w:vAlign w:val="bottom"/>
            <w:gridSpan w:val="4"/>
            <w:shd w:val="clear" w:color="auto" w:fill="B2B2B2"/>
          </w:tcPr>
          <w:p>
            <w:pPr>
              <w:jc w:val="right"/>
              <w:ind w:right="40"/>
              <w:spacing w:after="0" w:line="157" w:lineRule="exact"/>
              <w:rPr>
                <w:sz w:val="20"/>
                <w:szCs w:val="20"/>
                <w:color w:val="auto"/>
              </w:rPr>
            </w:pPr>
            <w:r>
              <w:rPr>
                <w:rFonts w:ascii="Arial" w:cs="Arial" w:eastAsia="Arial" w:hAnsi="Arial"/>
                <w:sz w:val="18"/>
                <w:szCs w:val="18"/>
                <w:color w:val="auto"/>
                <w:vertAlign w:val="superscript"/>
              </w:rPr>
              <w:t>​ ​</w:t>
            </w:r>
            <w:r>
              <w:rPr>
                <w:rFonts w:ascii="Arial" w:cs="Arial" w:eastAsia="Arial" w:hAnsi="Arial"/>
                <w:sz w:val="10"/>
                <w:szCs w:val="10"/>
                <w:color w:val="auto"/>
              </w:rPr>
              <w:t xml:space="preserve"> 2,563,643</w:t>
            </w:r>
          </w:p>
        </w:tc>
        <w:tc>
          <w:tcPr>
            <w:tcW w:w="0" w:type="dxa"/>
            <w:vAlign w:val="bottom"/>
          </w:tcPr>
          <w:p>
            <w:pPr>
              <w:spacing w:after="0"/>
              <w:rPr>
                <w:sz w:val="1"/>
                <w:szCs w:val="1"/>
                <w:color w:val="auto"/>
              </w:rPr>
            </w:pPr>
          </w:p>
        </w:tc>
      </w:tr>
      <w:tr>
        <w:trPr>
          <w:trHeight w:val="162"/>
        </w:trPr>
        <w:tc>
          <w:tcPr>
            <w:tcW w:w="60" w:type="dxa"/>
            <w:vAlign w:val="bottom"/>
            <w:shd w:val="clear" w:color="auto" w:fill="B2B2B2"/>
          </w:tcPr>
          <w:p>
            <w:pPr>
              <w:spacing w:after="0"/>
              <w:rPr>
                <w:sz w:val="14"/>
                <w:szCs w:val="14"/>
                <w:color w:val="auto"/>
              </w:rPr>
            </w:pPr>
          </w:p>
        </w:tc>
        <w:tc>
          <w:tcPr>
            <w:tcW w:w="1960" w:type="dxa"/>
            <w:vAlign w:val="bottom"/>
            <w:gridSpan w:val="2"/>
            <w:shd w:val="clear" w:color="auto" w:fill="B2B2B2"/>
          </w:tcPr>
          <w:p>
            <w:pPr>
              <w:ind w:left="120"/>
              <w:spacing w:after="0"/>
              <w:rPr>
                <w:sz w:val="20"/>
                <w:szCs w:val="20"/>
                <w:color w:val="auto"/>
              </w:rPr>
            </w:pPr>
            <w:r>
              <w:rPr>
                <w:rFonts w:ascii="Arial" w:cs="Arial" w:eastAsia="Arial" w:hAnsi="Arial"/>
                <w:sz w:val="13"/>
                <w:szCs w:val="13"/>
                <w:color w:val="auto"/>
              </w:rPr>
              <w:t>Sr. EVP, General Counsel &amp;</w:t>
            </w:r>
          </w:p>
        </w:tc>
        <w:tc>
          <w:tcPr>
            <w:tcW w:w="960" w:type="dxa"/>
            <w:vAlign w:val="bottom"/>
            <w:gridSpan w:val="5"/>
            <w:shd w:val="clear" w:color="auto" w:fill="B2B2B2"/>
          </w:tcPr>
          <w:p>
            <w:pPr>
              <w:jc w:val="right"/>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2024 </w:t>
            </w:r>
            <w:r>
              <w:rPr>
                <w:rFonts w:ascii="Arial" w:cs="Arial" w:eastAsia="Arial" w:hAnsi="Arial"/>
                <w:sz w:val="18"/>
                <w:szCs w:val="18"/>
                <w:color w:val="auto"/>
                <w:vertAlign w:val="superscript"/>
              </w:rPr>
              <w:t>​</w:t>
            </w:r>
            <w:r>
              <w:rPr>
                <w:rFonts w:ascii="Arial" w:cs="Arial" w:eastAsia="Arial" w:hAnsi="Arial"/>
                <w:sz w:val="10"/>
                <w:szCs w:val="10"/>
                <w:color w:val="auto"/>
              </w:rPr>
              <w:t xml:space="preserve">412,000 </w:t>
            </w:r>
            <w:r>
              <w:rPr>
                <w:rFonts w:ascii="Arial" w:cs="Arial" w:eastAsia="Arial" w:hAnsi="Arial"/>
                <w:sz w:val="18"/>
                <w:szCs w:val="18"/>
                <w:color w:val="auto"/>
                <w:vertAlign w:val="superscript"/>
              </w:rPr>
              <w:t>​</w:t>
            </w:r>
          </w:p>
        </w:tc>
        <w:tc>
          <w:tcPr>
            <w:tcW w:w="720" w:type="dxa"/>
            <w:vAlign w:val="bottom"/>
            <w:gridSpan w:val="2"/>
            <w:shd w:val="clear" w:color="auto" w:fill="B2B2B2"/>
          </w:tcPr>
          <w:p>
            <w:pPr>
              <w:ind w:left="3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B2B2B2"/>
          </w:tcPr>
          <w:p>
            <w:pPr>
              <w:jc w:val="center"/>
              <w:ind w:right="60"/>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2,037,096</w:t>
            </w:r>
          </w:p>
        </w:tc>
        <w:tc>
          <w:tcPr>
            <w:tcW w:w="420" w:type="dxa"/>
            <w:vAlign w:val="bottom"/>
            <w:shd w:val="clear" w:color="auto" w:fill="B2B2B2"/>
          </w:tcPr>
          <w:p>
            <w:pPr>
              <w:ind w:left="140"/>
              <w:spacing w:after="0" w:line="162" w:lineRule="exact"/>
              <w:rPr>
                <w:sz w:val="20"/>
                <w:szCs w:val="20"/>
                <w:color w:val="auto"/>
              </w:rPr>
            </w:pPr>
            <w:r>
              <w:rPr>
                <w:rFonts w:ascii="Arial" w:cs="Arial" w:eastAsia="Arial" w:hAnsi="Arial"/>
                <w:sz w:val="10"/>
                <w:szCs w:val="10"/>
                <w:color w:val="auto"/>
              </w:rPr>
              <w:t>​</w:t>
            </w:r>
            <w:r>
              <w:rPr>
                <w:rFonts w:ascii="Arial" w:cs="Arial" w:eastAsia="Arial" w:hAnsi="Arial"/>
                <w:sz w:val="18"/>
                <w:szCs w:val="18"/>
                <w:color w:val="auto"/>
                <w:vertAlign w:val="subscript"/>
              </w:rPr>
              <w:t>—</w:t>
            </w:r>
          </w:p>
        </w:tc>
        <w:tc>
          <w:tcPr>
            <w:tcW w:w="80" w:type="dxa"/>
            <w:vAlign w:val="bottom"/>
            <w:gridSpan w:val="2"/>
            <w:shd w:val="clear" w:color="auto" w:fill="B2B2B2"/>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shd w:val="clear" w:color="auto" w:fill="B2B2B2"/>
          </w:tcPr>
          <w:p>
            <w:pPr>
              <w:ind w:lef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B2B2B2"/>
          </w:tcPr>
          <w:p>
            <w:pPr>
              <w:jc w:val="right"/>
              <w:ind w:right="58"/>
              <w:spacing w:after="0"/>
              <w:rPr>
                <w:sz w:val="20"/>
                <w:szCs w:val="20"/>
                <w:color w:val="auto"/>
              </w:rPr>
            </w:pPr>
            <w:r>
              <w:rPr>
                <w:rFonts w:ascii="Arial" w:cs="Arial" w:eastAsia="Arial" w:hAnsi="Arial"/>
                <w:sz w:val="13"/>
                <w:szCs w:val="13"/>
                <w:color w:val="auto"/>
              </w:rPr>
              <w:t>531,480</w:t>
            </w:r>
          </w:p>
        </w:tc>
        <w:tc>
          <w:tcPr>
            <w:tcW w:w="60" w:type="dxa"/>
            <w:vAlign w:val="bottom"/>
            <w:shd w:val="clear" w:color="auto" w:fill="B2B2B2"/>
          </w:tcPr>
          <w:p>
            <w:pPr>
              <w:spacing w:after="0"/>
              <w:rPr>
                <w:sz w:val="20"/>
                <w:szCs w:val="20"/>
                <w:color w:val="auto"/>
              </w:rPr>
            </w:pPr>
            <w:r>
              <w:rPr>
                <w:rFonts w:ascii="Arial" w:cs="Arial" w:eastAsia="Arial" w:hAnsi="Arial"/>
                <w:sz w:val="13"/>
                <w:szCs w:val="13"/>
                <w:color w:val="auto"/>
              </w:rPr>
              <w:t>​</w:t>
            </w:r>
          </w:p>
        </w:tc>
        <w:tc>
          <w:tcPr>
            <w:tcW w:w="820" w:type="dxa"/>
            <w:vAlign w:val="bottom"/>
            <w:shd w:val="clear" w:color="auto" w:fill="B2B2B2"/>
          </w:tcPr>
          <w:p>
            <w:pPr>
              <w:jc w:val="center"/>
              <w:spacing w:after="0" w:line="162" w:lineRule="exact"/>
              <w:rPr>
                <w:sz w:val="20"/>
                <w:szCs w:val="20"/>
                <w:color w:val="auto"/>
              </w:rPr>
            </w:pPr>
            <w:r>
              <w:rPr>
                <w:rFonts w:ascii="Arial" w:cs="Arial" w:eastAsia="Arial" w:hAnsi="Arial"/>
                <w:sz w:val="10"/>
                <w:szCs w:val="10"/>
                <w:color w:val="auto"/>
              </w:rPr>
              <w:t>​</w:t>
            </w:r>
            <w:r>
              <w:rPr>
                <w:rFonts w:ascii="Arial" w:cs="Arial" w:eastAsia="Arial" w:hAnsi="Arial"/>
                <w:sz w:val="18"/>
                <w:szCs w:val="18"/>
                <w:color w:val="auto"/>
                <w:vertAlign w:val="subscript"/>
              </w:rPr>
              <w:t>—</w:t>
            </w:r>
          </w:p>
        </w:tc>
        <w:tc>
          <w:tcPr>
            <w:tcW w:w="80" w:type="dxa"/>
            <w:vAlign w:val="bottom"/>
            <w:gridSpan w:val="2"/>
            <w:shd w:val="clear" w:color="auto" w:fill="B2B2B2"/>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B2B2B2"/>
          </w:tcPr>
          <w:p>
            <w:pPr>
              <w:jc w:val="center"/>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14,799</w:t>
            </w:r>
          </w:p>
        </w:tc>
        <w:tc>
          <w:tcPr>
            <w:tcW w:w="760" w:type="dxa"/>
            <w:vAlign w:val="bottom"/>
            <w:gridSpan w:val="4"/>
            <w:shd w:val="clear" w:color="auto" w:fill="B2B2B2"/>
          </w:tcPr>
          <w:p>
            <w:pPr>
              <w:jc w:val="right"/>
              <w:ind w:right="40"/>
              <w:spacing w:after="0" w:line="162" w:lineRule="exact"/>
              <w:rPr>
                <w:sz w:val="20"/>
                <w:szCs w:val="20"/>
                <w:color w:val="auto"/>
              </w:rPr>
            </w:pPr>
            <w:r>
              <w:rPr>
                <w:rFonts w:ascii="Arial" w:cs="Arial" w:eastAsia="Arial" w:hAnsi="Arial"/>
                <w:sz w:val="18"/>
                <w:szCs w:val="18"/>
                <w:color w:val="auto"/>
                <w:vertAlign w:val="superscript"/>
              </w:rPr>
              <w:t>​ ​</w:t>
            </w:r>
            <w:r>
              <w:rPr>
                <w:rFonts w:ascii="Arial" w:cs="Arial" w:eastAsia="Arial" w:hAnsi="Arial"/>
                <w:sz w:val="10"/>
                <w:szCs w:val="10"/>
                <w:color w:val="auto"/>
              </w:rPr>
              <w:t xml:space="preserve"> 2,995,375</w:t>
            </w:r>
          </w:p>
        </w:tc>
        <w:tc>
          <w:tcPr>
            <w:tcW w:w="0" w:type="dxa"/>
            <w:vAlign w:val="bottom"/>
          </w:tcPr>
          <w:p>
            <w:pPr>
              <w:spacing w:after="0"/>
              <w:rPr>
                <w:sz w:val="1"/>
                <w:szCs w:val="1"/>
                <w:color w:val="auto"/>
              </w:rPr>
            </w:pPr>
          </w:p>
        </w:tc>
      </w:tr>
      <w:tr>
        <w:trPr>
          <w:trHeight w:val="220"/>
        </w:trPr>
        <w:tc>
          <w:tcPr>
            <w:tcW w:w="60" w:type="dxa"/>
            <w:vAlign w:val="bottom"/>
            <w:shd w:val="clear" w:color="auto" w:fill="B2B2B2"/>
          </w:tcPr>
          <w:p>
            <w:pPr>
              <w:spacing w:after="0"/>
              <w:rPr>
                <w:sz w:val="19"/>
                <w:szCs w:val="19"/>
                <w:color w:val="auto"/>
              </w:rPr>
            </w:pPr>
          </w:p>
        </w:tc>
        <w:tc>
          <w:tcPr>
            <w:tcW w:w="1960" w:type="dxa"/>
            <w:vAlign w:val="bottom"/>
            <w:gridSpan w:val="2"/>
            <w:shd w:val="clear" w:color="auto" w:fill="B2B2B2"/>
          </w:tcPr>
          <w:p>
            <w:pPr>
              <w:ind w:left="120"/>
              <w:spacing w:after="0"/>
              <w:rPr>
                <w:sz w:val="20"/>
                <w:szCs w:val="20"/>
                <w:color w:val="auto"/>
              </w:rPr>
            </w:pPr>
            <w:r>
              <w:rPr>
                <w:rFonts w:ascii="Arial" w:cs="Arial" w:eastAsia="Arial" w:hAnsi="Arial"/>
                <w:sz w:val="13"/>
                <w:szCs w:val="13"/>
                <w:color w:val="auto"/>
              </w:rPr>
              <w:t>Secretary</w:t>
            </w:r>
          </w:p>
        </w:tc>
        <w:tc>
          <w:tcPr>
            <w:tcW w:w="960" w:type="dxa"/>
            <w:vAlign w:val="bottom"/>
            <w:gridSpan w:val="5"/>
            <w:shd w:val="clear" w:color="auto" w:fill="B2B2B2"/>
          </w:tcPr>
          <w:p>
            <w:pPr>
              <w:jc w:val="right"/>
              <w:spacing w:after="0" w:line="221"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2023 </w:t>
            </w:r>
            <w:r>
              <w:rPr>
                <w:rFonts w:ascii="Arial" w:cs="Arial" w:eastAsia="Arial" w:hAnsi="Arial"/>
                <w:sz w:val="25"/>
                <w:szCs w:val="25"/>
                <w:color w:val="auto"/>
                <w:vertAlign w:val="superscript"/>
              </w:rPr>
              <w:t>​</w:t>
            </w:r>
            <w:r>
              <w:rPr>
                <w:rFonts w:ascii="Arial" w:cs="Arial" w:eastAsia="Arial" w:hAnsi="Arial"/>
                <w:sz w:val="13"/>
                <w:szCs w:val="13"/>
                <w:color w:val="auto"/>
              </w:rPr>
              <w:t xml:space="preserve">412,000 </w:t>
            </w:r>
            <w:r>
              <w:rPr>
                <w:rFonts w:ascii="Arial" w:cs="Arial" w:eastAsia="Arial" w:hAnsi="Arial"/>
                <w:sz w:val="25"/>
                <w:szCs w:val="25"/>
                <w:color w:val="auto"/>
                <w:vertAlign w:val="superscript"/>
              </w:rPr>
              <w:t>​</w:t>
            </w:r>
          </w:p>
        </w:tc>
        <w:tc>
          <w:tcPr>
            <w:tcW w:w="720" w:type="dxa"/>
            <w:vAlign w:val="bottom"/>
            <w:gridSpan w:val="2"/>
            <w:shd w:val="clear" w:color="auto" w:fill="B2B2B2"/>
          </w:tcPr>
          <w:p>
            <w:pPr>
              <w:ind w:left="3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B2B2B2"/>
          </w:tcPr>
          <w:p>
            <w:pPr>
              <w:jc w:val="center"/>
              <w:ind w:right="60"/>
              <w:spacing w:after="0" w:line="221"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686,483</w:t>
            </w:r>
          </w:p>
        </w:tc>
        <w:tc>
          <w:tcPr>
            <w:tcW w:w="420" w:type="dxa"/>
            <w:vAlign w:val="bottom"/>
            <w:shd w:val="clear" w:color="auto" w:fill="B2B2B2"/>
          </w:tcPr>
          <w:p>
            <w:pPr>
              <w:ind w:left="140"/>
              <w:spacing w:after="0" w:line="221"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0" w:type="dxa"/>
            <w:vAlign w:val="bottom"/>
            <w:gridSpan w:val="2"/>
            <w:shd w:val="clear" w:color="auto" w:fill="B2B2B2"/>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shd w:val="clear" w:color="auto" w:fill="B2B2B2"/>
          </w:tcPr>
          <w:p>
            <w:pPr>
              <w:ind w:lef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B2B2B2"/>
          </w:tcPr>
          <w:p>
            <w:pPr>
              <w:jc w:val="right"/>
              <w:ind w:right="58"/>
              <w:spacing w:after="0"/>
              <w:rPr>
                <w:sz w:val="20"/>
                <w:szCs w:val="20"/>
                <w:color w:val="auto"/>
              </w:rPr>
            </w:pPr>
            <w:r>
              <w:rPr>
                <w:rFonts w:ascii="Arial" w:cs="Arial" w:eastAsia="Arial" w:hAnsi="Arial"/>
                <w:sz w:val="13"/>
                <w:szCs w:val="13"/>
                <w:color w:val="auto"/>
              </w:rPr>
              <w:t>383,160</w:t>
            </w:r>
          </w:p>
        </w:tc>
        <w:tc>
          <w:tcPr>
            <w:tcW w:w="60" w:type="dxa"/>
            <w:vAlign w:val="bottom"/>
            <w:shd w:val="clear" w:color="auto" w:fill="B2B2B2"/>
          </w:tcPr>
          <w:p>
            <w:pPr>
              <w:spacing w:after="0"/>
              <w:rPr>
                <w:sz w:val="20"/>
                <w:szCs w:val="20"/>
                <w:color w:val="auto"/>
              </w:rPr>
            </w:pPr>
            <w:r>
              <w:rPr>
                <w:rFonts w:ascii="Arial" w:cs="Arial" w:eastAsia="Arial" w:hAnsi="Arial"/>
                <w:sz w:val="13"/>
                <w:szCs w:val="13"/>
                <w:color w:val="auto"/>
              </w:rPr>
              <w:t>​</w:t>
            </w:r>
          </w:p>
        </w:tc>
        <w:tc>
          <w:tcPr>
            <w:tcW w:w="820" w:type="dxa"/>
            <w:vAlign w:val="bottom"/>
            <w:shd w:val="clear" w:color="auto" w:fill="B2B2B2"/>
          </w:tcPr>
          <w:p>
            <w:pPr>
              <w:jc w:val="center"/>
              <w:spacing w:after="0" w:line="221" w:lineRule="exact"/>
              <w:rPr>
                <w:sz w:val="20"/>
                <w:szCs w:val="20"/>
                <w:color w:val="auto"/>
              </w:rPr>
            </w:pPr>
            <w:r>
              <w:rPr>
                <w:rFonts w:ascii="Arial" w:cs="Arial" w:eastAsia="Arial" w:hAnsi="Arial"/>
                <w:sz w:val="13"/>
                <w:szCs w:val="13"/>
                <w:color w:val="auto"/>
                <w:w w:val="83"/>
              </w:rPr>
              <w:t>​</w:t>
            </w:r>
            <w:r>
              <w:rPr>
                <w:rFonts w:ascii="Arial" w:cs="Arial" w:eastAsia="Arial" w:hAnsi="Arial"/>
                <w:sz w:val="25"/>
                <w:szCs w:val="25"/>
                <w:color w:val="auto"/>
                <w:w w:val="83"/>
                <w:vertAlign w:val="subscript"/>
              </w:rPr>
              <w:t>—</w:t>
            </w:r>
          </w:p>
        </w:tc>
        <w:tc>
          <w:tcPr>
            <w:tcW w:w="80" w:type="dxa"/>
            <w:vAlign w:val="bottom"/>
            <w:gridSpan w:val="2"/>
            <w:shd w:val="clear" w:color="auto" w:fill="B2B2B2"/>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B2B2B2"/>
          </w:tcPr>
          <w:p>
            <w:pPr>
              <w:jc w:val="center"/>
              <w:spacing w:after="0" w:line="221" w:lineRule="exact"/>
              <w:rPr>
                <w:sz w:val="20"/>
                <w:szCs w:val="20"/>
                <w:color w:val="auto"/>
              </w:rPr>
            </w:pPr>
            <w:r>
              <w:rPr>
                <w:rFonts w:ascii="Arial" w:cs="Arial" w:eastAsia="Arial" w:hAnsi="Arial"/>
                <w:sz w:val="25"/>
                <w:szCs w:val="25"/>
                <w:color w:val="auto"/>
                <w:w w:val="95"/>
                <w:vertAlign w:val="superscript"/>
              </w:rPr>
              <w:t>​</w:t>
            </w:r>
            <w:r>
              <w:rPr>
                <w:rFonts w:ascii="Arial" w:cs="Arial" w:eastAsia="Arial" w:hAnsi="Arial"/>
                <w:sz w:val="13"/>
                <w:szCs w:val="13"/>
                <w:color w:val="auto"/>
                <w:w w:val="95"/>
              </w:rPr>
              <w:t>14,307</w:t>
            </w:r>
          </w:p>
        </w:tc>
        <w:tc>
          <w:tcPr>
            <w:tcW w:w="760" w:type="dxa"/>
            <w:vAlign w:val="bottom"/>
            <w:gridSpan w:val="4"/>
            <w:shd w:val="clear" w:color="auto" w:fill="B2B2B2"/>
          </w:tcPr>
          <w:p>
            <w:pPr>
              <w:jc w:val="right"/>
              <w:ind w:right="40"/>
              <w:spacing w:after="0" w:line="221" w:lineRule="exact"/>
              <w:rPr>
                <w:sz w:val="20"/>
                <w:szCs w:val="20"/>
                <w:color w:val="auto"/>
              </w:rPr>
            </w:pPr>
            <w:r>
              <w:rPr>
                <w:rFonts w:ascii="Arial" w:cs="Arial" w:eastAsia="Arial" w:hAnsi="Arial"/>
                <w:sz w:val="25"/>
                <w:szCs w:val="25"/>
                <w:color w:val="auto"/>
                <w:vertAlign w:val="superscript"/>
              </w:rPr>
              <w:t>​ ​</w:t>
            </w:r>
            <w:r>
              <w:rPr>
                <w:rFonts w:ascii="Arial" w:cs="Arial" w:eastAsia="Arial" w:hAnsi="Arial"/>
                <w:sz w:val="13"/>
                <w:szCs w:val="13"/>
                <w:color w:val="auto"/>
              </w:rPr>
              <w:t xml:space="preserve"> 1,495,950</w:t>
            </w: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1960" w:type="dxa"/>
            <w:vAlign w:val="bottom"/>
            <w:gridSpan w:val="2"/>
          </w:tcPr>
          <w:p>
            <w:pPr>
              <w:spacing w:after="0"/>
              <w:rPr>
                <w:sz w:val="20"/>
                <w:szCs w:val="20"/>
                <w:color w:val="auto"/>
              </w:rPr>
            </w:pPr>
            <w:r>
              <w:rPr>
                <w:rFonts w:ascii="Arial" w:cs="Arial" w:eastAsia="Arial" w:hAnsi="Arial"/>
                <w:sz w:val="13"/>
                <w:szCs w:val="13"/>
                <w:color w:val="auto"/>
              </w:rPr>
              <w:t>Michael Friloux</w:t>
            </w:r>
          </w:p>
        </w:tc>
        <w:tc>
          <w:tcPr>
            <w:tcW w:w="960" w:type="dxa"/>
            <w:vAlign w:val="bottom"/>
            <w:gridSpan w:val="5"/>
          </w:tcPr>
          <w:p>
            <w:pPr>
              <w:jc w:val="right"/>
              <w:spacing w:after="0" w:line="157"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2025 </w:t>
            </w:r>
            <w:r>
              <w:rPr>
                <w:rFonts w:ascii="Arial" w:cs="Arial" w:eastAsia="Arial" w:hAnsi="Arial"/>
                <w:sz w:val="18"/>
                <w:szCs w:val="18"/>
                <w:color w:val="auto"/>
                <w:vertAlign w:val="superscript"/>
              </w:rPr>
              <w:t>​</w:t>
            </w:r>
            <w:r>
              <w:rPr>
                <w:rFonts w:ascii="Arial" w:cs="Arial" w:eastAsia="Arial" w:hAnsi="Arial"/>
                <w:sz w:val="10"/>
                <w:szCs w:val="10"/>
                <w:color w:val="auto"/>
              </w:rPr>
              <w:t xml:space="preserve">344,793 </w:t>
            </w:r>
            <w:r>
              <w:rPr>
                <w:rFonts w:ascii="Arial" w:cs="Arial" w:eastAsia="Arial" w:hAnsi="Arial"/>
                <w:sz w:val="18"/>
                <w:szCs w:val="18"/>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center"/>
              <w:ind w:right="60"/>
              <w:spacing w:after="0" w:line="157"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1,492,319</w:t>
            </w:r>
          </w:p>
        </w:tc>
        <w:tc>
          <w:tcPr>
            <w:tcW w:w="420" w:type="dxa"/>
            <w:vAlign w:val="bottom"/>
          </w:tcPr>
          <w:p>
            <w:pPr>
              <w:ind w:left="140"/>
              <w:spacing w:after="0" w:line="157" w:lineRule="exact"/>
              <w:rPr>
                <w:sz w:val="20"/>
                <w:szCs w:val="20"/>
                <w:color w:val="auto"/>
              </w:rPr>
            </w:pPr>
            <w:r>
              <w:rPr>
                <w:rFonts w:ascii="Arial" w:cs="Arial" w:eastAsia="Arial" w:hAnsi="Arial"/>
                <w:sz w:val="10"/>
                <w:szCs w:val="10"/>
                <w:color w:val="auto"/>
              </w:rPr>
              <w:t>​</w:t>
            </w:r>
            <w:r>
              <w:rPr>
                <w:rFonts w:ascii="Arial" w:cs="Arial" w:eastAsia="Arial" w:hAnsi="Arial"/>
                <w:sz w:val="18"/>
                <w:szCs w:val="18"/>
                <w:color w:val="auto"/>
                <w:vertAlign w:val="subscript"/>
              </w:rPr>
              <w:t>—</w:t>
            </w:r>
          </w:p>
        </w:tc>
        <w:tc>
          <w:tcPr>
            <w:tcW w:w="8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tcPr>
          <w:p>
            <w:pPr>
              <w:ind w:left="12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456,239</w:t>
            </w:r>
          </w:p>
        </w:tc>
        <w:tc>
          <w:tcPr>
            <w:tcW w:w="6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tcPr>
          <w:p>
            <w:pPr>
              <w:jc w:val="center"/>
              <w:spacing w:after="0" w:line="157" w:lineRule="exact"/>
              <w:rPr>
                <w:sz w:val="20"/>
                <w:szCs w:val="20"/>
                <w:color w:val="auto"/>
              </w:rPr>
            </w:pPr>
            <w:r>
              <w:rPr>
                <w:rFonts w:ascii="Arial" w:cs="Arial" w:eastAsia="Arial" w:hAnsi="Arial"/>
                <w:sz w:val="10"/>
                <w:szCs w:val="10"/>
                <w:color w:val="auto"/>
              </w:rPr>
              <w:t>​</w:t>
            </w:r>
            <w:r>
              <w:rPr>
                <w:rFonts w:ascii="Arial" w:cs="Arial" w:eastAsia="Arial" w:hAnsi="Arial"/>
                <w:sz w:val="18"/>
                <w:szCs w:val="18"/>
                <w:color w:val="auto"/>
                <w:vertAlign w:val="subscript"/>
              </w:rPr>
              <w:t>—</w:t>
            </w:r>
          </w:p>
        </w:tc>
        <w:tc>
          <w:tcPr>
            <w:tcW w:w="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center"/>
              <w:spacing w:after="0" w:line="157"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16,323</w:t>
            </w:r>
          </w:p>
        </w:tc>
        <w:tc>
          <w:tcPr>
            <w:tcW w:w="760" w:type="dxa"/>
            <w:vAlign w:val="bottom"/>
            <w:gridSpan w:val="4"/>
          </w:tcPr>
          <w:p>
            <w:pPr>
              <w:jc w:val="right"/>
              <w:ind w:right="40"/>
              <w:spacing w:after="0" w:line="157" w:lineRule="exact"/>
              <w:rPr>
                <w:sz w:val="20"/>
                <w:szCs w:val="20"/>
                <w:color w:val="auto"/>
              </w:rPr>
            </w:pPr>
            <w:r>
              <w:rPr>
                <w:rFonts w:ascii="Arial" w:cs="Arial" w:eastAsia="Arial" w:hAnsi="Arial"/>
                <w:sz w:val="18"/>
                <w:szCs w:val="18"/>
                <w:color w:val="auto"/>
                <w:vertAlign w:val="superscript"/>
              </w:rPr>
              <w:t>​ ​</w:t>
            </w:r>
            <w:r>
              <w:rPr>
                <w:rFonts w:ascii="Arial" w:cs="Arial" w:eastAsia="Arial" w:hAnsi="Arial"/>
                <w:sz w:val="10"/>
                <w:szCs w:val="10"/>
                <w:color w:val="auto"/>
              </w:rPr>
              <w:t xml:space="preserve"> 2,309,674</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960" w:type="dxa"/>
            <w:vAlign w:val="bottom"/>
            <w:gridSpan w:val="2"/>
          </w:tcPr>
          <w:p>
            <w:pPr>
              <w:ind w:left="120"/>
              <w:spacing w:after="0"/>
              <w:rPr>
                <w:sz w:val="20"/>
                <w:szCs w:val="20"/>
                <w:color w:val="auto"/>
              </w:rPr>
            </w:pPr>
            <w:r>
              <w:rPr>
                <w:rFonts w:ascii="Arial" w:cs="Arial" w:eastAsia="Arial" w:hAnsi="Arial"/>
                <w:sz w:val="13"/>
                <w:szCs w:val="13"/>
                <w:color w:val="auto"/>
              </w:rPr>
              <w:t>Sr. EVP &amp; Chief Technology</w:t>
            </w:r>
          </w:p>
        </w:tc>
        <w:tc>
          <w:tcPr>
            <w:tcW w:w="960" w:type="dxa"/>
            <w:vAlign w:val="bottom"/>
            <w:gridSpan w:val="5"/>
          </w:tcPr>
          <w:p>
            <w:pPr>
              <w:jc w:val="right"/>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2024 </w:t>
            </w:r>
            <w:r>
              <w:rPr>
                <w:rFonts w:ascii="Arial" w:cs="Arial" w:eastAsia="Arial" w:hAnsi="Arial"/>
                <w:sz w:val="18"/>
                <w:szCs w:val="18"/>
                <w:color w:val="auto"/>
                <w:vertAlign w:val="superscript"/>
              </w:rPr>
              <w:t>​</w:t>
            </w:r>
            <w:r>
              <w:rPr>
                <w:rFonts w:ascii="Arial" w:cs="Arial" w:eastAsia="Arial" w:hAnsi="Arial"/>
                <w:sz w:val="10"/>
                <w:szCs w:val="10"/>
                <w:color w:val="auto"/>
              </w:rPr>
              <w:t xml:space="preserve">334,750 </w:t>
            </w:r>
            <w:r>
              <w:rPr>
                <w:rFonts w:ascii="Arial" w:cs="Arial" w:eastAsia="Arial" w:hAnsi="Arial"/>
                <w:sz w:val="18"/>
                <w:szCs w:val="18"/>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center"/>
              <w:ind w:right="60"/>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2,077,035</w:t>
            </w:r>
          </w:p>
        </w:tc>
        <w:tc>
          <w:tcPr>
            <w:tcW w:w="420" w:type="dxa"/>
            <w:vAlign w:val="bottom"/>
          </w:tcPr>
          <w:p>
            <w:pPr>
              <w:ind w:left="140"/>
              <w:spacing w:after="0" w:line="162" w:lineRule="exact"/>
              <w:rPr>
                <w:sz w:val="20"/>
                <w:szCs w:val="20"/>
                <w:color w:val="auto"/>
              </w:rPr>
            </w:pPr>
            <w:r>
              <w:rPr>
                <w:rFonts w:ascii="Arial" w:cs="Arial" w:eastAsia="Arial" w:hAnsi="Arial"/>
                <w:sz w:val="10"/>
                <w:szCs w:val="10"/>
                <w:color w:val="auto"/>
              </w:rPr>
              <w:t>​</w:t>
            </w:r>
            <w:r>
              <w:rPr>
                <w:rFonts w:ascii="Arial" w:cs="Arial" w:eastAsia="Arial" w:hAnsi="Arial"/>
                <w:sz w:val="18"/>
                <w:szCs w:val="18"/>
                <w:color w:val="auto"/>
                <w:vertAlign w:val="subscript"/>
              </w:rPr>
              <w:t>—</w:t>
            </w:r>
          </w:p>
        </w:tc>
        <w:tc>
          <w:tcPr>
            <w:tcW w:w="8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tcPr>
          <w:p>
            <w:pPr>
              <w:ind w:left="12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421,828</w:t>
            </w:r>
          </w:p>
        </w:tc>
        <w:tc>
          <w:tcPr>
            <w:tcW w:w="6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tcPr>
          <w:p>
            <w:pPr>
              <w:jc w:val="center"/>
              <w:spacing w:after="0" w:line="162" w:lineRule="exact"/>
              <w:rPr>
                <w:sz w:val="20"/>
                <w:szCs w:val="20"/>
                <w:color w:val="auto"/>
              </w:rPr>
            </w:pPr>
            <w:r>
              <w:rPr>
                <w:rFonts w:ascii="Arial" w:cs="Arial" w:eastAsia="Arial" w:hAnsi="Arial"/>
                <w:sz w:val="10"/>
                <w:szCs w:val="10"/>
                <w:color w:val="auto"/>
              </w:rPr>
              <w:t>​</w:t>
            </w:r>
            <w:r>
              <w:rPr>
                <w:rFonts w:ascii="Arial" w:cs="Arial" w:eastAsia="Arial" w:hAnsi="Arial"/>
                <w:sz w:val="18"/>
                <w:szCs w:val="18"/>
                <w:color w:val="auto"/>
                <w:vertAlign w:val="subscript"/>
              </w:rPr>
              <w:t>—</w:t>
            </w:r>
          </w:p>
        </w:tc>
        <w:tc>
          <w:tcPr>
            <w:tcW w:w="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center"/>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16,056</w:t>
            </w:r>
          </w:p>
        </w:tc>
        <w:tc>
          <w:tcPr>
            <w:tcW w:w="760" w:type="dxa"/>
            <w:vAlign w:val="bottom"/>
            <w:gridSpan w:val="4"/>
          </w:tcPr>
          <w:p>
            <w:pPr>
              <w:jc w:val="right"/>
              <w:ind w:right="40"/>
              <w:spacing w:after="0" w:line="162" w:lineRule="exact"/>
              <w:rPr>
                <w:sz w:val="20"/>
                <w:szCs w:val="20"/>
                <w:color w:val="auto"/>
              </w:rPr>
            </w:pPr>
            <w:r>
              <w:rPr>
                <w:rFonts w:ascii="Arial" w:cs="Arial" w:eastAsia="Arial" w:hAnsi="Arial"/>
                <w:sz w:val="18"/>
                <w:szCs w:val="18"/>
                <w:color w:val="auto"/>
                <w:vertAlign w:val="superscript"/>
              </w:rPr>
              <w:t>​ ​</w:t>
            </w:r>
            <w:r>
              <w:rPr>
                <w:rFonts w:ascii="Arial" w:cs="Arial" w:eastAsia="Arial" w:hAnsi="Arial"/>
                <w:sz w:val="10"/>
                <w:szCs w:val="10"/>
                <w:color w:val="auto"/>
              </w:rPr>
              <w:t xml:space="preserve"> 2,849,669</w:t>
            </w:r>
          </w:p>
        </w:tc>
        <w:tc>
          <w:tcPr>
            <w:tcW w:w="0" w:type="dxa"/>
            <w:vAlign w:val="bottom"/>
          </w:tcPr>
          <w:p>
            <w:pPr>
              <w:spacing w:after="0"/>
              <w:rPr>
                <w:sz w:val="1"/>
                <w:szCs w:val="1"/>
                <w:color w:val="auto"/>
              </w:rPr>
            </w:pPr>
          </w:p>
        </w:tc>
      </w:tr>
      <w:tr>
        <w:trPr>
          <w:trHeight w:val="350"/>
        </w:trPr>
        <w:tc>
          <w:tcPr>
            <w:tcW w:w="60" w:type="dxa"/>
            <w:vAlign w:val="bottom"/>
          </w:tcPr>
          <w:p>
            <w:pPr>
              <w:spacing w:after="0"/>
              <w:rPr>
                <w:sz w:val="24"/>
                <w:szCs w:val="24"/>
                <w:color w:val="auto"/>
              </w:rPr>
            </w:pPr>
          </w:p>
        </w:tc>
        <w:tc>
          <w:tcPr>
            <w:tcW w:w="1960" w:type="dxa"/>
            <w:vAlign w:val="bottom"/>
            <w:gridSpan w:val="2"/>
          </w:tcPr>
          <w:p>
            <w:pPr>
              <w:ind w:left="120"/>
              <w:spacing w:after="0"/>
              <w:rPr>
                <w:sz w:val="20"/>
                <w:szCs w:val="20"/>
                <w:color w:val="auto"/>
              </w:rPr>
            </w:pPr>
            <w:r>
              <w:rPr>
                <w:rFonts w:ascii="Arial" w:cs="Arial" w:eastAsia="Arial" w:hAnsi="Arial"/>
                <w:sz w:val="13"/>
                <w:szCs w:val="13"/>
                <w:color w:val="auto"/>
              </w:rPr>
              <w:t>Officer</w:t>
            </w:r>
          </w:p>
        </w:tc>
        <w:tc>
          <w:tcPr>
            <w:tcW w:w="960" w:type="dxa"/>
            <w:vAlign w:val="bottom"/>
            <w:gridSpan w:val="5"/>
          </w:tcPr>
          <w:p>
            <w:pPr>
              <w:jc w:val="right"/>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2023 </w:t>
            </w:r>
            <w:r>
              <w:rPr>
                <w:rFonts w:ascii="Arial" w:cs="Arial" w:eastAsia="Arial" w:hAnsi="Arial"/>
                <w:sz w:val="25"/>
                <w:szCs w:val="25"/>
                <w:color w:val="auto"/>
                <w:vertAlign w:val="superscript"/>
              </w:rPr>
              <w:t>​</w:t>
            </w:r>
            <w:r>
              <w:rPr>
                <w:rFonts w:ascii="Arial" w:cs="Arial" w:eastAsia="Arial" w:hAnsi="Arial"/>
                <w:sz w:val="13"/>
                <w:szCs w:val="13"/>
                <w:color w:val="auto"/>
              </w:rPr>
              <w:t xml:space="preserve">334,750 </w:t>
            </w:r>
            <w:r>
              <w:rPr>
                <w:rFonts w:ascii="Arial" w:cs="Arial" w:eastAsia="Arial" w:hAnsi="Arial"/>
                <w:sz w:val="25"/>
                <w:szCs w:val="25"/>
                <w:color w:val="auto"/>
                <w:vertAlign w:val="superscript"/>
              </w:rPr>
              <w:t>​</w:t>
            </w:r>
          </w:p>
        </w:tc>
        <w:tc>
          <w:tcPr>
            <w:tcW w:w="72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center"/>
              <w:ind w:right="6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557,771</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tcPr>
          <w:p>
            <w:pPr>
              <w:ind w:left="12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311,317</w:t>
            </w:r>
          </w:p>
        </w:tc>
        <w:tc>
          <w:tcPr>
            <w:tcW w:w="6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83"/>
              </w:rPr>
              <w:t>​</w:t>
            </w:r>
            <w:r>
              <w:rPr>
                <w:rFonts w:ascii="Arial" w:cs="Arial" w:eastAsia="Arial" w:hAnsi="Arial"/>
                <w:sz w:val="25"/>
                <w:szCs w:val="25"/>
                <w:color w:val="auto"/>
                <w:w w:val="83"/>
                <w:vertAlign w:val="subscript"/>
              </w:rPr>
              <w:t>—</w:t>
            </w:r>
          </w:p>
        </w:tc>
        <w:tc>
          <w:tcPr>
            <w:tcW w:w="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center"/>
              <w:spacing w:after="0"/>
              <w:rPr>
                <w:sz w:val="20"/>
                <w:szCs w:val="20"/>
                <w:color w:val="auto"/>
              </w:rPr>
            </w:pPr>
            <w:r>
              <w:rPr>
                <w:rFonts w:ascii="Arial" w:cs="Arial" w:eastAsia="Arial" w:hAnsi="Arial"/>
                <w:sz w:val="25"/>
                <w:szCs w:val="25"/>
                <w:color w:val="auto"/>
                <w:w w:val="95"/>
                <w:vertAlign w:val="superscript"/>
              </w:rPr>
              <w:t>​</w:t>
            </w:r>
            <w:r>
              <w:rPr>
                <w:rFonts w:ascii="Arial" w:cs="Arial" w:eastAsia="Arial" w:hAnsi="Arial"/>
                <w:sz w:val="13"/>
                <w:szCs w:val="13"/>
                <w:color w:val="auto"/>
                <w:w w:val="95"/>
              </w:rPr>
              <w:t>14,662</w:t>
            </w:r>
          </w:p>
        </w:tc>
        <w:tc>
          <w:tcPr>
            <w:tcW w:w="760" w:type="dxa"/>
            <w:vAlign w:val="bottom"/>
            <w:gridSpan w:val="4"/>
          </w:tcPr>
          <w:p>
            <w:pPr>
              <w:jc w:val="right"/>
              <w:ind w:right="40"/>
              <w:spacing w:after="0"/>
              <w:rPr>
                <w:sz w:val="20"/>
                <w:szCs w:val="20"/>
                <w:color w:val="auto"/>
              </w:rPr>
            </w:pPr>
            <w:r>
              <w:rPr>
                <w:rFonts w:ascii="Arial" w:cs="Arial" w:eastAsia="Arial" w:hAnsi="Arial"/>
                <w:sz w:val="25"/>
                <w:szCs w:val="25"/>
                <w:color w:val="auto"/>
                <w:vertAlign w:val="superscript"/>
              </w:rPr>
              <w:t>​ ​</w:t>
            </w:r>
            <w:r>
              <w:rPr>
                <w:rFonts w:ascii="Arial" w:cs="Arial" w:eastAsia="Arial" w:hAnsi="Arial"/>
                <w:sz w:val="13"/>
                <w:szCs w:val="13"/>
                <w:color w:val="auto"/>
              </w:rPr>
              <w:t xml:space="preserve"> 1,218,500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157480</wp:posOffset>
            </wp:positionV>
            <wp:extent cx="12344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7" w:lineRule="exact"/>
        <w:rPr>
          <w:sz w:val="20"/>
          <w:szCs w:val="20"/>
          <w:color w:val="auto"/>
        </w:rPr>
      </w:pPr>
    </w:p>
    <w:p>
      <w:pPr>
        <w:ind w:left="1900" w:right="419" w:hanging="640"/>
        <w:spacing w:after="0" w:line="267" w:lineRule="auto"/>
        <w:tabs>
          <w:tab w:leader="none" w:pos="1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amounts included in this column reflect the aggregate grant date fair value calculated in accordance with FASB ASC Topic 718 for restricted stock and performance-based restricted stock unit (PBRSU) awards granted during 2025, as well as the Merger PBRSUs, all of which were granted under the 2015 Plan and assumed by the Company on August 1, 2025. The aggregate grant date fair values of the Merger PBRSUs were calculated following the closing of the Merger and, accordingly, are reported as compensation in 2025. Because the grant date fair values of the Merger RSAs were calculated in accordance with FASB ASC Topic 718 as of the approval date of such awards they were previously reported as compensation in 2024. The fair values in this column reflect the expected future cash flows of dividends and therefore dividends on unvested shares are not separately disclosed. The assumptions used in the calculation of the amounts shown are included in Note 14 to our audited consolidated financial statements, which are included in our Annual Report on Form 10-K for the fiscal year ended December 31, 2025. Additional information regarding the 2015 Plan is discussed in further detail in the Compensation Discussion &amp; Analysis under the heading “Elements of 2025 Compensation — Equity-Based Compensation.” The grant date fair values of the PBRSUs are based upon the probable levels of achievement of the performance goals related to those awards. The resulting number of PBRSUs that vest, if any, depends on whether we achieve the specified level of performance with respect to the performance measures tied to these awards. The grant date fair values of the PBRSUs are reported in the table above at target payout, representing the probable outcome of performance conditions as calculated at the time of grant, which is less than the maximum possible payout. The table below shows the grant date fair values of the annual PBRSUs granted to each NEO during fiscal year 2025 and the Merger PBRSUs at the probable payout and the maximum payout that would result if the highest levels of performance goals are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Grant Date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Grant Date</w:t>
            </w: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Grant Date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Grant Date</w:t>
            </w: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Grant Date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Grant Date</w:t>
            </w:r>
          </w:p>
        </w:tc>
      </w:tr>
      <w:tr>
        <w:trPr>
          <w:trHeight w:val="162"/>
        </w:trPr>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Fair Value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Value of</w:t>
            </w: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Fair Value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Value of</w:t>
            </w:r>
          </w:p>
        </w:tc>
        <w:tc>
          <w:tcPr>
            <w:tcW w:w="16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Fair Value of</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Value of</w:t>
            </w:r>
          </w:p>
        </w:tc>
      </w:tr>
      <w:tr>
        <w:trPr>
          <w:trHeight w:val="162"/>
        </w:trPr>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41"/>
              <w:spacing w:after="0"/>
              <w:rPr>
                <w:sz w:val="20"/>
                <w:szCs w:val="20"/>
                <w:color w:val="auto"/>
              </w:rPr>
            </w:pPr>
            <w:r>
              <w:rPr>
                <w:rFonts w:ascii="Arial" w:cs="Arial" w:eastAsia="Arial" w:hAnsi="Arial"/>
                <w:sz w:val="14"/>
                <w:szCs w:val="14"/>
                <w:b w:val="1"/>
                <w:bCs w:val="1"/>
                <w:color w:val="auto"/>
              </w:rPr>
              <w:t>Annual</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Annual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Harrobin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Harrobin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20"/>
              <w:spacing w:after="0"/>
              <w:rPr>
                <w:sz w:val="20"/>
                <w:szCs w:val="20"/>
                <w:color w:val="auto"/>
              </w:rPr>
            </w:pPr>
            <w:r>
              <w:rPr>
                <w:rFonts w:ascii="Arial" w:cs="Arial" w:eastAsia="Arial" w:hAnsi="Arial"/>
                <w:sz w:val="14"/>
                <w:szCs w:val="14"/>
                <w:b w:val="1"/>
                <w:bCs w:val="1"/>
                <w:color w:val="auto"/>
              </w:rPr>
              <w:t>Merger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Merger</w:t>
            </w:r>
          </w:p>
        </w:tc>
      </w:tr>
      <w:tr>
        <w:trPr>
          <w:trHeight w:val="162"/>
        </w:trPr>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1"/>
              <w:spacing w:after="0"/>
              <w:rPr>
                <w:sz w:val="20"/>
                <w:szCs w:val="20"/>
                <w:color w:val="auto"/>
              </w:rPr>
            </w:pPr>
            <w:r>
              <w:rPr>
                <w:rFonts w:ascii="Arial" w:cs="Arial" w:eastAsia="Arial" w:hAnsi="Arial"/>
                <w:sz w:val="14"/>
                <w:szCs w:val="14"/>
                <w:b w:val="1"/>
                <w:bCs w:val="1"/>
                <w:color w:val="auto"/>
              </w:rPr>
              <w:t>PBRSUs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PBRSUs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PBRSUs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PBRSUs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PBRSUs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PBRSUs</w:t>
            </w:r>
          </w:p>
        </w:tc>
      </w:tr>
      <w:tr>
        <w:trPr>
          <w:trHeight w:val="162"/>
        </w:trPr>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1"/>
              <w:spacing w:after="0"/>
              <w:rPr>
                <w:sz w:val="20"/>
                <w:szCs w:val="20"/>
                <w:color w:val="auto"/>
              </w:rPr>
            </w:pPr>
            <w:r>
              <w:rPr>
                <w:rFonts w:ascii="Arial" w:cs="Arial" w:eastAsia="Arial" w:hAnsi="Arial"/>
                <w:sz w:val="14"/>
                <w:szCs w:val="14"/>
                <w:b w:val="1"/>
                <w:bCs w:val="1"/>
                <w:color w:val="auto"/>
              </w:rPr>
              <w:t>(Probable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(Maximum</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(Probable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(Maximum</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(Probable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(Maximum</w:t>
            </w:r>
          </w:p>
        </w:tc>
      </w:tr>
      <w:tr>
        <w:trPr>
          <w:trHeight w:val="162"/>
        </w:trPr>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41"/>
              <w:spacing w:after="0"/>
              <w:rPr>
                <w:sz w:val="20"/>
                <w:szCs w:val="20"/>
                <w:color w:val="auto"/>
              </w:rPr>
            </w:pPr>
            <w:r>
              <w:rPr>
                <w:rFonts w:ascii="Arial" w:cs="Arial" w:eastAsia="Arial" w:hAnsi="Arial"/>
                <w:sz w:val="14"/>
                <w:szCs w:val="14"/>
                <w:b w:val="1"/>
                <w:bCs w:val="1"/>
                <w:color w:val="auto"/>
              </w:rPr>
              <w:t>Payout)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Payout)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20"/>
              <w:spacing w:after="0"/>
              <w:rPr>
                <w:sz w:val="20"/>
                <w:szCs w:val="20"/>
                <w:color w:val="auto"/>
              </w:rPr>
            </w:pPr>
            <w:r>
              <w:rPr>
                <w:rFonts w:ascii="Arial" w:cs="Arial" w:eastAsia="Arial" w:hAnsi="Arial"/>
                <w:sz w:val="14"/>
                <w:szCs w:val="14"/>
                <w:b w:val="1"/>
                <w:bCs w:val="1"/>
                <w:color w:val="auto"/>
              </w:rPr>
              <w:t>Payout)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Payout)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20"/>
              <w:spacing w:after="0"/>
              <w:rPr>
                <w:sz w:val="20"/>
                <w:szCs w:val="20"/>
                <w:color w:val="auto"/>
              </w:rPr>
            </w:pPr>
            <w:r>
              <w:rPr>
                <w:rFonts w:ascii="Arial" w:cs="Arial" w:eastAsia="Arial" w:hAnsi="Arial"/>
                <w:sz w:val="14"/>
                <w:szCs w:val="14"/>
                <w:b w:val="1"/>
                <w:bCs w:val="1"/>
                <w:color w:val="auto"/>
              </w:rPr>
              <w:t>Payout)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Payout)</w:t>
            </w:r>
          </w:p>
        </w:tc>
      </w:tr>
      <w:tr>
        <w:trPr>
          <w:trHeight w:val="198"/>
        </w:trPr>
        <w:tc>
          <w:tcPr>
            <w:tcW w:w="60" w:type="dxa"/>
            <w:vAlign w:val="bottom"/>
          </w:tcPr>
          <w:p>
            <w:pPr>
              <w:spacing w:after="0"/>
              <w:rPr>
                <w:sz w:val="17"/>
                <w:szCs w:val="17"/>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7"/>
                <w:szCs w:val="17"/>
                <w:color w:val="auto"/>
              </w:rPr>
            </w:pPr>
          </w:p>
        </w:tc>
        <w:tc>
          <w:tcPr>
            <w:tcW w:w="200" w:type="dxa"/>
            <w:vAlign w:val="bottom"/>
          </w:tcPr>
          <w:p>
            <w:pPr>
              <w:jc w:val="center"/>
              <w:spacing w:after="0"/>
              <w:rPr>
                <w:sz w:val="20"/>
                <w:szCs w:val="20"/>
                <w:color w:val="auto"/>
              </w:rPr>
            </w:pPr>
            <w:r>
              <w:rPr>
                <w:rFonts w:ascii="Arial" w:cs="Arial" w:eastAsia="Arial" w:hAnsi="Arial"/>
                <w:sz w:val="14"/>
                <w:szCs w:val="14"/>
                <w:b w:val="1"/>
                <w:bCs w:val="1"/>
                <w:color w:val="auto"/>
              </w:rPr>
              <w:t>​ ​</w:t>
            </w: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 ​</w:t>
            </w: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7"/>
                <w:szCs w:val="17"/>
                <w:color w:val="auto"/>
              </w:rPr>
            </w:pPr>
          </w:p>
        </w:tc>
        <w:tc>
          <w:tcPr>
            <w:tcW w:w="200" w:type="dxa"/>
            <w:vAlign w:val="bottom"/>
          </w:tcPr>
          <w:p>
            <w:pPr>
              <w:jc w:val="center"/>
              <w:spacing w:after="0"/>
              <w:rPr>
                <w:sz w:val="20"/>
                <w:szCs w:val="20"/>
                <w:color w:val="auto"/>
              </w:rPr>
            </w:pPr>
            <w:r>
              <w:rPr>
                <w:rFonts w:ascii="Arial" w:cs="Arial" w:eastAsia="Arial" w:hAnsi="Arial"/>
                <w:sz w:val="14"/>
                <w:szCs w:val="14"/>
                <w:b w:val="1"/>
                <w:bCs w:val="1"/>
                <w:color w:val="auto"/>
              </w:rPr>
              <w:t>​ ​</w:t>
            </w:r>
          </w:p>
        </w:tc>
        <w:tc>
          <w:tcPr>
            <w:tcW w:w="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 ​</w:t>
            </w: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Borders>
              <w:bottom w:val="single" w:sz="8" w:color="auto"/>
            </w:tcBorders>
          </w:tcPr>
          <w:p>
            <w:pPr>
              <w:spacing w:after="0"/>
              <w:rPr>
                <w:sz w:val="17"/>
                <w:szCs w:val="17"/>
                <w:color w:val="auto"/>
              </w:rPr>
            </w:pPr>
          </w:p>
        </w:tc>
        <w:tc>
          <w:tcPr>
            <w:tcW w:w="200" w:type="dxa"/>
            <w:vAlign w:val="bottom"/>
          </w:tcPr>
          <w:p>
            <w:pPr>
              <w:jc w:val="center"/>
              <w:spacing w:after="0"/>
              <w:rPr>
                <w:sz w:val="20"/>
                <w:szCs w:val="20"/>
                <w:color w:val="auto"/>
              </w:rPr>
            </w:pPr>
            <w:r>
              <w:rPr>
                <w:rFonts w:ascii="Arial" w:cs="Arial" w:eastAsia="Arial" w:hAnsi="Arial"/>
                <w:sz w:val="14"/>
                <w:szCs w:val="14"/>
                <w:b w:val="1"/>
                <w:bCs w:val="1"/>
                <w:color w:val="auto"/>
              </w:rPr>
              <w:t>​ ​</w:t>
            </w: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7"/>
                <w:szCs w:val="17"/>
                <w:color w:val="auto"/>
              </w:rPr>
            </w:pPr>
          </w:p>
        </w:tc>
      </w:tr>
      <w:tr>
        <w:trPr>
          <w:trHeight w:val="250"/>
        </w:trPr>
        <w:tc>
          <w:tcPr>
            <w:tcW w:w="60" w:type="dxa"/>
            <w:vAlign w:val="bottom"/>
          </w:tcPr>
          <w:p>
            <w:pPr>
              <w:spacing w:after="0"/>
              <w:rPr>
                <w:sz w:val="21"/>
                <w:szCs w:val="21"/>
                <w:color w:val="auto"/>
              </w:rPr>
            </w:pPr>
          </w:p>
        </w:tc>
        <w:tc>
          <w:tcPr>
            <w:tcW w:w="2900" w:type="dxa"/>
            <w:vAlign w:val="bottom"/>
            <w:gridSpan w:val="4"/>
          </w:tcPr>
          <w:p>
            <w:pPr>
              <w:spacing w:after="0"/>
              <w:rPr>
                <w:sz w:val="20"/>
                <w:szCs w:val="20"/>
                <w:color w:val="auto"/>
              </w:rPr>
            </w:pPr>
            <w:r>
              <w:rPr>
                <w:rFonts w:ascii="Arial" w:cs="Arial" w:eastAsia="Arial" w:hAnsi="Arial"/>
                <w:sz w:val="18"/>
                <w:szCs w:val="18"/>
                <w:color w:val="auto"/>
              </w:rPr>
              <w:t>Kenneth A. Gunderman ​ ​​2,140,689</w:t>
            </w:r>
          </w:p>
        </w:tc>
        <w:tc>
          <w:tcPr>
            <w:tcW w:w="1060" w:type="dxa"/>
            <w:vAlign w:val="bottom"/>
            <w:gridSpan w:val="5"/>
          </w:tcPr>
          <w:p>
            <w:pPr>
              <w:jc w:val="right"/>
              <w:ind w:right="20"/>
              <w:spacing w:after="0"/>
              <w:rPr>
                <w:sz w:val="20"/>
                <w:szCs w:val="20"/>
                <w:color w:val="auto"/>
              </w:rPr>
            </w:pPr>
            <w:r>
              <w:rPr>
                <w:rFonts w:ascii="Arial" w:cs="Arial" w:eastAsia="Arial" w:hAnsi="Arial"/>
                <w:sz w:val="18"/>
                <w:szCs w:val="18"/>
                <w:color w:val="auto"/>
              </w:rPr>
              <w:t>​​ ​​3,025,433</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280" w:type="dxa"/>
            <w:vAlign w:val="bottom"/>
            <w:gridSpan w:val="3"/>
          </w:tcPr>
          <w:p>
            <w:pPr>
              <w:jc w:val="center"/>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 ​​2,641,410</w:t>
            </w: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auto"/>
              </w:rPr>
              <w:t>​​ ​​4,265,275</w:t>
            </w:r>
          </w:p>
        </w:tc>
      </w:tr>
      <w:tr>
        <w:trPr>
          <w:trHeight w:val="257"/>
        </w:trPr>
        <w:tc>
          <w:tcPr>
            <w:tcW w:w="60" w:type="dxa"/>
            <w:vAlign w:val="bottom"/>
            <w:shd w:val="clear" w:color="auto" w:fill="B2B2B2"/>
          </w:tcPr>
          <w:p>
            <w:pPr>
              <w:spacing w:after="0"/>
              <w:rPr>
                <w:sz w:val="22"/>
                <w:szCs w:val="22"/>
                <w:color w:val="auto"/>
              </w:rPr>
            </w:pPr>
          </w:p>
        </w:tc>
        <w:tc>
          <w:tcPr>
            <w:tcW w:w="1860" w:type="dxa"/>
            <w:vAlign w:val="bottom"/>
            <w:shd w:val="clear" w:color="auto" w:fill="B2B2B2"/>
          </w:tcPr>
          <w:p>
            <w:pPr>
              <w:spacing w:after="0"/>
              <w:rPr>
                <w:sz w:val="20"/>
                <w:szCs w:val="20"/>
                <w:color w:val="auto"/>
              </w:rPr>
            </w:pPr>
            <w:r>
              <w:rPr>
                <w:rFonts w:ascii="Arial" w:cs="Arial" w:eastAsia="Arial" w:hAnsi="Arial"/>
                <w:sz w:val="18"/>
                <w:szCs w:val="18"/>
                <w:color w:val="auto"/>
              </w:rPr>
              <w:t>Paul Bullington</w:t>
            </w:r>
          </w:p>
        </w:tc>
        <w:tc>
          <w:tcPr>
            <w:tcW w:w="1040" w:type="dxa"/>
            <w:vAlign w:val="bottom"/>
            <w:gridSpan w:val="3"/>
            <w:shd w:val="clear" w:color="auto" w:fill="B2B2B2"/>
          </w:tcPr>
          <w:p>
            <w:pPr>
              <w:ind w:left="40"/>
              <w:spacing w:after="0"/>
              <w:rPr>
                <w:sz w:val="20"/>
                <w:szCs w:val="20"/>
                <w:color w:val="auto"/>
              </w:rPr>
            </w:pPr>
            <w:r>
              <w:rPr>
                <w:rFonts w:ascii="Arial" w:cs="Arial" w:eastAsia="Arial" w:hAnsi="Arial"/>
                <w:sz w:val="18"/>
                <w:szCs w:val="18"/>
                <w:color w:val="auto"/>
              </w:rPr>
              <w:t>​ ​​1,023,293</w:t>
            </w:r>
          </w:p>
        </w:tc>
        <w:tc>
          <w:tcPr>
            <w:tcW w:w="1060" w:type="dxa"/>
            <w:vAlign w:val="bottom"/>
            <w:gridSpan w:val="5"/>
            <w:shd w:val="clear" w:color="auto" w:fill="B2B2B2"/>
          </w:tcPr>
          <w:p>
            <w:pPr>
              <w:jc w:val="right"/>
              <w:ind w:right="20"/>
              <w:spacing w:after="0"/>
              <w:rPr>
                <w:sz w:val="20"/>
                <w:szCs w:val="20"/>
                <w:color w:val="auto"/>
              </w:rPr>
            </w:pPr>
            <w:r>
              <w:rPr>
                <w:rFonts w:ascii="Arial" w:cs="Arial" w:eastAsia="Arial" w:hAnsi="Arial"/>
                <w:sz w:val="18"/>
                <w:szCs w:val="18"/>
                <w:color w:val="auto"/>
              </w:rPr>
              <w:t>​​ ​​1,446,219</w:t>
            </w:r>
          </w:p>
        </w:tc>
        <w:tc>
          <w:tcPr>
            <w:tcW w:w="24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B2B2B2"/>
          </w:tcPr>
          <w:p>
            <w:pPr>
              <w:ind w:left="580"/>
              <w:spacing w:after="0"/>
              <w:rPr>
                <w:sz w:val="20"/>
                <w:szCs w:val="20"/>
                <w:color w:val="auto"/>
              </w:rPr>
            </w:pPr>
            <w:r>
              <w:rPr>
                <w:rFonts w:ascii="Arial" w:cs="Arial" w:eastAsia="Arial" w:hAnsi="Arial"/>
                <w:sz w:val="18"/>
                <w:szCs w:val="18"/>
                <w:color w:val="auto"/>
                <w:w w:val="99"/>
              </w:rPr>
              <w:t>—</w:t>
            </w:r>
          </w:p>
        </w:tc>
        <w:tc>
          <w:tcPr>
            <w:tcW w:w="280" w:type="dxa"/>
            <w:vAlign w:val="bottom"/>
            <w:gridSpan w:val="3"/>
            <w:shd w:val="clear" w:color="auto" w:fill="B2B2B2"/>
          </w:tcPr>
          <w:p>
            <w:pPr>
              <w:jc w:val="center"/>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B2B2B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776,886</w:t>
            </w:r>
          </w:p>
        </w:tc>
        <w:tc>
          <w:tcPr>
            <w:tcW w:w="1080" w:type="dxa"/>
            <w:vAlign w:val="bottom"/>
            <w:gridSpan w:val="5"/>
            <w:shd w:val="clear" w:color="auto" w:fill="B2B2B2"/>
          </w:tcPr>
          <w:p>
            <w:pPr>
              <w:jc w:val="right"/>
              <w:ind w:right="40"/>
              <w:spacing w:after="0"/>
              <w:rPr>
                <w:sz w:val="20"/>
                <w:szCs w:val="20"/>
                <w:color w:val="auto"/>
              </w:rPr>
            </w:pPr>
            <w:r>
              <w:rPr>
                <w:rFonts w:ascii="Arial" w:cs="Arial" w:eastAsia="Arial" w:hAnsi="Arial"/>
                <w:sz w:val="18"/>
                <w:szCs w:val="18"/>
                <w:color w:val="auto"/>
              </w:rPr>
              <w:t>​​ ​​1,254,500</w:t>
            </w:r>
          </w:p>
        </w:tc>
      </w:tr>
      <w:tr>
        <w:trPr>
          <w:trHeight w:val="257"/>
        </w:trPr>
        <w:tc>
          <w:tcPr>
            <w:tcW w:w="60" w:type="dxa"/>
            <w:vAlign w:val="bottom"/>
          </w:tcPr>
          <w:p>
            <w:pPr>
              <w:spacing w:after="0"/>
              <w:rPr>
                <w:sz w:val="22"/>
                <w:szCs w:val="22"/>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John Harrobin</w:t>
            </w: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 ​​1,912,254</w:t>
            </w:r>
          </w:p>
        </w:tc>
        <w:tc>
          <w:tcPr>
            <w:tcW w:w="1060" w:type="dxa"/>
            <w:vAlign w:val="bottom"/>
            <w:gridSpan w:val="5"/>
          </w:tcPr>
          <w:p>
            <w:pPr>
              <w:jc w:val="right"/>
              <w:ind w:right="20"/>
              <w:spacing w:after="0"/>
              <w:rPr>
                <w:sz w:val="20"/>
                <w:szCs w:val="20"/>
                <w:color w:val="auto"/>
              </w:rPr>
            </w:pPr>
            <w:r>
              <w:rPr>
                <w:rFonts w:ascii="Arial" w:cs="Arial" w:eastAsia="Arial" w:hAnsi="Arial"/>
                <w:sz w:val="18"/>
                <w:szCs w:val="18"/>
                <w:color w:val="auto"/>
              </w:rPr>
              <w:t>​​ ​​2,433,324</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57"/>
        </w:trPr>
        <w:tc>
          <w:tcPr>
            <w:tcW w:w="60" w:type="dxa"/>
            <w:vAlign w:val="bottom"/>
            <w:shd w:val="clear" w:color="auto" w:fill="B2B2B2"/>
          </w:tcPr>
          <w:p>
            <w:pPr>
              <w:spacing w:after="0"/>
              <w:rPr>
                <w:sz w:val="22"/>
                <w:szCs w:val="22"/>
                <w:color w:val="auto"/>
              </w:rPr>
            </w:pPr>
          </w:p>
        </w:tc>
        <w:tc>
          <w:tcPr>
            <w:tcW w:w="1860" w:type="dxa"/>
            <w:vAlign w:val="bottom"/>
            <w:shd w:val="clear" w:color="auto" w:fill="B2B2B2"/>
          </w:tcPr>
          <w:p>
            <w:pPr>
              <w:spacing w:after="0"/>
              <w:rPr>
                <w:sz w:val="20"/>
                <w:szCs w:val="20"/>
                <w:color w:val="auto"/>
              </w:rPr>
            </w:pPr>
            <w:r>
              <w:rPr>
                <w:rFonts w:ascii="Arial" w:cs="Arial" w:eastAsia="Arial" w:hAnsi="Arial"/>
                <w:sz w:val="18"/>
                <w:szCs w:val="18"/>
                <w:color w:val="auto"/>
              </w:rPr>
              <w:t>Daniel L. Heard</w:t>
            </w:r>
          </w:p>
        </w:tc>
        <w:tc>
          <w:tcPr>
            <w:tcW w:w="280" w:type="dxa"/>
            <w:vAlign w:val="bottom"/>
            <w:gridSpan w:val="2"/>
            <w:shd w:val="clear" w:color="auto" w:fill="B2B2B2"/>
          </w:tcPr>
          <w:p>
            <w:pPr>
              <w:ind w:left="40"/>
              <w:spacing w:after="0"/>
              <w:rPr>
                <w:sz w:val="20"/>
                <w:szCs w:val="20"/>
                <w:color w:val="auto"/>
              </w:rPr>
            </w:pPr>
            <w:r>
              <w:rPr>
                <w:rFonts w:ascii="Arial" w:cs="Arial" w:eastAsia="Arial" w:hAnsi="Arial"/>
                <w:sz w:val="18"/>
                <w:szCs w:val="18"/>
                <w:color w:val="auto"/>
              </w:rPr>
              <w:t>​ ​​</w:t>
            </w:r>
          </w:p>
        </w:tc>
        <w:tc>
          <w:tcPr>
            <w:tcW w:w="7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515,938</w:t>
            </w:r>
          </w:p>
        </w:tc>
        <w:tc>
          <w:tcPr>
            <w:tcW w:w="300" w:type="dxa"/>
            <w:vAlign w:val="bottom"/>
            <w:gridSpan w:val="3"/>
            <w:shd w:val="clear" w:color="auto" w:fill="B2B2B2"/>
          </w:tcPr>
          <w:p>
            <w:pPr>
              <w:jc w:val="center"/>
              <w:spacing w:after="0"/>
              <w:rPr>
                <w:sz w:val="20"/>
                <w:szCs w:val="20"/>
                <w:color w:val="auto"/>
              </w:rPr>
            </w:pPr>
            <w:r>
              <w:rPr>
                <w:rFonts w:ascii="Arial" w:cs="Arial" w:eastAsia="Arial" w:hAnsi="Arial"/>
                <w:sz w:val="18"/>
                <w:szCs w:val="18"/>
                <w:color w:val="auto"/>
              </w:rPr>
              <w:t>​​ ​​</w:t>
            </w:r>
          </w:p>
        </w:tc>
        <w:tc>
          <w:tcPr>
            <w:tcW w:w="760" w:type="dxa"/>
            <w:vAlign w:val="bottom"/>
            <w:gridSpan w:val="2"/>
            <w:shd w:val="clear" w:color="auto" w:fill="B2B2B2"/>
          </w:tcPr>
          <w:p>
            <w:pPr>
              <w:jc w:val="right"/>
              <w:ind w:right="20"/>
              <w:spacing w:after="0"/>
              <w:rPr>
                <w:sz w:val="20"/>
                <w:szCs w:val="20"/>
                <w:color w:val="auto"/>
              </w:rPr>
            </w:pPr>
            <w:r>
              <w:rPr>
                <w:rFonts w:ascii="Arial" w:cs="Arial" w:eastAsia="Arial" w:hAnsi="Arial"/>
                <w:sz w:val="18"/>
                <w:szCs w:val="18"/>
                <w:color w:val="auto"/>
              </w:rPr>
              <w:t>729,174</w:t>
            </w:r>
          </w:p>
        </w:tc>
        <w:tc>
          <w:tcPr>
            <w:tcW w:w="24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B2B2B2"/>
          </w:tcPr>
          <w:p>
            <w:pPr>
              <w:ind w:left="580"/>
              <w:spacing w:after="0"/>
              <w:rPr>
                <w:sz w:val="20"/>
                <w:szCs w:val="20"/>
                <w:color w:val="auto"/>
              </w:rPr>
            </w:pPr>
            <w:r>
              <w:rPr>
                <w:rFonts w:ascii="Arial" w:cs="Arial" w:eastAsia="Arial" w:hAnsi="Arial"/>
                <w:sz w:val="18"/>
                <w:szCs w:val="18"/>
                <w:color w:val="auto"/>
                <w:w w:val="99"/>
              </w:rPr>
              <w:t>—</w:t>
            </w:r>
          </w:p>
        </w:tc>
        <w:tc>
          <w:tcPr>
            <w:tcW w:w="280" w:type="dxa"/>
            <w:vAlign w:val="bottom"/>
            <w:gridSpan w:val="3"/>
            <w:shd w:val="clear" w:color="auto" w:fill="B2B2B2"/>
          </w:tcPr>
          <w:p>
            <w:pPr>
              <w:jc w:val="center"/>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B2B2B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668,123</w:t>
            </w:r>
          </w:p>
        </w:tc>
        <w:tc>
          <w:tcPr>
            <w:tcW w:w="1080" w:type="dxa"/>
            <w:vAlign w:val="bottom"/>
            <w:gridSpan w:val="5"/>
            <w:shd w:val="clear" w:color="auto" w:fill="B2B2B2"/>
          </w:tcPr>
          <w:p>
            <w:pPr>
              <w:jc w:val="right"/>
              <w:ind w:right="40"/>
              <w:spacing w:after="0"/>
              <w:rPr>
                <w:sz w:val="20"/>
                <w:szCs w:val="20"/>
                <w:color w:val="auto"/>
              </w:rPr>
            </w:pPr>
            <w:r>
              <w:rPr>
                <w:rFonts w:ascii="Arial" w:cs="Arial" w:eastAsia="Arial" w:hAnsi="Arial"/>
                <w:sz w:val="18"/>
                <w:szCs w:val="18"/>
                <w:color w:val="auto"/>
              </w:rPr>
              <w:t>​​ ​​1,078,866</w:t>
            </w:r>
          </w:p>
        </w:tc>
      </w:tr>
      <w:tr>
        <w:trPr>
          <w:trHeight w:val="301"/>
        </w:trPr>
        <w:tc>
          <w:tcPr>
            <w:tcW w:w="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Michael Friloux</w:t>
            </w: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419,204</w:t>
            </w: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592,460</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280" w:type="dxa"/>
            <w:vAlign w:val="bottom"/>
            <w:gridSpan w:val="3"/>
          </w:tcPr>
          <w:p>
            <w:pPr>
              <w:jc w:val="center"/>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776,886</w:t>
            </w: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auto"/>
              </w:rPr>
              <w:t>​​ ​​1,254,500</w:t>
            </w:r>
          </w:p>
        </w:tc>
      </w:tr>
    </w:tbl>
    <w:p>
      <w:pPr>
        <w:spacing w:after="0" w:line="139" w:lineRule="exact"/>
        <w:rPr>
          <w:sz w:val="20"/>
          <w:szCs w:val="20"/>
          <w:color w:val="auto"/>
        </w:rPr>
      </w:pPr>
    </w:p>
    <w:p>
      <w:pPr>
        <w:ind w:left="1900" w:right="699" w:hanging="640"/>
        <w:spacing w:after="0" w:line="262" w:lineRule="auto"/>
        <w:tabs>
          <w:tab w:leader="none" w:pos="1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amounts in this column reflect the cash incentive awards earned for 2025 pursuant to the 2025 STIP. The 2025 STIP payouts are discussed in further detail in the Compensation Discussion &amp; Analysis under the heading “Elements of 2025 Compensation — Short-Term Incentives.”</w:t>
      </w:r>
    </w:p>
    <w:p>
      <w:pPr>
        <w:spacing w:after="0" w:line="176" w:lineRule="exact"/>
        <w:rPr>
          <w:rFonts w:ascii="Arial" w:cs="Arial" w:eastAsia="Arial" w:hAnsi="Arial"/>
          <w:sz w:val="18"/>
          <w:szCs w:val="18"/>
          <w:color w:val="auto"/>
        </w:rPr>
      </w:pPr>
    </w:p>
    <w:p>
      <w:pPr>
        <w:ind w:left="1900" w:right="579" w:hanging="640"/>
        <w:spacing w:after="0" w:line="282" w:lineRule="auto"/>
        <w:tabs>
          <w:tab w:leader="none" w:pos="1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amounts reflected in this column represent the sum of all other compensation received by the NEOs and are comprised of (i) company matching contributions under Uniti’s 401(k) plan of $14,000 each (except for Mr. Harrobin), (ii) imputed income for value over $50,000 of life insurance coverage provided by Uniti and (iii) $36,744 in housing allowance for Mr. Harrobin.</w:t>
      </w:r>
    </w:p>
    <w:p>
      <w:pPr>
        <w:spacing w:after="0" w:line="161" w:lineRule="exact"/>
        <w:rPr>
          <w:rFonts w:ascii="Arial" w:cs="Arial" w:eastAsia="Arial" w:hAnsi="Arial"/>
          <w:sz w:val="17"/>
          <w:szCs w:val="17"/>
          <w:color w:val="auto"/>
        </w:rPr>
      </w:pPr>
    </w:p>
    <w:p>
      <w:pPr>
        <w:ind w:left="1900" w:hanging="640"/>
        <w:spacing w:after="0"/>
        <w:tabs>
          <w:tab w:leader="none" w:pos="1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amount reflects Mr. Harrobin’s one-time, sign-on bonus.</w:t>
      </w:r>
    </w:p>
    <w:p>
      <w:pPr>
        <w:spacing w:after="0" w:line="225" w:lineRule="exact"/>
        <w:rPr>
          <w:sz w:val="20"/>
          <w:szCs w:val="20"/>
          <w:color w:val="auto"/>
        </w:rPr>
      </w:pPr>
    </w:p>
    <w:p>
      <w:pPr>
        <w:ind w:left="1260" w:right="439" w:firstLine="648"/>
        <w:spacing w:after="0" w:line="257" w:lineRule="auto"/>
        <w:rPr>
          <w:sz w:val="20"/>
          <w:szCs w:val="20"/>
          <w:color w:val="auto"/>
        </w:rPr>
      </w:pPr>
      <w:r>
        <w:rPr>
          <w:rFonts w:ascii="Arial" w:cs="Arial" w:eastAsia="Arial" w:hAnsi="Arial"/>
          <w:sz w:val="18"/>
          <w:szCs w:val="18"/>
          <w:i w:val="1"/>
          <w:iCs w:val="1"/>
          <w:color w:val="00ABD1"/>
        </w:rPr>
        <w:t xml:space="preserve">Pay Ratio Disclosure. </w:t>
      </w:r>
      <w:r>
        <w:rPr>
          <w:rFonts w:ascii="Arial" w:cs="Arial" w:eastAsia="Arial" w:hAnsi="Arial"/>
          <w:sz w:val="18"/>
          <w:szCs w:val="18"/>
          <w:color w:val="000000"/>
        </w:rPr>
        <w:t>In 2025, the total compensation of our CEO was $9,210,149, and the</w:t>
      </w:r>
      <w:r>
        <w:rPr>
          <w:rFonts w:ascii="Arial" w:cs="Arial" w:eastAsia="Arial" w:hAnsi="Arial"/>
          <w:sz w:val="18"/>
          <w:szCs w:val="18"/>
          <w:i w:val="1"/>
          <w:iCs w:val="1"/>
          <w:color w:val="00ABD1"/>
        </w:rPr>
        <w:t xml:space="preserve"> </w:t>
      </w:r>
      <w:r>
        <w:rPr>
          <w:rFonts w:ascii="Arial" w:cs="Arial" w:eastAsia="Arial" w:hAnsi="Arial"/>
          <w:sz w:val="18"/>
          <w:szCs w:val="18"/>
          <w:color w:val="000000"/>
        </w:rPr>
        <w:t>total compensation of our median employee was $93,719. The total compensation of our CEO was approximately 98.27 times that of the median employee. For purposes of calculating the pay ratio disclosure, our CEO’s annual total compensation was determined to be $9,210,149, which represents the sum of Mr. Gunderman’s annual total compensation as reflected in the Summary Compensation Table plus the employer portion of his health insurance premiums of $15,476.</w:t>
      </w:r>
    </w:p>
    <w:p>
      <w:pPr>
        <w:spacing w:after="0" w:line="182" w:lineRule="exact"/>
        <w:rPr>
          <w:sz w:val="20"/>
          <w:szCs w:val="20"/>
          <w:color w:val="auto"/>
        </w:rPr>
      </w:pPr>
    </w:p>
    <w:p>
      <w:pPr>
        <w:ind w:left="1260" w:right="639" w:firstLine="648"/>
        <w:spacing w:after="0" w:line="274" w:lineRule="auto"/>
        <w:rPr>
          <w:sz w:val="20"/>
          <w:szCs w:val="20"/>
          <w:color w:val="auto"/>
        </w:rPr>
      </w:pPr>
      <w:r>
        <w:rPr>
          <w:rFonts w:ascii="Arial" w:cs="Arial" w:eastAsia="Arial" w:hAnsi="Arial"/>
          <w:sz w:val="17"/>
          <w:szCs w:val="17"/>
          <w:color w:val="auto"/>
        </w:rPr>
        <w:t>We have chosen to identify a new median employee for purposes of calculating and disclosing our 2025 pay ratio. We identified the new median employee using actual W-2 compensation of all employees who were employed as of December 31, 2025, including full-time, part-time, seasonal and temporary employees (other than our CEO). Our total number of employees as of December 31, 2025 was 8,632. After identifying the median employee, we calculated the annual total compensation for the median employee using the same methodology we used for calculating our CEO’s annual total compensation for purposes of calculating the pay ratio disclosure as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3" w:lineRule="exact"/>
        <w:rPr>
          <w:sz w:val="20"/>
          <w:szCs w:val="20"/>
          <w:color w:val="auto"/>
        </w:rPr>
      </w:pPr>
    </w:p>
    <w:p>
      <w:pPr>
        <w:ind w:left="1260" w:right="439" w:firstLine="648"/>
        <w:spacing w:after="0" w:line="255" w:lineRule="auto"/>
        <w:rPr>
          <w:sz w:val="20"/>
          <w:szCs w:val="20"/>
          <w:color w:val="auto"/>
        </w:rPr>
      </w:pPr>
      <w:r>
        <w:rPr>
          <w:rFonts w:ascii="Arial" w:cs="Arial" w:eastAsia="Arial" w:hAnsi="Arial"/>
          <w:sz w:val="18"/>
          <w:szCs w:val="18"/>
          <w:color w:val="auto"/>
        </w:rPr>
        <w:t>The following table shows information regarding grants of plan-based awards, including equity and non-equity incentive plans, made by Old Uniti during 2025 and assumed by the Company at the closing of the Merger to the individuals named below. As previously discussed, in connection with the Merger, all equity awards outstanding under the 2015 Plan were assumed by the Company and remain subject to the same terms and conditions (including any vesting, forfeiture and dividend equivalent terms) as were applicable to such award prior to closing of the Merger. The shares reported in the table below have been retrospectively adjusted to reflect the Exchange Ratio and are reported on an as-converted basis.</w:t>
      </w: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85"/>
              </w:rPr>
              <w:t>All</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3"/>
              </w:rPr>
              <w:t>Stock</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Awards: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Number</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103"/>
              <w:spacing w:after="0" w:line="122" w:lineRule="exact"/>
              <w:rPr>
                <w:sz w:val="20"/>
                <w:szCs w:val="20"/>
                <w:color w:val="auto"/>
              </w:rPr>
            </w:pPr>
            <w:r>
              <w:rPr>
                <w:rFonts w:ascii="Arial" w:cs="Arial" w:eastAsia="Arial" w:hAnsi="Arial"/>
                <w:sz w:val="11"/>
                <w:szCs w:val="11"/>
                <w:b w:val="1"/>
                <w:bCs w:val="1"/>
                <w:color w:val="auto"/>
                <w:w w:val="95"/>
              </w:rPr>
              <w:t>Grant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of</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Date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40" w:type="dxa"/>
            <w:vAlign w:val="bottom"/>
            <w:gridSpan w:val="9"/>
            <w:vMerge w:val="restart"/>
          </w:tcPr>
          <w:p>
            <w:pPr>
              <w:jc w:val="center"/>
              <w:ind w:right="200"/>
              <w:spacing w:after="0"/>
              <w:rPr>
                <w:sz w:val="20"/>
                <w:szCs w:val="20"/>
                <w:color w:val="auto"/>
              </w:rPr>
            </w:pPr>
            <w:r>
              <w:rPr>
                <w:rFonts w:ascii="Arial" w:cs="Arial" w:eastAsia="Arial" w:hAnsi="Arial"/>
                <w:sz w:val="11"/>
                <w:szCs w:val="11"/>
                <w:b w:val="1"/>
                <w:bCs w:val="1"/>
                <w:color w:val="auto"/>
                <w:w w:val="96"/>
              </w:rPr>
              <w:t>Estimated Future Payouts Under</w:t>
            </w:r>
          </w:p>
        </w:tc>
        <w:tc>
          <w:tcPr>
            <w:tcW w:w="60" w:type="dxa"/>
            <w:vAlign w:val="bottom"/>
          </w:tcPr>
          <w:p>
            <w:pPr>
              <w:spacing w:after="0"/>
              <w:rPr>
                <w:sz w:val="10"/>
                <w:szCs w:val="10"/>
                <w:color w:val="auto"/>
              </w:rPr>
            </w:pPr>
          </w:p>
        </w:tc>
        <w:tc>
          <w:tcPr>
            <w:tcW w:w="1800" w:type="dxa"/>
            <w:vAlign w:val="bottom"/>
            <w:gridSpan w:val="6"/>
            <w:vMerge w:val="restart"/>
          </w:tcPr>
          <w:p>
            <w:pPr>
              <w:ind w:left="80"/>
              <w:spacing w:after="0"/>
              <w:rPr>
                <w:sz w:val="20"/>
                <w:szCs w:val="20"/>
                <w:color w:val="auto"/>
              </w:rPr>
            </w:pPr>
            <w:r>
              <w:rPr>
                <w:rFonts w:ascii="Arial" w:cs="Arial" w:eastAsia="Arial" w:hAnsi="Arial"/>
                <w:sz w:val="11"/>
                <w:szCs w:val="11"/>
                <w:b w:val="1"/>
                <w:bCs w:val="1"/>
                <w:color w:val="auto"/>
                <w:w w:val="99"/>
              </w:rPr>
              <w:t>Estimated Future Payouts Under</w:t>
            </w:r>
          </w:p>
        </w:tc>
        <w:tc>
          <w:tcPr>
            <w:tcW w:w="14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Shares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103"/>
              <w:spacing w:after="0" w:line="122" w:lineRule="exact"/>
              <w:rPr>
                <w:sz w:val="20"/>
                <w:szCs w:val="20"/>
                <w:color w:val="auto"/>
              </w:rPr>
            </w:pPr>
            <w:r>
              <w:rPr>
                <w:rFonts w:ascii="Arial" w:cs="Arial" w:eastAsia="Arial" w:hAnsi="Arial"/>
                <w:sz w:val="11"/>
                <w:szCs w:val="11"/>
                <w:b w:val="1"/>
                <w:bCs w:val="1"/>
                <w:color w:val="auto"/>
                <w:w w:val="98"/>
              </w:rPr>
              <w:t>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40" w:type="dxa"/>
            <w:vAlign w:val="bottom"/>
            <w:gridSpan w:val="9"/>
            <w:vMerge w:val="continue"/>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gridSpan w:val="6"/>
            <w:vMerge w:val="continue"/>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vMerge w:val="restart"/>
          </w:tcPr>
          <w:p>
            <w:pPr>
              <w:jc w:val="center"/>
              <w:spacing w:after="0" w:line="122" w:lineRule="exact"/>
              <w:rPr>
                <w:sz w:val="20"/>
                <w:szCs w:val="20"/>
                <w:color w:val="auto"/>
              </w:rPr>
            </w:pPr>
            <w:r>
              <w:rPr>
                <w:rFonts w:ascii="Arial" w:cs="Arial" w:eastAsia="Arial" w:hAnsi="Arial"/>
                <w:sz w:val="11"/>
                <w:szCs w:val="11"/>
                <w:b w:val="1"/>
                <w:bCs w:val="1"/>
                <w:color w:val="auto"/>
                <w:w w:val="95"/>
              </w:rPr>
              <w:t>of</w:t>
            </w: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restart"/>
          </w:tcPr>
          <w:p>
            <w:pPr>
              <w:jc w:val="center"/>
              <w:ind w:right="103"/>
              <w:spacing w:after="0" w:line="122" w:lineRule="exact"/>
              <w:rPr>
                <w:sz w:val="20"/>
                <w:szCs w:val="20"/>
                <w:color w:val="auto"/>
              </w:rPr>
            </w:pPr>
            <w:r>
              <w:rPr>
                <w:rFonts w:ascii="Arial" w:cs="Arial" w:eastAsia="Arial" w:hAnsi="Arial"/>
                <w:sz w:val="11"/>
                <w:szCs w:val="11"/>
                <w:b w:val="1"/>
                <w:bCs w:val="1"/>
                <w:color w:val="auto"/>
                <w:w w:val="93"/>
              </w:rPr>
              <w:t>Value of</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14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w:t>
            </w:r>
          </w:p>
        </w:tc>
        <w:tc>
          <w:tcPr>
            <w:tcW w:w="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w:t>
            </w:r>
          </w:p>
        </w:tc>
        <w:tc>
          <w:tcPr>
            <w:tcW w:w="100" w:type="dxa"/>
            <w:vAlign w:val="bottom"/>
            <w:vMerge w:val="restart"/>
          </w:tcPr>
          <w:p>
            <w:pPr>
              <w:spacing w:after="0"/>
              <w:rPr>
                <w:sz w:val="20"/>
                <w:szCs w:val="20"/>
                <w:color w:val="auto"/>
              </w:rPr>
            </w:pPr>
            <w:r>
              <w:rPr>
                <w:rFonts w:ascii="Arial" w:cs="Arial" w:eastAsia="Arial" w:hAnsi="Arial"/>
                <w:sz w:val="11"/>
                <w:szCs w:val="11"/>
                <w:b w:val="1"/>
                <w:bCs w:val="1"/>
                <w:color w:val="auto"/>
              </w:rPr>
              <w:t>​</w:t>
            </w:r>
          </w:p>
        </w:tc>
        <w:tc>
          <w:tcPr>
            <w:tcW w:w="2100" w:type="dxa"/>
            <w:vAlign w:val="bottom"/>
            <w:gridSpan w:val="9"/>
            <w:vMerge w:val="restart"/>
          </w:tcPr>
          <w:p>
            <w:pPr>
              <w:jc w:val="center"/>
              <w:spacing w:after="0"/>
              <w:rPr>
                <w:sz w:val="20"/>
                <w:szCs w:val="20"/>
                <w:color w:val="auto"/>
              </w:rPr>
            </w:pPr>
            <w:r>
              <w:rPr>
                <w:rFonts w:ascii="Arial" w:cs="Arial" w:eastAsia="Arial" w:hAnsi="Arial"/>
                <w:sz w:val="11"/>
                <w:szCs w:val="11"/>
                <w:b w:val="1"/>
                <w:bCs w:val="1"/>
                <w:color w:val="auto"/>
                <w:w w:val="95"/>
              </w:rPr>
              <w:t>Non-Equity Incentive Plan Awards ($)(1)</w:t>
            </w:r>
          </w:p>
        </w:tc>
        <w:tc>
          <w:tcPr>
            <w:tcW w:w="60" w:type="dxa"/>
            <w:vAlign w:val="bottom"/>
            <w:vMerge w:val="restart"/>
          </w:tcPr>
          <w:p>
            <w:pPr>
              <w:spacing w:after="0"/>
              <w:rPr>
                <w:sz w:val="4"/>
                <w:szCs w:val="4"/>
                <w:color w:val="auto"/>
              </w:rPr>
            </w:pPr>
          </w:p>
        </w:tc>
        <w:tc>
          <w:tcPr>
            <w:tcW w:w="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1800" w:type="dxa"/>
            <w:vAlign w:val="bottom"/>
            <w:gridSpan w:val="6"/>
            <w:vMerge w:val="restart"/>
          </w:tcPr>
          <w:p>
            <w:pPr>
              <w:ind w:left="20"/>
              <w:spacing w:after="0"/>
              <w:rPr>
                <w:sz w:val="20"/>
                <w:szCs w:val="20"/>
                <w:color w:val="auto"/>
              </w:rPr>
            </w:pPr>
            <w:r>
              <w:rPr>
                <w:rFonts w:ascii="Arial" w:cs="Arial" w:eastAsia="Arial" w:hAnsi="Arial"/>
                <w:sz w:val="11"/>
                <w:szCs w:val="11"/>
                <w:b w:val="1"/>
                <w:bCs w:val="1"/>
                <w:color w:val="auto"/>
                <w:w w:val="95"/>
              </w:rPr>
              <w:t>Equity Incentive Plan Awards (#)(2)</w:t>
            </w:r>
          </w:p>
        </w:tc>
        <w:tc>
          <w:tcPr>
            <w:tcW w:w="1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w:t>
            </w:r>
          </w:p>
        </w:tc>
        <w:tc>
          <w:tcPr>
            <w:tcW w:w="4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2100" w:type="dxa"/>
            <w:vAlign w:val="bottom"/>
            <w:tcBorders>
              <w:bottom w:val="single" w:sz="8" w:color="auto"/>
            </w:tcBorders>
            <w:gridSpan w:val="9"/>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800" w:type="dxa"/>
            <w:vAlign w:val="bottom"/>
            <w:tcBorders>
              <w:bottom w:val="single" w:sz="8" w:color="auto"/>
            </w:tcBorders>
            <w:gridSpan w:val="6"/>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460" w:type="dxa"/>
            <w:vAlign w:val="bottom"/>
          </w:tcPr>
          <w:p>
            <w:pPr>
              <w:jc w:val="center"/>
              <w:spacing w:after="0" w:line="88" w:lineRule="exact"/>
              <w:rPr>
                <w:sz w:val="20"/>
                <w:szCs w:val="20"/>
                <w:color w:val="auto"/>
              </w:rPr>
            </w:pPr>
            <w:r>
              <w:rPr>
                <w:rFonts w:ascii="Arial" w:cs="Arial" w:eastAsia="Arial" w:hAnsi="Arial"/>
                <w:sz w:val="10"/>
                <w:szCs w:val="10"/>
                <w:b w:val="1"/>
                <w:bCs w:val="1"/>
                <w:color w:val="auto"/>
              </w:rPr>
              <w:t>Stock or</w:t>
            </w:r>
          </w:p>
        </w:tc>
        <w:tc>
          <w:tcPr>
            <w:tcW w:w="140" w:type="dxa"/>
            <w:vAlign w:val="bottom"/>
          </w:tcPr>
          <w:p>
            <w:pPr>
              <w:spacing w:after="0"/>
              <w:rPr>
                <w:sz w:val="8"/>
                <w:szCs w:val="8"/>
                <w:color w:val="auto"/>
              </w:rPr>
            </w:pPr>
          </w:p>
        </w:tc>
        <w:tc>
          <w:tcPr>
            <w:tcW w:w="680" w:type="dxa"/>
            <w:vAlign w:val="bottom"/>
            <w:gridSpan w:val="2"/>
          </w:tcPr>
          <w:p>
            <w:pPr>
              <w:jc w:val="center"/>
              <w:spacing w:after="0" w:line="88" w:lineRule="exact"/>
              <w:rPr>
                <w:sz w:val="20"/>
                <w:szCs w:val="20"/>
                <w:color w:val="auto"/>
              </w:rPr>
            </w:pPr>
            <w:r>
              <w:rPr>
                <w:rFonts w:ascii="Arial" w:cs="Arial" w:eastAsia="Arial" w:hAnsi="Arial"/>
                <w:sz w:val="10"/>
                <w:szCs w:val="10"/>
                <w:b w:val="1"/>
                <w:bCs w:val="1"/>
                <w:color w:val="auto"/>
              </w:rPr>
              <w:t>Stock and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Approval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Threshold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63"/>
              <w:spacing w:after="0"/>
              <w:rPr>
                <w:sz w:val="20"/>
                <w:szCs w:val="20"/>
                <w:color w:val="auto"/>
              </w:rPr>
            </w:pPr>
            <w:r>
              <w:rPr>
                <w:rFonts w:ascii="Arial" w:cs="Arial" w:eastAsia="Arial" w:hAnsi="Arial"/>
                <w:sz w:val="11"/>
                <w:szCs w:val="11"/>
                <w:b w:val="1"/>
                <w:bCs w:val="1"/>
                <w:color w:val="auto"/>
                <w:w w:val="95"/>
              </w:rPr>
              <w:t>Target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Max</w:t>
            </w:r>
          </w:p>
        </w:tc>
        <w:tc>
          <w:tcPr>
            <w:tcW w:w="6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3"/>
              </w:rPr>
              <w:t>Threshold</w:t>
            </w:r>
          </w:p>
        </w:tc>
        <w:tc>
          <w:tcPr>
            <w:tcW w:w="200" w:type="dxa"/>
            <w:vAlign w:val="bottom"/>
          </w:tcPr>
          <w:p>
            <w:pPr>
              <w:spacing w:after="0"/>
              <w:rPr>
                <w:sz w:val="11"/>
                <w:szCs w:val="11"/>
                <w:color w:val="auto"/>
              </w:rPr>
            </w:pPr>
          </w:p>
        </w:tc>
        <w:tc>
          <w:tcPr>
            <w:tcW w:w="420" w:type="dxa"/>
            <w:vAlign w:val="bottom"/>
          </w:tcPr>
          <w:p>
            <w:pPr>
              <w:jc w:val="center"/>
              <w:ind w:right="6"/>
              <w:spacing w:after="0"/>
              <w:rPr>
                <w:sz w:val="20"/>
                <w:szCs w:val="20"/>
                <w:color w:val="auto"/>
              </w:rPr>
            </w:pPr>
            <w:r>
              <w:rPr>
                <w:rFonts w:ascii="Arial" w:cs="Arial" w:eastAsia="Arial" w:hAnsi="Arial"/>
                <w:sz w:val="11"/>
                <w:szCs w:val="11"/>
                <w:b w:val="1"/>
                <w:bCs w:val="1"/>
                <w:color w:val="auto"/>
                <w:w w:val="95"/>
              </w:rPr>
              <w:t>Target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Max</w:t>
            </w:r>
          </w:p>
        </w:tc>
        <w:tc>
          <w:tcPr>
            <w:tcW w:w="14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rPr>
              <w:t>Units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ind w:right="83"/>
              <w:spacing w:after="0"/>
              <w:rPr>
                <w:sz w:val="20"/>
                <w:szCs w:val="20"/>
                <w:color w:val="auto"/>
              </w:rPr>
            </w:pPr>
            <w:r>
              <w:rPr>
                <w:rFonts w:ascii="Arial" w:cs="Arial" w:eastAsia="Arial" w:hAnsi="Arial"/>
                <w:sz w:val="11"/>
                <w:szCs w:val="11"/>
                <w:b w:val="1"/>
                <w:bCs w:val="1"/>
                <w:color w:val="auto"/>
                <w:w w:val="95"/>
              </w:rPr>
              <w:t>Option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22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120" w:type="dxa"/>
            <w:vAlign w:val="bottom"/>
          </w:tcPr>
          <w:p>
            <w:pPr>
              <w:spacing w:after="0"/>
              <w:rPr>
                <w:sz w:val="12"/>
                <w:szCs w:val="12"/>
                <w:color w:val="auto"/>
              </w:rPr>
            </w:pPr>
          </w:p>
        </w:tc>
        <w:tc>
          <w:tcPr>
            <w:tcW w:w="460" w:type="dxa"/>
            <w:vAlign w:val="bottom"/>
            <w:gridSpan w:val="2"/>
          </w:tcPr>
          <w:p>
            <w:pPr>
              <w:jc w:val="center"/>
              <w:spacing w:after="0"/>
              <w:rPr>
                <w:sz w:val="20"/>
                <w:szCs w:val="20"/>
                <w:color w:val="auto"/>
              </w:rPr>
            </w:pPr>
            <w:r>
              <w:rPr>
                <w:rFonts w:ascii="Arial" w:cs="Arial" w:eastAsia="Arial" w:hAnsi="Arial"/>
                <w:sz w:val="11"/>
                <w:szCs w:val="11"/>
                <w:b w:val="1"/>
                <w:bCs w:val="1"/>
                <w:color w:val="auto"/>
              </w:rPr>
              <w:t>Date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w w:val="97"/>
              </w:rPr>
              <w:t>​ Grant Date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43"/>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2"/>
                <w:szCs w:val="12"/>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 ​</w:t>
            </w:r>
          </w:p>
        </w:tc>
        <w:tc>
          <w:tcPr>
            <w:tcW w:w="520" w:type="dxa"/>
            <w:vAlign w:val="bottom"/>
          </w:tcPr>
          <w:p>
            <w:pPr>
              <w:jc w:val="center"/>
              <w:ind w:right="43"/>
              <w:spacing w:after="0"/>
              <w:rPr>
                <w:sz w:val="20"/>
                <w:szCs w:val="20"/>
                <w:color w:val="auto"/>
              </w:rPr>
            </w:pPr>
            <w:r>
              <w:rPr>
                <w:rFonts w:ascii="Arial" w:cs="Arial" w:eastAsia="Arial" w:hAnsi="Arial"/>
                <w:sz w:val="11"/>
                <w:szCs w:val="11"/>
                <w:b w:val="1"/>
                <w:bCs w:val="1"/>
                <w:color w:val="auto"/>
              </w:rPr>
              <w:t>($)</w:t>
            </w:r>
          </w:p>
        </w:tc>
        <w:tc>
          <w:tcPr>
            <w:tcW w:w="240" w:type="dxa"/>
            <w:vAlign w:val="bottom"/>
            <w:gridSpan w:val="2"/>
          </w:tcPr>
          <w:p>
            <w:pPr>
              <w:ind w:left="40"/>
              <w:spacing w:after="0"/>
              <w:rPr>
                <w:sz w:val="20"/>
                <w:szCs w:val="20"/>
                <w:color w:val="auto"/>
              </w:rPr>
            </w:pPr>
            <w:r>
              <w:rPr>
                <w:rFonts w:ascii="Arial" w:cs="Arial" w:eastAsia="Arial" w:hAnsi="Arial"/>
                <w:sz w:val="11"/>
                <w:szCs w:val="11"/>
                <w:b w:val="1"/>
                <w:bCs w:val="1"/>
                <w:color w:val="auto"/>
              </w:rPr>
              <w:t>​ ​</w:t>
            </w:r>
          </w:p>
        </w:tc>
        <w:tc>
          <w:tcPr>
            <w:tcW w:w="500" w:type="dxa"/>
            <w:vAlign w:val="bottom"/>
          </w:tcPr>
          <w:p>
            <w:pPr>
              <w:jc w:val="right"/>
              <w:ind w:right="182"/>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2"/>
                <w:szCs w:val="12"/>
                <w:color w:val="auto"/>
              </w:rPr>
            </w:pPr>
          </w:p>
        </w:tc>
        <w:tc>
          <w:tcPr>
            <w:tcW w:w="60" w:type="dxa"/>
            <w:vAlign w:val="bottom"/>
          </w:tcPr>
          <w:p>
            <w:pPr>
              <w:ind w:left="20"/>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ind w:left="22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ind w:left="40"/>
              <w:spacing w:after="0"/>
              <w:rPr>
                <w:sz w:val="20"/>
                <w:szCs w:val="20"/>
                <w:color w:val="auto"/>
              </w:rPr>
            </w:pPr>
            <w:r>
              <w:rPr>
                <w:rFonts w:ascii="Arial" w:cs="Arial" w:eastAsia="Arial" w:hAnsi="Arial"/>
                <w:sz w:val="11"/>
                <w:szCs w:val="11"/>
                <w:b w:val="1"/>
                <w:bCs w:val="1"/>
                <w:color w:val="auto"/>
              </w:rPr>
              <w:t>​ ​</w:t>
            </w:r>
          </w:p>
        </w:tc>
        <w:tc>
          <w:tcPr>
            <w:tcW w:w="420" w:type="dxa"/>
            <w:vAlign w:val="bottom"/>
          </w:tcPr>
          <w:p>
            <w:pPr>
              <w:jc w:val="right"/>
              <w:ind w:right="106"/>
              <w:spacing w:after="0"/>
              <w:rPr>
                <w:sz w:val="20"/>
                <w:szCs w:val="20"/>
                <w:color w:val="auto"/>
              </w:rPr>
            </w:pPr>
            <w:r>
              <w:rPr>
                <w:rFonts w:ascii="Arial" w:cs="Arial" w:eastAsia="Arial" w:hAnsi="Arial"/>
                <w:sz w:val="11"/>
                <w:szCs w:val="11"/>
                <w:b w:val="1"/>
                <w:bCs w:val="1"/>
                <w:color w:val="auto"/>
              </w:rPr>
              <w:t>(#)</w:t>
            </w:r>
          </w:p>
        </w:tc>
        <w:tc>
          <w:tcPr>
            <w:tcW w:w="220" w:type="dxa"/>
            <w:vAlign w:val="bottom"/>
            <w:gridSpan w:val="2"/>
          </w:tcPr>
          <w:p>
            <w:pPr>
              <w:ind w:left="40"/>
              <w:spacing w:after="0"/>
              <w:rPr>
                <w:sz w:val="20"/>
                <w:szCs w:val="20"/>
                <w:color w:val="auto"/>
              </w:rPr>
            </w:pPr>
            <w:r>
              <w:rPr>
                <w:rFonts w:ascii="Arial" w:cs="Arial" w:eastAsia="Arial" w:hAnsi="Arial"/>
                <w:sz w:val="11"/>
                <w:szCs w:val="11"/>
                <w:b w:val="1"/>
                <w:bCs w:val="1"/>
                <w:color w:val="auto"/>
              </w:rPr>
              <w:t>​ ​</w:t>
            </w:r>
          </w:p>
        </w:tc>
        <w:tc>
          <w:tcPr>
            <w:tcW w:w="400" w:type="dxa"/>
            <w:vAlign w:val="bottom"/>
          </w:tcPr>
          <w:p>
            <w:pPr>
              <w:jc w:val="right"/>
              <w:ind w:right="105"/>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rPr>
              <w:t>​ ​</w:t>
            </w: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96"/>
              </w:rPr>
              <w:t>(#)(3)</w:t>
            </w:r>
          </w:p>
        </w:tc>
        <w:tc>
          <w:tcPr>
            <w:tcW w:w="820" w:type="dxa"/>
            <w:vAlign w:val="bottom"/>
            <w:gridSpan w:val="3"/>
          </w:tcPr>
          <w:p>
            <w:pPr>
              <w:ind w:left="40"/>
              <w:spacing w:after="0"/>
              <w:rPr>
                <w:sz w:val="20"/>
                <w:szCs w:val="20"/>
                <w:color w:val="auto"/>
              </w:rPr>
            </w:pPr>
            <w:r>
              <w:rPr>
                <w:rFonts w:ascii="Arial" w:cs="Arial" w:eastAsia="Arial" w:hAnsi="Arial"/>
                <w:sz w:val="11"/>
                <w:szCs w:val="11"/>
                <w:b w:val="1"/>
                <w:bCs w:val="1"/>
                <w:color w:val="auto"/>
              </w:rPr>
              <w:t>​ ​Awards ($)(4)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2"/>
                <w:szCs w:val="12"/>
                <w:color w:val="auto"/>
                <w:w w:val="95"/>
              </w:rPr>
              <w:t>Kenneth A. Gunderman</w:t>
            </w:r>
          </w:p>
        </w:tc>
        <w:tc>
          <w:tcPr>
            <w:tcW w:w="120" w:type="dxa"/>
            <w:vAlign w:val="bottom"/>
          </w:tcPr>
          <w:p>
            <w:pPr>
              <w:spacing w:after="0"/>
              <w:rPr>
                <w:sz w:val="15"/>
                <w:szCs w:val="15"/>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2"/>
                <w:szCs w:val="12"/>
                <w:color w:val="auto"/>
              </w:rPr>
              <w:t>​2/20/25 ​</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80"/>
              <w:spacing w:after="0"/>
              <w:rPr>
                <w:sz w:val="20"/>
                <w:szCs w:val="20"/>
                <w:color w:val="auto"/>
              </w:rPr>
            </w:pPr>
            <w:r>
              <w:rPr>
                <w:rFonts w:ascii="Arial" w:cs="Arial" w:eastAsia="Arial" w:hAnsi="Arial"/>
                <w:sz w:val="12"/>
                <w:szCs w:val="12"/>
                <w:color w:val="auto"/>
              </w:rPr>
              <w:t>​2/20/25</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20" w:type="dxa"/>
            <w:vAlign w:val="bottom"/>
          </w:tcPr>
          <w:p>
            <w:pPr>
              <w:ind w:left="40"/>
              <w:spacing w:after="0"/>
              <w:rPr>
                <w:sz w:val="20"/>
                <w:szCs w:val="20"/>
                <w:color w:val="auto"/>
              </w:rPr>
            </w:pPr>
            <w:r>
              <w:rPr>
                <w:rFonts w:ascii="Arial" w:cs="Arial" w:eastAsia="Arial" w:hAnsi="Arial"/>
                <w:sz w:val="12"/>
                <w:szCs w:val="12"/>
                <w:color w:val="auto"/>
              </w:rPr>
              <w:t>​</w:t>
            </w:r>
          </w:p>
        </w:tc>
        <w:tc>
          <w:tcPr>
            <w:tcW w:w="1240" w:type="dxa"/>
            <w:vAlign w:val="bottom"/>
            <w:gridSpan w:val="5"/>
          </w:tcPr>
          <w:p>
            <w:pPr>
              <w:jc w:val="right"/>
              <w:spacing w:after="0"/>
              <w:rPr>
                <w:sz w:val="20"/>
                <w:szCs w:val="20"/>
                <w:color w:val="auto"/>
              </w:rPr>
            </w:pPr>
            <w:r>
              <w:rPr>
                <w:rFonts w:ascii="Arial" w:cs="Arial" w:eastAsia="Arial" w:hAnsi="Arial"/>
                <w:sz w:val="12"/>
                <w:szCs w:val="12"/>
                <w:color w:val="auto"/>
              </w:rPr>
              <w:t>815,625 ​​ ​ ​1,631,250</w:t>
            </w:r>
          </w:p>
        </w:tc>
        <w:tc>
          <w:tcPr>
            <w:tcW w:w="800" w:type="dxa"/>
            <w:vAlign w:val="bottom"/>
            <w:gridSpan w:val="4"/>
          </w:tcPr>
          <w:p>
            <w:pPr>
              <w:jc w:val="right"/>
              <w:ind w:right="40"/>
              <w:spacing w:after="0"/>
              <w:rPr>
                <w:sz w:val="20"/>
                <w:szCs w:val="20"/>
                <w:color w:val="auto"/>
              </w:rPr>
            </w:pPr>
            <w:r>
              <w:rPr>
                <w:rFonts w:ascii="Arial" w:cs="Arial" w:eastAsia="Arial" w:hAnsi="Arial"/>
                <w:sz w:val="12"/>
                <w:szCs w:val="12"/>
                <w:color w:val="auto"/>
              </w:rPr>
              <w:t>​​ ​ ​2,446,875 ​</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r>
              <w:rPr>
                <w:rFonts w:ascii="Arial" w:cs="Arial" w:eastAsia="Arial" w:hAnsi="Arial"/>
                <w:sz w:val="12"/>
                <w:szCs w:val="12"/>
                <w:color w:val="auto"/>
              </w:rPr>
              <w:t>​​ ​ ​</w:t>
            </w:r>
          </w:p>
        </w:tc>
        <w:tc>
          <w:tcPr>
            <w:tcW w:w="420" w:type="dxa"/>
            <w:vAlign w:val="bottom"/>
          </w:tcPr>
          <w:p>
            <w:pPr>
              <w:spacing w:after="0"/>
              <w:rPr>
                <w:sz w:val="15"/>
                <w:szCs w:val="15"/>
                <w:color w:val="auto"/>
              </w:rPr>
            </w:pPr>
          </w:p>
        </w:tc>
        <w:tc>
          <w:tcPr>
            <w:tcW w:w="220" w:type="dxa"/>
            <w:vAlign w:val="bottom"/>
            <w:gridSpan w:val="2"/>
          </w:tcPr>
          <w:p>
            <w:pPr>
              <w:spacing w:after="0"/>
              <w:rPr>
                <w:sz w:val="20"/>
                <w:szCs w:val="20"/>
                <w:color w:val="auto"/>
              </w:rPr>
            </w:pPr>
            <w:r>
              <w:rPr>
                <w:rFonts w:ascii="Arial" w:cs="Arial" w:eastAsia="Arial" w:hAnsi="Arial"/>
                <w:sz w:val="12"/>
                <w:szCs w:val="12"/>
                <w:color w:val="auto"/>
              </w:rPr>
              <w:t>​​ ​ ​</w:t>
            </w:r>
          </w:p>
        </w:tc>
        <w:tc>
          <w:tcPr>
            <w:tcW w:w="4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 ​​</w:t>
            </w:r>
          </w:p>
        </w:tc>
        <w:tc>
          <w:tcPr>
            <w:tcW w:w="260" w:type="dxa"/>
            <w:vAlign w:val="bottom"/>
            <w:gridSpan w:val="2"/>
          </w:tcPr>
          <w:p>
            <w:pPr>
              <w:spacing w:after="0"/>
              <w:rPr>
                <w:sz w:val="20"/>
                <w:szCs w:val="20"/>
                <w:color w:val="auto"/>
              </w:rPr>
            </w:pPr>
            <w:r>
              <w:rPr>
                <w:rFonts w:ascii="Arial" w:cs="Arial" w:eastAsia="Arial" w:hAnsi="Arial"/>
                <w:sz w:val="12"/>
                <w:szCs w:val="12"/>
                <w:color w:val="auto"/>
              </w:rPr>
              <w:t>​​ ​ ​</w:t>
            </w:r>
          </w:p>
        </w:tc>
        <w:tc>
          <w:tcPr>
            <w:tcW w:w="560" w:type="dxa"/>
            <w:vAlign w:val="bottom"/>
          </w:tcPr>
          <w:p>
            <w:pPr>
              <w:spacing w:after="0"/>
              <w:rPr>
                <w:sz w:val="15"/>
                <w:szCs w:val="15"/>
                <w:color w:val="auto"/>
              </w:rPr>
            </w:pPr>
          </w:p>
        </w:tc>
        <w:tc>
          <w:tcPr>
            <w:tcW w:w="40" w:type="dxa"/>
            <w:vAlign w:val="bottom"/>
          </w:tcPr>
          <w:p>
            <w:pPr>
              <w:jc w:val="right"/>
              <w:ind w:right="14"/>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2"/>
                <w:szCs w:val="12"/>
                <w:color w:val="auto"/>
              </w:rPr>
              <w:t>​2/20/25 ​</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80"/>
              <w:spacing w:after="0"/>
              <w:rPr>
                <w:sz w:val="20"/>
                <w:szCs w:val="20"/>
                <w:color w:val="auto"/>
              </w:rPr>
            </w:pPr>
            <w:r>
              <w:rPr>
                <w:rFonts w:ascii="Arial" w:cs="Arial" w:eastAsia="Arial" w:hAnsi="Arial"/>
                <w:sz w:val="12"/>
                <w:szCs w:val="12"/>
                <w:color w:val="auto"/>
              </w:rPr>
              <w:t>​2/20/25</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20" w:type="dxa"/>
            <w:vAlign w:val="bottom"/>
          </w:tcPr>
          <w:p>
            <w:pPr>
              <w:ind w:left="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2"/>
                <w:szCs w:val="12"/>
                <w:color w:val="auto"/>
              </w:rPr>
              <w:t>​​ ​ ​</w:t>
            </w:r>
          </w:p>
        </w:tc>
        <w:tc>
          <w:tcPr>
            <w:tcW w:w="520" w:type="dxa"/>
            <w:vAlign w:val="bottom"/>
          </w:tcPr>
          <w:p>
            <w:pPr>
              <w:spacing w:after="0"/>
              <w:rPr>
                <w:sz w:val="14"/>
                <w:szCs w:val="14"/>
                <w:color w:val="auto"/>
              </w:rPr>
            </w:pPr>
          </w:p>
        </w:tc>
        <w:tc>
          <w:tcPr>
            <w:tcW w:w="240" w:type="dxa"/>
            <w:vAlign w:val="bottom"/>
            <w:gridSpan w:val="2"/>
          </w:tcPr>
          <w:p>
            <w:pPr>
              <w:spacing w:after="0"/>
              <w:rPr>
                <w:sz w:val="20"/>
                <w:szCs w:val="20"/>
                <w:color w:val="auto"/>
              </w:rPr>
            </w:pPr>
            <w:r>
              <w:rPr>
                <w:rFonts w:ascii="Arial" w:cs="Arial" w:eastAsia="Arial" w:hAnsi="Arial"/>
                <w:sz w:val="12"/>
                <w:szCs w:val="12"/>
                <w:color w:val="auto"/>
              </w:rPr>
              <w:t>​​ ​ ​</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r>
              <w:rPr>
                <w:rFonts w:ascii="Arial" w:cs="Arial" w:eastAsia="Arial" w:hAnsi="Arial"/>
                <w:sz w:val="12"/>
                <w:szCs w:val="12"/>
                <w:color w:val="auto"/>
              </w:rPr>
              <w:t>​​ ​ ​</w:t>
            </w:r>
          </w:p>
        </w:tc>
        <w:tc>
          <w:tcPr>
            <w:tcW w:w="420" w:type="dxa"/>
            <w:vAlign w:val="bottom"/>
          </w:tcPr>
          <w:p>
            <w:pPr>
              <w:spacing w:after="0"/>
              <w:rPr>
                <w:sz w:val="14"/>
                <w:szCs w:val="14"/>
                <w:color w:val="auto"/>
              </w:rPr>
            </w:pPr>
          </w:p>
        </w:tc>
        <w:tc>
          <w:tcPr>
            <w:tcW w:w="220" w:type="dxa"/>
            <w:vAlign w:val="bottom"/>
            <w:gridSpan w:val="2"/>
          </w:tcPr>
          <w:p>
            <w:pPr>
              <w:spacing w:after="0"/>
              <w:rPr>
                <w:sz w:val="20"/>
                <w:szCs w:val="20"/>
                <w:color w:val="auto"/>
              </w:rPr>
            </w:pPr>
            <w:r>
              <w:rPr>
                <w:rFonts w:ascii="Arial" w:cs="Arial" w:eastAsia="Arial" w:hAnsi="Arial"/>
                <w:sz w:val="12"/>
                <w:szCs w:val="12"/>
                <w:color w:val="auto"/>
              </w:rPr>
              <w:t>​​ ​ ​</w:t>
            </w:r>
          </w:p>
        </w:tc>
        <w:tc>
          <w:tcPr>
            <w:tcW w:w="4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 ​​168,269</w:t>
            </w:r>
          </w:p>
        </w:tc>
        <w:tc>
          <w:tcPr>
            <w:tcW w:w="860" w:type="dxa"/>
            <w:vAlign w:val="bottom"/>
            <w:gridSpan w:val="4"/>
          </w:tcPr>
          <w:p>
            <w:pPr>
              <w:jc w:val="right"/>
              <w:ind w:right="14"/>
              <w:spacing w:after="0"/>
              <w:rPr>
                <w:sz w:val="20"/>
                <w:szCs w:val="20"/>
                <w:color w:val="auto"/>
              </w:rPr>
            </w:pPr>
            <w:r>
              <w:rPr>
                <w:rFonts w:ascii="Arial" w:cs="Arial" w:eastAsia="Arial" w:hAnsi="Arial"/>
                <w:sz w:val="12"/>
                <w:szCs w:val="12"/>
                <w:color w:val="auto"/>
              </w:rPr>
              <w:t>​​ ​ ​$1,512,738 ​</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2"/>
                <w:szCs w:val="12"/>
                <w:color w:val="auto"/>
              </w:rPr>
              <w:t>​2/20/25 ​</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80"/>
              <w:spacing w:after="0"/>
              <w:rPr>
                <w:sz w:val="20"/>
                <w:szCs w:val="20"/>
                <w:color w:val="auto"/>
              </w:rPr>
            </w:pPr>
            <w:r>
              <w:rPr>
                <w:rFonts w:ascii="Arial" w:cs="Arial" w:eastAsia="Arial" w:hAnsi="Arial"/>
                <w:sz w:val="12"/>
                <w:szCs w:val="12"/>
                <w:color w:val="auto"/>
              </w:rPr>
              <w:t>​2/20/25</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20" w:type="dxa"/>
            <w:vAlign w:val="bottom"/>
          </w:tcPr>
          <w:p>
            <w:pPr>
              <w:ind w:left="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2"/>
                <w:szCs w:val="12"/>
                <w:color w:val="auto"/>
              </w:rPr>
              <w:t>​​ ​ ​</w:t>
            </w:r>
          </w:p>
        </w:tc>
        <w:tc>
          <w:tcPr>
            <w:tcW w:w="520" w:type="dxa"/>
            <w:vAlign w:val="bottom"/>
          </w:tcPr>
          <w:p>
            <w:pPr>
              <w:spacing w:after="0"/>
              <w:rPr>
                <w:sz w:val="14"/>
                <w:szCs w:val="14"/>
                <w:color w:val="auto"/>
              </w:rPr>
            </w:pPr>
          </w:p>
        </w:tc>
        <w:tc>
          <w:tcPr>
            <w:tcW w:w="240" w:type="dxa"/>
            <w:vAlign w:val="bottom"/>
            <w:gridSpan w:val="2"/>
          </w:tcPr>
          <w:p>
            <w:pPr>
              <w:spacing w:after="0"/>
              <w:rPr>
                <w:sz w:val="20"/>
                <w:szCs w:val="20"/>
                <w:color w:val="auto"/>
              </w:rPr>
            </w:pPr>
            <w:r>
              <w:rPr>
                <w:rFonts w:ascii="Arial" w:cs="Arial" w:eastAsia="Arial" w:hAnsi="Arial"/>
                <w:sz w:val="12"/>
                <w:szCs w:val="12"/>
                <w:color w:val="auto"/>
              </w:rPr>
              <w:t>​​ ​ ​</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60"/>
              <w:spacing w:after="0"/>
              <w:rPr>
                <w:sz w:val="20"/>
                <w:szCs w:val="20"/>
                <w:color w:val="auto"/>
              </w:rPr>
            </w:pPr>
            <w:r>
              <w:rPr>
                <w:rFonts w:ascii="Arial" w:cs="Arial" w:eastAsia="Arial" w:hAnsi="Arial"/>
                <w:sz w:val="12"/>
                <w:szCs w:val="12"/>
                <w:color w:val="auto"/>
              </w:rPr>
              <w:t>​ 84,135</w:t>
            </w:r>
          </w:p>
        </w:tc>
        <w:tc>
          <w:tcPr>
            <w:tcW w:w="620" w:type="dxa"/>
            <w:vAlign w:val="bottom"/>
            <w:gridSpan w:val="2"/>
          </w:tcPr>
          <w:p>
            <w:pPr>
              <w:spacing w:after="0"/>
              <w:rPr>
                <w:sz w:val="20"/>
                <w:szCs w:val="20"/>
                <w:color w:val="auto"/>
              </w:rPr>
            </w:pPr>
            <w:r>
              <w:rPr>
                <w:rFonts w:ascii="Arial" w:cs="Arial" w:eastAsia="Arial" w:hAnsi="Arial"/>
                <w:sz w:val="12"/>
                <w:szCs w:val="12"/>
                <w:color w:val="auto"/>
              </w:rPr>
              <w:t>​​ ​ ​168,269</w:t>
            </w:r>
          </w:p>
        </w:tc>
        <w:tc>
          <w:tcPr>
            <w:tcW w:w="620" w:type="dxa"/>
            <w:vAlign w:val="bottom"/>
            <w:gridSpan w:val="3"/>
          </w:tcPr>
          <w:p>
            <w:pPr>
              <w:spacing w:after="0"/>
              <w:rPr>
                <w:sz w:val="20"/>
                <w:szCs w:val="20"/>
                <w:color w:val="auto"/>
              </w:rPr>
            </w:pPr>
            <w:r>
              <w:rPr>
                <w:rFonts w:ascii="Arial" w:cs="Arial" w:eastAsia="Arial" w:hAnsi="Arial"/>
                <w:sz w:val="12"/>
                <w:szCs w:val="12"/>
                <w:color w:val="auto"/>
              </w:rPr>
              <w:t>​​ ​ ​336,538</w:t>
            </w:r>
          </w:p>
        </w:tc>
        <w:tc>
          <w:tcPr>
            <w:tcW w:w="600" w:type="dxa"/>
            <w:vAlign w:val="bottom"/>
            <w:gridSpan w:val="2"/>
          </w:tcPr>
          <w:p>
            <w:pPr>
              <w:spacing w:after="0"/>
              <w:rPr>
                <w:sz w:val="20"/>
                <w:szCs w:val="20"/>
                <w:color w:val="auto"/>
              </w:rPr>
            </w:pPr>
            <w:r>
              <w:rPr>
                <w:rFonts w:ascii="Arial" w:cs="Arial" w:eastAsia="Arial" w:hAnsi="Arial"/>
                <w:sz w:val="12"/>
                <w:szCs w:val="12"/>
                <w:color w:val="auto"/>
              </w:rPr>
              <w:t>​​ ​​</w:t>
            </w:r>
          </w:p>
        </w:tc>
        <w:tc>
          <w:tcPr>
            <w:tcW w:w="860" w:type="dxa"/>
            <w:vAlign w:val="bottom"/>
            <w:gridSpan w:val="4"/>
          </w:tcPr>
          <w:p>
            <w:pPr>
              <w:jc w:val="right"/>
              <w:ind w:right="14"/>
              <w:spacing w:after="0"/>
              <w:rPr>
                <w:sz w:val="20"/>
                <w:szCs w:val="20"/>
                <w:color w:val="auto"/>
              </w:rPr>
            </w:pPr>
            <w:r>
              <w:rPr>
                <w:rFonts w:ascii="Arial" w:cs="Arial" w:eastAsia="Arial" w:hAnsi="Arial"/>
                <w:sz w:val="12"/>
                <w:szCs w:val="12"/>
                <w:color w:val="auto"/>
              </w:rPr>
              <w:t>​​ ​ ​$2,140,689 ​</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2"/>
                <w:szCs w:val="12"/>
                <w:color w:val="auto"/>
              </w:rPr>
              <w:t>​5/16/24(5)​</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80"/>
              <w:spacing w:after="0"/>
              <w:rPr>
                <w:sz w:val="20"/>
                <w:szCs w:val="20"/>
                <w:color w:val="auto"/>
              </w:rPr>
            </w:pPr>
            <w:r>
              <w:rPr>
                <w:rFonts w:ascii="Arial" w:cs="Arial" w:eastAsia="Arial" w:hAnsi="Arial"/>
                <w:sz w:val="12"/>
                <w:szCs w:val="12"/>
                <w:color w:val="auto"/>
              </w:rPr>
              <w:t>​8/01/25</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20" w:type="dxa"/>
            <w:vAlign w:val="bottom"/>
          </w:tcPr>
          <w:p>
            <w:pPr>
              <w:ind w:left="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2"/>
                <w:szCs w:val="12"/>
                <w:color w:val="auto"/>
              </w:rPr>
              <w:t>​​ ​ ​</w:t>
            </w:r>
          </w:p>
        </w:tc>
        <w:tc>
          <w:tcPr>
            <w:tcW w:w="520" w:type="dxa"/>
            <w:vAlign w:val="bottom"/>
          </w:tcPr>
          <w:p>
            <w:pPr>
              <w:spacing w:after="0"/>
              <w:rPr>
                <w:sz w:val="13"/>
                <w:szCs w:val="13"/>
                <w:color w:val="auto"/>
              </w:rPr>
            </w:pPr>
          </w:p>
        </w:tc>
        <w:tc>
          <w:tcPr>
            <w:tcW w:w="240" w:type="dxa"/>
            <w:vAlign w:val="bottom"/>
            <w:gridSpan w:val="2"/>
          </w:tcPr>
          <w:p>
            <w:pPr>
              <w:spacing w:after="0"/>
              <w:rPr>
                <w:sz w:val="20"/>
                <w:szCs w:val="20"/>
                <w:color w:val="auto"/>
              </w:rPr>
            </w:pPr>
            <w:r>
              <w:rPr>
                <w:rFonts w:ascii="Arial" w:cs="Arial" w:eastAsia="Arial" w:hAnsi="Arial"/>
                <w:sz w:val="12"/>
                <w:szCs w:val="12"/>
                <w:color w:val="auto"/>
              </w:rPr>
              <w:t>​​ ​ ​</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60"/>
              <w:spacing w:after="0"/>
              <w:rPr>
                <w:sz w:val="20"/>
                <w:szCs w:val="20"/>
                <w:color w:val="auto"/>
              </w:rPr>
            </w:pPr>
            <w:r>
              <w:rPr>
                <w:rFonts w:ascii="Arial" w:cs="Arial" w:eastAsia="Arial" w:hAnsi="Arial"/>
                <w:sz w:val="12"/>
                <w:szCs w:val="12"/>
                <w:color w:val="auto"/>
              </w:rPr>
              <w:t>​131,807</w:t>
            </w:r>
          </w:p>
        </w:tc>
        <w:tc>
          <w:tcPr>
            <w:tcW w:w="620" w:type="dxa"/>
            <w:vAlign w:val="bottom"/>
            <w:gridSpan w:val="2"/>
          </w:tcPr>
          <w:p>
            <w:pPr>
              <w:spacing w:after="0"/>
              <w:rPr>
                <w:sz w:val="20"/>
                <w:szCs w:val="20"/>
                <w:color w:val="auto"/>
              </w:rPr>
            </w:pPr>
            <w:r>
              <w:rPr>
                <w:rFonts w:ascii="Arial" w:cs="Arial" w:eastAsia="Arial" w:hAnsi="Arial"/>
                <w:sz w:val="12"/>
                <w:szCs w:val="12"/>
                <w:color w:val="auto"/>
              </w:rPr>
              <w:t>​​ ​ ​263,614</w:t>
            </w:r>
          </w:p>
        </w:tc>
        <w:tc>
          <w:tcPr>
            <w:tcW w:w="620" w:type="dxa"/>
            <w:vAlign w:val="bottom"/>
            <w:gridSpan w:val="3"/>
          </w:tcPr>
          <w:p>
            <w:pPr>
              <w:spacing w:after="0"/>
              <w:rPr>
                <w:sz w:val="20"/>
                <w:szCs w:val="20"/>
                <w:color w:val="auto"/>
              </w:rPr>
            </w:pPr>
            <w:r>
              <w:rPr>
                <w:rFonts w:ascii="Arial" w:cs="Arial" w:eastAsia="Arial" w:hAnsi="Arial"/>
                <w:sz w:val="12"/>
                <w:szCs w:val="12"/>
                <w:color w:val="auto"/>
              </w:rPr>
              <w:t>​​ ​ ​527,228</w:t>
            </w:r>
          </w:p>
        </w:tc>
        <w:tc>
          <w:tcPr>
            <w:tcW w:w="600" w:type="dxa"/>
            <w:vAlign w:val="bottom"/>
            <w:gridSpan w:val="2"/>
          </w:tcPr>
          <w:p>
            <w:pPr>
              <w:spacing w:after="0"/>
              <w:rPr>
                <w:sz w:val="20"/>
                <w:szCs w:val="20"/>
                <w:color w:val="auto"/>
              </w:rPr>
            </w:pPr>
            <w:r>
              <w:rPr>
                <w:rFonts w:ascii="Arial" w:cs="Arial" w:eastAsia="Arial" w:hAnsi="Arial"/>
                <w:sz w:val="12"/>
                <w:szCs w:val="12"/>
                <w:color w:val="auto"/>
              </w:rPr>
              <w:t>​​ ​​</w:t>
            </w:r>
          </w:p>
        </w:tc>
        <w:tc>
          <w:tcPr>
            <w:tcW w:w="860" w:type="dxa"/>
            <w:vAlign w:val="bottom"/>
            <w:gridSpan w:val="4"/>
          </w:tcPr>
          <w:p>
            <w:pPr>
              <w:jc w:val="right"/>
              <w:ind w:right="14"/>
              <w:spacing w:after="0"/>
              <w:rPr>
                <w:sz w:val="20"/>
                <w:szCs w:val="20"/>
                <w:color w:val="auto"/>
              </w:rPr>
            </w:pPr>
            <w:r>
              <w:rPr>
                <w:rFonts w:ascii="Arial" w:cs="Arial" w:eastAsia="Arial" w:hAnsi="Arial"/>
                <w:sz w:val="12"/>
                <w:szCs w:val="12"/>
                <w:color w:val="auto"/>
              </w:rPr>
              <w:t>​​ ​ ​$2,641,410 ​</w:t>
            </w:r>
          </w:p>
        </w:tc>
        <w:tc>
          <w:tcPr>
            <w:tcW w:w="0" w:type="dxa"/>
            <w:vAlign w:val="bottom"/>
          </w:tcPr>
          <w:p>
            <w:pPr>
              <w:spacing w:after="0"/>
              <w:rPr>
                <w:sz w:val="1"/>
                <w:szCs w:val="1"/>
                <w:color w:val="auto"/>
              </w:rPr>
            </w:pPr>
          </w:p>
        </w:tc>
      </w:tr>
      <w:tr>
        <w:trPr>
          <w:trHeight w:val="176"/>
        </w:trPr>
        <w:tc>
          <w:tcPr>
            <w:tcW w:w="60" w:type="dxa"/>
            <w:vAlign w:val="bottom"/>
            <w:shd w:val="clear" w:color="auto" w:fill="B2B2B2"/>
          </w:tcPr>
          <w:p>
            <w:pPr>
              <w:spacing w:after="0"/>
              <w:rPr>
                <w:sz w:val="15"/>
                <w:szCs w:val="15"/>
                <w:color w:val="auto"/>
              </w:rPr>
            </w:pPr>
          </w:p>
        </w:tc>
        <w:tc>
          <w:tcPr>
            <w:tcW w:w="1340" w:type="dxa"/>
            <w:vAlign w:val="bottom"/>
            <w:gridSpan w:val="2"/>
            <w:shd w:val="clear" w:color="auto" w:fill="B2B2B2"/>
          </w:tcPr>
          <w:p>
            <w:pPr>
              <w:spacing w:after="0"/>
              <w:rPr>
                <w:sz w:val="20"/>
                <w:szCs w:val="20"/>
                <w:color w:val="auto"/>
              </w:rPr>
            </w:pPr>
            <w:r>
              <w:rPr>
                <w:rFonts w:ascii="Arial" w:cs="Arial" w:eastAsia="Arial" w:hAnsi="Arial"/>
                <w:sz w:val="12"/>
                <w:szCs w:val="12"/>
                <w:color w:val="auto"/>
              </w:rPr>
              <w:t>Paul Bullington</w:t>
            </w:r>
          </w:p>
        </w:tc>
        <w:tc>
          <w:tcPr>
            <w:tcW w:w="600" w:type="dxa"/>
            <w:vAlign w:val="bottom"/>
            <w:tcBorders>
              <w:left w:val="single" w:sz="8" w:color="B2B2B2"/>
            </w:tcBorders>
            <w:gridSpan w:val="4"/>
            <w:shd w:val="clear" w:color="auto" w:fill="B2B2B2"/>
          </w:tcPr>
          <w:p>
            <w:pPr>
              <w:jc w:val="right"/>
              <w:ind w:right="100"/>
              <w:spacing w:after="0"/>
              <w:rPr>
                <w:sz w:val="20"/>
                <w:szCs w:val="20"/>
                <w:color w:val="auto"/>
              </w:rPr>
            </w:pPr>
            <w:r>
              <w:rPr>
                <w:rFonts w:ascii="Arial" w:cs="Arial" w:eastAsia="Arial" w:hAnsi="Arial"/>
                <w:sz w:val="12"/>
                <w:szCs w:val="12"/>
                <w:color w:val="auto"/>
              </w:rPr>
              <w:t>​2/20/25 ​</w:t>
            </w:r>
          </w:p>
        </w:tc>
        <w:tc>
          <w:tcPr>
            <w:tcW w:w="60" w:type="dxa"/>
            <w:vAlign w:val="bottom"/>
            <w:shd w:val="clear" w:color="auto" w:fill="B2B2B2"/>
          </w:tcPr>
          <w:p>
            <w:pPr>
              <w:ind w:left="20"/>
              <w:spacing w:after="0"/>
              <w:rPr>
                <w:sz w:val="20"/>
                <w:szCs w:val="20"/>
                <w:color w:val="auto"/>
              </w:rPr>
            </w:pPr>
            <w:r>
              <w:rPr>
                <w:rFonts w:ascii="Arial" w:cs="Arial" w:eastAsia="Arial" w:hAnsi="Arial"/>
                <w:sz w:val="12"/>
                <w:szCs w:val="12"/>
                <w:color w:val="auto"/>
              </w:rPr>
              <w:t>​</w:t>
            </w:r>
          </w:p>
        </w:tc>
        <w:tc>
          <w:tcPr>
            <w:tcW w:w="560" w:type="dxa"/>
            <w:vAlign w:val="bottom"/>
            <w:shd w:val="clear" w:color="auto" w:fill="B2B2B2"/>
          </w:tcPr>
          <w:p>
            <w:pPr>
              <w:ind w:left="80"/>
              <w:spacing w:after="0"/>
              <w:rPr>
                <w:sz w:val="20"/>
                <w:szCs w:val="20"/>
                <w:color w:val="auto"/>
              </w:rPr>
            </w:pPr>
            <w:r>
              <w:rPr>
                <w:rFonts w:ascii="Arial" w:cs="Arial" w:eastAsia="Arial" w:hAnsi="Arial"/>
                <w:sz w:val="12"/>
                <w:szCs w:val="12"/>
                <w:color w:val="auto"/>
              </w:rPr>
              <w:t>​2/20/25</w:t>
            </w:r>
          </w:p>
        </w:tc>
        <w:tc>
          <w:tcPr>
            <w:tcW w:w="100" w:type="dxa"/>
            <w:vAlign w:val="bottom"/>
            <w:shd w:val="clear" w:color="auto" w:fill="B2B2B2"/>
          </w:tcPr>
          <w:p>
            <w:pPr>
              <w:spacing w:after="0"/>
              <w:rPr>
                <w:sz w:val="20"/>
                <w:szCs w:val="20"/>
                <w:color w:val="auto"/>
              </w:rPr>
            </w:pPr>
            <w:r>
              <w:rPr>
                <w:rFonts w:ascii="Arial" w:cs="Arial" w:eastAsia="Arial" w:hAnsi="Arial"/>
                <w:sz w:val="12"/>
                <w:szCs w:val="12"/>
                <w:color w:val="auto"/>
              </w:rPr>
              <w:t>​</w:t>
            </w:r>
          </w:p>
        </w:tc>
        <w:tc>
          <w:tcPr>
            <w:tcW w:w="120" w:type="dxa"/>
            <w:vAlign w:val="bottom"/>
            <w:shd w:val="clear" w:color="auto" w:fill="B2B2B2"/>
          </w:tcPr>
          <w:p>
            <w:pPr>
              <w:ind w:left="40"/>
              <w:spacing w:after="0"/>
              <w:rPr>
                <w:sz w:val="20"/>
                <w:szCs w:val="20"/>
                <w:color w:val="auto"/>
              </w:rPr>
            </w:pPr>
            <w:r>
              <w:rPr>
                <w:rFonts w:ascii="Arial" w:cs="Arial" w:eastAsia="Arial" w:hAnsi="Arial"/>
                <w:sz w:val="12"/>
                <w:szCs w:val="12"/>
                <w:color w:val="auto"/>
              </w:rPr>
              <w:t>​</w:t>
            </w:r>
          </w:p>
        </w:tc>
        <w:tc>
          <w:tcPr>
            <w:tcW w:w="720" w:type="dxa"/>
            <w:vAlign w:val="bottom"/>
            <w:gridSpan w:val="4"/>
            <w:shd w:val="clear" w:color="auto" w:fill="B2B2B2"/>
          </w:tcPr>
          <w:p>
            <w:pPr>
              <w:jc w:val="right"/>
              <w:ind w:right="20"/>
              <w:spacing w:after="0"/>
              <w:rPr>
                <w:sz w:val="20"/>
                <w:szCs w:val="20"/>
                <w:color w:val="auto"/>
              </w:rPr>
            </w:pPr>
            <w:r>
              <w:rPr>
                <w:rFonts w:ascii="Arial" w:cs="Arial" w:eastAsia="Arial" w:hAnsi="Arial"/>
                <w:sz w:val="12"/>
                <w:szCs w:val="12"/>
                <w:color w:val="auto"/>
              </w:rPr>
              <w:t>226,600 ​​ ​ ​</w:t>
            </w:r>
          </w:p>
        </w:tc>
        <w:tc>
          <w:tcPr>
            <w:tcW w:w="52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2"/>
                <w:szCs w:val="12"/>
                <w:color w:val="auto"/>
              </w:rPr>
              <w:t>453,200</w:t>
            </w:r>
          </w:p>
        </w:tc>
        <w:tc>
          <w:tcPr>
            <w:tcW w:w="240" w:type="dxa"/>
            <w:vAlign w:val="bottom"/>
            <w:gridSpan w:val="2"/>
            <w:shd w:val="clear" w:color="auto" w:fill="B2B2B2"/>
          </w:tcPr>
          <w:p>
            <w:pPr>
              <w:spacing w:after="0"/>
              <w:rPr>
                <w:sz w:val="20"/>
                <w:szCs w:val="20"/>
                <w:color w:val="auto"/>
              </w:rPr>
            </w:pPr>
            <w:r>
              <w:rPr>
                <w:rFonts w:ascii="Arial" w:cs="Arial" w:eastAsia="Arial" w:hAnsi="Arial"/>
                <w:sz w:val="12"/>
                <w:szCs w:val="12"/>
                <w:color w:val="auto"/>
              </w:rPr>
              <w:t>​​ ​ ​</w:t>
            </w:r>
          </w:p>
        </w:tc>
        <w:tc>
          <w:tcPr>
            <w:tcW w:w="560" w:type="dxa"/>
            <w:vAlign w:val="bottom"/>
            <w:gridSpan w:val="2"/>
            <w:shd w:val="clear" w:color="auto" w:fill="B2B2B2"/>
          </w:tcPr>
          <w:p>
            <w:pPr>
              <w:jc w:val="right"/>
              <w:ind w:right="40"/>
              <w:spacing w:after="0"/>
              <w:rPr>
                <w:sz w:val="20"/>
                <w:szCs w:val="20"/>
                <w:color w:val="auto"/>
              </w:rPr>
            </w:pPr>
            <w:r>
              <w:rPr>
                <w:rFonts w:ascii="Arial" w:cs="Arial" w:eastAsia="Arial" w:hAnsi="Arial"/>
                <w:sz w:val="12"/>
                <w:szCs w:val="12"/>
                <w:color w:val="auto"/>
              </w:rPr>
              <w:t>679,800 ​</w:t>
            </w:r>
          </w:p>
        </w:tc>
        <w:tc>
          <w:tcPr>
            <w:tcW w:w="60" w:type="dxa"/>
            <w:vAlign w:val="bottom"/>
            <w:shd w:val="clear" w:color="auto" w:fill="B2B2B2"/>
          </w:tcPr>
          <w:p>
            <w:pPr>
              <w:ind w:left="20"/>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B2B2B2"/>
            </w:tcBorders>
            <w:shd w:val="clear" w:color="auto" w:fill="B2B2B2"/>
          </w:tcPr>
          <w:p>
            <w:pPr>
              <w:ind w:left="60"/>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B2B2B2"/>
            </w:tcBorders>
            <w:shd w:val="clear" w:color="auto" w:fill="B2B2B2"/>
          </w:tcPr>
          <w:p>
            <w:pPr>
              <w:spacing w:after="0"/>
              <w:rPr>
                <w:sz w:val="20"/>
                <w:szCs w:val="20"/>
                <w:color w:val="auto"/>
              </w:rPr>
            </w:pPr>
            <w:r>
              <w:rPr>
                <w:rFonts w:ascii="Arial" w:cs="Arial" w:eastAsia="Arial" w:hAnsi="Arial"/>
                <w:sz w:val="12"/>
                <w:szCs w:val="12"/>
                <w:color w:val="auto"/>
              </w:rPr>
              <w:t>​​ ​ ​</w:t>
            </w:r>
          </w:p>
        </w:tc>
        <w:tc>
          <w:tcPr>
            <w:tcW w:w="420" w:type="dxa"/>
            <w:vAlign w:val="bottom"/>
            <w:shd w:val="clear" w:color="auto" w:fill="B2B2B2"/>
          </w:tcPr>
          <w:p>
            <w:pPr>
              <w:spacing w:after="0"/>
              <w:rPr>
                <w:sz w:val="15"/>
                <w:szCs w:val="15"/>
                <w:color w:val="auto"/>
              </w:rPr>
            </w:pPr>
          </w:p>
        </w:tc>
        <w:tc>
          <w:tcPr>
            <w:tcW w:w="220" w:type="dxa"/>
            <w:vAlign w:val="bottom"/>
            <w:gridSpan w:val="2"/>
            <w:shd w:val="clear" w:color="auto" w:fill="B2B2B2"/>
          </w:tcPr>
          <w:p>
            <w:pPr>
              <w:spacing w:after="0"/>
              <w:rPr>
                <w:sz w:val="20"/>
                <w:szCs w:val="20"/>
                <w:color w:val="auto"/>
              </w:rPr>
            </w:pPr>
            <w:r>
              <w:rPr>
                <w:rFonts w:ascii="Arial" w:cs="Arial" w:eastAsia="Arial" w:hAnsi="Arial"/>
                <w:sz w:val="12"/>
                <w:szCs w:val="12"/>
                <w:color w:val="auto"/>
              </w:rPr>
              <w:t>​​ ​ ​</w:t>
            </w:r>
          </w:p>
        </w:tc>
        <w:tc>
          <w:tcPr>
            <w:tcW w:w="400" w:type="dxa"/>
            <w:vAlign w:val="bottom"/>
            <w:shd w:val="clear" w:color="auto" w:fill="B2B2B2"/>
          </w:tcPr>
          <w:p>
            <w:pPr>
              <w:spacing w:after="0"/>
              <w:rPr>
                <w:sz w:val="15"/>
                <w:szCs w:val="15"/>
                <w:color w:val="auto"/>
              </w:rPr>
            </w:pPr>
          </w:p>
        </w:tc>
        <w:tc>
          <w:tcPr>
            <w:tcW w:w="600" w:type="dxa"/>
            <w:vAlign w:val="bottom"/>
            <w:gridSpan w:val="2"/>
            <w:shd w:val="clear" w:color="auto" w:fill="B2B2B2"/>
          </w:tcPr>
          <w:p>
            <w:pPr>
              <w:spacing w:after="0"/>
              <w:rPr>
                <w:sz w:val="20"/>
                <w:szCs w:val="20"/>
                <w:color w:val="auto"/>
              </w:rPr>
            </w:pPr>
            <w:r>
              <w:rPr>
                <w:rFonts w:ascii="Arial" w:cs="Arial" w:eastAsia="Arial" w:hAnsi="Arial"/>
                <w:sz w:val="12"/>
                <w:szCs w:val="12"/>
                <w:color w:val="auto"/>
              </w:rPr>
              <w:t>​​ ​​</w:t>
            </w:r>
          </w:p>
        </w:tc>
        <w:tc>
          <w:tcPr>
            <w:tcW w:w="260" w:type="dxa"/>
            <w:vAlign w:val="bottom"/>
            <w:gridSpan w:val="2"/>
            <w:shd w:val="clear" w:color="auto" w:fill="B2B2B2"/>
          </w:tcPr>
          <w:p>
            <w:pPr>
              <w:spacing w:after="0"/>
              <w:rPr>
                <w:sz w:val="20"/>
                <w:szCs w:val="20"/>
                <w:color w:val="auto"/>
              </w:rPr>
            </w:pPr>
            <w:r>
              <w:rPr>
                <w:rFonts w:ascii="Arial" w:cs="Arial" w:eastAsia="Arial" w:hAnsi="Arial"/>
                <w:sz w:val="12"/>
                <w:szCs w:val="12"/>
                <w:color w:val="auto"/>
              </w:rPr>
              <w:t>​​ ​ ​</w:t>
            </w:r>
          </w:p>
        </w:tc>
        <w:tc>
          <w:tcPr>
            <w:tcW w:w="560" w:type="dxa"/>
            <w:vAlign w:val="bottom"/>
            <w:shd w:val="clear" w:color="auto" w:fill="B2B2B2"/>
          </w:tcPr>
          <w:p>
            <w:pPr>
              <w:spacing w:after="0"/>
              <w:rPr>
                <w:sz w:val="15"/>
                <w:szCs w:val="15"/>
                <w:color w:val="auto"/>
              </w:rPr>
            </w:pPr>
          </w:p>
        </w:tc>
        <w:tc>
          <w:tcPr>
            <w:tcW w:w="40" w:type="dxa"/>
            <w:vAlign w:val="bottom"/>
            <w:shd w:val="clear" w:color="auto" w:fill="B2B2B2"/>
          </w:tcPr>
          <w:p>
            <w:pPr>
              <w:jc w:val="right"/>
              <w:ind w:right="14"/>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62"/>
        </w:trPr>
        <w:tc>
          <w:tcPr>
            <w:tcW w:w="60" w:type="dxa"/>
            <w:vAlign w:val="bottom"/>
            <w:shd w:val="clear" w:color="auto" w:fill="B2B2B2"/>
          </w:tcPr>
          <w:p>
            <w:pPr>
              <w:spacing w:after="0"/>
              <w:rPr>
                <w:sz w:val="14"/>
                <w:szCs w:val="14"/>
                <w:color w:val="auto"/>
              </w:rPr>
            </w:pPr>
          </w:p>
        </w:tc>
        <w:tc>
          <w:tcPr>
            <w:tcW w:w="1220" w:type="dxa"/>
            <w:vAlign w:val="bottom"/>
            <w:shd w:val="clear" w:color="auto" w:fill="B2B2B2"/>
          </w:tcPr>
          <w:p>
            <w:pPr>
              <w:spacing w:after="0"/>
              <w:rPr>
                <w:sz w:val="14"/>
                <w:szCs w:val="14"/>
                <w:color w:val="auto"/>
              </w:rPr>
            </w:pPr>
          </w:p>
        </w:tc>
        <w:tc>
          <w:tcPr>
            <w:tcW w:w="120" w:type="dxa"/>
            <w:vAlign w:val="bottom"/>
            <w:shd w:val="clear" w:color="auto" w:fill="B2B2B2"/>
          </w:tcPr>
          <w:p>
            <w:pPr>
              <w:spacing w:after="0"/>
              <w:rPr>
                <w:sz w:val="14"/>
                <w:szCs w:val="14"/>
                <w:color w:val="auto"/>
              </w:rPr>
            </w:pPr>
          </w:p>
        </w:tc>
        <w:tc>
          <w:tcPr>
            <w:tcW w:w="600" w:type="dxa"/>
            <w:vAlign w:val="bottom"/>
            <w:tcBorders>
              <w:left w:val="single" w:sz="8" w:color="B2B2B2"/>
            </w:tcBorders>
            <w:gridSpan w:val="4"/>
            <w:shd w:val="clear" w:color="auto" w:fill="B2B2B2"/>
          </w:tcPr>
          <w:p>
            <w:pPr>
              <w:jc w:val="right"/>
              <w:ind w:right="100"/>
              <w:spacing w:after="0"/>
              <w:rPr>
                <w:sz w:val="20"/>
                <w:szCs w:val="20"/>
                <w:color w:val="auto"/>
              </w:rPr>
            </w:pPr>
            <w:r>
              <w:rPr>
                <w:rFonts w:ascii="Arial" w:cs="Arial" w:eastAsia="Arial" w:hAnsi="Arial"/>
                <w:sz w:val="12"/>
                <w:szCs w:val="12"/>
                <w:color w:val="auto"/>
              </w:rPr>
              <w:t>​2/20/25 ​</w:t>
            </w:r>
          </w:p>
        </w:tc>
        <w:tc>
          <w:tcPr>
            <w:tcW w:w="60" w:type="dxa"/>
            <w:vAlign w:val="bottom"/>
            <w:shd w:val="clear" w:color="auto" w:fill="B2B2B2"/>
          </w:tcPr>
          <w:p>
            <w:pPr>
              <w:ind w:left="20"/>
              <w:spacing w:after="0"/>
              <w:rPr>
                <w:sz w:val="20"/>
                <w:szCs w:val="20"/>
                <w:color w:val="auto"/>
              </w:rPr>
            </w:pPr>
            <w:r>
              <w:rPr>
                <w:rFonts w:ascii="Arial" w:cs="Arial" w:eastAsia="Arial" w:hAnsi="Arial"/>
                <w:sz w:val="12"/>
                <w:szCs w:val="12"/>
                <w:color w:val="auto"/>
              </w:rPr>
              <w:t>​</w:t>
            </w:r>
          </w:p>
        </w:tc>
        <w:tc>
          <w:tcPr>
            <w:tcW w:w="560" w:type="dxa"/>
            <w:vAlign w:val="bottom"/>
            <w:shd w:val="clear" w:color="auto" w:fill="B2B2B2"/>
          </w:tcPr>
          <w:p>
            <w:pPr>
              <w:ind w:left="80"/>
              <w:spacing w:after="0"/>
              <w:rPr>
                <w:sz w:val="20"/>
                <w:szCs w:val="20"/>
                <w:color w:val="auto"/>
              </w:rPr>
            </w:pPr>
            <w:r>
              <w:rPr>
                <w:rFonts w:ascii="Arial" w:cs="Arial" w:eastAsia="Arial" w:hAnsi="Arial"/>
                <w:sz w:val="12"/>
                <w:szCs w:val="12"/>
                <w:color w:val="auto"/>
              </w:rPr>
              <w:t>​2/20/25</w:t>
            </w:r>
          </w:p>
        </w:tc>
        <w:tc>
          <w:tcPr>
            <w:tcW w:w="100" w:type="dxa"/>
            <w:vAlign w:val="bottom"/>
            <w:shd w:val="clear" w:color="auto" w:fill="B2B2B2"/>
          </w:tcPr>
          <w:p>
            <w:pPr>
              <w:spacing w:after="0"/>
              <w:rPr>
                <w:sz w:val="20"/>
                <w:szCs w:val="20"/>
                <w:color w:val="auto"/>
              </w:rPr>
            </w:pPr>
            <w:r>
              <w:rPr>
                <w:rFonts w:ascii="Arial" w:cs="Arial" w:eastAsia="Arial" w:hAnsi="Arial"/>
                <w:sz w:val="12"/>
                <w:szCs w:val="12"/>
                <w:color w:val="auto"/>
              </w:rPr>
              <w:t>​</w:t>
            </w:r>
          </w:p>
        </w:tc>
        <w:tc>
          <w:tcPr>
            <w:tcW w:w="120" w:type="dxa"/>
            <w:vAlign w:val="bottom"/>
            <w:shd w:val="clear" w:color="auto" w:fill="B2B2B2"/>
          </w:tcPr>
          <w:p>
            <w:pPr>
              <w:ind w:left="40"/>
              <w:spacing w:after="0"/>
              <w:rPr>
                <w:sz w:val="20"/>
                <w:szCs w:val="20"/>
                <w:color w:val="auto"/>
              </w:rPr>
            </w:pPr>
            <w:r>
              <w:rPr>
                <w:rFonts w:ascii="Arial" w:cs="Arial" w:eastAsia="Arial" w:hAnsi="Arial"/>
                <w:sz w:val="12"/>
                <w:szCs w:val="12"/>
                <w:color w:val="auto"/>
              </w:rPr>
              <w:t>​</w:t>
            </w:r>
          </w:p>
        </w:tc>
        <w:tc>
          <w:tcPr>
            <w:tcW w:w="460" w:type="dxa"/>
            <w:vAlign w:val="bottom"/>
            <w:shd w:val="clear" w:color="auto" w:fill="B2B2B2"/>
          </w:tcPr>
          <w:p>
            <w:pPr>
              <w:spacing w:after="0"/>
              <w:rPr>
                <w:sz w:val="14"/>
                <w:szCs w:val="14"/>
                <w:color w:val="auto"/>
              </w:rPr>
            </w:pPr>
          </w:p>
        </w:tc>
        <w:tc>
          <w:tcPr>
            <w:tcW w:w="260" w:type="dxa"/>
            <w:vAlign w:val="bottom"/>
            <w:gridSpan w:val="3"/>
            <w:shd w:val="clear" w:color="auto" w:fill="B2B2B2"/>
          </w:tcPr>
          <w:p>
            <w:pPr>
              <w:jc w:val="right"/>
              <w:ind w:right="20"/>
              <w:spacing w:after="0"/>
              <w:rPr>
                <w:sz w:val="20"/>
                <w:szCs w:val="20"/>
                <w:color w:val="auto"/>
              </w:rPr>
            </w:pPr>
            <w:r>
              <w:rPr>
                <w:rFonts w:ascii="Arial" w:cs="Arial" w:eastAsia="Arial" w:hAnsi="Arial"/>
                <w:sz w:val="12"/>
                <w:szCs w:val="12"/>
                <w:color w:val="auto"/>
              </w:rPr>
              <w:t>​​ ​ ​</w:t>
            </w:r>
          </w:p>
        </w:tc>
        <w:tc>
          <w:tcPr>
            <w:tcW w:w="520" w:type="dxa"/>
            <w:vAlign w:val="bottom"/>
            <w:tcBorders>
              <w:right w:val="single" w:sz="8" w:color="B2B2B2"/>
            </w:tcBorders>
            <w:shd w:val="clear" w:color="auto" w:fill="B2B2B2"/>
          </w:tcPr>
          <w:p>
            <w:pPr>
              <w:spacing w:after="0"/>
              <w:rPr>
                <w:sz w:val="14"/>
                <w:szCs w:val="14"/>
                <w:color w:val="auto"/>
              </w:rPr>
            </w:pPr>
          </w:p>
        </w:tc>
        <w:tc>
          <w:tcPr>
            <w:tcW w:w="240" w:type="dxa"/>
            <w:vAlign w:val="bottom"/>
            <w:gridSpan w:val="2"/>
            <w:shd w:val="clear" w:color="auto" w:fill="B2B2B2"/>
          </w:tcPr>
          <w:p>
            <w:pPr>
              <w:spacing w:after="0"/>
              <w:rPr>
                <w:sz w:val="20"/>
                <w:szCs w:val="20"/>
                <w:color w:val="auto"/>
              </w:rPr>
            </w:pPr>
            <w:r>
              <w:rPr>
                <w:rFonts w:ascii="Arial" w:cs="Arial" w:eastAsia="Arial" w:hAnsi="Arial"/>
                <w:sz w:val="12"/>
                <w:szCs w:val="12"/>
                <w:color w:val="auto"/>
              </w:rPr>
              <w:t>​​ ​ ​</w:t>
            </w:r>
          </w:p>
        </w:tc>
        <w:tc>
          <w:tcPr>
            <w:tcW w:w="560" w:type="dxa"/>
            <w:vAlign w:val="bottom"/>
            <w:gridSpan w:val="2"/>
            <w:shd w:val="clear" w:color="auto" w:fill="B2B2B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B2B2B2"/>
          </w:tcPr>
          <w:p>
            <w:pPr>
              <w:ind w:left="20"/>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B2B2B2"/>
            </w:tcBorders>
            <w:shd w:val="clear" w:color="auto" w:fill="B2B2B2"/>
          </w:tcPr>
          <w:p>
            <w:pPr>
              <w:ind w:left="60"/>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B2B2B2"/>
            </w:tcBorders>
            <w:shd w:val="clear" w:color="auto" w:fill="B2B2B2"/>
          </w:tcPr>
          <w:p>
            <w:pPr>
              <w:spacing w:after="0"/>
              <w:rPr>
                <w:sz w:val="20"/>
                <w:szCs w:val="20"/>
                <w:color w:val="auto"/>
              </w:rPr>
            </w:pPr>
            <w:r>
              <w:rPr>
                <w:rFonts w:ascii="Arial" w:cs="Arial" w:eastAsia="Arial" w:hAnsi="Arial"/>
                <w:sz w:val="12"/>
                <w:szCs w:val="12"/>
                <w:color w:val="auto"/>
              </w:rPr>
              <w:t>​​ ​ ​</w:t>
            </w:r>
          </w:p>
        </w:tc>
        <w:tc>
          <w:tcPr>
            <w:tcW w:w="420" w:type="dxa"/>
            <w:vAlign w:val="bottom"/>
            <w:shd w:val="clear" w:color="auto" w:fill="B2B2B2"/>
          </w:tcPr>
          <w:p>
            <w:pPr>
              <w:spacing w:after="0"/>
              <w:rPr>
                <w:sz w:val="14"/>
                <w:szCs w:val="14"/>
                <w:color w:val="auto"/>
              </w:rPr>
            </w:pPr>
          </w:p>
        </w:tc>
        <w:tc>
          <w:tcPr>
            <w:tcW w:w="220" w:type="dxa"/>
            <w:vAlign w:val="bottom"/>
            <w:gridSpan w:val="2"/>
            <w:shd w:val="clear" w:color="auto" w:fill="B2B2B2"/>
          </w:tcPr>
          <w:p>
            <w:pPr>
              <w:spacing w:after="0"/>
              <w:rPr>
                <w:sz w:val="20"/>
                <w:szCs w:val="20"/>
                <w:color w:val="auto"/>
              </w:rPr>
            </w:pPr>
            <w:r>
              <w:rPr>
                <w:rFonts w:ascii="Arial" w:cs="Arial" w:eastAsia="Arial" w:hAnsi="Arial"/>
                <w:sz w:val="12"/>
                <w:szCs w:val="12"/>
                <w:color w:val="auto"/>
              </w:rPr>
              <w:t>​​ ​ ​</w:t>
            </w:r>
          </w:p>
        </w:tc>
        <w:tc>
          <w:tcPr>
            <w:tcW w:w="400" w:type="dxa"/>
            <w:vAlign w:val="bottom"/>
            <w:shd w:val="clear" w:color="auto" w:fill="B2B2B2"/>
          </w:tcPr>
          <w:p>
            <w:pPr>
              <w:spacing w:after="0"/>
              <w:rPr>
                <w:sz w:val="14"/>
                <w:szCs w:val="14"/>
                <w:color w:val="auto"/>
              </w:rPr>
            </w:pPr>
          </w:p>
        </w:tc>
        <w:tc>
          <w:tcPr>
            <w:tcW w:w="860" w:type="dxa"/>
            <w:vAlign w:val="bottom"/>
            <w:gridSpan w:val="4"/>
            <w:shd w:val="clear" w:color="auto" w:fill="B2B2B2"/>
          </w:tcPr>
          <w:p>
            <w:pPr>
              <w:spacing w:after="0"/>
              <w:rPr>
                <w:sz w:val="20"/>
                <w:szCs w:val="20"/>
                <w:color w:val="auto"/>
              </w:rPr>
            </w:pPr>
            <w:r>
              <w:rPr>
                <w:rFonts w:ascii="Arial" w:cs="Arial" w:eastAsia="Arial" w:hAnsi="Arial"/>
                <w:sz w:val="12"/>
                <w:szCs w:val="12"/>
                <w:color w:val="auto"/>
              </w:rPr>
              <w:t>​​ ​​ 80,436​​ ​ ​$</w:t>
            </w:r>
          </w:p>
        </w:tc>
        <w:tc>
          <w:tcPr>
            <w:tcW w:w="560" w:type="dxa"/>
            <w:vAlign w:val="bottom"/>
            <w:shd w:val="clear" w:color="auto" w:fill="B2B2B2"/>
          </w:tcPr>
          <w:p>
            <w:pPr>
              <w:ind w:left="100"/>
              <w:spacing w:after="0"/>
              <w:rPr>
                <w:sz w:val="20"/>
                <w:szCs w:val="20"/>
                <w:color w:val="auto"/>
              </w:rPr>
            </w:pPr>
            <w:r>
              <w:rPr>
                <w:rFonts w:ascii="Arial" w:cs="Arial" w:eastAsia="Arial" w:hAnsi="Arial"/>
                <w:sz w:val="12"/>
                <w:szCs w:val="12"/>
                <w:color w:val="auto"/>
              </w:rPr>
              <w:t>723,120</w:t>
            </w:r>
          </w:p>
        </w:tc>
        <w:tc>
          <w:tcPr>
            <w:tcW w:w="40" w:type="dxa"/>
            <w:vAlign w:val="bottom"/>
            <w:shd w:val="clear" w:color="auto" w:fill="B2B2B2"/>
          </w:tcPr>
          <w:p>
            <w:pPr>
              <w:jc w:val="right"/>
              <w:ind w:right="14"/>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62"/>
        </w:trPr>
        <w:tc>
          <w:tcPr>
            <w:tcW w:w="60" w:type="dxa"/>
            <w:vAlign w:val="bottom"/>
            <w:shd w:val="clear" w:color="auto" w:fill="B2B2B2"/>
          </w:tcPr>
          <w:p>
            <w:pPr>
              <w:spacing w:after="0"/>
              <w:rPr>
                <w:sz w:val="14"/>
                <w:szCs w:val="14"/>
                <w:color w:val="auto"/>
              </w:rPr>
            </w:pPr>
          </w:p>
        </w:tc>
        <w:tc>
          <w:tcPr>
            <w:tcW w:w="1220" w:type="dxa"/>
            <w:vAlign w:val="bottom"/>
            <w:shd w:val="clear" w:color="auto" w:fill="B2B2B2"/>
          </w:tcPr>
          <w:p>
            <w:pPr>
              <w:spacing w:after="0"/>
              <w:rPr>
                <w:sz w:val="14"/>
                <w:szCs w:val="14"/>
                <w:color w:val="auto"/>
              </w:rPr>
            </w:pPr>
          </w:p>
        </w:tc>
        <w:tc>
          <w:tcPr>
            <w:tcW w:w="120" w:type="dxa"/>
            <w:vAlign w:val="bottom"/>
            <w:shd w:val="clear" w:color="auto" w:fill="B2B2B2"/>
          </w:tcPr>
          <w:p>
            <w:pPr>
              <w:spacing w:after="0"/>
              <w:rPr>
                <w:sz w:val="14"/>
                <w:szCs w:val="14"/>
                <w:color w:val="auto"/>
              </w:rPr>
            </w:pPr>
          </w:p>
        </w:tc>
        <w:tc>
          <w:tcPr>
            <w:tcW w:w="440" w:type="dxa"/>
            <w:vAlign w:val="bottom"/>
            <w:tcBorders>
              <w:left w:val="single" w:sz="8" w:color="B2B2B2"/>
            </w:tcBorders>
            <w:shd w:val="clear" w:color="auto" w:fill="B2B2B2"/>
          </w:tcPr>
          <w:p>
            <w:pPr>
              <w:jc w:val="right"/>
              <w:spacing w:after="0"/>
              <w:rPr>
                <w:sz w:val="20"/>
                <w:szCs w:val="20"/>
                <w:color w:val="auto"/>
              </w:rPr>
            </w:pPr>
            <w:r>
              <w:rPr>
                <w:rFonts w:ascii="Arial" w:cs="Arial" w:eastAsia="Arial" w:hAnsi="Arial"/>
                <w:sz w:val="12"/>
                <w:szCs w:val="12"/>
                <w:color w:val="auto"/>
              </w:rPr>
              <w:t>​2/20/25</w:t>
            </w:r>
          </w:p>
        </w:tc>
        <w:tc>
          <w:tcPr>
            <w:tcW w:w="160" w:type="dxa"/>
            <w:vAlign w:val="bottom"/>
            <w:gridSpan w:val="3"/>
            <w:shd w:val="clear" w:color="auto" w:fill="B2B2B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B2B2B2"/>
          </w:tcPr>
          <w:p>
            <w:pPr>
              <w:ind w:left="20"/>
              <w:spacing w:after="0"/>
              <w:rPr>
                <w:sz w:val="20"/>
                <w:szCs w:val="20"/>
                <w:color w:val="auto"/>
              </w:rPr>
            </w:pPr>
            <w:r>
              <w:rPr>
                <w:rFonts w:ascii="Arial" w:cs="Arial" w:eastAsia="Arial" w:hAnsi="Arial"/>
                <w:sz w:val="12"/>
                <w:szCs w:val="12"/>
                <w:color w:val="auto"/>
              </w:rPr>
              <w:t>​</w:t>
            </w:r>
          </w:p>
        </w:tc>
        <w:tc>
          <w:tcPr>
            <w:tcW w:w="560" w:type="dxa"/>
            <w:vAlign w:val="bottom"/>
            <w:shd w:val="clear" w:color="auto" w:fill="B2B2B2"/>
          </w:tcPr>
          <w:p>
            <w:pPr>
              <w:ind w:left="80"/>
              <w:spacing w:after="0"/>
              <w:rPr>
                <w:sz w:val="20"/>
                <w:szCs w:val="20"/>
                <w:color w:val="auto"/>
              </w:rPr>
            </w:pPr>
            <w:r>
              <w:rPr>
                <w:rFonts w:ascii="Arial" w:cs="Arial" w:eastAsia="Arial" w:hAnsi="Arial"/>
                <w:sz w:val="12"/>
                <w:szCs w:val="12"/>
                <w:color w:val="auto"/>
              </w:rPr>
              <w:t>​2/20/25</w:t>
            </w:r>
          </w:p>
        </w:tc>
        <w:tc>
          <w:tcPr>
            <w:tcW w:w="100" w:type="dxa"/>
            <w:vAlign w:val="bottom"/>
            <w:shd w:val="clear" w:color="auto" w:fill="B2B2B2"/>
          </w:tcPr>
          <w:p>
            <w:pPr>
              <w:spacing w:after="0"/>
              <w:rPr>
                <w:sz w:val="20"/>
                <w:szCs w:val="20"/>
                <w:color w:val="auto"/>
              </w:rPr>
            </w:pPr>
            <w:r>
              <w:rPr>
                <w:rFonts w:ascii="Arial" w:cs="Arial" w:eastAsia="Arial" w:hAnsi="Arial"/>
                <w:sz w:val="12"/>
                <w:szCs w:val="12"/>
                <w:color w:val="auto"/>
              </w:rPr>
              <w:t>​</w:t>
            </w:r>
          </w:p>
        </w:tc>
        <w:tc>
          <w:tcPr>
            <w:tcW w:w="120" w:type="dxa"/>
            <w:vAlign w:val="bottom"/>
            <w:shd w:val="clear" w:color="auto" w:fill="B2B2B2"/>
          </w:tcPr>
          <w:p>
            <w:pPr>
              <w:ind w:left="40"/>
              <w:spacing w:after="0"/>
              <w:rPr>
                <w:sz w:val="20"/>
                <w:szCs w:val="20"/>
                <w:color w:val="auto"/>
              </w:rPr>
            </w:pPr>
            <w:r>
              <w:rPr>
                <w:rFonts w:ascii="Arial" w:cs="Arial" w:eastAsia="Arial" w:hAnsi="Arial"/>
                <w:sz w:val="12"/>
                <w:szCs w:val="12"/>
                <w:color w:val="auto"/>
              </w:rPr>
              <w:t>​</w:t>
            </w:r>
          </w:p>
        </w:tc>
        <w:tc>
          <w:tcPr>
            <w:tcW w:w="460" w:type="dxa"/>
            <w:vAlign w:val="bottom"/>
            <w:shd w:val="clear" w:color="auto" w:fill="B2B2B2"/>
          </w:tcPr>
          <w:p>
            <w:pPr>
              <w:spacing w:after="0"/>
              <w:rPr>
                <w:sz w:val="14"/>
                <w:szCs w:val="14"/>
                <w:color w:val="auto"/>
              </w:rPr>
            </w:pPr>
          </w:p>
        </w:tc>
        <w:tc>
          <w:tcPr>
            <w:tcW w:w="260" w:type="dxa"/>
            <w:vAlign w:val="bottom"/>
            <w:gridSpan w:val="3"/>
            <w:shd w:val="clear" w:color="auto" w:fill="B2B2B2"/>
          </w:tcPr>
          <w:p>
            <w:pPr>
              <w:jc w:val="right"/>
              <w:ind w:right="20"/>
              <w:spacing w:after="0"/>
              <w:rPr>
                <w:sz w:val="20"/>
                <w:szCs w:val="20"/>
                <w:color w:val="auto"/>
              </w:rPr>
            </w:pPr>
            <w:r>
              <w:rPr>
                <w:rFonts w:ascii="Arial" w:cs="Arial" w:eastAsia="Arial" w:hAnsi="Arial"/>
                <w:sz w:val="12"/>
                <w:szCs w:val="12"/>
                <w:color w:val="auto"/>
              </w:rPr>
              <w:t>​​ ​ ​</w:t>
            </w:r>
          </w:p>
        </w:tc>
        <w:tc>
          <w:tcPr>
            <w:tcW w:w="520" w:type="dxa"/>
            <w:vAlign w:val="bottom"/>
            <w:tcBorders>
              <w:right w:val="single" w:sz="8" w:color="B2B2B2"/>
            </w:tcBorders>
            <w:shd w:val="clear" w:color="auto" w:fill="B2B2B2"/>
          </w:tcPr>
          <w:p>
            <w:pPr>
              <w:spacing w:after="0"/>
              <w:rPr>
                <w:sz w:val="14"/>
                <w:szCs w:val="14"/>
                <w:color w:val="auto"/>
              </w:rPr>
            </w:pPr>
          </w:p>
        </w:tc>
        <w:tc>
          <w:tcPr>
            <w:tcW w:w="240" w:type="dxa"/>
            <w:vAlign w:val="bottom"/>
            <w:gridSpan w:val="2"/>
            <w:shd w:val="clear" w:color="auto" w:fill="B2B2B2"/>
          </w:tcPr>
          <w:p>
            <w:pPr>
              <w:spacing w:after="0"/>
              <w:rPr>
                <w:sz w:val="20"/>
                <w:szCs w:val="20"/>
                <w:color w:val="auto"/>
              </w:rPr>
            </w:pPr>
            <w:r>
              <w:rPr>
                <w:rFonts w:ascii="Arial" w:cs="Arial" w:eastAsia="Arial" w:hAnsi="Arial"/>
                <w:sz w:val="12"/>
                <w:szCs w:val="12"/>
                <w:color w:val="auto"/>
              </w:rPr>
              <w:t>​​ ​ ​</w:t>
            </w:r>
          </w:p>
        </w:tc>
        <w:tc>
          <w:tcPr>
            <w:tcW w:w="560" w:type="dxa"/>
            <w:vAlign w:val="bottom"/>
            <w:gridSpan w:val="2"/>
            <w:shd w:val="clear" w:color="auto" w:fill="B2B2B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B2B2B2"/>
          </w:tcPr>
          <w:p>
            <w:pPr>
              <w:ind w:left="20"/>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B2B2B2"/>
            </w:tcBorders>
            <w:shd w:val="clear" w:color="auto" w:fill="B2B2B2"/>
          </w:tcPr>
          <w:p>
            <w:pPr>
              <w:ind w:left="60"/>
              <w:spacing w:after="0"/>
              <w:rPr>
                <w:sz w:val="20"/>
                <w:szCs w:val="20"/>
                <w:color w:val="auto"/>
              </w:rPr>
            </w:pPr>
            <w:r>
              <w:rPr>
                <w:rFonts w:ascii="Arial" w:cs="Arial" w:eastAsia="Arial" w:hAnsi="Arial"/>
                <w:sz w:val="12"/>
                <w:szCs w:val="12"/>
                <w:color w:val="auto"/>
              </w:rPr>
              <w:t>​ 40,218</w:t>
            </w:r>
          </w:p>
        </w:tc>
        <w:tc>
          <w:tcPr>
            <w:tcW w:w="1240" w:type="dxa"/>
            <w:vAlign w:val="bottom"/>
            <w:gridSpan w:val="5"/>
            <w:shd w:val="clear" w:color="auto" w:fill="B2B2B2"/>
          </w:tcPr>
          <w:p>
            <w:pPr>
              <w:spacing w:after="0"/>
              <w:rPr>
                <w:sz w:val="20"/>
                <w:szCs w:val="20"/>
                <w:color w:val="auto"/>
              </w:rPr>
            </w:pPr>
            <w:r>
              <w:rPr>
                <w:rFonts w:ascii="Arial" w:cs="Arial" w:eastAsia="Arial" w:hAnsi="Arial"/>
                <w:sz w:val="12"/>
                <w:szCs w:val="12"/>
                <w:color w:val="auto"/>
              </w:rPr>
              <w:t>​​ ​ ​ 80,436 ​​ ​ ​160,872</w:t>
            </w:r>
          </w:p>
        </w:tc>
        <w:tc>
          <w:tcPr>
            <w:tcW w:w="600" w:type="dxa"/>
            <w:vAlign w:val="bottom"/>
            <w:gridSpan w:val="2"/>
            <w:shd w:val="clear" w:color="auto" w:fill="B2B2B2"/>
          </w:tcPr>
          <w:p>
            <w:pPr>
              <w:spacing w:after="0"/>
              <w:rPr>
                <w:sz w:val="20"/>
                <w:szCs w:val="20"/>
                <w:color w:val="auto"/>
              </w:rPr>
            </w:pPr>
            <w:r>
              <w:rPr>
                <w:rFonts w:ascii="Arial" w:cs="Arial" w:eastAsia="Arial" w:hAnsi="Arial"/>
                <w:sz w:val="12"/>
                <w:szCs w:val="12"/>
                <w:color w:val="auto"/>
              </w:rPr>
              <w:t>​​ ​​</w:t>
            </w:r>
          </w:p>
        </w:tc>
        <w:tc>
          <w:tcPr>
            <w:tcW w:w="860" w:type="dxa"/>
            <w:vAlign w:val="bottom"/>
            <w:gridSpan w:val="4"/>
            <w:shd w:val="clear" w:color="auto" w:fill="B2B2B2"/>
          </w:tcPr>
          <w:p>
            <w:pPr>
              <w:jc w:val="right"/>
              <w:ind w:right="14"/>
              <w:spacing w:after="0"/>
              <w:rPr>
                <w:sz w:val="20"/>
                <w:szCs w:val="20"/>
                <w:color w:val="auto"/>
              </w:rPr>
            </w:pPr>
            <w:r>
              <w:rPr>
                <w:rFonts w:ascii="Arial" w:cs="Arial" w:eastAsia="Arial" w:hAnsi="Arial"/>
                <w:sz w:val="12"/>
                <w:szCs w:val="12"/>
                <w:color w:val="auto"/>
              </w:rPr>
              <w:t>​​ ​ ​$1,023,293 ​</w:t>
            </w:r>
          </w:p>
        </w:tc>
        <w:tc>
          <w:tcPr>
            <w:tcW w:w="0" w:type="dxa"/>
            <w:vAlign w:val="bottom"/>
          </w:tcPr>
          <w:p>
            <w:pPr>
              <w:spacing w:after="0"/>
              <w:rPr>
                <w:sz w:val="1"/>
                <w:szCs w:val="1"/>
                <w:color w:val="auto"/>
              </w:rPr>
            </w:pPr>
          </w:p>
        </w:tc>
      </w:tr>
      <w:tr>
        <w:trPr>
          <w:trHeight w:val="162"/>
        </w:trPr>
        <w:tc>
          <w:tcPr>
            <w:tcW w:w="60" w:type="dxa"/>
            <w:vAlign w:val="bottom"/>
            <w:shd w:val="clear" w:color="auto" w:fill="B2B2B2"/>
          </w:tcPr>
          <w:p>
            <w:pPr>
              <w:spacing w:after="0"/>
              <w:rPr>
                <w:sz w:val="14"/>
                <w:szCs w:val="14"/>
                <w:color w:val="auto"/>
              </w:rPr>
            </w:pPr>
          </w:p>
        </w:tc>
        <w:tc>
          <w:tcPr>
            <w:tcW w:w="1220" w:type="dxa"/>
            <w:vAlign w:val="bottom"/>
            <w:shd w:val="clear" w:color="auto" w:fill="B2B2B2"/>
          </w:tcPr>
          <w:p>
            <w:pPr>
              <w:spacing w:after="0"/>
              <w:rPr>
                <w:sz w:val="14"/>
                <w:szCs w:val="14"/>
                <w:color w:val="auto"/>
              </w:rPr>
            </w:pPr>
          </w:p>
        </w:tc>
        <w:tc>
          <w:tcPr>
            <w:tcW w:w="120" w:type="dxa"/>
            <w:vAlign w:val="bottom"/>
            <w:shd w:val="clear" w:color="auto" w:fill="B2B2B2"/>
          </w:tcPr>
          <w:p>
            <w:pPr>
              <w:spacing w:after="0"/>
              <w:rPr>
                <w:sz w:val="14"/>
                <w:szCs w:val="14"/>
                <w:color w:val="auto"/>
              </w:rPr>
            </w:pPr>
          </w:p>
        </w:tc>
        <w:tc>
          <w:tcPr>
            <w:tcW w:w="600" w:type="dxa"/>
            <w:vAlign w:val="bottom"/>
            <w:tcBorders>
              <w:left w:val="single" w:sz="8" w:color="B2B2B2"/>
            </w:tcBorders>
            <w:gridSpan w:val="4"/>
          </w:tcPr>
          <w:p>
            <w:pPr>
              <w:jc w:val="right"/>
              <w:ind w:right="20"/>
              <w:spacing w:after="0"/>
              <w:rPr>
                <w:sz w:val="20"/>
                <w:szCs w:val="20"/>
                <w:color w:val="auto"/>
              </w:rPr>
            </w:pPr>
            <w:r>
              <w:rPr>
                <w:rFonts w:ascii="Arial" w:cs="Arial" w:eastAsia="Arial" w:hAnsi="Arial"/>
                <w:sz w:val="12"/>
                <w:szCs w:val="12"/>
                <w:color w:val="auto"/>
              </w:rPr>
              <w:t>​5/16/24(5)​</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80"/>
              <w:spacing w:after="0"/>
              <w:rPr>
                <w:sz w:val="20"/>
                <w:szCs w:val="20"/>
                <w:color w:val="auto"/>
              </w:rPr>
            </w:pPr>
            <w:r>
              <w:rPr>
                <w:rFonts w:ascii="Arial" w:cs="Arial" w:eastAsia="Arial" w:hAnsi="Arial"/>
                <w:sz w:val="12"/>
                <w:szCs w:val="12"/>
                <w:color w:val="auto"/>
              </w:rPr>
              <w:t>​8/01/25</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20" w:type="dxa"/>
            <w:vAlign w:val="bottom"/>
          </w:tcPr>
          <w:p>
            <w:pPr>
              <w:ind w:left="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2"/>
                <w:szCs w:val="12"/>
                <w:color w:val="auto"/>
              </w:rPr>
              <w:t>​​ ​ ​</w:t>
            </w:r>
          </w:p>
        </w:tc>
        <w:tc>
          <w:tcPr>
            <w:tcW w:w="520" w:type="dxa"/>
            <w:vAlign w:val="bottom"/>
          </w:tcPr>
          <w:p>
            <w:pPr>
              <w:spacing w:after="0"/>
              <w:rPr>
                <w:sz w:val="14"/>
                <w:szCs w:val="14"/>
                <w:color w:val="auto"/>
              </w:rPr>
            </w:pPr>
          </w:p>
        </w:tc>
        <w:tc>
          <w:tcPr>
            <w:tcW w:w="240" w:type="dxa"/>
            <w:vAlign w:val="bottom"/>
            <w:gridSpan w:val="2"/>
          </w:tcPr>
          <w:p>
            <w:pPr>
              <w:spacing w:after="0"/>
              <w:rPr>
                <w:sz w:val="20"/>
                <w:szCs w:val="20"/>
                <w:color w:val="auto"/>
              </w:rPr>
            </w:pPr>
            <w:r>
              <w:rPr>
                <w:rFonts w:ascii="Arial" w:cs="Arial" w:eastAsia="Arial" w:hAnsi="Arial"/>
                <w:sz w:val="12"/>
                <w:szCs w:val="12"/>
                <w:color w:val="auto"/>
              </w:rPr>
              <w:t>​​ ​ ​</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60"/>
              <w:spacing w:after="0"/>
              <w:rPr>
                <w:sz w:val="20"/>
                <w:szCs w:val="20"/>
                <w:color w:val="auto"/>
              </w:rPr>
            </w:pPr>
            <w:r>
              <w:rPr>
                <w:rFonts w:ascii="Arial" w:cs="Arial" w:eastAsia="Arial" w:hAnsi="Arial"/>
                <w:sz w:val="12"/>
                <w:szCs w:val="12"/>
                <w:color w:val="auto"/>
              </w:rPr>
              <w:t>​ 38,767</w:t>
            </w:r>
          </w:p>
        </w:tc>
        <w:tc>
          <w:tcPr>
            <w:tcW w:w="1240" w:type="dxa"/>
            <w:vAlign w:val="bottom"/>
            <w:gridSpan w:val="5"/>
          </w:tcPr>
          <w:p>
            <w:pPr>
              <w:spacing w:after="0"/>
              <w:rPr>
                <w:sz w:val="20"/>
                <w:szCs w:val="20"/>
                <w:color w:val="auto"/>
              </w:rPr>
            </w:pPr>
            <w:r>
              <w:rPr>
                <w:rFonts w:ascii="Arial" w:cs="Arial" w:eastAsia="Arial" w:hAnsi="Arial"/>
                <w:sz w:val="12"/>
                <w:szCs w:val="12"/>
                <w:color w:val="auto"/>
              </w:rPr>
              <w:t>​​ ​ ​ 77,534 ​​ ​ ​155,068</w:t>
            </w:r>
          </w:p>
        </w:tc>
        <w:tc>
          <w:tcPr>
            <w:tcW w:w="600" w:type="dxa"/>
            <w:vAlign w:val="bottom"/>
            <w:gridSpan w:val="2"/>
          </w:tcPr>
          <w:p>
            <w:pPr>
              <w:spacing w:after="0"/>
              <w:rPr>
                <w:sz w:val="20"/>
                <w:szCs w:val="20"/>
                <w:color w:val="auto"/>
              </w:rPr>
            </w:pPr>
            <w:r>
              <w:rPr>
                <w:rFonts w:ascii="Arial" w:cs="Arial" w:eastAsia="Arial" w:hAnsi="Arial"/>
                <w:sz w:val="12"/>
                <w:szCs w:val="12"/>
                <w:color w:val="auto"/>
              </w:rPr>
              <w:t>​​ ​​</w:t>
            </w:r>
          </w:p>
        </w:tc>
        <w:tc>
          <w:tcPr>
            <w:tcW w:w="260" w:type="dxa"/>
            <w:vAlign w:val="bottom"/>
            <w:gridSpan w:val="2"/>
          </w:tcPr>
          <w:p>
            <w:pPr>
              <w:spacing w:after="0"/>
              <w:rPr>
                <w:sz w:val="20"/>
                <w:szCs w:val="20"/>
                <w:color w:val="auto"/>
              </w:rPr>
            </w:pPr>
            <w:r>
              <w:rPr>
                <w:rFonts w:ascii="Arial" w:cs="Arial" w:eastAsia="Arial" w:hAnsi="Arial"/>
                <w:sz w:val="12"/>
                <w:szCs w:val="12"/>
                <w:color w:val="auto"/>
              </w:rPr>
              <w:t>​​ ​ ​$</w:t>
            </w:r>
          </w:p>
        </w:tc>
        <w:tc>
          <w:tcPr>
            <w:tcW w:w="560" w:type="dxa"/>
            <w:vAlign w:val="bottom"/>
          </w:tcPr>
          <w:p>
            <w:pPr>
              <w:ind w:left="100"/>
              <w:spacing w:after="0"/>
              <w:rPr>
                <w:sz w:val="20"/>
                <w:szCs w:val="20"/>
                <w:color w:val="auto"/>
              </w:rPr>
            </w:pPr>
            <w:r>
              <w:rPr>
                <w:rFonts w:ascii="Arial" w:cs="Arial" w:eastAsia="Arial" w:hAnsi="Arial"/>
                <w:sz w:val="12"/>
                <w:szCs w:val="12"/>
                <w:color w:val="auto"/>
              </w:rPr>
              <w:t>779,886</w:t>
            </w:r>
          </w:p>
        </w:tc>
        <w:tc>
          <w:tcPr>
            <w:tcW w:w="40" w:type="dxa"/>
            <w:vAlign w:val="bottom"/>
          </w:tcPr>
          <w:p>
            <w:pPr>
              <w:jc w:val="right"/>
              <w:ind w:right="14"/>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Arial" w:cs="Arial" w:eastAsia="Arial" w:hAnsi="Arial"/>
                <w:sz w:val="12"/>
                <w:szCs w:val="12"/>
                <w:color w:val="auto"/>
              </w:rPr>
              <w:t>John Harrobin</w:t>
            </w:r>
          </w:p>
        </w:tc>
        <w:tc>
          <w:tcPr>
            <w:tcW w:w="600" w:type="dxa"/>
            <w:vAlign w:val="bottom"/>
            <w:gridSpan w:val="4"/>
          </w:tcPr>
          <w:p>
            <w:pPr>
              <w:jc w:val="right"/>
              <w:ind w:right="100"/>
              <w:spacing w:after="0"/>
              <w:rPr>
                <w:sz w:val="20"/>
                <w:szCs w:val="20"/>
                <w:color w:val="auto"/>
              </w:rPr>
            </w:pPr>
            <w:r>
              <w:rPr>
                <w:rFonts w:ascii="Arial" w:cs="Arial" w:eastAsia="Arial" w:hAnsi="Arial"/>
                <w:sz w:val="12"/>
                <w:szCs w:val="12"/>
                <w:color w:val="auto"/>
              </w:rPr>
              <w:t>​4/28/25 ​</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80"/>
              <w:spacing w:after="0"/>
              <w:rPr>
                <w:sz w:val="20"/>
                <w:szCs w:val="20"/>
                <w:color w:val="auto"/>
              </w:rPr>
            </w:pPr>
            <w:r>
              <w:rPr>
                <w:rFonts w:ascii="Arial" w:cs="Arial" w:eastAsia="Arial" w:hAnsi="Arial"/>
                <w:sz w:val="12"/>
                <w:szCs w:val="12"/>
                <w:color w:val="auto"/>
              </w:rPr>
              <w:t>​4/28/25</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360" w:type="dxa"/>
            <w:vAlign w:val="bottom"/>
            <w:gridSpan w:val="6"/>
          </w:tcPr>
          <w:p>
            <w:pPr>
              <w:ind w:left="40"/>
              <w:spacing w:after="0"/>
              <w:rPr>
                <w:sz w:val="20"/>
                <w:szCs w:val="20"/>
                <w:color w:val="auto"/>
              </w:rPr>
            </w:pPr>
            <w:r>
              <w:rPr>
                <w:rFonts w:ascii="Arial" w:cs="Arial" w:eastAsia="Arial" w:hAnsi="Arial"/>
                <w:sz w:val="12"/>
                <w:szCs w:val="12"/>
                <w:color w:val="auto"/>
              </w:rPr>
              <w:t>​1,500,000(6)​​​ ​1,500,000</w:t>
            </w:r>
          </w:p>
        </w:tc>
        <w:tc>
          <w:tcPr>
            <w:tcW w:w="800" w:type="dxa"/>
            <w:vAlign w:val="bottom"/>
            <w:gridSpan w:val="4"/>
          </w:tcPr>
          <w:p>
            <w:pPr>
              <w:jc w:val="right"/>
              <w:ind w:right="40"/>
              <w:spacing w:after="0"/>
              <w:rPr>
                <w:sz w:val="20"/>
                <w:szCs w:val="20"/>
                <w:color w:val="auto"/>
              </w:rPr>
            </w:pPr>
            <w:r>
              <w:rPr>
                <w:rFonts w:ascii="Arial" w:cs="Arial" w:eastAsia="Arial" w:hAnsi="Arial"/>
                <w:sz w:val="12"/>
                <w:szCs w:val="12"/>
                <w:color w:val="auto"/>
              </w:rPr>
              <w:t>​​ ​ ​2,250,000 ​</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r>
              <w:rPr>
                <w:rFonts w:ascii="Arial" w:cs="Arial" w:eastAsia="Arial" w:hAnsi="Arial"/>
                <w:sz w:val="12"/>
                <w:szCs w:val="12"/>
                <w:color w:val="auto"/>
              </w:rPr>
              <w:t>​​ ​ ​</w:t>
            </w:r>
          </w:p>
        </w:tc>
        <w:tc>
          <w:tcPr>
            <w:tcW w:w="420" w:type="dxa"/>
            <w:vAlign w:val="bottom"/>
          </w:tcPr>
          <w:p>
            <w:pPr>
              <w:spacing w:after="0"/>
              <w:rPr>
                <w:sz w:val="15"/>
                <w:szCs w:val="15"/>
                <w:color w:val="auto"/>
              </w:rPr>
            </w:pPr>
          </w:p>
        </w:tc>
        <w:tc>
          <w:tcPr>
            <w:tcW w:w="220" w:type="dxa"/>
            <w:vAlign w:val="bottom"/>
            <w:gridSpan w:val="2"/>
          </w:tcPr>
          <w:p>
            <w:pPr>
              <w:spacing w:after="0"/>
              <w:rPr>
                <w:sz w:val="20"/>
                <w:szCs w:val="20"/>
                <w:color w:val="auto"/>
              </w:rPr>
            </w:pPr>
            <w:r>
              <w:rPr>
                <w:rFonts w:ascii="Arial" w:cs="Arial" w:eastAsia="Arial" w:hAnsi="Arial"/>
                <w:sz w:val="12"/>
                <w:szCs w:val="12"/>
                <w:color w:val="auto"/>
              </w:rPr>
              <w:t>​​ ​ ​</w:t>
            </w:r>
          </w:p>
        </w:tc>
        <w:tc>
          <w:tcPr>
            <w:tcW w:w="4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 ​​</w:t>
            </w:r>
          </w:p>
        </w:tc>
        <w:tc>
          <w:tcPr>
            <w:tcW w:w="260" w:type="dxa"/>
            <w:vAlign w:val="bottom"/>
            <w:gridSpan w:val="2"/>
          </w:tcPr>
          <w:p>
            <w:pPr>
              <w:spacing w:after="0"/>
              <w:rPr>
                <w:sz w:val="20"/>
                <w:szCs w:val="20"/>
                <w:color w:val="auto"/>
              </w:rPr>
            </w:pPr>
            <w:r>
              <w:rPr>
                <w:rFonts w:ascii="Arial" w:cs="Arial" w:eastAsia="Arial" w:hAnsi="Arial"/>
                <w:sz w:val="12"/>
                <w:szCs w:val="12"/>
                <w:color w:val="auto"/>
              </w:rPr>
              <w:t>​​ ​ ​</w:t>
            </w:r>
          </w:p>
        </w:tc>
        <w:tc>
          <w:tcPr>
            <w:tcW w:w="560" w:type="dxa"/>
            <w:vAlign w:val="bottom"/>
          </w:tcPr>
          <w:p>
            <w:pPr>
              <w:spacing w:after="0"/>
              <w:rPr>
                <w:sz w:val="15"/>
                <w:szCs w:val="15"/>
                <w:color w:val="auto"/>
              </w:rPr>
            </w:pPr>
          </w:p>
        </w:tc>
        <w:tc>
          <w:tcPr>
            <w:tcW w:w="40" w:type="dxa"/>
            <w:vAlign w:val="bottom"/>
          </w:tcPr>
          <w:p>
            <w:pPr>
              <w:jc w:val="right"/>
              <w:ind w:right="14"/>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2"/>
                <w:szCs w:val="12"/>
                <w:color w:val="auto"/>
              </w:rPr>
              <w:t>​4/28/25 ​</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80"/>
              <w:spacing w:after="0"/>
              <w:rPr>
                <w:sz w:val="20"/>
                <w:szCs w:val="20"/>
                <w:color w:val="auto"/>
              </w:rPr>
            </w:pPr>
            <w:r>
              <w:rPr>
                <w:rFonts w:ascii="Arial" w:cs="Arial" w:eastAsia="Arial" w:hAnsi="Arial"/>
                <w:sz w:val="12"/>
                <w:szCs w:val="12"/>
                <w:color w:val="auto"/>
              </w:rPr>
              <w:t>​4/28/25</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20" w:type="dxa"/>
            <w:vAlign w:val="bottom"/>
          </w:tcPr>
          <w:p>
            <w:pPr>
              <w:ind w:left="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2"/>
                <w:szCs w:val="12"/>
                <w:color w:val="auto"/>
              </w:rPr>
              <w:t>​​ ​ ​</w:t>
            </w:r>
          </w:p>
        </w:tc>
        <w:tc>
          <w:tcPr>
            <w:tcW w:w="520" w:type="dxa"/>
            <w:vAlign w:val="bottom"/>
          </w:tcPr>
          <w:p>
            <w:pPr>
              <w:spacing w:after="0"/>
              <w:rPr>
                <w:sz w:val="14"/>
                <w:szCs w:val="14"/>
                <w:color w:val="auto"/>
              </w:rPr>
            </w:pPr>
          </w:p>
        </w:tc>
        <w:tc>
          <w:tcPr>
            <w:tcW w:w="240" w:type="dxa"/>
            <w:vAlign w:val="bottom"/>
            <w:gridSpan w:val="2"/>
          </w:tcPr>
          <w:p>
            <w:pPr>
              <w:spacing w:after="0"/>
              <w:rPr>
                <w:sz w:val="20"/>
                <w:szCs w:val="20"/>
                <w:color w:val="auto"/>
              </w:rPr>
            </w:pPr>
            <w:r>
              <w:rPr>
                <w:rFonts w:ascii="Arial" w:cs="Arial" w:eastAsia="Arial" w:hAnsi="Arial"/>
                <w:sz w:val="12"/>
                <w:szCs w:val="12"/>
                <w:color w:val="auto"/>
              </w:rPr>
              <w:t>​​ ​ ​</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r>
              <w:rPr>
                <w:rFonts w:ascii="Arial" w:cs="Arial" w:eastAsia="Arial" w:hAnsi="Arial"/>
                <w:sz w:val="12"/>
                <w:szCs w:val="12"/>
                <w:color w:val="auto"/>
              </w:rPr>
              <w:t>​​ ​ ​</w:t>
            </w:r>
          </w:p>
        </w:tc>
        <w:tc>
          <w:tcPr>
            <w:tcW w:w="420" w:type="dxa"/>
            <w:vAlign w:val="bottom"/>
          </w:tcPr>
          <w:p>
            <w:pPr>
              <w:spacing w:after="0"/>
              <w:rPr>
                <w:sz w:val="14"/>
                <w:szCs w:val="14"/>
                <w:color w:val="auto"/>
              </w:rPr>
            </w:pPr>
          </w:p>
        </w:tc>
        <w:tc>
          <w:tcPr>
            <w:tcW w:w="220" w:type="dxa"/>
            <w:vAlign w:val="bottom"/>
            <w:gridSpan w:val="2"/>
          </w:tcPr>
          <w:p>
            <w:pPr>
              <w:spacing w:after="0"/>
              <w:rPr>
                <w:sz w:val="20"/>
                <w:szCs w:val="20"/>
                <w:color w:val="auto"/>
              </w:rPr>
            </w:pPr>
            <w:r>
              <w:rPr>
                <w:rFonts w:ascii="Arial" w:cs="Arial" w:eastAsia="Arial" w:hAnsi="Arial"/>
                <w:sz w:val="12"/>
                <w:szCs w:val="12"/>
                <w:color w:val="auto"/>
              </w:rPr>
              <w:t>​​ ​ ​</w:t>
            </w:r>
          </w:p>
        </w:tc>
        <w:tc>
          <w:tcPr>
            <w:tcW w:w="4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 ​​369,948</w:t>
            </w:r>
          </w:p>
        </w:tc>
        <w:tc>
          <w:tcPr>
            <w:tcW w:w="860" w:type="dxa"/>
            <w:vAlign w:val="bottom"/>
            <w:gridSpan w:val="4"/>
          </w:tcPr>
          <w:p>
            <w:pPr>
              <w:jc w:val="right"/>
              <w:ind w:right="14"/>
              <w:spacing w:after="0"/>
              <w:rPr>
                <w:sz w:val="20"/>
                <w:szCs w:val="20"/>
                <w:color w:val="auto"/>
              </w:rPr>
            </w:pPr>
            <w:r>
              <w:rPr>
                <w:rFonts w:ascii="Arial" w:cs="Arial" w:eastAsia="Arial" w:hAnsi="Arial"/>
                <w:sz w:val="12"/>
                <w:szCs w:val="12"/>
                <w:color w:val="auto"/>
              </w:rPr>
              <w:t>​​ ​ ​$2,996,579 ​</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2"/>
                <w:szCs w:val="12"/>
                <w:color w:val="auto"/>
              </w:rPr>
              <w:t>​4/28/25 ​</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80"/>
              <w:spacing w:after="0"/>
              <w:rPr>
                <w:sz w:val="20"/>
                <w:szCs w:val="20"/>
                <w:color w:val="auto"/>
              </w:rPr>
            </w:pPr>
            <w:r>
              <w:rPr>
                <w:rFonts w:ascii="Arial" w:cs="Arial" w:eastAsia="Arial" w:hAnsi="Arial"/>
                <w:sz w:val="12"/>
                <w:szCs w:val="12"/>
                <w:color w:val="auto"/>
              </w:rPr>
              <w:t>​4/28/25</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20" w:type="dxa"/>
            <w:vAlign w:val="bottom"/>
          </w:tcPr>
          <w:p>
            <w:pPr>
              <w:ind w:left="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2"/>
                <w:szCs w:val="12"/>
                <w:color w:val="auto"/>
              </w:rPr>
              <w:t>​​ ​ ​</w:t>
            </w:r>
          </w:p>
        </w:tc>
        <w:tc>
          <w:tcPr>
            <w:tcW w:w="520" w:type="dxa"/>
            <w:vAlign w:val="bottom"/>
          </w:tcPr>
          <w:p>
            <w:pPr>
              <w:spacing w:after="0"/>
              <w:rPr>
                <w:sz w:val="13"/>
                <w:szCs w:val="13"/>
                <w:color w:val="auto"/>
              </w:rPr>
            </w:pPr>
          </w:p>
        </w:tc>
        <w:tc>
          <w:tcPr>
            <w:tcW w:w="240" w:type="dxa"/>
            <w:vAlign w:val="bottom"/>
            <w:gridSpan w:val="2"/>
          </w:tcPr>
          <w:p>
            <w:pPr>
              <w:spacing w:after="0"/>
              <w:rPr>
                <w:sz w:val="20"/>
                <w:szCs w:val="20"/>
                <w:color w:val="auto"/>
              </w:rPr>
            </w:pPr>
            <w:r>
              <w:rPr>
                <w:rFonts w:ascii="Arial" w:cs="Arial" w:eastAsia="Arial" w:hAnsi="Arial"/>
                <w:sz w:val="12"/>
                <w:szCs w:val="12"/>
                <w:color w:val="auto"/>
              </w:rPr>
              <w:t>​​ ​ ​</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60"/>
              <w:spacing w:after="0"/>
              <w:rPr>
                <w:sz w:val="20"/>
                <w:szCs w:val="20"/>
                <w:color w:val="auto"/>
              </w:rPr>
            </w:pPr>
            <w:r>
              <w:rPr>
                <w:rFonts w:ascii="Arial" w:cs="Arial" w:eastAsia="Arial" w:hAnsi="Arial"/>
                <w:sz w:val="12"/>
                <w:szCs w:val="12"/>
                <w:color w:val="auto"/>
              </w:rPr>
              <w:t>​ 75,157</w:t>
            </w:r>
          </w:p>
        </w:tc>
        <w:tc>
          <w:tcPr>
            <w:tcW w:w="620" w:type="dxa"/>
            <w:vAlign w:val="bottom"/>
            <w:gridSpan w:val="2"/>
          </w:tcPr>
          <w:p>
            <w:pPr>
              <w:spacing w:after="0"/>
              <w:rPr>
                <w:sz w:val="20"/>
                <w:szCs w:val="20"/>
                <w:color w:val="auto"/>
              </w:rPr>
            </w:pPr>
            <w:r>
              <w:rPr>
                <w:rFonts w:ascii="Arial" w:cs="Arial" w:eastAsia="Arial" w:hAnsi="Arial"/>
                <w:sz w:val="12"/>
                <w:szCs w:val="12"/>
                <w:color w:val="auto"/>
              </w:rPr>
              <w:t>​​ ​ ​150,313</w:t>
            </w:r>
          </w:p>
        </w:tc>
        <w:tc>
          <w:tcPr>
            <w:tcW w:w="620" w:type="dxa"/>
            <w:vAlign w:val="bottom"/>
            <w:gridSpan w:val="3"/>
          </w:tcPr>
          <w:p>
            <w:pPr>
              <w:spacing w:after="0"/>
              <w:rPr>
                <w:sz w:val="20"/>
                <w:szCs w:val="20"/>
                <w:color w:val="auto"/>
              </w:rPr>
            </w:pPr>
            <w:r>
              <w:rPr>
                <w:rFonts w:ascii="Arial" w:cs="Arial" w:eastAsia="Arial" w:hAnsi="Arial"/>
                <w:sz w:val="12"/>
                <w:szCs w:val="12"/>
                <w:color w:val="auto"/>
              </w:rPr>
              <w:t>​​ ​ ​300,626</w:t>
            </w:r>
          </w:p>
        </w:tc>
        <w:tc>
          <w:tcPr>
            <w:tcW w:w="600" w:type="dxa"/>
            <w:vAlign w:val="bottom"/>
            <w:gridSpan w:val="2"/>
          </w:tcPr>
          <w:p>
            <w:pPr>
              <w:spacing w:after="0"/>
              <w:rPr>
                <w:sz w:val="20"/>
                <w:szCs w:val="20"/>
                <w:color w:val="auto"/>
              </w:rPr>
            </w:pPr>
            <w:r>
              <w:rPr>
                <w:rFonts w:ascii="Arial" w:cs="Arial" w:eastAsia="Arial" w:hAnsi="Arial"/>
                <w:sz w:val="12"/>
                <w:szCs w:val="12"/>
                <w:color w:val="auto"/>
              </w:rPr>
              <w:t>​​ ​​</w:t>
            </w:r>
          </w:p>
        </w:tc>
        <w:tc>
          <w:tcPr>
            <w:tcW w:w="860" w:type="dxa"/>
            <w:vAlign w:val="bottom"/>
            <w:gridSpan w:val="4"/>
          </w:tcPr>
          <w:p>
            <w:pPr>
              <w:jc w:val="right"/>
              <w:ind w:right="14"/>
              <w:spacing w:after="0"/>
              <w:rPr>
                <w:sz w:val="20"/>
                <w:szCs w:val="20"/>
                <w:color w:val="auto"/>
              </w:rPr>
            </w:pPr>
            <w:r>
              <w:rPr>
                <w:rFonts w:ascii="Arial" w:cs="Arial" w:eastAsia="Arial" w:hAnsi="Arial"/>
                <w:sz w:val="12"/>
                <w:szCs w:val="12"/>
                <w:color w:val="auto"/>
              </w:rPr>
              <w:t>​​ ​ ​$1,912,254 ​</w:t>
            </w:r>
          </w:p>
        </w:tc>
        <w:tc>
          <w:tcPr>
            <w:tcW w:w="0" w:type="dxa"/>
            <w:vAlign w:val="bottom"/>
          </w:tcPr>
          <w:p>
            <w:pPr>
              <w:spacing w:after="0"/>
              <w:rPr>
                <w:sz w:val="1"/>
                <w:szCs w:val="1"/>
                <w:color w:val="auto"/>
              </w:rPr>
            </w:pPr>
          </w:p>
        </w:tc>
      </w:tr>
      <w:tr>
        <w:trPr>
          <w:trHeight w:val="162"/>
        </w:trPr>
        <w:tc>
          <w:tcPr>
            <w:tcW w:w="60" w:type="dxa"/>
            <w:vAlign w:val="bottom"/>
            <w:shd w:val="clear" w:color="auto" w:fill="B2B2B2"/>
          </w:tcPr>
          <w:p>
            <w:pPr>
              <w:spacing w:after="0"/>
              <w:rPr>
                <w:sz w:val="14"/>
                <w:szCs w:val="14"/>
                <w:color w:val="auto"/>
              </w:rPr>
            </w:pPr>
          </w:p>
        </w:tc>
        <w:tc>
          <w:tcPr>
            <w:tcW w:w="1340" w:type="dxa"/>
            <w:vAlign w:val="bottom"/>
            <w:gridSpan w:val="2"/>
            <w:shd w:val="clear" w:color="auto" w:fill="B2B2B2"/>
          </w:tcPr>
          <w:p>
            <w:pPr>
              <w:spacing w:after="0"/>
              <w:rPr>
                <w:sz w:val="20"/>
                <w:szCs w:val="20"/>
                <w:color w:val="auto"/>
              </w:rPr>
            </w:pPr>
            <w:r>
              <w:rPr>
                <w:rFonts w:ascii="Arial" w:cs="Arial" w:eastAsia="Arial" w:hAnsi="Arial"/>
                <w:sz w:val="12"/>
                <w:szCs w:val="12"/>
                <w:color w:val="auto"/>
              </w:rPr>
              <w:t>Daniel L. Heard</w:t>
            </w:r>
          </w:p>
        </w:tc>
        <w:tc>
          <w:tcPr>
            <w:tcW w:w="600" w:type="dxa"/>
            <w:vAlign w:val="bottom"/>
            <w:tcBorders>
              <w:left w:val="single" w:sz="8" w:color="B2B2B2"/>
            </w:tcBorders>
            <w:gridSpan w:val="4"/>
            <w:shd w:val="clear" w:color="auto" w:fill="B2B2B2"/>
          </w:tcPr>
          <w:p>
            <w:pPr>
              <w:jc w:val="right"/>
              <w:ind w:right="100"/>
              <w:spacing w:after="0"/>
              <w:rPr>
                <w:sz w:val="20"/>
                <w:szCs w:val="20"/>
                <w:color w:val="auto"/>
              </w:rPr>
            </w:pPr>
            <w:r>
              <w:rPr>
                <w:rFonts w:ascii="Arial" w:cs="Arial" w:eastAsia="Arial" w:hAnsi="Arial"/>
                <w:sz w:val="12"/>
                <w:szCs w:val="12"/>
                <w:color w:val="auto"/>
              </w:rPr>
              <w:t>​2/20/25 ​</w:t>
            </w:r>
          </w:p>
        </w:tc>
        <w:tc>
          <w:tcPr>
            <w:tcW w:w="60" w:type="dxa"/>
            <w:vAlign w:val="bottom"/>
            <w:shd w:val="clear" w:color="auto" w:fill="B2B2B2"/>
          </w:tcPr>
          <w:p>
            <w:pPr>
              <w:ind w:left="20"/>
              <w:spacing w:after="0"/>
              <w:rPr>
                <w:sz w:val="20"/>
                <w:szCs w:val="20"/>
                <w:color w:val="auto"/>
              </w:rPr>
            </w:pPr>
            <w:r>
              <w:rPr>
                <w:rFonts w:ascii="Arial" w:cs="Arial" w:eastAsia="Arial" w:hAnsi="Arial"/>
                <w:sz w:val="12"/>
                <w:szCs w:val="12"/>
                <w:color w:val="auto"/>
              </w:rPr>
              <w:t>​</w:t>
            </w:r>
          </w:p>
        </w:tc>
        <w:tc>
          <w:tcPr>
            <w:tcW w:w="560" w:type="dxa"/>
            <w:vAlign w:val="bottom"/>
            <w:shd w:val="clear" w:color="auto" w:fill="B2B2B2"/>
          </w:tcPr>
          <w:p>
            <w:pPr>
              <w:ind w:left="80"/>
              <w:spacing w:after="0"/>
              <w:rPr>
                <w:sz w:val="20"/>
                <w:szCs w:val="20"/>
                <w:color w:val="auto"/>
              </w:rPr>
            </w:pPr>
            <w:r>
              <w:rPr>
                <w:rFonts w:ascii="Arial" w:cs="Arial" w:eastAsia="Arial" w:hAnsi="Arial"/>
                <w:sz w:val="12"/>
                <w:szCs w:val="12"/>
                <w:color w:val="auto"/>
              </w:rPr>
              <w:t>​2/20/25</w:t>
            </w:r>
          </w:p>
        </w:tc>
        <w:tc>
          <w:tcPr>
            <w:tcW w:w="100" w:type="dxa"/>
            <w:vAlign w:val="bottom"/>
            <w:shd w:val="clear" w:color="auto" w:fill="B2B2B2"/>
          </w:tcPr>
          <w:p>
            <w:pPr>
              <w:spacing w:after="0"/>
              <w:rPr>
                <w:sz w:val="20"/>
                <w:szCs w:val="20"/>
                <w:color w:val="auto"/>
              </w:rPr>
            </w:pPr>
            <w:r>
              <w:rPr>
                <w:rFonts w:ascii="Arial" w:cs="Arial" w:eastAsia="Arial" w:hAnsi="Arial"/>
                <w:sz w:val="12"/>
                <w:szCs w:val="12"/>
                <w:color w:val="auto"/>
              </w:rPr>
              <w:t>​</w:t>
            </w:r>
          </w:p>
        </w:tc>
        <w:tc>
          <w:tcPr>
            <w:tcW w:w="120" w:type="dxa"/>
            <w:vAlign w:val="bottom"/>
            <w:shd w:val="clear" w:color="auto" w:fill="B2B2B2"/>
          </w:tcPr>
          <w:p>
            <w:pPr>
              <w:ind w:left="40"/>
              <w:spacing w:after="0"/>
              <w:rPr>
                <w:sz w:val="20"/>
                <w:szCs w:val="20"/>
                <w:color w:val="auto"/>
              </w:rPr>
            </w:pPr>
            <w:r>
              <w:rPr>
                <w:rFonts w:ascii="Arial" w:cs="Arial" w:eastAsia="Arial" w:hAnsi="Arial"/>
                <w:sz w:val="12"/>
                <w:szCs w:val="12"/>
                <w:color w:val="auto"/>
              </w:rPr>
              <w:t>​</w:t>
            </w:r>
          </w:p>
        </w:tc>
        <w:tc>
          <w:tcPr>
            <w:tcW w:w="720" w:type="dxa"/>
            <w:vAlign w:val="bottom"/>
            <w:gridSpan w:val="4"/>
            <w:shd w:val="clear" w:color="auto" w:fill="B2B2B2"/>
          </w:tcPr>
          <w:p>
            <w:pPr>
              <w:jc w:val="right"/>
              <w:ind w:right="20"/>
              <w:spacing w:after="0"/>
              <w:rPr>
                <w:sz w:val="20"/>
                <w:szCs w:val="20"/>
                <w:color w:val="auto"/>
              </w:rPr>
            </w:pPr>
            <w:r>
              <w:rPr>
                <w:rFonts w:ascii="Arial" w:cs="Arial" w:eastAsia="Arial" w:hAnsi="Arial"/>
                <w:sz w:val="12"/>
                <w:szCs w:val="12"/>
                <w:color w:val="auto"/>
              </w:rPr>
              <w:t>217,500 ​​ ​ ​</w:t>
            </w:r>
          </w:p>
        </w:tc>
        <w:tc>
          <w:tcPr>
            <w:tcW w:w="52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2"/>
                <w:szCs w:val="12"/>
                <w:color w:val="auto"/>
              </w:rPr>
              <w:t>435,000</w:t>
            </w:r>
          </w:p>
        </w:tc>
        <w:tc>
          <w:tcPr>
            <w:tcW w:w="240" w:type="dxa"/>
            <w:vAlign w:val="bottom"/>
            <w:gridSpan w:val="2"/>
            <w:shd w:val="clear" w:color="auto" w:fill="B2B2B2"/>
          </w:tcPr>
          <w:p>
            <w:pPr>
              <w:spacing w:after="0"/>
              <w:rPr>
                <w:sz w:val="20"/>
                <w:szCs w:val="20"/>
                <w:color w:val="auto"/>
              </w:rPr>
            </w:pPr>
            <w:r>
              <w:rPr>
                <w:rFonts w:ascii="Arial" w:cs="Arial" w:eastAsia="Arial" w:hAnsi="Arial"/>
                <w:sz w:val="12"/>
                <w:szCs w:val="12"/>
                <w:color w:val="auto"/>
              </w:rPr>
              <w:t>​​ ​ ​</w:t>
            </w:r>
          </w:p>
        </w:tc>
        <w:tc>
          <w:tcPr>
            <w:tcW w:w="560" w:type="dxa"/>
            <w:vAlign w:val="bottom"/>
            <w:gridSpan w:val="2"/>
            <w:shd w:val="clear" w:color="auto" w:fill="B2B2B2"/>
          </w:tcPr>
          <w:p>
            <w:pPr>
              <w:jc w:val="right"/>
              <w:ind w:right="40"/>
              <w:spacing w:after="0"/>
              <w:rPr>
                <w:sz w:val="20"/>
                <w:szCs w:val="20"/>
                <w:color w:val="auto"/>
              </w:rPr>
            </w:pPr>
            <w:r>
              <w:rPr>
                <w:rFonts w:ascii="Arial" w:cs="Arial" w:eastAsia="Arial" w:hAnsi="Arial"/>
                <w:sz w:val="12"/>
                <w:szCs w:val="12"/>
                <w:color w:val="auto"/>
              </w:rPr>
              <w:t>652,500 ​</w:t>
            </w:r>
          </w:p>
        </w:tc>
        <w:tc>
          <w:tcPr>
            <w:tcW w:w="60" w:type="dxa"/>
            <w:vAlign w:val="bottom"/>
            <w:shd w:val="clear" w:color="auto" w:fill="B2B2B2"/>
          </w:tcPr>
          <w:p>
            <w:pPr>
              <w:ind w:left="20"/>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B2B2B2"/>
            </w:tcBorders>
            <w:shd w:val="clear" w:color="auto" w:fill="B2B2B2"/>
          </w:tcPr>
          <w:p>
            <w:pPr>
              <w:ind w:left="60"/>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B2B2B2"/>
            </w:tcBorders>
            <w:shd w:val="clear" w:color="auto" w:fill="B2B2B2"/>
          </w:tcPr>
          <w:p>
            <w:pPr>
              <w:spacing w:after="0"/>
              <w:rPr>
                <w:sz w:val="20"/>
                <w:szCs w:val="20"/>
                <w:color w:val="auto"/>
              </w:rPr>
            </w:pPr>
            <w:r>
              <w:rPr>
                <w:rFonts w:ascii="Arial" w:cs="Arial" w:eastAsia="Arial" w:hAnsi="Arial"/>
                <w:sz w:val="12"/>
                <w:szCs w:val="12"/>
                <w:color w:val="auto"/>
              </w:rPr>
              <w:t>​​ ​ ​</w:t>
            </w:r>
          </w:p>
        </w:tc>
        <w:tc>
          <w:tcPr>
            <w:tcW w:w="420" w:type="dxa"/>
            <w:vAlign w:val="bottom"/>
            <w:shd w:val="clear" w:color="auto" w:fill="B2B2B2"/>
          </w:tcPr>
          <w:p>
            <w:pPr>
              <w:spacing w:after="0"/>
              <w:rPr>
                <w:sz w:val="14"/>
                <w:szCs w:val="14"/>
                <w:color w:val="auto"/>
              </w:rPr>
            </w:pPr>
          </w:p>
        </w:tc>
        <w:tc>
          <w:tcPr>
            <w:tcW w:w="220" w:type="dxa"/>
            <w:vAlign w:val="bottom"/>
            <w:gridSpan w:val="2"/>
            <w:shd w:val="clear" w:color="auto" w:fill="B2B2B2"/>
          </w:tcPr>
          <w:p>
            <w:pPr>
              <w:spacing w:after="0"/>
              <w:rPr>
                <w:sz w:val="20"/>
                <w:szCs w:val="20"/>
                <w:color w:val="auto"/>
              </w:rPr>
            </w:pPr>
            <w:r>
              <w:rPr>
                <w:rFonts w:ascii="Arial" w:cs="Arial" w:eastAsia="Arial" w:hAnsi="Arial"/>
                <w:sz w:val="12"/>
                <w:szCs w:val="12"/>
                <w:color w:val="auto"/>
              </w:rPr>
              <w:t>​​ ​ ​</w:t>
            </w:r>
          </w:p>
        </w:tc>
        <w:tc>
          <w:tcPr>
            <w:tcW w:w="400" w:type="dxa"/>
            <w:vAlign w:val="bottom"/>
            <w:shd w:val="clear" w:color="auto" w:fill="B2B2B2"/>
          </w:tcPr>
          <w:p>
            <w:pPr>
              <w:spacing w:after="0"/>
              <w:rPr>
                <w:sz w:val="14"/>
                <w:szCs w:val="14"/>
                <w:color w:val="auto"/>
              </w:rPr>
            </w:pPr>
          </w:p>
        </w:tc>
        <w:tc>
          <w:tcPr>
            <w:tcW w:w="600" w:type="dxa"/>
            <w:vAlign w:val="bottom"/>
            <w:gridSpan w:val="2"/>
            <w:shd w:val="clear" w:color="auto" w:fill="B2B2B2"/>
          </w:tcPr>
          <w:p>
            <w:pPr>
              <w:spacing w:after="0"/>
              <w:rPr>
                <w:sz w:val="20"/>
                <w:szCs w:val="20"/>
                <w:color w:val="auto"/>
              </w:rPr>
            </w:pPr>
            <w:r>
              <w:rPr>
                <w:rFonts w:ascii="Arial" w:cs="Arial" w:eastAsia="Arial" w:hAnsi="Arial"/>
                <w:sz w:val="12"/>
                <w:szCs w:val="12"/>
                <w:color w:val="auto"/>
              </w:rPr>
              <w:t>​​ ​​</w:t>
            </w:r>
          </w:p>
        </w:tc>
        <w:tc>
          <w:tcPr>
            <w:tcW w:w="260" w:type="dxa"/>
            <w:vAlign w:val="bottom"/>
            <w:gridSpan w:val="2"/>
            <w:shd w:val="clear" w:color="auto" w:fill="B2B2B2"/>
          </w:tcPr>
          <w:p>
            <w:pPr>
              <w:spacing w:after="0"/>
              <w:rPr>
                <w:sz w:val="20"/>
                <w:szCs w:val="20"/>
                <w:color w:val="auto"/>
              </w:rPr>
            </w:pPr>
            <w:r>
              <w:rPr>
                <w:rFonts w:ascii="Arial" w:cs="Arial" w:eastAsia="Arial" w:hAnsi="Arial"/>
                <w:sz w:val="12"/>
                <w:szCs w:val="12"/>
                <w:color w:val="auto"/>
              </w:rPr>
              <w:t>​​ ​ ​</w:t>
            </w:r>
          </w:p>
        </w:tc>
        <w:tc>
          <w:tcPr>
            <w:tcW w:w="560" w:type="dxa"/>
            <w:vAlign w:val="bottom"/>
            <w:shd w:val="clear" w:color="auto" w:fill="B2B2B2"/>
          </w:tcPr>
          <w:p>
            <w:pPr>
              <w:spacing w:after="0"/>
              <w:rPr>
                <w:sz w:val="14"/>
                <w:szCs w:val="14"/>
                <w:color w:val="auto"/>
              </w:rPr>
            </w:pPr>
          </w:p>
        </w:tc>
        <w:tc>
          <w:tcPr>
            <w:tcW w:w="40" w:type="dxa"/>
            <w:vAlign w:val="bottom"/>
            <w:shd w:val="clear" w:color="auto" w:fill="B2B2B2"/>
          </w:tcPr>
          <w:p>
            <w:pPr>
              <w:jc w:val="right"/>
              <w:ind w:right="14"/>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62"/>
        </w:trPr>
        <w:tc>
          <w:tcPr>
            <w:tcW w:w="60" w:type="dxa"/>
            <w:vAlign w:val="bottom"/>
            <w:shd w:val="clear" w:color="auto" w:fill="B2B2B2"/>
          </w:tcPr>
          <w:p>
            <w:pPr>
              <w:spacing w:after="0"/>
              <w:rPr>
                <w:sz w:val="14"/>
                <w:szCs w:val="14"/>
                <w:color w:val="auto"/>
              </w:rPr>
            </w:pPr>
          </w:p>
        </w:tc>
        <w:tc>
          <w:tcPr>
            <w:tcW w:w="1220" w:type="dxa"/>
            <w:vAlign w:val="bottom"/>
            <w:shd w:val="clear" w:color="auto" w:fill="B2B2B2"/>
          </w:tcPr>
          <w:p>
            <w:pPr>
              <w:spacing w:after="0"/>
              <w:rPr>
                <w:sz w:val="14"/>
                <w:szCs w:val="14"/>
                <w:color w:val="auto"/>
              </w:rPr>
            </w:pPr>
          </w:p>
        </w:tc>
        <w:tc>
          <w:tcPr>
            <w:tcW w:w="120" w:type="dxa"/>
            <w:vAlign w:val="bottom"/>
            <w:shd w:val="clear" w:color="auto" w:fill="B2B2B2"/>
          </w:tcPr>
          <w:p>
            <w:pPr>
              <w:spacing w:after="0"/>
              <w:rPr>
                <w:sz w:val="14"/>
                <w:szCs w:val="14"/>
                <w:color w:val="auto"/>
              </w:rPr>
            </w:pPr>
          </w:p>
        </w:tc>
        <w:tc>
          <w:tcPr>
            <w:tcW w:w="600" w:type="dxa"/>
            <w:vAlign w:val="bottom"/>
            <w:tcBorders>
              <w:left w:val="single" w:sz="8" w:color="B2B2B2"/>
            </w:tcBorders>
            <w:gridSpan w:val="4"/>
            <w:shd w:val="clear" w:color="auto" w:fill="B2B2B2"/>
          </w:tcPr>
          <w:p>
            <w:pPr>
              <w:jc w:val="right"/>
              <w:ind w:right="100"/>
              <w:spacing w:after="0"/>
              <w:rPr>
                <w:sz w:val="20"/>
                <w:szCs w:val="20"/>
                <w:color w:val="auto"/>
              </w:rPr>
            </w:pPr>
            <w:r>
              <w:rPr>
                <w:rFonts w:ascii="Arial" w:cs="Arial" w:eastAsia="Arial" w:hAnsi="Arial"/>
                <w:sz w:val="12"/>
                <w:szCs w:val="12"/>
                <w:color w:val="auto"/>
              </w:rPr>
              <w:t>​2/20/25 ​</w:t>
            </w:r>
          </w:p>
        </w:tc>
        <w:tc>
          <w:tcPr>
            <w:tcW w:w="60" w:type="dxa"/>
            <w:vAlign w:val="bottom"/>
            <w:shd w:val="clear" w:color="auto" w:fill="B2B2B2"/>
          </w:tcPr>
          <w:p>
            <w:pPr>
              <w:ind w:left="20"/>
              <w:spacing w:after="0"/>
              <w:rPr>
                <w:sz w:val="20"/>
                <w:szCs w:val="20"/>
                <w:color w:val="auto"/>
              </w:rPr>
            </w:pPr>
            <w:r>
              <w:rPr>
                <w:rFonts w:ascii="Arial" w:cs="Arial" w:eastAsia="Arial" w:hAnsi="Arial"/>
                <w:sz w:val="12"/>
                <w:szCs w:val="12"/>
                <w:color w:val="auto"/>
              </w:rPr>
              <w:t>​</w:t>
            </w:r>
          </w:p>
        </w:tc>
        <w:tc>
          <w:tcPr>
            <w:tcW w:w="560" w:type="dxa"/>
            <w:vAlign w:val="bottom"/>
            <w:shd w:val="clear" w:color="auto" w:fill="B2B2B2"/>
          </w:tcPr>
          <w:p>
            <w:pPr>
              <w:ind w:left="80"/>
              <w:spacing w:after="0"/>
              <w:rPr>
                <w:sz w:val="20"/>
                <w:szCs w:val="20"/>
                <w:color w:val="auto"/>
              </w:rPr>
            </w:pPr>
            <w:r>
              <w:rPr>
                <w:rFonts w:ascii="Arial" w:cs="Arial" w:eastAsia="Arial" w:hAnsi="Arial"/>
                <w:sz w:val="12"/>
                <w:szCs w:val="12"/>
                <w:color w:val="auto"/>
              </w:rPr>
              <w:t>​2/20/25</w:t>
            </w:r>
          </w:p>
        </w:tc>
        <w:tc>
          <w:tcPr>
            <w:tcW w:w="100" w:type="dxa"/>
            <w:vAlign w:val="bottom"/>
            <w:shd w:val="clear" w:color="auto" w:fill="B2B2B2"/>
          </w:tcPr>
          <w:p>
            <w:pPr>
              <w:spacing w:after="0"/>
              <w:rPr>
                <w:sz w:val="20"/>
                <w:szCs w:val="20"/>
                <w:color w:val="auto"/>
              </w:rPr>
            </w:pPr>
            <w:r>
              <w:rPr>
                <w:rFonts w:ascii="Arial" w:cs="Arial" w:eastAsia="Arial" w:hAnsi="Arial"/>
                <w:sz w:val="12"/>
                <w:szCs w:val="12"/>
                <w:color w:val="auto"/>
              </w:rPr>
              <w:t>​</w:t>
            </w:r>
          </w:p>
        </w:tc>
        <w:tc>
          <w:tcPr>
            <w:tcW w:w="120" w:type="dxa"/>
            <w:vAlign w:val="bottom"/>
            <w:shd w:val="clear" w:color="auto" w:fill="B2B2B2"/>
          </w:tcPr>
          <w:p>
            <w:pPr>
              <w:ind w:left="40"/>
              <w:spacing w:after="0"/>
              <w:rPr>
                <w:sz w:val="20"/>
                <w:szCs w:val="20"/>
                <w:color w:val="auto"/>
              </w:rPr>
            </w:pPr>
            <w:r>
              <w:rPr>
                <w:rFonts w:ascii="Arial" w:cs="Arial" w:eastAsia="Arial" w:hAnsi="Arial"/>
                <w:sz w:val="12"/>
                <w:szCs w:val="12"/>
                <w:color w:val="auto"/>
              </w:rPr>
              <w:t>​</w:t>
            </w:r>
          </w:p>
        </w:tc>
        <w:tc>
          <w:tcPr>
            <w:tcW w:w="460" w:type="dxa"/>
            <w:vAlign w:val="bottom"/>
            <w:shd w:val="clear" w:color="auto" w:fill="B2B2B2"/>
          </w:tcPr>
          <w:p>
            <w:pPr>
              <w:spacing w:after="0"/>
              <w:rPr>
                <w:sz w:val="14"/>
                <w:szCs w:val="14"/>
                <w:color w:val="auto"/>
              </w:rPr>
            </w:pPr>
          </w:p>
        </w:tc>
        <w:tc>
          <w:tcPr>
            <w:tcW w:w="260" w:type="dxa"/>
            <w:vAlign w:val="bottom"/>
            <w:gridSpan w:val="3"/>
            <w:shd w:val="clear" w:color="auto" w:fill="B2B2B2"/>
          </w:tcPr>
          <w:p>
            <w:pPr>
              <w:jc w:val="right"/>
              <w:ind w:right="20"/>
              <w:spacing w:after="0"/>
              <w:rPr>
                <w:sz w:val="20"/>
                <w:szCs w:val="20"/>
                <w:color w:val="auto"/>
              </w:rPr>
            </w:pPr>
            <w:r>
              <w:rPr>
                <w:rFonts w:ascii="Arial" w:cs="Arial" w:eastAsia="Arial" w:hAnsi="Arial"/>
                <w:sz w:val="12"/>
                <w:szCs w:val="12"/>
                <w:color w:val="auto"/>
              </w:rPr>
              <w:t>​​ ​ ​</w:t>
            </w:r>
          </w:p>
        </w:tc>
        <w:tc>
          <w:tcPr>
            <w:tcW w:w="520" w:type="dxa"/>
            <w:vAlign w:val="bottom"/>
            <w:tcBorders>
              <w:right w:val="single" w:sz="8" w:color="B2B2B2"/>
            </w:tcBorders>
            <w:shd w:val="clear" w:color="auto" w:fill="B2B2B2"/>
          </w:tcPr>
          <w:p>
            <w:pPr>
              <w:spacing w:after="0"/>
              <w:rPr>
                <w:sz w:val="14"/>
                <w:szCs w:val="14"/>
                <w:color w:val="auto"/>
              </w:rPr>
            </w:pPr>
          </w:p>
        </w:tc>
        <w:tc>
          <w:tcPr>
            <w:tcW w:w="240" w:type="dxa"/>
            <w:vAlign w:val="bottom"/>
            <w:gridSpan w:val="2"/>
            <w:shd w:val="clear" w:color="auto" w:fill="B2B2B2"/>
          </w:tcPr>
          <w:p>
            <w:pPr>
              <w:spacing w:after="0"/>
              <w:rPr>
                <w:sz w:val="20"/>
                <w:szCs w:val="20"/>
                <w:color w:val="auto"/>
              </w:rPr>
            </w:pPr>
            <w:r>
              <w:rPr>
                <w:rFonts w:ascii="Arial" w:cs="Arial" w:eastAsia="Arial" w:hAnsi="Arial"/>
                <w:sz w:val="12"/>
                <w:szCs w:val="12"/>
                <w:color w:val="auto"/>
              </w:rPr>
              <w:t>​​ ​ ​</w:t>
            </w:r>
          </w:p>
        </w:tc>
        <w:tc>
          <w:tcPr>
            <w:tcW w:w="560" w:type="dxa"/>
            <w:vAlign w:val="bottom"/>
            <w:gridSpan w:val="2"/>
            <w:shd w:val="clear" w:color="auto" w:fill="B2B2B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B2B2B2"/>
          </w:tcPr>
          <w:p>
            <w:pPr>
              <w:ind w:left="20"/>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B2B2B2"/>
            </w:tcBorders>
            <w:shd w:val="clear" w:color="auto" w:fill="B2B2B2"/>
          </w:tcPr>
          <w:p>
            <w:pPr>
              <w:ind w:left="60"/>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B2B2B2"/>
            </w:tcBorders>
            <w:shd w:val="clear" w:color="auto" w:fill="B2B2B2"/>
          </w:tcPr>
          <w:p>
            <w:pPr>
              <w:spacing w:after="0"/>
              <w:rPr>
                <w:sz w:val="20"/>
                <w:szCs w:val="20"/>
                <w:color w:val="auto"/>
              </w:rPr>
            </w:pPr>
            <w:r>
              <w:rPr>
                <w:rFonts w:ascii="Arial" w:cs="Arial" w:eastAsia="Arial" w:hAnsi="Arial"/>
                <w:sz w:val="12"/>
                <w:szCs w:val="12"/>
                <w:color w:val="auto"/>
              </w:rPr>
              <w:t>​​ ​ ​</w:t>
            </w:r>
          </w:p>
        </w:tc>
        <w:tc>
          <w:tcPr>
            <w:tcW w:w="420" w:type="dxa"/>
            <w:vAlign w:val="bottom"/>
            <w:shd w:val="clear" w:color="auto" w:fill="B2B2B2"/>
          </w:tcPr>
          <w:p>
            <w:pPr>
              <w:spacing w:after="0"/>
              <w:rPr>
                <w:sz w:val="14"/>
                <w:szCs w:val="14"/>
                <w:color w:val="auto"/>
              </w:rPr>
            </w:pPr>
          </w:p>
        </w:tc>
        <w:tc>
          <w:tcPr>
            <w:tcW w:w="220" w:type="dxa"/>
            <w:vAlign w:val="bottom"/>
            <w:gridSpan w:val="2"/>
            <w:shd w:val="clear" w:color="auto" w:fill="B2B2B2"/>
          </w:tcPr>
          <w:p>
            <w:pPr>
              <w:spacing w:after="0"/>
              <w:rPr>
                <w:sz w:val="20"/>
                <w:szCs w:val="20"/>
                <w:color w:val="auto"/>
              </w:rPr>
            </w:pPr>
            <w:r>
              <w:rPr>
                <w:rFonts w:ascii="Arial" w:cs="Arial" w:eastAsia="Arial" w:hAnsi="Arial"/>
                <w:sz w:val="12"/>
                <w:szCs w:val="12"/>
                <w:color w:val="auto"/>
              </w:rPr>
              <w:t>​​ ​ ​</w:t>
            </w:r>
          </w:p>
        </w:tc>
        <w:tc>
          <w:tcPr>
            <w:tcW w:w="400" w:type="dxa"/>
            <w:vAlign w:val="bottom"/>
            <w:shd w:val="clear" w:color="auto" w:fill="B2B2B2"/>
          </w:tcPr>
          <w:p>
            <w:pPr>
              <w:spacing w:after="0"/>
              <w:rPr>
                <w:sz w:val="14"/>
                <w:szCs w:val="14"/>
                <w:color w:val="auto"/>
              </w:rPr>
            </w:pPr>
          </w:p>
        </w:tc>
        <w:tc>
          <w:tcPr>
            <w:tcW w:w="860" w:type="dxa"/>
            <w:vAlign w:val="bottom"/>
            <w:gridSpan w:val="4"/>
            <w:shd w:val="clear" w:color="auto" w:fill="B2B2B2"/>
          </w:tcPr>
          <w:p>
            <w:pPr>
              <w:spacing w:after="0"/>
              <w:rPr>
                <w:sz w:val="20"/>
                <w:szCs w:val="20"/>
                <w:color w:val="auto"/>
              </w:rPr>
            </w:pPr>
            <w:r>
              <w:rPr>
                <w:rFonts w:ascii="Arial" w:cs="Arial" w:eastAsia="Arial" w:hAnsi="Arial"/>
                <w:sz w:val="12"/>
                <w:szCs w:val="12"/>
                <w:color w:val="auto"/>
              </w:rPr>
              <w:t>​​ ​​ 40,555​​ ​ ​$</w:t>
            </w:r>
          </w:p>
        </w:tc>
        <w:tc>
          <w:tcPr>
            <w:tcW w:w="560" w:type="dxa"/>
            <w:vAlign w:val="bottom"/>
            <w:shd w:val="clear" w:color="auto" w:fill="B2B2B2"/>
          </w:tcPr>
          <w:p>
            <w:pPr>
              <w:ind w:left="100"/>
              <w:spacing w:after="0"/>
              <w:rPr>
                <w:sz w:val="20"/>
                <w:szCs w:val="20"/>
                <w:color w:val="auto"/>
              </w:rPr>
            </w:pPr>
            <w:r>
              <w:rPr>
                <w:rFonts w:ascii="Arial" w:cs="Arial" w:eastAsia="Arial" w:hAnsi="Arial"/>
                <w:sz w:val="12"/>
                <w:szCs w:val="12"/>
                <w:color w:val="auto"/>
              </w:rPr>
              <w:t>364,589</w:t>
            </w:r>
          </w:p>
        </w:tc>
        <w:tc>
          <w:tcPr>
            <w:tcW w:w="40" w:type="dxa"/>
            <w:vAlign w:val="bottom"/>
            <w:shd w:val="clear" w:color="auto" w:fill="B2B2B2"/>
          </w:tcPr>
          <w:p>
            <w:pPr>
              <w:jc w:val="right"/>
              <w:ind w:right="14"/>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62"/>
        </w:trPr>
        <w:tc>
          <w:tcPr>
            <w:tcW w:w="60" w:type="dxa"/>
            <w:vAlign w:val="bottom"/>
            <w:shd w:val="clear" w:color="auto" w:fill="B2B2B2"/>
          </w:tcPr>
          <w:p>
            <w:pPr>
              <w:spacing w:after="0"/>
              <w:rPr>
                <w:sz w:val="14"/>
                <w:szCs w:val="14"/>
                <w:color w:val="auto"/>
              </w:rPr>
            </w:pPr>
          </w:p>
        </w:tc>
        <w:tc>
          <w:tcPr>
            <w:tcW w:w="1220" w:type="dxa"/>
            <w:vAlign w:val="bottom"/>
            <w:shd w:val="clear" w:color="auto" w:fill="B2B2B2"/>
          </w:tcPr>
          <w:p>
            <w:pPr>
              <w:spacing w:after="0"/>
              <w:rPr>
                <w:sz w:val="14"/>
                <w:szCs w:val="14"/>
                <w:color w:val="auto"/>
              </w:rPr>
            </w:pPr>
          </w:p>
        </w:tc>
        <w:tc>
          <w:tcPr>
            <w:tcW w:w="120" w:type="dxa"/>
            <w:vAlign w:val="bottom"/>
            <w:shd w:val="clear" w:color="auto" w:fill="B2B2B2"/>
          </w:tcPr>
          <w:p>
            <w:pPr>
              <w:spacing w:after="0"/>
              <w:rPr>
                <w:sz w:val="14"/>
                <w:szCs w:val="14"/>
                <w:color w:val="auto"/>
              </w:rPr>
            </w:pPr>
          </w:p>
        </w:tc>
        <w:tc>
          <w:tcPr>
            <w:tcW w:w="440" w:type="dxa"/>
            <w:vAlign w:val="bottom"/>
            <w:tcBorders>
              <w:left w:val="single" w:sz="8" w:color="B2B2B2"/>
            </w:tcBorders>
            <w:shd w:val="clear" w:color="auto" w:fill="B2B2B2"/>
          </w:tcPr>
          <w:p>
            <w:pPr>
              <w:jc w:val="right"/>
              <w:spacing w:after="0"/>
              <w:rPr>
                <w:sz w:val="20"/>
                <w:szCs w:val="20"/>
                <w:color w:val="auto"/>
              </w:rPr>
            </w:pPr>
            <w:r>
              <w:rPr>
                <w:rFonts w:ascii="Arial" w:cs="Arial" w:eastAsia="Arial" w:hAnsi="Arial"/>
                <w:sz w:val="12"/>
                <w:szCs w:val="12"/>
                <w:color w:val="auto"/>
              </w:rPr>
              <w:t>​2/20/25</w:t>
            </w:r>
          </w:p>
        </w:tc>
        <w:tc>
          <w:tcPr>
            <w:tcW w:w="160" w:type="dxa"/>
            <w:vAlign w:val="bottom"/>
            <w:gridSpan w:val="3"/>
            <w:shd w:val="clear" w:color="auto" w:fill="B2B2B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B2B2B2"/>
          </w:tcPr>
          <w:p>
            <w:pPr>
              <w:ind w:left="20"/>
              <w:spacing w:after="0"/>
              <w:rPr>
                <w:sz w:val="20"/>
                <w:szCs w:val="20"/>
                <w:color w:val="auto"/>
              </w:rPr>
            </w:pPr>
            <w:r>
              <w:rPr>
                <w:rFonts w:ascii="Arial" w:cs="Arial" w:eastAsia="Arial" w:hAnsi="Arial"/>
                <w:sz w:val="12"/>
                <w:szCs w:val="12"/>
                <w:color w:val="auto"/>
              </w:rPr>
              <w:t>​</w:t>
            </w:r>
          </w:p>
        </w:tc>
        <w:tc>
          <w:tcPr>
            <w:tcW w:w="560" w:type="dxa"/>
            <w:vAlign w:val="bottom"/>
            <w:shd w:val="clear" w:color="auto" w:fill="B2B2B2"/>
          </w:tcPr>
          <w:p>
            <w:pPr>
              <w:ind w:left="80"/>
              <w:spacing w:after="0"/>
              <w:rPr>
                <w:sz w:val="20"/>
                <w:szCs w:val="20"/>
                <w:color w:val="auto"/>
              </w:rPr>
            </w:pPr>
            <w:r>
              <w:rPr>
                <w:rFonts w:ascii="Arial" w:cs="Arial" w:eastAsia="Arial" w:hAnsi="Arial"/>
                <w:sz w:val="12"/>
                <w:szCs w:val="12"/>
                <w:color w:val="auto"/>
              </w:rPr>
              <w:t>​2/20/25</w:t>
            </w:r>
          </w:p>
        </w:tc>
        <w:tc>
          <w:tcPr>
            <w:tcW w:w="100" w:type="dxa"/>
            <w:vAlign w:val="bottom"/>
            <w:shd w:val="clear" w:color="auto" w:fill="B2B2B2"/>
          </w:tcPr>
          <w:p>
            <w:pPr>
              <w:spacing w:after="0"/>
              <w:rPr>
                <w:sz w:val="20"/>
                <w:szCs w:val="20"/>
                <w:color w:val="auto"/>
              </w:rPr>
            </w:pPr>
            <w:r>
              <w:rPr>
                <w:rFonts w:ascii="Arial" w:cs="Arial" w:eastAsia="Arial" w:hAnsi="Arial"/>
                <w:sz w:val="12"/>
                <w:szCs w:val="12"/>
                <w:color w:val="auto"/>
              </w:rPr>
              <w:t>​</w:t>
            </w:r>
          </w:p>
        </w:tc>
        <w:tc>
          <w:tcPr>
            <w:tcW w:w="120" w:type="dxa"/>
            <w:vAlign w:val="bottom"/>
            <w:shd w:val="clear" w:color="auto" w:fill="B2B2B2"/>
          </w:tcPr>
          <w:p>
            <w:pPr>
              <w:ind w:left="40"/>
              <w:spacing w:after="0"/>
              <w:rPr>
                <w:sz w:val="20"/>
                <w:szCs w:val="20"/>
                <w:color w:val="auto"/>
              </w:rPr>
            </w:pPr>
            <w:r>
              <w:rPr>
                <w:rFonts w:ascii="Arial" w:cs="Arial" w:eastAsia="Arial" w:hAnsi="Arial"/>
                <w:sz w:val="12"/>
                <w:szCs w:val="12"/>
                <w:color w:val="auto"/>
              </w:rPr>
              <w:t>​</w:t>
            </w:r>
          </w:p>
        </w:tc>
        <w:tc>
          <w:tcPr>
            <w:tcW w:w="460" w:type="dxa"/>
            <w:vAlign w:val="bottom"/>
            <w:shd w:val="clear" w:color="auto" w:fill="B2B2B2"/>
          </w:tcPr>
          <w:p>
            <w:pPr>
              <w:spacing w:after="0"/>
              <w:rPr>
                <w:sz w:val="14"/>
                <w:szCs w:val="14"/>
                <w:color w:val="auto"/>
              </w:rPr>
            </w:pPr>
          </w:p>
        </w:tc>
        <w:tc>
          <w:tcPr>
            <w:tcW w:w="260" w:type="dxa"/>
            <w:vAlign w:val="bottom"/>
            <w:gridSpan w:val="3"/>
            <w:shd w:val="clear" w:color="auto" w:fill="B2B2B2"/>
          </w:tcPr>
          <w:p>
            <w:pPr>
              <w:jc w:val="right"/>
              <w:ind w:right="20"/>
              <w:spacing w:after="0"/>
              <w:rPr>
                <w:sz w:val="20"/>
                <w:szCs w:val="20"/>
                <w:color w:val="auto"/>
              </w:rPr>
            </w:pPr>
            <w:r>
              <w:rPr>
                <w:rFonts w:ascii="Arial" w:cs="Arial" w:eastAsia="Arial" w:hAnsi="Arial"/>
                <w:sz w:val="12"/>
                <w:szCs w:val="12"/>
                <w:color w:val="auto"/>
              </w:rPr>
              <w:t>​​ ​ ​</w:t>
            </w:r>
          </w:p>
        </w:tc>
        <w:tc>
          <w:tcPr>
            <w:tcW w:w="520" w:type="dxa"/>
            <w:vAlign w:val="bottom"/>
            <w:tcBorders>
              <w:right w:val="single" w:sz="8" w:color="B2B2B2"/>
            </w:tcBorders>
            <w:shd w:val="clear" w:color="auto" w:fill="B2B2B2"/>
          </w:tcPr>
          <w:p>
            <w:pPr>
              <w:spacing w:after="0"/>
              <w:rPr>
                <w:sz w:val="14"/>
                <w:szCs w:val="14"/>
                <w:color w:val="auto"/>
              </w:rPr>
            </w:pPr>
          </w:p>
        </w:tc>
        <w:tc>
          <w:tcPr>
            <w:tcW w:w="240" w:type="dxa"/>
            <w:vAlign w:val="bottom"/>
            <w:gridSpan w:val="2"/>
            <w:shd w:val="clear" w:color="auto" w:fill="B2B2B2"/>
          </w:tcPr>
          <w:p>
            <w:pPr>
              <w:spacing w:after="0"/>
              <w:rPr>
                <w:sz w:val="20"/>
                <w:szCs w:val="20"/>
                <w:color w:val="auto"/>
              </w:rPr>
            </w:pPr>
            <w:r>
              <w:rPr>
                <w:rFonts w:ascii="Arial" w:cs="Arial" w:eastAsia="Arial" w:hAnsi="Arial"/>
                <w:sz w:val="12"/>
                <w:szCs w:val="12"/>
                <w:color w:val="auto"/>
              </w:rPr>
              <w:t>​​ ​ ​</w:t>
            </w:r>
          </w:p>
        </w:tc>
        <w:tc>
          <w:tcPr>
            <w:tcW w:w="560" w:type="dxa"/>
            <w:vAlign w:val="bottom"/>
            <w:gridSpan w:val="2"/>
            <w:shd w:val="clear" w:color="auto" w:fill="B2B2B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B2B2B2"/>
          </w:tcPr>
          <w:p>
            <w:pPr>
              <w:ind w:left="20"/>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B2B2B2"/>
            </w:tcBorders>
            <w:shd w:val="clear" w:color="auto" w:fill="B2B2B2"/>
          </w:tcPr>
          <w:p>
            <w:pPr>
              <w:ind w:left="60"/>
              <w:spacing w:after="0"/>
              <w:rPr>
                <w:sz w:val="20"/>
                <w:szCs w:val="20"/>
                <w:color w:val="auto"/>
              </w:rPr>
            </w:pPr>
            <w:r>
              <w:rPr>
                <w:rFonts w:ascii="Arial" w:cs="Arial" w:eastAsia="Arial" w:hAnsi="Arial"/>
                <w:sz w:val="12"/>
                <w:szCs w:val="12"/>
                <w:color w:val="auto"/>
              </w:rPr>
              <w:t>​ 20,278</w:t>
            </w:r>
          </w:p>
        </w:tc>
        <w:tc>
          <w:tcPr>
            <w:tcW w:w="840" w:type="dxa"/>
            <w:vAlign w:val="bottom"/>
            <w:gridSpan w:val="4"/>
            <w:shd w:val="clear" w:color="auto" w:fill="B2B2B2"/>
          </w:tcPr>
          <w:p>
            <w:pPr>
              <w:spacing w:after="0"/>
              <w:rPr>
                <w:sz w:val="20"/>
                <w:szCs w:val="20"/>
                <w:color w:val="auto"/>
              </w:rPr>
            </w:pPr>
            <w:r>
              <w:rPr>
                <w:rFonts w:ascii="Arial" w:cs="Arial" w:eastAsia="Arial" w:hAnsi="Arial"/>
                <w:sz w:val="12"/>
                <w:szCs w:val="12"/>
                <w:color w:val="auto"/>
              </w:rPr>
              <w:t>​​ ​ ​ 40,555 ​​ ​ ​</w:t>
            </w:r>
          </w:p>
        </w:tc>
        <w:tc>
          <w:tcPr>
            <w:tcW w:w="1000" w:type="dxa"/>
            <w:vAlign w:val="bottom"/>
            <w:gridSpan w:val="3"/>
            <w:shd w:val="clear" w:color="auto" w:fill="B2B2B2"/>
          </w:tcPr>
          <w:p>
            <w:pPr>
              <w:ind w:left="40"/>
              <w:spacing w:after="0"/>
              <w:rPr>
                <w:sz w:val="20"/>
                <w:szCs w:val="20"/>
                <w:color w:val="auto"/>
              </w:rPr>
            </w:pPr>
            <w:r>
              <w:rPr>
                <w:rFonts w:ascii="Arial" w:cs="Arial" w:eastAsia="Arial" w:hAnsi="Arial"/>
                <w:sz w:val="12"/>
                <w:szCs w:val="12"/>
                <w:color w:val="auto"/>
              </w:rPr>
              <w:t>81,110 ​​ ​​</w:t>
            </w:r>
          </w:p>
        </w:tc>
        <w:tc>
          <w:tcPr>
            <w:tcW w:w="260" w:type="dxa"/>
            <w:vAlign w:val="bottom"/>
            <w:gridSpan w:val="2"/>
            <w:shd w:val="clear" w:color="auto" w:fill="B2B2B2"/>
          </w:tcPr>
          <w:p>
            <w:pPr>
              <w:spacing w:after="0"/>
              <w:rPr>
                <w:sz w:val="20"/>
                <w:szCs w:val="20"/>
                <w:color w:val="auto"/>
              </w:rPr>
            </w:pPr>
            <w:r>
              <w:rPr>
                <w:rFonts w:ascii="Arial" w:cs="Arial" w:eastAsia="Arial" w:hAnsi="Arial"/>
                <w:sz w:val="12"/>
                <w:szCs w:val="12"/>
                <w:color w:val="auto"/>
              </w:rPr>
              <w:t>​​ ​ ​$</w:t>
            </w:r>
          </w:p>
        </w:tc>
        <w:tc>
          <w:tcPr>
            <w:tcW w:w="560" w:type="dxa"/>
            <w:vAlign w:val="bottom"/>
            <w:shd w:val="clear" w:color="auto" w:fill="B2B2B2"/>
          </w:tcPr>
          <w:p>
            <w:pPr>
              <w:ind w:left="100"/>
              <w:spacing w:after="0"/>
              <w:rPr>
                <w:sz w:val="20"/>
                <w:szCs w:val="20"/>
                <w:color w:val="auto"/>
              </w:rPr>
            </w:pPr>
            <w:r>
              <w:rPr>
                <w:rFonts w:ascii="Arial" w:cs="Arial" w:eastAsia="Arial" w:hAnsi="Arial"/>
                <w:sz w:val="12"/>
                <w:szCs w:val="12"/>
                <w:color w:val="auto"/>
              </w:rPr>
              <w:t>515,938</w:t>
            </w:r>
          </w:p>
        </w:tc>
        <w:tc>
          <w:tcPr>
            <w:tcW w:w="40" w:type="dxa"/>
            <w:vAlign w:val="bottom"/>
            <w:shd w:val="clear" w:color="auto" w:fill="B2B2B2"/>
          </w:tcPr>
          <w:p>
            <w:pPr>
              <w:jc w:val="right"/>
              <w:ind w:right="14"/>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62"/>
        </w:trPr>
        <w:tc>
          <w:tcPr>
            <w:tcW w:w="60" w:type="dxa"/>
            <w:vAlign w:val="bottom"/>
            <w:shd w:val="clear" w:color="auto" w:fill="B2B2B2"/>
          </w:tcPr>
          <w:p>
            <w:pPr>
              <w:spacing w:after="0"/>
              <w:rPr>
                <w:sz w:val="14"/>
                <w:szCs w:val="14"/>
                <w:color w:val="auto"/>
              </w:rPr>
            </w:pPr>
          </w:p>
        </w:tc>
        <w:tc>
          <w:tcPr>
            <w:tcW w:w="1220" w:type="dxa"/>
            <w:vAlign w:val="bottom"/>
            <w:shd w:val="clear" w:color="auto" w:fill="B2B2B2"/>
          </w:tcPr>
          <w:p>
            <w:pPr>
              <w:spacing w:after="0"/>
              <w:rPr>
                <w:sz w:val="14"/>
                <w:szCs w:val="14"/>
                <w:color w:val="auto"/>
              </w:rPr>
            </w:pPr>
          </w:p>
        </w:tc>
        <w:tc>
          <w:tcPr>
            <w:tcW w:w="120" w:type="dxa"/>
            <w:vAlign w:val="bottom"/>
            <w:shd w:val="clear" w:color="auto" w:fill="B2B2B2"/>
          </w:tcPr>
          <w:p>
            <w:pPr>
              <w:spacing w:after="0"/>
              <w:rPr>
                <w:sz w:val="14"/>
                <w:szCs w:val="14"/>
                <w:color w:val="auto"/>
              </w:rPr>
            </w:pPr>
          </w:p>
        </w:tc>
        <w:tc>
          <w:tcPr>
            <w:tcW w:w="600" w:type="dxa"/>
            <w:vAlign w:val="bottom"/>
            <w:tcBorders>
              <w:left w:val="single" w:sz="8" w:color="B2B2B2"/>
            </w:tcBorders>
            <w:gridSpan w:val="4"/>
          </w:tcPr>
          <w:p>
            <w:pPr>
              <w:jc w:val="right"/>
              <w:ind w:right="20"/>
              <w:spacing w:after="0"/>
              <w:rPr>
                <w:sz w:val="20"/>
                <w:szCs w:val="20"/>
                <w:color w:val="auto"/>
              </w:rPr>
            </w:pPr>
            <w:r>
              <w:rPr>
                <w:rFonts w:ascii="Arial" w:cs="Arial" w:eastAsia="Arial" w:hAnsi="Arial"/>
                <w:sz w:val="12"/>
                <w:szCs w:val="12"/>
                <w:color w:val="auto"/>
              </w:rPr>
              <w:t>​5/16/24(5)​</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80"/>
              <w:spacing w:after="0"/>
              <w:rPr>
                <w:sz w:val="20"/>
                <w:szCs w:val="20"/>
                <w:color w:val="auto"/>
              </w:rPr>
            </w:pPr>
            <w:r>
              <w:rPr>
                <w:rFonts w:ascii="Arial" w:cs="Arial" w:eastAsia="Arial" w:hAnsi="Arial"/>
                <w:sz w:val="12"/>
                <w:szCs w:val="12"/>
                <w:color w:val="auto"/>
              </w:rPr>
              <w:t>​8/01/25</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20" w:type="dxa"/>
            <w:vAlign w:val="bottom"/>
          </w:tcPr>
          <w:p>
            <w:pPr>
              <w:ind w:left="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2"/>
                <w:szCs w:val="12"/>
                <w:color w:val="auto"/>
              </w:rPr>
              <w:t>​​ ​ ​</w:t>
            </w:r>
          </w:p>
        </w:tc>
        <w:tc>
          <w:tcPr>
            <w:tcW w:w="520" w:type="dxa"/>
            <w:vAlign w:val="bottom"/>
          </w:tcPr>
          <w:p>
            <w:pPr>
              <w:spacing w:after="0"/>
              <w:rPr>
                <w:sz w:val="14"/>
                <w:szCs w:val="14"/>
                <w:color w:val="auto"/>
              </w:rPr>
            </w:pPr>
          </w:p>
        </w:tc>
        <w:tc>
          <w:tcPr>
            <w:tcW w:w="240" w:type="dxa"/>
            <w:vAlign w:val="bottom"/>
            <w:gridSpan w:val="2"/>
          </w:tcPr>
          <w:p>
            <w:pPr>
              <w:spacing w:after="0"/>
              <w:rPr>
                <w:sz w:val="20"/>
                <w:szCs w:val="20"/>
                <w:color w:val="auto"/>
              </w:rPr>
            </w:pPr>
            <w:r>
              <w:rPr>
                <w:rFonts w:ascii="Arial" w:cs="Arial" w:eastAsia="Arial" w:hAnsi="Arial"/>
                <w:sz w:val="12"/>
                <w:szCs w:val="12"/>
                <w:color w:val="auto"/>
              </w:rPr>
              <w:t>​​ ​ ​</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60"/>
              <w:spacing w:after="0"/>
              <w:rPr>
                <w:sz w:val="20"/>
                <w:szCs w:val="20"/>
                <w:color w:val="auto"/>
              </w:rPr>
            </w:pPr>
            <w:r>
              <w:rPr>
                <w:rFonts w:ascii="Arial" w:cs="Arial" w:eastAsia="Arial" w:hAnsi="Arial"/>
                <w:sz w:val="12"/>
                <w:szCs w:val="12"/>
                <w:color w:val="auto"/>
              </w:rPr>
              <w:t>​ 33,340</w:t>
            </w:r>
          </w:p>
        </w:tc>
        <w:tc>
          <w:tcPr>
            <w:tcW w:w="1840" w:type="dxa"/>
            <w:vAlign w:val="bottom"/>
            <w:gridSpan w:val="7"/>
          </w:tcPr>
          <w:p>
            <w:pPr>
              <w:spacing w:after="0"/>
              <w:rPr>
                <w:sz w:val="20"/>
                <w:szCs w:val="20"/>
                <w:color w:val="auto"/>
              </w:rPr>
            </w:pPr>
            <w:r>
              <w:rPr>
                <w:rFonts w:ascii="Arial" w:cs="Arial" w:eastAsia="Arial" w:hAnsi="Arial"/>
                <w:sz w:val="12"/>
                <w:szCs w:val="12"/>
                <w:color w:val="auto"/>
              </w:rPr>
              <w:t>​​ ​ ​ 66,679 ​​ ​ ​133,358 ​​ ​​</w:t>
            </w:r>
          </w:p>
        </w:tc>
        <w:tc>
          <w:tcPr>
            <w:tcW w:w="260" w:type="dxa"/>
            <w:vAlign w:val="bottom"/>
            <w:gridSpan w:val="2"/>
          </w:tcPr>
          <w:p>
            <w:pPr>
              <w:spacing w:after="0"/>
              <w:rPr>
                <w:sz w:val="20"/>
                <w:szCs w:val="20"/>
                <w:color w:val="auto"/>
              </w:rPr>
            </w:pPr>
            <w:r>
              <w:rPr>
                <w:rFonts w:ascii="Arial" w:cs="Arial" w:eastAsia="Arial" w:hAnsi="Arial"/>
                <w:sz w:val="12"/>
                <w:szCs w:val="12"/>
                <w:color w:val="auto"/>
              </w:rPr>
              <w:t>​​ ​ ​$</w:t>
            </w:r>
          </w:p>
        </w:tc>
        <w:tc>
          <w:tcPr>
            <w:tcW w:w="560" w:type="dxa"/>
            <w:vAlign w:val="bottom"/>
          </w:tcPr>
          <w:p>
            <w:pPr>
              <w:ind w:left="100"/>
              <w:spacing w:after="0"/>
              <w:rPr>
                <w:sz w:val="20"/>
                <w:szCs w:val="20"/>
                <w:color w:val="auto"/>
              </w:rPr>
            </w:pPr>
            <w:r>
              <w:rPr>
                <w:rFonts w:ascii="Arial" w:cs="Arial" w:eastAsia="Arial" w:hAnsi="Arial"/>
                <w:sz w:val="12"/>
                <w:szCs w:val="12"/>
                <w:color w:val="auto"/>
              </w:rPr>
              <w:t>668,123</w:t>
            </w:r>
          </w:p>
        </w:tc>
        <w:tc>
          <w:tcPr>
            <w:tcW w:w="40" w:type="dxa"/>
            <w:vAlign w:val="bottom"/>
          </w:tcPr>
          <w:p>
            <w:pPr>
              <w:jc w:val="right"/>
              <w:ind w:right="14"/>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2"/>
                <w:szCs w:val="12"/>
                <w:color w:val="auto"/>
              </w:rPr>
              <w:t>Michael Friloux</w:t>
            </w:r>
          </w:p>
        </w:tc>
        <w:tc>
          <w:tcPr>
            <w:tcW w:w="600" w:type="dxa"/>
            <w:vAlign w:val="bottom"/>
            <w:gridSpan w:val="4"/>
          </w:tcPr>
          <w:p>
            <w:pPr>
              <w:jc w:val="right"/>
              <w:ind w:right="100"/>
              <w:spacing w:after="0"/>
              <w:rPr>
                <w:sz w:val="20"/>
                <w:szCs w:val="20"/>
                <w:color w:val="auto"/>
              </w:rPr>
            </w:pPr>
            <w:r>
              <w:rPr>
                <w:rFonts w:ascii="Arial" w:cs="Arial" w:eastAsia="Arial" w:hAnsi="Arial"/>
                <w:sz w:val="12"/>
                <w:szCs w:val="12"/>
                <w:color w:val="auto"/>
              </w:rPr>
              <w:t>​2/20/25 ​</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80"/>
              <w:spacing w:after="0"/>
              <w:rPr>
                <w:sz w:val="20"/>
                <w:szCs w:val="20"/>
                <w:color w:val="auto"/>
              </w:rPr>
            </w:pPr>
            <w:r>
              <w:rPr>
                <w:rFonts w:ascii="Arial" w:cs="Arial" w:eastAsia="Arial" w:hAnsi="Arial"/>
                <w:sz w:val="12"/>
                <w:szCs w:val="12"/>
                <w:color w:val="auto"/>
              </w:rPr>
              <w:t>​2/20/25</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20" w:type="dxa"/>
            <w:vAlign w:val="bottom"/>
          </w:tcPr>
          <w:p>
            <w:pPr>
              <w:ind w:left="40"/>
              <w:spacing w:after="0"/>
              <w:rPr>
                <w:sz w:val="20"/>
                <w:szCs w:val="20"/>
                <w:color w:val="auto"/>
              </w:rPr>
            </w:pPr>
            <w:r>
              <w:rPr>
                <w:rFonts w:ascii="Arial" w:cs="Arial" w:eastAsia="Arial" w:hAnsi="Arial"/>
                <w:sz w:val="12"/>
                <w:szCs w:val="12"/>
                <w:color w:val="auto"/>
              </w:rPr>
              <w:t>​</w:t>
            </w:r>
          </w:p>
        </w:tc>
        <w:tc>
          <w:tcPr>
            <w:tcW w:w="720" w:type="dxa"/>
            <w:vAlign w:val="bottom"/>
            <w:gridSpan w:val="4"/>
          </w:tcPr>
          <w:p>
            <w:pPr>
              <w:jc w:val="right"/>
              <w:ind w:right="20"/>
              <w:spacing w:after="0"/>
              <w:rPr>
                <w:sz w:val="20"/>
                <w:szCs w:val="20"/>
                <w:color w:val="auto"/>
              </w:rPr>
            </w:pPr>
            <w:r>
              <w:rPr>
                <w:rFonts w:ascii="Arial" w:cs="Arial" w:eastAsia="Arial" w:hAnsi="Arial"/>
                <w:sz w:val="12"/>
                <w:szCs w:val="12"/>
                <w:color w:val="auto"/>
              </w:rPr>
              <w:t>172,397 ​​ ​ ​</w:t>
            </w:r>
          </w:p>
        </w:tc>
        <w:tc>
          <w:tcPr>
            <w:tcW w:w="520" w:type="dxa"/>
            <w:vAlign w:val="bottom"/>
          </w:tcPr>
          <w:p>
            <w:pPr>
              <w:jc w:val="right"/>
              <w:spacing w:after="0"/>
              <w:rPr>
                <w:sz w:val="20"/>
                <w:szCs w:val="20"/>
                <w:color w:val="auto"/>
              </w:rPr>
            </w:pPr>
            <w:r>
              <w:rPr>
                <w:rFonts w:ascii="Arial" w:cs="Arial" w:eastAsia="Arial" w:hAnsi="Arial"/>
                <w:sz w:val="12"/>
                <w:szCs w:val="12"/>
                <w:color w:val="auto"/>
              </w:rPr>
              <w:t>344,793</w:t>
            </w:r>
          </w:p>
        </w:tc>
        <w:tc>
          <w:tcPr>
            <w:tcW w:w="240" w:type="dxa"/>
            <w:vAlign w:val="bottom"/>
            <w:gridSpan w:val="2"/>
          </w:tcPr>
          <w:p>
            <w:pPr>
              <w:spacing w:after="0"/>
              <w:rPr>
                <w:sz w:val="20"/>
                <w:szCs w:val="20"/>
                <w:color w:val="auto"/>
              </w:rPr>
            </w:pPr>
            <w:r>
              <w:rPr>
                <w:rFonts w:ascii="Arial" w:cs="Arial" w:eastAsia="Arial" w:hAnsi="Arial"/>
                <w:sz w:val="12"/>
                <w:szCs w:val="12"/>
                <w:color w:val="auto"/>
              </w:rPr>
              <w:t>​​ ​ ​</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517,190 ​</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r>
              <w:rPr>
                <w:rFonts w:ascii="Arial" w:cs="Arial" w:eastAsia="Arial" w:hAnsi="Arial"/>
                <w:sz w:val="12"/>
                <w:szCs w:val="12"/>
                <w:color w:val="auto"/>
              </w:rPr>
              <w:t>​​ ​ ​</w:t>
            </w:r>
          </w:p>
        </w:tc>
        <w:tc>
          <w:tcPr>
            <w:tcW w:w="420" w:type="dxa"/>
            <w:vAlign w:val="bottom"/>
          </w:tcPr>
          <w:p>
            <w:pPr>
              <w:spacing w:after="0"/>
              <w:rPr>
                <w:sz w:val="14"/>
                <w:szCs w:val="14"/>
                <w:color w:val="auto"/>
              </w:rPr>
            </w:pPr>
          </w:p>
        </w:tc>
        <w:tc>
          <w:tcPr>
            <w:tcW w:w="220" w:type="dxa"/>
            <w:vAlign w:val="bottom"/>
            <w:gridSpan w:val="2"/>
          </w:tcPr>
          <w:p>
            <w:pPr>
              <w:spacing w:after="0"/>
              <w:rPr>
                <w:sz w:val="20"/>
                <w:szCs w:val="20"/>
                <w:color w:val="auto"/>
              </w:rPr>
            </w:pPr>
            <w:r>
              <w:rPr>
                <w:rFonts w:ascii="Arial" w:cs="Arial" w:eastAsia="Arial" w:hAnsi="Arial"/>
                <w:sz w:val="12"/>
                <w:szCs w:val="12"/>
                <w:color w:val="auto"/>
              </w:rPr>
              <w:t>​​ ​ ​</w:t>
            </w:r>
          </w:p>
        </w:tc>
        <w:tc>
          <w:tcPr>
            <w:tcW w:w="4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 ​​</w:t>
            </w:r>
          </w:p>
        </w:tc>
        <w:tc>
          <w:tcPr>
            <w:tcW w:w="260" w:type="dxa"/>
            <w:vAlign w:val="bottom"/>
            <w:gridSpan w:val="2"/>
          </w:tcPr>
          <w:p>
            <w:pPr>
              <w:spacing w:after="0"/>
              <w:rPr>
                <w:sz w:val="20"/>
                <w:szCs w:val="20"/>
                <w:color w:val="auto"/>
              </w:rPr>
            </w:pPr>
            <w:r>
              <w:rPr>
                <w:rFonts w:ascii="Arial" w:cs="Arial" w:eastAsia="Arial" w:hAnsi="Arial"/>
                <w:sz w:val="12"/>
                <w:szCs w:val="12"/>
                <w:color w:val="auto"/>
              </w:rPr>
              <w:t>​​ ​ ​</w:t>
            </w:r>
          </w:p>
        </w:tc>
        <w:tc>
          <w:tcPr>
            <w:tcW w:w="560" w:type="dxa"/>
            <w:vAlign w:val="bottom"/>
          </w:tcPr>
          <w:p>
            <w:pPr>
              <w:spacing w:after="0"/>
              <w:rPr>
                <w:sz w:val="14"/>
                <w:szCs w:val="14"/>
                <w:color w:val="auto"/>
              </w:rPr>
            </w:pPr>
          </w:p>
        </w:tc>
        <w:tc>
          <w:tcPr>
            <w:tcW w:w="40" w:type="dxa"/>
            <w:vAlign w:val="bottom"/>
          </w:tcPr>
          <w:p>
            <w:pPr>
              <w:jc w:val="right"/>
              <w:ind w:right="14"/>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2"/>
                <w:szCs w:val="12"/>
                <w:color w:val="auto"/>
              </w:rPr>
              <w:t>​2/20/25 ​</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80"/>
              <w:spacing w:after="0"/>
              <w:rPr>
                <w:sz w:val="20"/>
                <w:szCs w:val="20"/>
                <w:color w:val="auto"/>
              </w:rPr>
            </w:pPr>
            <w:r>
              <w:rPr>
                <w:rFonts w:ascii="Arial" w:cs="Arial" w:eastAsia="Arial" w:hAnsi="Arial"/>
                <w:sz w:val="12"/>
                <w:szCs w:val="12"/>
                <w:color w:val="auto"/>
              </w:rPr>
              <w:t>​2/20/25</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20" w:type="dxa"/>
            <w:vAlign w:val="bottom"/>
          </w:tcPr>
          <w:p>
            <w:pPr>
              <w:ind w:left="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2"/>
                <w:szCs w:val="12"/>
                <w:color w:val="auto"/>
              </w:rPr>
              <w:t>​​ ​ ​</w:t>
            </w:r>
          </w:p>
        </w:tc>
        <w:tc>
          <w:tcPr>
            <w:tcW w:w="520" w:type="dxa"/>
            <w:vAlign w:val="bottom"/>
          </w:tcPr>
          <w:p>
            <w:pPr>
              <w:spacing w:after="0"/>
              <w:rPr>
                <w:sz w:val="14"/>
                <w:szCs w:val="14"/>
                <w:color w:val="auto"/>
              </w:rPr>
            </w:pPr>
          </w:p>
        </w:tc>
        <w:tc>
          <w:tcPr>
            <w:tcW w:w="240" w:type="dxa"/>
            <w:vAlign w:val="bottom"/>
            <w:gridSpan w:val="2"/>
          </w:tcPr>
          <w:p>
            <w:pPr>
              <w:spacing w:after="0"/>
              <w:rPr>
                <w:sz w:val="20"/>
                <w:szCs w:val="20"/>
                <w:color w:val="auto"/>
              </w:rPr>
            </w:pPr>
            <w:r>
              <w:rPr>
                <w:rFonts w:ascii="Arial" w:cs="Arial" w:eastAsia="Arial" w:hAnsi="Arial"/>
                <w:sz w:val="12"/>
                <w:szCs w:val="12"/>
                <w:color w:val="auto"/>
              </w:rPr>
              <w:t>​​ ​ ​</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r>
              <w:rPr>
                <w:rFonts w:ascii="Arial" w:cs="Arial" w:eastAsia="Arial" w:hAnsi="Arial"/>
                <w:sz w:val="12"/>
                <w:szCs w:val="12"/>
                <w:color w:val="auto"/>
              </w:rPr>
              <w:t>​​ ​ ​</w:t>
            </w:r>
          </w:p>
        </w:tc>
        <w:tc>
          <w:tcPr>
            <w:tcW w:w="420" w:type="dxa"/>
            <w:vAlign w:val="bottom"/>
          </w:tcPr>
          <w:p>
            <w:pPr>
              <w:spacing w:after="0"/>
              <w:rPr>
                <w:sz w:val="14"/>
                <w:szCs w:val="14"/>
                <w:color w:val="auto"/>
              </w:rPr>
            </w:pPr>
          </w:p>
        </w:tc>
        <w:tc>
          <w:tcPr>
            <w:tcW w:w="220" w:type="dxa"/>
            <w:vAlign w:val="bottom"/>
            <w:gridSpan w:val="2"/>
          </w:tcPr>
          <w:p>
            <w:pPr>
              <w:spacing w:after="0"/>
              <w:rPr>
                <w:sz w:val="20"/>
                <w:szCs w:val="20"/>
                <w:color w:val="auto"/>
              </w:rPr>
            </w:pPr>
            <w:r>
              <w:rPr>
                <w:rFonts w:ascii="Arial" w:cs="Arial" w:eastAsia="Arial" w:hAnsi="Arial"/>
                <w:sz w:val="12"/>
                <w:szCs w:val="12"/>
                <w:color w:val="auto"/>
              </w:rPr>
              <w:t>​​ ​ ​</w:t>
            </w:r>
          </w:p>
        </w:tc>
        <w:tc>
          <w:tcPr>
            <w:tcW w:w="40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2"/>
                <w:szCs w:val="12"/>
                <w:color w:val="auto"/>
              </w:rPr>
              <w:t>​​ ​​ 32,951​​ ​ ​$</w:t>
            </w:r>
          </w:p>
        </w:tc>
        <w:tc>
          <w:tcPr>
            <w:tcW w:w="560" w:type="dxa"/>
            <w:vAlign w:val="bottom"/>
          </w:tcPr>
          <w:p>
            <w:pPr>
              <w:ind w:left="100"/>
              <w:spacing w:after="0"/>
              <w:rPr>
                <w:sz w:val="20"/>
                <w:szCs w:val="20"/>
                <w:color w:val="auto"/>
              </w:rPr>
            </w:pPr>
            <w:r>
              <w:rPr>
                <w:rFonts w:ascii="Arial" w:cs="Arial" w:eastAsia="Arial" w:hAnsi="Arial"/>
                <w:sz w:val="12"/>
                <w:szCs w:val="12"/>
                <w:color w:val="auto"/>
              </w:rPr>
              <w:t>296,229</w:t>
            </w:r>
          </w:p>
        </w:tc>
        <w:tc>
          <w:tcPr>
            <w:tcW w:w="40" w:type="dxa"/>
            <w:vAlign w:val="bottom"/>
          </w:tcPr>
          <w:p>
            <w:pPr>
              <w:jc w:val="right"/>
              <w:ind w:right="14"/>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2"/>
                <w:szCs w:val="12"/>
                <w:color w:val="auto"/>
              </w:rPr>
              <w:t>​2/20/25 ​</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80"/>
              <w:spacing w:after="0"/>
              <w:rPr>
                <w:sz w:val="20"/>
                <w:szCs w:val="20"/>
                <w:color w:val="auto"/>
              </w:rPr>
            </w:pPr>
            <w:r>
              <w:rPr>
                <w:rFonts w:ascii="Arial" w:cs="Arial" w:eastAsia="Arial" w:hAnsi="Arial"/>
                <w:sz w:val="12"/>
                <w:szCs w:val="12"/>
                <w:color w:val="auto"/>
              </w:rPr>
              <w:t>​2/20/25</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20" w:type="dxa"/>
            <w:vAlign w:val="bottom"/>
          </w:tcPr>
          <w:p>
            <w:pPr>
              <w:ind w:left="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2"/>
                <w:szCs w:val="12"/>
                <w:color w:val="auto"/>
              </w:rPr>
              <w:t>​​ ​ ​</w:t>
            </w:r>
          </w:p>
        </w:tc>
        <w:tc>
          <w:tcPr>
            <w:tcW w:w="520" w:type="dxa"/>
            <w:vAlign w:val="bottom"/>
          </w:tcPr>
          <w:p>
            <w:pPr>
              <w:spacing w:after="0"/>
              <w:rPr>
                <w:sz w:val="14"/>
                <w:szCs w:val="14"/>
                <w:color w:val="auto"/>
              </w:rPr>
            </w:pPr>
          </w:p>
        </w:tc>
        <w:tc>
          <w:tcPr>
            <w:tcW w:w="240" w:type="dxa"/>
            <w:vAlign w:val="bottom"/>
            <w:gridSpan w:val="2"/>
          </w:tcPr>
          <w:p>
            <w:pPr>
              <w:spacing w:after="0"/>
              <w:rPr>
                <w:sz w:val="20"/>
                <w:szCs w:val="20"/>
                <w:color w:val="auto"/>
              </w:rPr>
            </w:pPr>
            <w:r>
              <w:rPr>
                <w:rFonts w:ascii="Arial" w:cs="Arial" w:eastAsia="Arial" w:hAnsi="Arial"/>
                <w:sz w:val="12"/>
                <w:szCs w:val="12"/>
                <w:color w:val="auto"/>
              </w:rPr>
              <w:t>​​ ​ ​</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60"/>
              <w:spacing w:after="0"/>
              <w:rPr>
                <w:sz w:val="20"/>
                <w:szCs w:val="20"/>
                <w:color w:val="auto"/>
              </w:rPr>
            </w:pPr>
            <w:r>
              <w:rPr>
                <w:rFonts w:ascii="Arial" w:cs="Arial" w:eastAsia="Arial" w:hAnsi="Arial"/>
                <w:sz w:val="12"/>
                <w:szCs w:val="12"/>
                <w:color w:val="auto"/>
              </w:rPr>
              <w:t>​ 16,476</w:t>
            </w:r>
          </w:p>
        </w:tc>
        <w:tc>
          <w:tcPr>
            <w:tcW w:w="1840" w:type="dxa"/>
            <w:vAlign w:val="bottom"/>
            <w:gridSpan w:val="7"/>
          </w:tcPr>
          <w:p>
            <w:pPr>
              <w:spacing w:after="0"/>
              <w:rPr>
                <w:sz w:val="20"/>
                <w:szCs w:val="20"/>
                <w:color w:val="auto"/>
              </w:rPr>
            </w:pPr>
            <w:r>
              <w:rPr>
                <w:rFonts w:ascii="Arial" w:cs="Arial" w:eastAsia="Arial" w:hAnsi="Arial"/>
                <w:sz w:val="12"/>
                <w:szCs w:val="12"/>
                <w:color w:val="auto"/>
              </w:rPr>
              <w:t>​​ ​ ​ 32,951 ​​ ​ ​ 65,902 ​​ ​​</w:t>
            </w:r>
          </w:p>
        </w:tc>
        <w:tc>
          <w:tcPr>
            <w:tcW w:w="260" w:type="dxa"/>
            <w:vAlign w:val="bottom"/>
            <w:gridSpan w:val="2"/>
          </w:tcPr>
          <w:p>
            <w:pPr>
              <w:spacing w:after="0"/>
              <w:rPr>
                <w:sz w:val="20"/>
                <w:szCs w:val="20"/>
                <w:color w:val="auto"/>
              </w:rPr>
            </w:pPr>
            <w:r>
              <w:rPr>
                <w:rFonts w:ascii="Arial" w:cs="Arial" w:eastAsia="Arial" w:hAnsi="Arial"/>
                <w:sz w:val="12"/>
                <w:szCs w:val="12"/>
                <w:color w:val="auto"/>
              </w:rPr>
              <w:t>​​ ​ ​$</w:t>
            </w:r>
          </w:p>
        </w:tc>
        <w:tc>
          <w:tcPr>
            <w:tcW w:w="560" w:type="dxa"/>
            <w:vAlign w:val="bottom"/>
          </w:tcPr>
          <w:p>
            <w:pPr>
              <w:ind w:left="100"/>
              <w:spacing w:after="0"/>
              <w:rPr>
                <w:sz w:val="20"/>
                <w:szCs w:val="20"/>
                <w:color w:val="auto"/>
              </w:rPr>
            </w:pPr>
            <w:r>
              <w:rPr>
                <w:rFonts w:ascii="Arial" w:cs="Arial" w:eastAsia="Arial" w:hAnsi="Arial"/>
                <w:sz w:val="12"/>
                <w:szCs w:val="12"/>
                <w:color w:val="auto"/>
              </w:rPr>
              <w:t>419,204</w:t>
            </w:r>
          </w:p>
        </w:tc>
        <w:tc>
          <w:tcPr>
            <w:tcW w:w="40" w:type="dxa"/>
            <w:vAlign w:val="bottom"/>
          </w:tcPr>
          <w:p>
            <w:pPr>
              <w:jc w:val="right"/>
              <w:ind w:right="14"/>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2"/>
                <w:szCs w:val="12"/>
                <w:color w:val="auto"/>
              </w:rPr>
              <w:t>​5/16/24(5)​</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80"/>
              <w:spacing w:after="0"/>
              <w:rPr>
                <w:sz w:val="20"/>
                <w:szCs w:val="20"/>
                <w:color w:val="auto"/>
              </w:rPr>
            </w:pPr>
            <w:r>
              <w:rPr>
                <w:rFonts w:ascii="Arial" w:cs="Arial" w:eastAsia="Arial" w:hAnsi="Arial"/>
                <w:sz w:val="12"/>
                <w:szCs w:val="12"/>
                <w:color w:val="auto"/>
              </w:rPr>
              <w:t>​8/01/25</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20" w:type="dxa"/>
            <w:vAlign w:val="bottom"/>
          </w:tcPr>
          <w:p>
            <w:pPr>
              <w:ind w:left="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23"/>
                <w:szCs w:val="23"/>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2"/>
                <w:szCs w:val="12"/>
                <w:color w:val="auto"/>
              </w:rPr>
              <w:t>​​ ​ ​</w:t>
            </w:r>
          </w:p>
        </w:tc>
        <w:tc>
          <w:tcPr>
            <w:tcW w:w="520" w:type="dxa"/>
            <w:vAlign w:val="bottom"/>
          </w:tcPr>
          <w:p>
            <w:pPr>
              <w:spacing w:after="0"/>
              <w:rPr>
                <w:sz w:val="23"/>
                <w:szCs w:val="23"/>
                <w:color w:val="auto"/>
              </w:rPr>
            </w:pPr>
          </w:p>
        </w:tc>
        <w:tc>
          <w:tcPr>
            <w:tcW w:w="240" w:type="dxa"/>
            <w:vAlign w:val="bottom"/>
            <w:gridSpan w:val="2"/>
          </w:tcPr>
          <w:p>
            <w:pPr>
              <w:spacing w:after="0"/>
              <w:rPr>
                <w:sz w:val="20"/>
                <w:szCs w:val="20"/>
                <w:color w:val="auto"/>
              </w:rPr>
            </w:pPr>
            <w:r>
              <w:rPr>
                <w:rFonts w:ascii="Arial" w:cs="Arial" w:eastAsia="Arial" w:hAnsi="Arial"/>
                <w:sz w:val="12"/>
                <w:szCs w:val="12"/>
                <w:color w:val="auto"/>
              </w:rPr>
              <w:t>​​ ​ ​</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ind w:left="60"/>
              <w:spacing w:after="0"/>
              <w:rPr>
                <w:sz w:val="20"/>
                <w:szCs w:val="20"/>
                <w:color w:val="auto"/>
              </w:rPr>
            </w:pPr>
            <w:r>
              <w:rPr>
                <w:rFonts w:ascii="Arial" w:cs="Arial" w:eastAsia="Arial" w:hAnsi="Arial"/>
                <w:sz w:val="12"/>
                <w:szCs w:val="12"/>
                <w:color w:val="auto"/>
              </w:rPr>
              <w:t>​ 38,767</w:t>
            </w:r>
          </w:p>
        </w:tc>
        <w:tc>
          <w:tcPr>
            <w:tcW w:w="1840" w:type="dxa"/>
            <w:vAlign w:val="bottom"/>
            <w:gridSpan w:val="7"/>
          </w:tcPr>
          <w:p>
            <w:pPr>
              <w:spacing w:after="0"/>
              <w:rPr>
                <w:sz w:val="20"/>
                <w:szCs w:val="20"/>
                <w:color w:val="auto"/>
              </w:rPr>
            </w:pPr>
            <w:r>
              <w:rPr>
                <w:rFonts w:ascii="Arial" w:cs="Arial" w:eastAsia="Arial" w:hAnsi="Arial"/>
                <w:sz w:val="12"/>
                <w:szCs w:val="12"/>
                <w:color w:val="auto"/>
              </w:rPr>
              <w:t>​​ ​ ​ 77,534 ​​ ​ ​155,068 ​​ ​​</w:t>
            </w:r>
          </w:p>
        </w:tc>
        <w:tc>
          <w:tcPr>
            <w:tcW w:w="260" w:type="dxa"/>
            <w:vAlign w:val="bottom"/>
            <w:gridSpan w:val="2"/>
          </w:tcPr>
          <w:p>
            <w:pPr>
              <w:spacing w:after="0"/>
              <w:rPr>
                <w:sz w:val="20"/>
                <w:szCs w:val="20"/>
                <w:color w:val="auto"/>
              </w:rPr>
            </w:pPr>
            <w:r>
              <w:rPr>
                <w:rFonts w:ascii="Arial" w:cs="Arial" w:eastAsia="Arial" w:hAnsi="Arial"/>
                <w:sz w:val="12"/>
                <w:szCs w:val="12"/>
                <w:color w:val="auto"/>
              </w:rPr>
              <w:t>​​ ​ ​$</w:t>
            </w:r>
          </w:p>
        </w:tc>
        <w:tc>
          <w:tcPr>
            <w:tcW w:w="560" w:type="dxa"/>
            <w:vAlign w:val="bottom"/>
          </w:tcPr>
          <w:p>
            <w:pPr>
              <w:ind w:left="100"/>
              <w:spacing w:after="0"/>
              <w:rPr>
                <w:sz w:val="20"/>
                <w:szCs w:val="20"/>
                <w:color w:val="auto"/>
              </w:rPr>
            </w:pPr>
            <w:r>
              <w:rPr>
                <w:rFonts w:ascii="Arial" w:cs="Arial" w:eastAsia="Arial" w:hAnsi="Arial"/>
                <w:sz w:val="12"/>
                <w:szCs w:val="12"/>
                <w:color w:val="auto"/>
              </w:rPr>
              <w:t>776,886</w:t>
            </w:r>
          </w:p>
        </w:tc>
        <w:tc>
          <w:tcPr>
            <w:tcW w:w="40" w:type="dxa"/>
            <w:vAlign w:val="bottom"/>
          </w:tcPr>
          <w:p>
            <w:pPr>
              <w:jc w:val="right"/>
              <w:ind w:right="14"/>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-1419225</wp:posOffset>
            </wp:positionV>
            <wp:extent cx="4303395" cy="2057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03395" cy="20574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-690880</wp:posOffset>
            </wp:positionV>
            <wp:extent cx="4303395" cy="2057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03395" cy="2057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157480</wp:posOffset>
            </wp:positionV>
            <wp:extent cx="123444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90" w:lineRule="exact"/>
        <w:rPr>
          <w:sz w:val="20"/>
          <w:szCs w:val="20"/>
          <w:color w:val="auto"/>
        </w:rPr>
      </w:pPr>
    </w:p>
    <w:p>
      <w:pPr>
        <w:ind w:left="1900" w:right="459" w:hanging="640"/>
        <w:spacing w:after="0" w:line="267" w:lineRule="auto"/>
        <w:tabs>
          <w:tab w:leader="none" w:pos="1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amounts reported in these columns represent potential performance-based cash bonuses that each NEO could have earned under the Old Uniti short-term incentive plan that were assumed by the Company on August 1, 2025. The awards are based upon the Company’s achievement of certain quantitative performance criteria set forth in the 2025 STIP. For further discussion regarding these quantitative metrics, see the information regarding the 2025 STIP under the headings “Elements of 2025 Compensation — Short-Term Incentives” and “New Hire Compensation Arrangements for Mr. Harrobin.” Based on the Company’s 2025 performance, the Compensation Committee awarded performance-based cash bonus payouts under the 2025 STIP to the NEOs at 132% of their target cash payout levels based on each NEO’s base salary at the time of payout, which amounts are included in the “Non-Equity Incentive</w:t>
      </w:r>
    </w:p>
    <w:p>
      <w:pPr>
        <w:spacing w:after="0" w:line="3" w:lineRule="exact"/>
        <w:rPr>
          <w:rFonts w:ascii="Arial" w:cs="Arial" w:eastAsia="Arial" w:hAnsi="Arial"/>
          <w:sz w:val="17"/>
          <w:szCs w:val="17"/>
          <w:color w:val="auto"/>
        </w:rPr>
      </w:pPr>
    </w:p>
    <w:p>
      <w:pPr>
        <w:ind w:left="1900"/>
        <w:spacing w:after="0"/>
        <w:rPr>
          <w:rFonts w:ascii="Arial" w:cs="Arial" w:eastAsia="Arial" w:hAnsi="Arial"/>
          <w:sz w:val="17"/>
          <w:szCs w:val="17"/>
          <w:color w:val="auto"/>
        </w:rPr>
      </w:pPr>
      <w:r>
        <w:rPr>
          <w:rFonts w:ascii="Arial" w:cs="Arial" w:eastAsia="Arial" w:hAnsi="Arial"/>
          <w:sz w:val="18"/>
          <w:szCs w:val="18"/>
          <w:color w:val="auto"/>
        </w:rPr>
        <w:t>Plan Compensation” of the Summary Compensation Table above.</w:t>
      </w:r>
    </w:p>
    <w:p>
      <w:pPr>
        <w:spacing w:after="0" w:line="207" w:lineRule="exact"/>
        <w:rPr>
          <w:rFonts w:ascii="Arial" w:cs="Arial" w:eastAsia="Arial" w:hAnsi="Arial"/>
          <w:sz w:val="17"/>
          <w:szCs w:val="17"/>
          <w:color w:val="auto"/>
        </w:rPr>
      </w:pPr>
    </w:p>
    <w:p>
      <w:pPr>
        <w:ind w:left="1900" w:right="439" w:hanging="640"/>
        <w:spacing w:after="0" w:line="254" w:lineRule="auto"/>
        <w:tabs>
          <w:tab w:leader="none" w:pos="1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amounts reported in these columns represent potential share payouts with respect to PBRSU awards under the 2015 Plan, assumed by the Company on August 1, 2025. The February 20, 2025 PBRSU awards will vest, if at all, at the end of the three-year performance period based on the Company’s achievement of metrics related to relative TSR over a three-year period ending February 20, 2028 and threshold, target or maximum performance will result in the NEOs earning 50%, 100% or 200% of the target number of the PBRSUs, respectively. The Merger PBRSU awards will vest, if at all, at the end of the three-year performance period based on the achievement of metrics related to relative TSR over a three-year period ending August 1, 2028 and threshold, target or maximum performance will result in the NEOs earning 50%, 100% or 200% of the target number of PBRSUs, respectively.</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00" w:right="439" w:hanging="640"/>
        <w:spacing w:after="0" w:line="255" w:lineRule="auto"/>
        <w:tabs>
          <w:tab w:leader="none" w:pos="1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amounts reported in this column represent time-based restricted stock awards under the 2015 Plan, assumed by the Company on August 1, 2025. The February 20, 2025 restricted stock grants will vest in three equal installments on February 20 of each year, beginning on February 20, 2026, subject to continued employment at each vesting date. The April 28, 2025 restricted stock grants will vest in three equal installments on April 28 of each year, beginning on April 28, 2026, subject to continued employment at each vesting date. Mr. Harrobin’s April 28, 2025 restricted stock grants include both his annual time-based restricted stock award and his one-time equity grant made in connection with his appointment.</w:t>
      </w:r>
    </w:p>
    <w:p>
      <w:pPr>
        <w:spacing w:after="0" w:line="184" w:lineRule="exact"/>
        <w:rPr>
          <w:rFonts w:ascii="Arial" w:cs="Arial" w:eastAsia="Arial" w:hAnsi="Arial"/>
          <w:sz w:val="18"/>
          <w:szCs w:val="18"/>
          <w:color w:val="auto"/>
        </w:rPr>
      </w:pPr>
    </w:p>
    <w:p>
      <w:pPr>
        <w:ind w:left="1900" w:right="479" w:hanging="640"/>
        <w:spacing w:after="0" w:line="254" w:lineRule="auto"/>
        <w:tabs>
          <w:tab w:leader="none" w:pos="1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amounts reported in this column reflect the aggregate grant date fair values calculated in accordance with FASB ASC Topic 718 for restricted stock and PBRSU awards, assumed by the Company on August 1, 2025, that were granted during 2025 pursuant to the 2015 Plan. The fair values in this column reflect the expected future cash flows of dividends and therefore dividends on unvested shares are not separately disclosed. The assumptions used in the calculation of the amounts shown are included in Note 14 to our audited consolidated financial statements, which are included in our Annual Report on Form 10-K for the fiscal year ended December 31, 2025. Additional information regarding the 2015 Plan is discussed in further detail in the Compensation Discussion &amp; Analysis under the heading “Elements of 2025 Compensation — Equity-Based Compensation.”</w:t>
      </w:r>
    </w:p>
    <w:p>
      <w:pPr>
        <w:spacing w:after="0" w:line="185" w:lineRule="exact"/>
        <w:rPr>
          <w:rFonts w:ascii="Arial" w:cs="Arial" w:eastAsia="Arial" w:hAnsi="Arial"/>
          <w:sz w:val="18"/>
          <w:szCs w:val="18"/>
          <w:color w:val="auto"/>
        </w:rPr>
      </w:pPr>
    </w:p>
    <w:p>
      <w:pPr>
        <w:ind w:left="1900" w:right="479" w:hanging="640"/>
        <w:spacing w:after="0" w:line="275" w:lineRule="auto"/>
        <w:tabs>
          <w:tab w:leader="none" w:pos="1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As noted above in the Compensation Discussion &amp; Analysis under the heading “Elements of 2025 Compensation — Equity-Based Compensation — Special Merger Grants,” because the Merger PBRSUs were dependent upon the successful closing of the Merger and the establishment of the applicable peer group, after which the applicable performance period would commence, the grant date and the aggregate grant date fair value of the Merger PBRSUs was calculated following the closing of the Merger and establishment of the applicable peer group.</w:t>
      </w:r>
    </w:p>
    <w:p>
      <w:pPr>
        <w:spacing w:after="0" w:line="168" w:lineRule="exact"/>
        <w:rPr>
          <w:rFonts w:ascii="Arial" w:cs="Arial" w:eastAsia="Arial" w:hAnsi="Arial"/>
          <w:sz w:val="17"/>
          <w:szCs w:val="17"/>
          <w:color w:val="auto"/>
        </w:rPr>
      </w:pPr>
    </w:p>
    <w:p>
      <w:pPr>
        <w:ind w:left="1900" w:right="679" w:hanging="640"/>
        <w:spacing w:after="0" w:line="268" w:lineRule="auto"/>
        <w:tabs>
          <w:tab w:leader="none" w:pos="1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 discussed under the heading “New Hire Compensation Arrangements for Mr. Harrobin,” Mr. Harrobin was entitled to a cash bonus under the Prior STIP in an amount equal to not less than 200% of his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3" w:lineRule="exact"/>
        <w:rPr>
          <w:sz w:val="20"/>
          <w:szCs w:val="20"/>
          <w:color w:val="auto"/>
        </w:rPr>
      </w:pPr>
    </w:p>
    <w:p>
      <w:pPr>
        <w:ind w:left="1260" w:right="579" w:firstLine="648"/>
        <w:spacing w:after="0" w:line="259" w:lineRule="auto"/>
        <w:rPr>
          <w:sz w:val="20"/>
          <w:szCs w:val="20"/>
          <w:color w:val="auto"/>
        </w:rPr>
      </w:pPr>
      <w:r>
        <w:rPr>
          <w:rFonts w:ascii="Arial" w:cs="Arial" w:eastAsia="Arial" w:hAnsi="Arial"/>
          <w:sz w:val="18"/>
          <w:szCs w:val="18"/>
          <w:color w:val="auto"/>
        </w:rPr>
        <w:t>The following table shows information regarding outstanding awards held by the individuals named below as of December 31, 2025. All awards represent grants of restricted stock or PBRSUs pursuant to the 2015 Plan that were assumed by the Company at the closing of the Merger. The shares reported in the tables below have been retrospectively adjusted to reflect the Exchange Ratio and are reported on an as-converted basis.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36195</wp:posOffset>
            </wp:positionV>
            <wp:extent cx="21945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96"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478155</wp:posOffset>
            </wp:positionV>
            <wp:extent cx="2263140" cy="6083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26314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Paul Bullington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John Harrobin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2263140" cy="6083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263140" cy="608330"/>
                    </a:xfrm>
                    <a:prstGeom prst="rect">
                      <a:avLst/>
                    </a:prstGeom>
                    <a:noFill/>
                  </pic:spPr>
                </pic:pic>
              </a:graphicData>
            </a:graphic>
          </wp:anchor>
        </w:drawing>
      </w:r>
    </w:p>
    <w:p>
      <w:pPr>
        <w:spacing w:after="0" w:line="62"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Daniel L. Heard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Michael Friloux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675005</wp:posOffset>
            </wp:positionV>
            <wp:extent cx="123444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auto"/>
        </w:rPr>
        <w:t>Stock Awards(1)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27940</wp:posOffset>
            </wp:positionV>
            <wp:extent cx="29489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center"/>
              <w:ind w:right="151"/>
              <w:spacing w:after="0"/>
              <w:rPr>
                <w:sz w:val="20"/>
                <w:szCs w:val="20"/>
                <w:color w:val="auto"/>
              </w:rPr>
            </w:pPr>
            <w:r>
              <w:rPr>
                <w:rFonts w:ascii="Arial" w:cs="Arial" w:eastAsia="Arial" w:hAnsi="Arial"/>
                <w:sz w:val="13"/>
                <w:szCs w:val="13"/>
                <w:b w:val="1"/>
                <w:bCs w:val="1"/>
                <w:color w:val="auto"/>
                <w:w w:val="95"/>
              </w:rPr>
              <w:t>Equity</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center"/>
              <w:ind w:right="151"/>
              <w:spacing w:after="0" w:line="135" w:lineRule="exact"/>
              <w:rPr>
                <w:sz w:val="20"/>
                <w:szCs w:val="20"/>
                <w:color w:val="auto"/>
              </w:rPr>
            </w:pPr>
            <w:r>
              <w:rPr>
                <w:rFonts w:ascii="Arial" w:cs="Arial" w:eastAsia="Arial" w:hAnsi="Arial"/>
                <w:sz w:val="13"/>
                <w:szCs w:val="13"/>
                <w:b w:val="1"/>
                <w:bCs w:val="1"/>
                <w:color w:val="auto"/>
                <w:w w:val="95"/>
              </w:rPr>
              <w:t>Incentive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Plan Awards: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68"/>
              <w:spacing w:after="0" w:line="135" w:lineRule="exact"/>
              <w:rPr>
                <w:sz w:val="20"/>
                <w:szCs w:val="20"/>
                <w:color w:val="auto"/>
              </w:rPr>
            </w:pPr>
            <w:r>
              <w:rPr>
                <w:rFonts w:ascii="Arial" w:cs="Arial" w:eastAsia="Arial" w:hAnsi="Arial"/>
                <w:sz w:val="13"/>
                <w:szCs w:val="13"/>
                <w:b w:val="1"/>
                <w:bCs w:val="1"/>
                <w:color w:val="auto"/>
                <w:w w:val="94"/>
              </w:rPr>
              <w:t>Equity Incentive</w:t>
            </w: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Market 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68"/>
              <w:spacing w:after="0"/>
              <w:rPr>
                <w:sz w:val="20"/>
                <w:szCs w:val="20"/>
                <w:color w:val="auto"/>
              </w:rPr>
            </w:pPr>
            <w:r>
              <w:rPr>
                <w:rFonts w:ascii="Arial" w:cs="Arial" w:eastAsia="Arial" w:hAnsi="Arial"/>
                <w:sz w:val="13"/>
                <w:szCs w:val="13"/>
                <w:b w:val="1"/>
                <w:bCs w:val="1"/>
                <w:color w:val="auto"/>
                <w:w w:val="94"/>
              </w:rPr>
              <w:t>Plan Awards:</w:t>
            </w: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Payout Value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68"/>
              <w:spacing w:after="0" w:line="135" w:lineRule="exact"/>
              <w:rPr>
                <w:sz w:val="20"/>
                <w:szCs w:val="20"/>
                <w:color w:val="auto"/>
              </w:rPr>
            </w:pPr>
            <w:r>
              <w:rPr>
                <w:rFonts w:ascii="Arial" w:cs="Arial" w:eastAsia="Arial" w:hAnsi="Arial"/>
                <w:sz w:val="13"/>
                <w:szCs w:val="13"/>
                <w:b w:val="1"/>
                <w:bCs w:val="1"/>
                <w:color w:val="auto"/>
                <w:w w:val="95"/>
              </w:rPr>
              <w:t>Number of</w:t>
            </w: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68"/>
              <w:spacing w:after="0"/>
              <w:rPr>
                <w:sz w:val="20"/>
                <w:szCs w:val="20"/>
                <w:color w:val="auto"/>
              </w:rPr>
            </w:pPr>
            <w:r>
              <w:rPr>
                <w:rFonts w:ascii="Arial" w:cs="Arial" w:eastAsia="Arial" w:hAnsi="Arial"/>
                <w:sz w:val="13"/>
                <w:szCs w:val="13"/>
                <w:b w:val="1"/>
                <w:bCs w:val="1"/>
                <w:color w:val="auto"/>
                <w:w w:val="96"/>
              </w:rPr>
              <w:t>Unearned</w:t>
            </w: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Shares, Units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68"/>
              <w:spacing w:after="0" w:line="135" w:lineRule="exact"/>
              <w:rPr>
                <w:sz w:val="20"/>
                <w:szCs w:val="20"/>
                <w:color w:val="auto"/>
              </w:rPr>
            </w:pPr>
            <w:r>
              <w:rPr>
                <w:rFonts w:ascii="Arial" w:cs="Arial" w:eastAsia="Arial" w:hAnsi="Arial"/>
                <w:sz w:val="13"/>
                <w:szCs w:val="13"/>
                <w:b w:val="1"/>
                <w:bCs w:val="1"/>
                <w:color w:val="auto"/>
                <w:w w:val="94"/>
              </w:rPr>
              <w:t>Shares, Units or</w:t>
            </w:r>
          </w:p>
        </w:tc>
        <w:tc>
          <w:tcPr>
            <w:tcW w:w="200" w:type="dxa"/>
            <w:vAlign w:val="bottom"/>
          </w:tcPr>
          <w:p>
            <w:pPr>
              <w:spacing w:after="0"/>
              <w:rPr>
                <w:sz w:val="11"/>
                <w:szCs w:val="11"/>
                <w:color w:val="auto"/>
              </w:rPr>
            </w:pPr>
          </w:p>
        </w:tc>
        <w:tc>
          <w:tcPr>
            <w:tcW w:w="760" w:type="dxa"/>
            <w:vAlign w:val="bottom"/>
          </w:tcPr>
          <w:p>
            <w:pPr>
              <w:jc w:val="center"/>
              <w:ind w:right="131"/>
              <w:spacing w:after="0" w:line="135" w:lineRule="exact"/>
              <w:rPr>
                <w:sz w:val="20"/>
                <w:szCs w:val="20"/>
                <w:color w:val="auto"/>
              </w:rPr>
            </w:pPr>
            <w:r>
              <w:rPr>
                <w:rFonts w:ascii="Arial" w:cs="Arial" w:eastAsia="Arial" w:hAnsi="Arial"/>
                <w:sz w:val="13"/>
                <w:szCs w:val="13"/>
                <w:b w:val="1"/>
                <w:bCs w:val="1"/>
                <w:color w:val="auto"/>
                <w:w w:val="91"/>
              </w:rPr>
              <w:t>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2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4"/>
              </w:rPr>
              <w:t>Number of Shares 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5"/>
              </w:rPr>
              <w:t>Market Value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68"/>
              <w:spacing w:after="0"/>
              <w:rPr>
                <w:sz w:val="20"/>
                <w:szCs w:val="20"/>
                <w:color w:val="auto"/>
              </w:rPr>
            </w:pPr>
            <w:r>
              <w:rPr>
                <w:rFonts w:ascii="Arial" w:cs="Arial" w:eastAsia="Arial" w:hAnsi="Arial"/>
                <w:sz w:val="13"/>
                <w:szCs w:val="13"/>
                <w:b w:val="1"/>
                <w:bCs w:val="1"/>
                <w:color w:val="auto"/>
                <w:w w:val="93"/>
              </w:rPr>
              <w:t>Other Rights</w:t>
            </w:r>
          </w:p>
        </w:tc>
        <w:tc>
          <w:tcPr>
            <w:tcW w:w="960" w:type="dxa"/>
            <w:vAlign w:val="bottom"/>
            <w:gridSpan w:val="2"/>
          </w:tcPr>
          <w:p>
            <w:pPr>
              <w:ind w:left="100"/>
              <w:spacing w:after="0"/>
              <w:rPr>
                <w:sz w:val="20"/>
                <w:szCs w:val="20"/>
                <w:color w:val="auto"/>
              </w:rPr>
            </w:pPr>
            <w:r>
              <w:rPr>
                <w:rFonts w:ascii="Arial" w:cs="Arial" w:eastAsia="Arial" w:hAnsi="Arial"/>
                <w:sz w:val="13"/>
                <w:szCs w:val="13"/>
                <w:b w:val="1"/>
                <w:bCs w:val="1"/>
                <w:color w:val="auto"/>
              </w:rPr>
              <w:t>Other Rights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ind w:right="310"/>
              <w:spacing w:after="0" w:line="135" w:lineRule="exact"/>
              <w:rPr>
                <w:sz w:val="20"/>
                <w:szCs w:val="20"/>
                <w:color w:val="auto"/>
              </w:rPr>
            </w:pPr>
            <w:r>
              <w:rPr>
                <w:rFonts w:ascii="Arial" w:cs="Arial" w:eastAsia="Arial" w:hAnsi="Arial"/>
                <w:sz w:val="13"/>
                <w:szCs w:val="13"/>
                <w:b w:val="1"/>
                <w:bCs w:val="1"/>
                <w:color w:val="auto"/>
                <w:w w:val="94"/>
              </w:rPr>
              <w:t>Units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Shares or Units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68"/>
              <w:spacing w:after="0" w:line="135" w:lineRule="exact"/>
              <w:rPr>
                <w:sz w:val="20"/>
                <w:szCs w:val="20"/>
                <w:color w:val="auto"/>
              </w:rPr>
            </w:pPr>
            <w:r>
              <w:rPr>
                <w:rFonts w:ascii="Arial" w:cs="Arial" w:eastAsia="Arial" w:hAnsi="Arial"/>
                <w:sz w:val="13"/>
                <w:szCs w:val="13"/>
                <w:b w:val="1"/>
                <w:bCs w:val="1"/>
                <w:color w:val="auto"/>
                <w:w w:val="94"/>
              </w:rPr>
              <w:t>That</w:t>
            </w:r>
          </w:p>
        </w:tc>
        <w:tc>
          <w:tcPr>
            <w:tcW w:w="200" w:type="dxa"/>
            <w:vAlign w:val="bottom"/>
          </w:tcPr>
          <w:p>
            <w:pPr>
              <w:spacing w:after="0"/>
              <w:rPr>
                <w:sz w:val="11"/>
                <w:szCs w:val="11"/>
                <w:color w:val="auto"/>
              </w:rPr>
            </w:pPr>
          </w:p>
        </w:tc>
        <w:tc>
          <w:tcPr>
            <w:tcW w:w="760" w:type="dxa"/>
            <w:vAlign w:val="bottom"/>
          </w:tcPr>
          <w:p>
            <w:pPr>
              <w:jc w:val="center"/>
              <w:ind w:right="151"/>
              <w:spacing w:after="0" w:line="135" w:lineRule="exact"/>
              <w:rPr>
                <w:sz w:val="20"/>
                <w:szCs w:val="20"/>
                <w:color w:val="auto"/>
              </w:rPr>
            </w:pPr>
            <w:r>
              <w:rPr>
                <w:rFonts w:ascii="Arial" w:cs="Arial" w:eastAsia="Arial" w:hAnsi="Arial"/>
                <w:sz w:val="13"/>
                <w:szCs w:val="13"/>
                <w:b w:val="1"/>
                <w:bCs w:val="1"/>
                <w:color w:val="auto"/>
                <w:w w:val="94"/>
              </w:rPr>
              <w:t>That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4"/>
              </w:rPr>
              <w:t>Stock That Have Not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4"/>
              </w:rPr>
              <w:t>Stock That Have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68"/>
              <w:spacing w:after="0"/>
              <w:rPr>
                <w:sz w:val="20"/>
                <w:szCs w:val="20"/>
                <w:color w:val="auto"/>
              </w:rPr>
            </w:pPr>
            <w:r>
              <w:rPr>
                <w:rFonts w:ascii="Arial" w:cs="Arial" w:eastAsia="Arial" w:hAnsi="Arial"/>
                <w:sz w:val="13"/>
                <w:szCs w:val="13"/>
                <w:b w:val="1"/>
                <w:bCs w:val="1"/>
                <w:color w:val="auto"/>
                <w:w w:val="95"/>
              </w:rPr>
              <w:t>Have Not</w:t>
            </w:r>
          </w:p>
        </w:tc>
        <w:tc>
          <w:tcPr>
            <w:tcW w:w="200" w:type="dxa"/>
            <w:vAlign w:val="bottom"/>
          </w:tcPr>
          <w:p>
            <w:pPr>
              <w:spacing w:after="0"/>
              <w:rPr>
                <w:sz w:val="12"/>
                <w:szCs w:val="12"/>
                <w:color w:val="auto"/>
              </w:rPr>
            </w:pPr>
          </w:p>
        </w:tc>
        <w:tc>
          <w:tcPr>
            <w:tcW w:w="760" w:type="dxa"/>
            <w:vAlign w:val="bottom"/>
          </w:tcPr>
          <w:p>
            <w:pPr>
              <w:jc w:val="center"/>
              <w:ind w:right="151"/>
              <w:spacing w:after="0"/>
              <w:rPr>
                <w:sz w:val="20"/>
                <w:szCs w:val="20"/>
                <w:color w:val="auto"/>
              </w:rPr>
            </w:pPr>
            <w:r>
              <w:rPr>
                <w:rFonts w:ascii="Arial" w:cs="Arial" w:eastAsia="Arial" w:hAnsi="Arial"/>
                <w:sz w:val="13"/>
                <w:szCs w:val="13"/>
                <w:b w:val="1"/>
                <w:bCs w:val="1"/>
                <w:color w:val="auto"/>
                <w:w w:val="95"/>
              </w:rPr>
              <w:t>Have Not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Vested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4"/>
              </w:rPr>
              <w:t>Not Vested ($)(3)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
              <w:spacing w:after="0"/>
              <w:rPr>
                <w:sz w:val="20"/>
                <w:szCs w:val="20"/>
                <w:color w:val="auto"/>
              </w:rPr>
            </w:pPr>
            <w:r>
              <w:rPr>
                <w:rFonts w:ascii="Arial" w:cs="Arial" w:eastAsia="Arial" w:hAnsi="Arial"/>
                <w:sz w:val="13"/>
                <w:szCs w:val="13"/>
                <w:b w:val="1"/>
                <w:bCs w:val="1"/>
                <w:color w:val="auto"/>
                <w:w w:val="93"/>
              </w:rPr>
              <w:t>Vested (#)</w:t>
            </w: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Vested ($)(3)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ind w:right="75"/>
              <w:spacing w:after="0"/>
              <w:rPr>
                <w:sz w:val="20"/>
                <w:szCs w:val="20"/>
                <w:color w:val="auto"/>
              </w:rPr>
            </w:pPr>
            <w:r>
              <w:rPr>
                <w:rFonts w:ascii="Arial" w:cs="Arial" w:eastAsia="Arial" w:hAnsi="Arial"/>
                <w:sz w:val="1"/>
                <w:szCs w:val="1"/>
                <w:color w:val="auto"/>
                <w:w w:val="4294942296"/>
              </w:rPr>
              <w:t>​</w:t>
            </w: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1260" w:type="dxa"/>
            <w:vAlign w:val="bottom"/>
            <w:gridSpan w:val="3"/>
          </w:tcPr>
          <w:p>
            <w:pPr>
              <w:jc w:val="right"/>
              <w:ind w:right="230"/>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1,108,474</w:t>
            </w:r>
          </w:p>
        </w:tc>
        <w:tc>
          <w:tcPr>
            <w:tcW w:w="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80" w:type="dxa"/>
            <w:vAlign w:val="bottom"/>
          </w:tcPr>
          <w:p>
            <w:pPr>
              <w:ind w:left="180"/>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$7,770,403</w:t>
            </w:r>
          </w:p>
        </w:tc>
        <w:tc>
          <w:tcPr>
            <w:tcW w:w="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80" w:type="dxa"/>
            <w:vAlign w:val="bottom"/>
          </w:tcPr>
          <w:p>
            <w:pPr>
              <w:jc w:val="right"/>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66,740(4)</w:t>
            </w:r>
          </w:p>
        </w:tc>
        <w:tc>
          <w:tcPr>
            <w:tcW w:w="100" w:type="dxa"/>
            <w:vAlign w:val="bottom"/>
            <w:vMerge w:val="continue"/>
          </w:tcPr>
          <w:p>
            <w:pPr>
              <w:spacing w:after="0"/>
              <w:rPr>
                <w:sz w:val="17"/>
                <w:szCs w:val="17"/>
                <w:color w:val="auto"/>
              </w:rPr>
            </w:pPr>
          </w:p>
        </w:tc>
        <w:tc>
          <w:tcPr>
            <w:tcW w:w="200" w:type="dxa"/>
            <w:vAlign w:val="bottom"/>
          </w:tcPr>
          <w:p>
            <w:pPr>
              <w:ind w:left="120"/>
              <w:spacing w:after="0" w:line="200" w:lineRule="exact"/>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bscript"/>
              </w:rPr>
              <w:t>$</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467,847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1"/>
                <w:szCs w:val="21"/>
                <w:color w:val="auto"/>
              </w:rPr>
            </w:pPr>
          </w:p>
        </w:tc>
        <w:tc>
          <w:tcPr>
            <w:tcW w:w="120" w:type="dxa"/>
            <w:vAlign w:val="bottom"/>
            <w:gridSpan w:val="2"/>
          </w:tcPr>
          <w:p>
            <w:pPr>
              <w:jc w:val="right"/>
              <w:ind w:right="75"/>
              <w:spacing w:after="0"/>
              <w:rPr>
                <w:sz w:val="20"/>
                <w:szCs w:val="20"/>
                <w:color w:val="auto"/>
              </w:rPr>
            </w:pPr>
            <w:r>
              <w:rPr>
                <w:rFonts w:ascii="Arial" w:cs="Arial" w:eastAsia="Arial" w:hAnsi="Arial"/>
                <w:sz w:val="14"/>
                <w:szCs w:val="14"/>
                <w:color w:val="auto"/>
              </w:rPr>
              <w:t>​</w:t>
            </w:r>
          </w:p>
        </w:tc>
        <w:tc>
          <w:tcPr>
            <w:tcW w:w="1080" w:type="dxa"/>
            <w:vAlign w:val="bottom"/>
          </w:tcPr>
          <w:p>
            <w:pPr>
              <w:ind w:left="180"/>
              <w:spacing w:after="0"/>
              <w:rPr>
                <w:sz w:val="20"/>
                <w:szCs w:val="20"/>
                <w:color w:val="auto"/>
              </w:rPr>
            </w:pPr>
            <w:r>
              <w:rPr>
                <w:rFonts w:ascii="Arial" w:cs="Arial" w:eastAsia="Arial" w:hAnsi="Arial"/>
                <w:sz w:val="14"/>
                <w:szCs w:val="14"/>
                <w:color w:val="auto"/>
              </w:rPr>
              <w:t>​</w:t>
            </w:r>
          </w:p>
        </w:tc>
        <w:tc>
          <w:tcPr>
            <w:tcW w:w="1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157,307(5) </w:t>
            </w:r>
            <w:r>
              <w:rPr>
                <w:rFonts w:ascii="Arial" w:cs="Arial" w:eastAsia="Arial" w:hAnsi="Arial"/>
                <w:sz w:val="28"/>
                <w:szCs w:val="28"/>
                <w:color w:val="auto"/>
                <w:vertAlign w:val="superscript"/>
              </w:rPr>
              <w:t>​</w:t>
            </w:r>
          </w:p>
        </w:tc>
        <w:tc>
          <w:tcPr>
            <w:tcW w:w="960" w:type="dxa"/>
            <w:vAlign w:val="bottom"/>
            <w:gridSpan w:val="2"/>
          </w:tcPr>
          <w:p>
            <w:pPr>
              <w:jc w:val="right"/>
              <w:ind w:right="51"/>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$1,102,722</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1"/>
                <w:szCs w:val="21"/>
                <w:color w:val="auto"/>
              </w:rPr>
            </w:pPr>
          </w:p>
        </w:tc>
        <w:tc>
          <w:tcPr>
            <w:tcW w:w="120" w:type="dxa"/>
            <w:vAlign w:val="bottom"/>
            <w:gridSpan w:val="2"/>
          </w:tcPr>
          <w:p>
            <w:pPr>
              <w:jc w:val="right"/>
              <w:ind w:right="75"/>
              <w:spacing w:after="0"/>
              <w:rPr>
                <w:sz w:val="20"/>
                <w:szCs w:val="20"/>
                <w:color w:val="auto"/>
              </w:rPr>
            </w:pPr>
            <w:r>
              <w:rPr>
                <w:rFonts w:ascii="Arial" w:cs="Arial" w:eastAsia="Arial" w:hAnsi="Arial"/>
                <w:sz w:val="14"/>
                <w:szCs w:val="14"/>
                <w:color w:val="auto"/>
              </w:rPr>
              <w:t>​</w:t>
            </w:r>
          </w:p>
        </w:tc>
        <w:tc>
          <w:tcPr>
            <w:tcW w:w="1080" w:type="dxa"/>
            <w:vAlign w:val="bottom"/>
          </w:tcPr>
          <w:p>
            <w:pPr>
              <w:ind w:left="180"/>
              <w:spacing w:after="0"/>
              <w:rPr>
                <w:sz w:val="20"/>
                <w:szCs w:val="20"/>
                <w:color w:val="auto"/>
              </w:rPr>
            </w:pPr>
            <w:r>
              <w:rPr>
                <w:rFonts w:ascii="Arial" w:cs="Arial" w:eastAsia="Arial" w:hAnsi="Arial"/>
                <w:sz w:val="14"/>
                <w:szCs w:val="14"/>
                <w:color w:val="auto"/>
              </w:rPr>
              <w:t>​</w:t>
            </w:r>
          </w:p>
        </w:tc>
        <w:tc>
          <w:tcPr>
            <w:tcW w:w="1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168,269(6) </w:t>
            </w:r>
            <w:r>
              <w:rPr>
                <w:rFonts w:ascii="Arial" w:cs="Arial" w:eastAsia="Arial" w:hAnsi="Arial"/>
                <w:sz w:val="28"/>
                <w:szCs w:val="28"/>
                <w:color w:val="auto"/>
                <w:vertAlign w:val="superscript"/>
              </w:rPr>
              <w:t>​</w:t>
            </w:r>
          </w:p>
        </w:tc>
        <w:tc>
          <w:tcPr>
            <w:tcW w:w="960" w:type="dxa"/>
            <w:vAlign w:val="bottom"/>
            <w:gridSpan w:val="2"/>
          </w:tcPr>
          <w:p>
            <w:pPr>
              <w:jc w:val="right"/>
              <w:ind w:right="51"/>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$1,179,566</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1"/>
                <w:szCs w:val="21"/>
                <w:color w:val="auto"/>
              </w:rPr>
            </w:pPr>
          </w:p>
        </w:tc>
        <w:tc>
          <w:tcPr>
            <w:tcW w:w="120" w:type="dxa"/>
            <w:vAlign w:val="bottom"/>
            <w:gridSpan w:val="2"/>
          </w:tcPr>
          <w:p>
            <w:pPr>
              <w:jc w:val="right"/>
              <w:ind w:right="75"/>
              <w:spacing w:after="0"/>
              <w:rPr>
                <w:sz w:val="20"/>
                <w:szCs w:val="20"/>
                <w:color w:val="auto"/>
              </w:rPr>
            </w:pPr>
            <w:r>
              <w:rPr>
                <w:rFonts w:ascii="Arial" w:cs="Arial" w:eastAsia="Arial" w:hAnsi="Arial"/>
                <w:sz w:val="14"/>
                <w:szCs w:val="14"/>
                <w:color w:val="auto"/>
              </w:rPr>
              <w:t>​</w:t>
            </w:r>
          </w:p>
        </w:tc>
        <w:tc>
          <w:tcPr>
            <w:tcW w:w="1080" w:type="dxa"/>
            <w:vAlign w:val="bottom"/>
          </w:tcPr>
          <w:p>
            <w:pPr>
              <w:ind w:left="180"/>
              <w:spacing w:after="0"/>
              <w:rPr>
                <w:sz w:val="20"/>
                <w:szCs w:val="20"/>
                <w:color w:val="auto"/>
              </w:rPr>
            </w:pPr>
            <w:r>
              <w:rPr>
                <w:rFonts w:ascii="Arial" w:cs="Arial" w:eastAsia="Arial" w:hAnsi="Arial"/>
                <w:sz w:val="14"/>
                <w:szCs w:val="14"/>
                <w:color w:val="auto"/>
              </w:rPr>
              <w:t>​</w:t>
            </w:r>
          </w:p>
        </w:tc>
        <w:tc>
          <w:tcPr>
            <w:tcW w:w="1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263,614(7) </w:t>
            </w:r>
            <w:r>
              <w:rPr>
                <w:rFonts w:ascii="Arial" w:cs="Arial" w:eastAsia="Arial" w:hAnsi="Arial"/>
                <w:sz w:val="28"/>
                <w:szCs w:val="28"/>
                <w:color w:val="auto"/>
                <w:vertAlign w:val="superscript"/>
              </w:rPr>
              <w:t>​</w:t>
            </w:r>
          </w:p>
        </w:tc>
        <w:tc>
          <w:tcPr>
            <w:tcW w:w="960" w:type="dxa"/>
            <w:vAlign w:val="bottom"/>
            <w:gridSpan w:val="2"/>
          </w:tcPr>
          <w:p>
            <w:pPr>
              <w:jc w:val="right"/>
              <w:ind w:right="51"/>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$1,847,934</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209"/>
        </w:trPr>
        <w:tc>
          <w:tcPr>
            <w:tcW w:w="60" w:type="dxa"/>
            <w:vAlign w:val="bottom"/>
            <w:tcBorders>
              <w:bottom w:val="single" w:sz="8" w:color="B2B2B2"/>
            </w:tcBorders>
            <w:shd w:val="clear" w:color="auto" w:fill="B2B2B2"/>
          </w:tcPr>
          <w:p>
            <w:pPr>
              <w:spacing w:after="0"/>
              <w:rPr>
                <w:sz w:val="18"/>
                <w:szCs w:val="18"/>
                <w:color w:val="auto"/>
              </w:rPr>
            </w:pPr>
          </w:p>
        </w:tc>
        <w:tc>
          <w:tcPr>
            <w:tcW w:w="380" w:type="dxa"/>
            <w:vAlign w:val="bottom"/>
            <w:tcBorders>
              <w:bottom w:val="single" w:sz="8" w:color="B2B2B2"/>
            </w:tcBorders>
            <w:gridSpan w:val="2"/>
            <w:shd w:val="clear" w:color="auto" w:fill="B2B2B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B2B2B2"/>
            </w:tcBorders>
            <w:shd w:val="clear" w:color="auto" w:fill="B2B2B2"/>
          </w:tcPr>
          <w:p>
            <w:pPr>
              <w:jc w:val="right"/>
              <w:ind w:right="230"/>
              <w:spacing w:after="0"/>
              <w:rPr>
                <w:sz w:val="20"/>
                <w:szCs w:val="20"/>
                <w:color w:val="auto"/>
              </w:rPr>
            </w:pPr>
            <w:r>
              <w:rPr>
                <w:rFonts w:ascii="Arial" w:cs="Arial" w:eastAsia="Arial" w:hAnsi="Arial"/>
                <w:sz w:val="14"/>
                <w:szCs w:val="14"/>
                <w:color w:val="auto"/>
              </w:rPr>
              <w:t>356,229</w:t>
            </w:r>
          </w:p>
        </w:tc>
        <w:tc>
          <w:tcPr>
            <w:tcW w:w="120" w:type="dxa"/>
            <w:vAlign w:val="bottom"/>
            <w:tcBorders>
              <w:bottom w:val="single" w:sz="8" w:color="B2B2B2"/>
            </w:tcBorders>
            <w:gridSpan w:val="2"/>
            <w:shd w:val="clear" w:color="auto" w:fill="B2B2B2"/>
          </w:tcPr>
          <w:p>
            <w:pPr>
              <w:jc w:val="right"/>
              <w:ind w:right="75"/>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B2B2B2"/>
            </w:tcBorders>
            <w:shd w:val="clear" w:color="auto" w:fill="B2B2B2"/>
          </w:tcPr>
          <w:p>
            <w:pPr>
              <w:ind w:left="180"/>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$2,497,165</w:t>
            </w:r>
          </w:p>
        </w:tc>
        <w:tc>
          <w:tcPr>
            <w:tcW w:w="140" w:type="dxa"/>
            <w:vAlign w:val="bottom"/>
            <w:tcBorders>
              <w:bottom w:val="single" w:sz="8" w:color="B2B2B2"/>
            </w:tcBorders>
            <w:gridSpan w:val="2"/>
            <w:shd w:val="clear" w:color="auto" w:fill="B2B2B2"/>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B2B2B2"/>
            </w:tcBorders>
            <w:gridSpan w:val="2"/>
            <w:shd w:val="clear" w:color="auto" w:fill="B2B2B2"/>
          </w:tcPr>
          <w:p>
            <w:pPr>
              <w:jc w:val="right"/>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18,902(4) </w:t>
            </w:r>
            <w:r>
              <w:rPr>
                <w:rFonts w:ascii="Arial" w:cs="Arial" w:eastAsia="Arial" w:hAnsi="Arial"/>
                <w:sz w:val="23"/>
                <w:szCs w:val="23"/>
                <w:color w:val="auto"/>
                <w:vertAlign w:val="superscript"/>
              </w:rPr>
              <w:t>​</w:t>
            </w:r>
          </w:p>
        </w:tc>
        <w:tc>
          <w:tcPr>
            <w:tcW w:w="200" w:type="dxa"/>
            <w:vAlign w:val="bottom"/>
            <w:tcBorders>
              <w:bottom w:val="single" w:sz="8" w:color="B2B2B2"/>
            </w:tcBorders>
            <w:shd w:val="clear" w:color="auto" w:fill="B2B2B2"/>
          </w:tcPr>
          <w:p>
            <w:pPr>
              <w:ind w:left="120"/>
              <w:spacing w:after="0" w:line="207" w:lineRule="exact"/>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bscript"/>
              </w:rPr>
              <w:t>$</w:t>
            </w:r>
          </w:p>
        </w:tc>
        <w:tc>
          <w:tcPr>
            <w:tcW w:w="760" w:type="dxa"/>
            <w:vAlign w:val="bottom"/>
            <w:tcBorders>
              <w:bottom w:val="single" w:sz="8" w:color="B2B2B2"/>
              <w:right w:val="single" w:sz="8" w:color="B2B2B2"/>
            </w:tcBorders>
            <w:shd w:val="clear" w:color="auto" w:fill="B2B2B2"/>
          </w:tcPr>
          <w:p>
            <w:pPr>
              <w:jc w:val="right"/>
              <w:ind w:right="51"/>
              <w:spacing w:after="0"/>
              <w:rPr>
                <w:sz w:val="20"/>
                <w:szCs w:val="20"/>
                <w:color w:val="auto"/>
              </w:rPr>
            </w:pPr>
            <w:r>
              <w:rPr>
                <w:rFonts w:ascii="Arial" w:cs="Arial" w:eastAsia="Arial" w:hAnsi="Arial"/>
                <w:sz w:val="14"/>
                <w:szCs w:val="14"/>
                <w:color w:val="auto"/>
              </w:rPr>
              <w:t>132,503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20" w:type="dxa"/>
            <w:vAlign w:val="bottom"/>
            <w:shd w:val="clear" w:color="auto" w:fill="B2B2B2"/>
          </w:tcPr>
          <w:p>
            <w:pPr>
              <w:spacing w:after="0"/>
              <w:rPr>
                <w:sz w:val="19"/>
                <w:szCs w:val="19"/>
                <w:color w:val="auto"/>
              </w:rPr>
            </w:pPr>
          </w:p>
        </w:tc>
        <w:tc>
          <w:tcPr>
            <w:tcW w:w="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B2B2B2"/>
          </w:tcPr>
          <w:p>
            <w:pPr>
              <w:spacing w:after="0"/>
              <w:rPr>
                <w:sz w:val="19"/>
                <w:szCs w:val="19"/>
                <w:color w:val="auto"/>
              </w:rPr>
            </w:pPr>
          </w:p>
        </w:tc>
        <w:tc>
          <w:tcPr>
            <w:tcW w:w="120" w:type="dxa"/>
            <w:vAlign w:val="bottom"/>
            <w:gridSpan w:val="2"/>
            <w:shd w:val="clear" w:color="auto" w:fill="B2B2B2"/>
          </w:tcPr>
          <w:p>
            <w:pPr>
              <w:jc w:val="right"/>
              <w:ind w:right="75"/>
              <w:spacing w:after="0"/>
              <w:rPr>
                <w:sz w:val="20"/>
                <w:szCs w:val="20"/>
                <w:color w:val="auto"/>
              </w:rPr>
            </w:pPr>
            <w:r>
              <w:rPr>
                <w:rFonts w:ascii="Arial" w:cs="Arial" w:eastAsia="Arial" w:hAnsi="Arial"/>
                <w:sz w:val="14"/>
                <w:szCs w:val="14"/>
                <w:color w:val="auto"/>
              </w:rPr>
              <w:t>​</w:t>
            </w:r>
          </w:p>
        </w:tc>
        <w:tc>
          <w:tcPr>
            <w:tcW w:w="1080" w:type="dxa"/>
            <w:vAlign w:val="bottom"/>
            <w:shd w:val="clear" w:color="auto" w:fill="B2B2B2"/>
          </w:tcPr>
          <w:p>
            <w:pPr>
              <w:ind w:left="18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B2B2B2"/>
          </w:tcPr>
          <w:p>
            <w:pPr>
              <w:ind w:left="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B2B2B2"/>
          </w:tcPr>
          <w:p>
            <w:pPr>
              <w:jc w:val="right"/>
              <w:spacing w:after="0" w:line="22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45,889(5) </w:t>
            </w:r>
            <w:r>
              <w:rPr>
                <w:rFonts w:ascii="Arial" w:cs="Arial" w:eastAsia="Arial" w:hAnsi="Arial"/>
                <w:sz w:val="25"/>
                <w:szCs w:val="25"/>
                <w:color w:val="auto"/>
                <w:vertAlign w:val="superscript"/>
              </w:rPr>
              <w:t>​</w:t>
            </w:r>
          </w:p>
        </w:tc>
        <w:tc>
          <w:tcPr>
            <w:tcW w:w="200" w:type="dxa"/>
            <w:vAlign w:val="bottom"/>
            <w:shd w:val="clear" w:color="auto" w:fill="B2B2B2"/>
          </w:tcPr>
          <w:p>
            <w:pPr>
              <w:ind w:left="120"/>
              <w:spacing w:after="0" w:line="220" w:lineRule="exact"/>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bscript"/>
              </w:rPr>
              <w:t>$</w:t>
            </w:r>
          </w:p>
        </w:tc>
        <w:tc>
          <w:tcPr>
            <w:tcW w:w="760" w:type="dxa"/>
            <w:vAlign w:val="bottom"/>
            <w:tcBorders>
              <w:right w:val="single" w:sz="8" w:color="B2B2B2"/>
            </w:tcBorders>
            <w:shd w:val="clear" w:color="auto" w:fill="B2B2B2"/>
          </w:tcPr>
          <w:p>
            <w:pPr>
              <w:jc w:val="right"/>
              <w:ind w:right="51"/>
              <w:spacing w:after="0"/>
              <w:rPr>
                <w:sz w:val="20"/>
                <w:szCs w:val="20"/>
                <w:color w:val="auto"/>
              </w:rPr>
            </w:pPr>
            <w:r>
              <w:rPr>
                <w:rFonts w:ascii="Arial" w:cs="Arial" w:eastAsia="Arial" w:hAnsi="Arial"/>
                <w:sz w:val="14"/>
                <w:szCs w:val="14"/>
                <w:color w:val="auto"/>
              </w:rPr>
              <w:t>321,682</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20" w:type="dxa"/>
            <w:vAlign w:val="bottom"/>
            <w:shd w:val="clear" w:color="auto" w:fill="B2B2B2"/>
          </w:tcPr>
          <w:p>
            <w:pPr>
              <w:spacing w:after="0"/>
              <w:rPr>
                <w:sz w:val="21"/>
                <w:szCs w:val="21"/>
                <w:color w:val="auto"/>
              </w:rPr>
            </w:pPr>
          </w:p>
        </w:tc>
        <w:tc>
          <w:tcPr>
            <w:tcW w:w="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B2B2B2"/>
          </w:tcPr>
          <w:p>
            <w:pPr>
              <w:spacing w:after="0"/>
              <w:rPr>
                <w:sz w:val="21"/>
                <w:szCs w:val="21"/>
                <w:color w:val="auto"/>
              </w:rPr>
            </w:pPr>
          </w:p>
        </w:tc>
        <w:tc>
          <w:tcPr>
            <w:tcW w:w="120" w:type="dxa"/>
            <w:vAlign w:val="bottom"/>
            <w:gridSpan w:val="2"/>
            <w:shd w:val="clear" w:color="auto" w:fill="B2B2B2"/>
          </w:tcPr>
          <w:p>
            <w:pPr>
              <w:jc w:val="right"/>
              <w:ind w:right="75"/>
              <w:spacing w:after="0"/>
              <w:rPr>
                <w:sz w:val="20"/>
                <w:szCs w:val="20"/>
                <w:color w:val="auto"/>
              </w:rPr>
            </w:pPr>
            <w:r>
              <w:rPr>
                <w:rFonts w:ascii="Arial" w:cs="Arial" w:eastAsia="Arial" w:hAnsi="Arial"/>
                <w:sz w:val="14"/>
                <w:szCs w:val="14"/>
                <w:color w:val="auto"/>
              </w:rPr>
              <w:t>​</w:t>
            </w:r>
          </w:p>
        </w:tc>
        <w:tc>
          <w:tcPr>
            <w:tcW w:w="1080" w:type="dxa"/>
            <w:vAlign w:val="bottom"/>
            <w:shd w:val="clear" w:color="auto" w:fill="B2B2B2"/>
          </w:tcPr>
          <w:p>
            <w:pPr>
              <w:ind w:left="18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B2B2B2"/>
          </w:tcPr>
          <w:p>
            <w:pPr>
              <w:ind w:left="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B2B2B2"/>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80,436(6) </w:t>
            </w:r>
            <w:r>
              <w:rPr>
                <w:rFonts w:ascii="Arial" w:cs="Arial" w:eastAsia="Arial" w:hAnsi="Arial"/>
                <w:sz w:val="28"/>
                <w:szCs w:val="28"/>
                <w:color w:val="auto"/>
                <w:vertAlign w:val="superscript"/>
              </w:rPr>
              <w:t>​</w:t>
            </w:r>
          </w:p>
        </w:tc>
        <w:tc>
          <w:tcPr>
            <w:tcW w:w="200" w:type="dxa"/>
            <w:vAlign w:val="bottom"/>
            <w:shd w:val="clear" w:color="auto" w:fill="B2B2B2"/>
          </w:tcPr>
          <w:p>
            <w:pPr>
              <w:ind w:left="120"/>
              <w:spacing w:after="0" w:line="243" w:lineRule="exact"/>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bscript"/>
              </w:rPr>
              <w:t>$</w:t>
            </w:r>
          </w:p>
        </w:tc>
        <w:tc>
          <w:tcPr>
            <w:tcW w:w="760" w:type="dxa"/>
            <w:vAlign w:val="bottom"/>
            <w:tcBorders>
              <w:right w:val="single" w:sz="8" w:color="B2B2B2"/>
            </w:tcBorders>
            <w:shd w:val="clear" w:color="auto" w:fill="B2B2B2"/>
          </w:tcPr>
          <w:p>
            <w:pPr>
              <w:jc w:val="right"/>
              <w:ind w:right="51"/>
              <w:spacing w:after="0"/>
              <w:rPr>
                <w:sz w:val="20"/>
                <w:szCs w:val="20"/>
                <w:color w:val="auto"/>
              </w:rPr>
            </w:pPr>
            <w:r>
              <w:rPr>
                <w:rFonts w:ascii="Arial" w:cs="Arial" w:eastAsia="Arial" w:hAnsi="Arial"/>
                <w:sz w:val="14"/>
                <w:szCs w:val="14"/>
                <w:color w:val="auto"/>
              </w:rPr>
              <w:t>563,856</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320" w:type="dxa"/>
            <w:vAlign w:val="bottom"/>
            <w:tcBorders>
              <w:bottom w:val="single" w:sz="8" w:color="B2B2B2"/>
            </w:tcBorders>
            <w:shd w:val="clear" w:color="auto" w:fill="B2B2B2"/>
          </w:tcPr>
          <w:p>
            <w:pPr>
              <w:spacing w:after="0"/>
              <w:rPr>
                <w:sz w:val="21"/>
                <w:szCs w:val="21"/>
                <w:color w:val="auto"/>
              </w:rPr>
            </w:pPr>
          </w:p>
        </w:tc>
        <w:tc>
          <w:tcPr>
            <w:tcW w:w="60" w:type="dxa"/>
            <w:vAlign w:val="bottom"/>
            <w:tcBorders>
              <w:bottom w:val="single" w:sz="8" w:color="B2B2B2"/>
            </w:tcBorders>
            <w:shd w:val="clear" w:color="auto" w:fill="B2B2B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B2B2B2"/>
            </w:tcBorders>
            <w:shd w:val="clear" w:color="auto" w:fill="B2B2B2"/>
          </w:tcPr>
          <w:p>
            <w:pPr>
              <w:spacing w:after="0"/>
              <w:rPr>
                <w:sz w:val="21"/>
                <w:szCs w:val="21"/>
                <w:color w:val="auto"/>
              </w:rPr>
            </w:pPr>
          </w:p>
        </w:tc>
        <w:tc>
          <w:tcPr>
            <w:tcW w:w="120" w:type="dxa"/>
            <w:vAlign w:val="bottom"/>
            <w:tcBorders>
              <w:bottom w:val="single" w:sz="8" w:color="B2B2B2"/>
            </w:tcBorders>
            <w:gridSpan w:val="2"/>
            <w:shd w:val="clear" w:color="auto" w:fill="B2B2B2"/>
          </w:tcPr>
          <w:p>
            <w:pPr>
              <w:jc w:val="right"/>
              <w:ind w:right="75"/>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B2B2B2"/>
            </w:tcBorders>
            <w:shd w:val="clear" w:color="auto" w:fill="B2B2B2"/>
          </w:tcPr>
          <w:p>
            <w:pPr>
              <w:ind w:lef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B2B2B2"/>
            </w:tcBorders>
            <w:gridSpan w:val="2"/>
            <w:shd w:val="clear" w:color="auto" w:fill="B2B2B2"/>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B2B2B2"/>
            </w:tcBorders>
            <w:gridSpan w:val="2"/>
            <w:shd w:val="clear" w:color="auto" w:fill="B2B2B2"/>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77,534(7) </w:t>
            </w:r>
            <w:r>
              <w:rPr>
                <w:rFonts w:ascii="Arial" w:cs="Arial" w:eastAsia="Arial" w:hAnsi="Arial"/>
                <w:sz w:val="28"/>
                <w:szCs w:val="28"/>
                <w:color w:val="auto"/>
                <w:vertAlign w:val="superscript"/>
              </w:rPr>
              <w:t>​</w:t>
            </w:r>
          </w:p>
        </w:tc>
        <w:tc>
          <w:tcPr>
            <w:tcW w:w="200" w:type="dxa"/>
            <w:vAlign w:val="bottom"/>
            <w:tcBorders>
              <w:bottom w:val="single" w:sz="8" w:color="B2B2B2"/>
            </w:tcBorders>
            <w:shd w:val="clear" w:color="auto" w:fill="B2B2B2"/>
          </w:tcPr>
          <w:p>
            <w:pPr>
              <w:ind w:left="120"/>
              <w:spacing w:after="0" w:line="243" w:lineRule="exact"/>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bscript"/>
              </w:rPr>
              <w:t>$</w:t>
            </w:r>
          </w:p>
        </w:tc>
        <w:tc>
          <w:tcPr>
            <w:tcW w:w="760" w:type="dxa"/>
            <w:vAlign w:val="bottom"/>
            <w:tcBorders>
              <w:bottom w:val="single" w:sz="8" w:color="B2B2B2"/>
              <w:right w:val="single" w:sz="8" w:color="B2B2B2"/>
            </w:tcBorders>
            <w:shd w:val="clear" w:color="auto" w:fill="B2B2B2"/>
          </w:tcPr>
          <w:p>
            <w:pPr>
              <w:jc w:val="right"/>
              <w:ind w:right="51"/>
              <w:spacing w:after="0"/>
              <w:rPr>
                <w:sz w:val="20"/>
                <w:szCs w:val="20"/>
                <w:color w:val="auto"/>
              </w:rPr>
            </w:pPr>
            <w:r>
              <w:rPr>
                <w:rFonts w:ascii="Arial" w:cs="Arial" w:eastAsia="Arial" w:hAnsi="Arial"/>
                <w:sz w:val="14"/>
                <w:szCs w:val="14"/>
                <w:color w:val="auto"/>
              </w:rPr>
              <w:t>543,513</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30"/>
              <w:spacing w:after="0"/>
              <w:rPr>
                <w:sz w:val="20"/>
                <w:szCs w:val="20"/>
                <w:color w:val="auto"/>
              </w:rPr>
            </w:pPr>
            <w:r>
              <w:rPr>
                <w:rFonts w:ascii="Arial" w:cs="Arial" w:eastAsia="Arial" w:hAnsi="Arial"/>
                <w:sz w:val="14"/>
                <w:szCs w:val="14"/>
                <w:color w:val="auto"/>
              </w:rPr>
              <w:t>369,948</w:t>
            </w:r>
          </w:p>
        </w:tc>
        <w:tc>
          <w:tcPr>
            <w:tcW w:w="120" w:type="dxa"/>
            <w:vAlign w:val="bottom"/>
            <w:gridSpan w:val="2"/>
          </w:tcPr>
          <w:p>
            <w:pPr>
              <w:jc w:val="right"/>
              <w:ind w:right="75"/>
              <w:spacing w:after="0"/>
              <w:rPr>
                <w:sz w:val="20"/>
                <w:szCs w:val="20"/>
                <w:color w:val="auto"/>
              </w:rPr>
            </w:pPr>
            <w:r>
              <w:rPr>
                <w:rFonts w:ascii="Arial" w:cs="Arial" w:eastAsia="Arial" w:hAnsi="Arial"/>
                <w:sz w:val="14"/>
                <w:szCs w:val="14"/>
                <w:color w:val="auto"/>
              </w:rPr>
              <w:t>​</w:t>
            </w:r>
          </w:p>
        </w:tc>
        <w:tc>
          <w:tcPr>
            <w:tcW w:w="1080" w:type="dxa"/>
            <w:vAlign w:val="bottom"/>
          </w:tcPr>
          <w:p>
            <w:pPr>
              <w:ind w:left="180"/>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$2,593,335</w:t>
            </w:r>
          </w:p>
        </w:tc>
        <w:tc>
          <w:tcPr>
            <w:tcW w:w="1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150,313(6) </w:t>
            </w:r>
            <w:r>
              <w:rPr>
                <w:rFonts w:ascii="Arial" w:cs="Arial" w:eastAsia="Arial" w:hAnsi="Arial"/>
                <w:sz w:val="23"/>
                <w:szCs w:val="23"/>
                <w:color w:val="auto"/>
                <w:vertAlign w:val="superscript"/>
              </w:rPr>
              <w:t>​</w:t>
            </w:r>
          </w:p>
        </w:tc>
        <w:tc>
          <w:tcPr>
            <w:tcW w:w="960" w:type="dxa"/>
            <w:vAlign w:val="bottom"/>
            <w:gridSpan w:val="2"/>
          </w:tcPr>
          <w:p>
            <w:pPr>
              <w:jc w:val="right"/>
              <w:ind w:right="51"/>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$1,053,694</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209"/>
        </w:trPr>
        <w:tc>
          <w:tcPr>
            <w:tcW w:w="60" w:type="dxa"/>
            <w:vAlign w:val="bottom"/>
            <w:tcBorders>
              <w:bottom w:val="single" w:sz="8" w:color="B2B2B2"/>
            </w:tcBorders>
            <w:shd w:val="clear" w:color="auto" w:fill="B2B2B2"/>
          </w:tcPr>
          <w:p>
            <w:pPr>
              <w:spacing w:after="0"/>
              <w:rPr>
                <w:sz w:val="18"/>
                <w:szCs w:val="18"/>
                <w:color w:val="auto"/>
              </w:rPr>
            </w:pPr>
          </w:p>
        </w:tc>
        <w:tc>
          <w:tcPr>
            <w:tcW w:w="380" w:type="dxa"/>
            <w:vAlign w:val="bottom"/>
            <w:tcBorders>
              <w:bottom w:val="single" w:sz="8" w:color="B2B2B2"/>
            </w:tcBorders>
            <w:gridSpan w:val="2"/>
            <w:shd w:val="clear" w:color="auto" w:fill="B2B2B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B2B2B2"/>
            </w:tcBorders>
            <w:shd w:val="clear" w:color="auto" w:fill="B2B2B2"/>
          </w:tcPr>
          <w:p>
            <w:pPr>
              <w:jc w:val="right"/>
              <w:ind w:right="230"/>
              <w:spacing w:after="0"/>
              <w:rPr>
                <w:sz w:val="20"/>
                <w:szCs w:val="20"/>
                <w:color w:val="auto"/>
              </w:rPr>
            </w:pPr>
            <w:r>
              <w:rPr>
                <w:rFonts w:ascii="Arial" w:cs="Arial" w:eastAsia="Arial" w:hAnsi="Arial"/>
                <w:sz w:val="14"/>
                <w:szCs w:val="14"/>
                <w:color w:val="auto"/>
              </w:rPr>
              <w:t>274,248</w:t>
            </w:r>
          </w:p>
        </w:tc>
        <w:tc>
          <w:tcPr>
            <w:tcW w:w="120" w:type="dxa"/>
            <w:vAlign w:val="bottom"/>
            <w:tcBorders>
              <w:bottom w:val="single" w:sz="8" w:color="B2B2B2"/>
            </w:tcBorders>
            <w:gridSpan w:val="2"/>
            <w:shd w:val="clear" w:color="auto" w:fill="B2B2B2"/>
          </w:tcPr>
          <w:p>
            <w:pPr>
              <w:jc w:val="right"/>
              <w:ind w:right="75"/>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B2B2B2"/>
            </w:tcBorders>
            <w:shd w:val="clear" w:color="auto" w:fill="B2B2B2"/>
          </w:tcPr>
          <w:p>
            <w:pPr>
              <w:ind w:left="180"/>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$1,922,478</w:t>
            </w:r>
          </w:p>
        </w:tc>
        <w:tc>
          <w:tcPr>
            <w:tcW w:w="140" w:type="dxa"/>
            <w:vAlign w:val="bottom"/>
            <w:tcBorders>
              <w:bottom w:val="single" w:sz="8" w:color="B2B2B2"/>
            </w:tcBorders>
            <w:gridSpan w:val="2"/>
            <w:shd w:val="clear" w:color="auto" w:fill="B2B2B2"/>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B2B2B2"/>
            </w:tcBorders>
            <w:gridSpan w:val="2"/>
            <w:shd w:val="clear" w:color="auto" w:fill="B2B2B2"/>
          </w:tcPr>
          <w:p>
            <w:pPr>
              <w:jc w:val="right"/>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14,729(4) </w:t>
            </w:r>
            <w:r>
              <w:rPr>
                <w:rFonts w:ascii="Arial" w:cs="Arial" w:eastAsia="Arial" w:hAnsi="Arial"/>
                <w:sz w:val="23"/>
                <w:szCs w:val="23"/>
                <w:color w:val="auto"/>
                <w:vertAlign w:val="superscript"/>
              </w:rPr>
              <w:t>​</w:t>
            </w:r>
          </w:p>
        </w:tc>
        <w:tc>
          <w:tcPr>
            <w:tcW w:w="200" w:type="dxa"/>
            <w:vAlign w:val="bottom"/>
            <w:tcBorders>
              <w:bottom w:val="single" w:sz="8" w:color="B2B2B2"/>
            </w:tcBorders>
            <w:shd w:val="clear" w:color="auto" w:fill="B2B2B2"/>
          </w:tcPr>
          <w:p>
            <w:pPr>
              <w:ind w:left="120"/>
              <w:spacing w:after="0" w:line="207" w:lineRule="exact"/>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bscript"/>
              </w:rPr>
              <w:t>$</w:t>
            </w:r>
          </w:p>
        </w:tc>
        <w:tc>
          <w:tcPr>
            <w:tcW w:w="760" w:type="dxa"/>
            <w:vAlign w:val="bottom"/>
            <w:tcBorders>
              <w:bottom w:val="single" w:sz="8" w:color="B2B2B2"/>
              <w:right w:val="single" w:sz="8" w:color="B2B2B2"/>
            </w:tcBorders>
            <w:shd w:val="clear" w:color="auto" w:fill="B2B2B2"/>
          </w:tcPr>
          <w:p>
            <w:pPr>
              <w:jc w:val="right"/>
              <w:ind w:right="51"/>
              <w:spacing w:after="0"/>
              <w:rPr>
                <w:sz w:val="20"/>
                <w:szCs w:val="20"/>
                <w:color w:val="auto"/>
              </w:rPr>
            </w:pPr>
            <w:r>
              <w:rPr>
                <w:rFonts w:ascii="Arial" w:cs="Arial" w:eastAsia="Arial" w:hAnsi="Arial"/>
                <w:sz w:val="14"/>
                <w:szCs w:val="14"/>
                <w:color w:val="auto"/>
              </w:rPr>
              <w:t>103,250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20" w:type="dxa"/>
            <w:vAlign w:val="bottom"/>
            <w:shd w:val="clear" w:color="auto" w:fill="B2B2B2"/>
          </w:tcPr>
          <w:p>
            <w:pPr>
              <w:spacing w:after="0"/>
              <w:rPr>
                <w:sz w:val="19"/>
                <w:szCs w:val="19"/>
                <w:color w:val="auto"/>
              </w:rPr>
            </w:pPr>
          </w:p>
        </w:tc>
        <w:tc>
          <w:tcPr>
            <w:tcW w:w="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B2B2B2"/>
          </w:tcPr>
          <w:p>
            <w:pPr>
              <w:spacing w:after="0"/>
              <w:rPr>
                <w:sz w:val="19"/>
                <w:szCs w:val="19"/>
                <w:color w:val="auto"/>
              </w:rPr>
            </w:pPr>
          </w:p>
        </w:tc>
        <w:tc>
          <w:tcPr>
            <w:tcW w:w="120" w:type="dxa"/>
            <w:vAlign w:val="bottom"/>
            <w:gridSpan w:val="2"/>
            <w:shd w:val="clear" w:color="auto" w:fill="B2B2B2"/>
          </w:tcPr>
          <w:p>
            <w:pPr>
              <w:jc w:val="right"/>
              <w:ind w:right="75"/>
              <w:spacing w:after="0"/>
              <w:rPr>
                <w:sz w:val="20"/>
                <w:szCs w:val="20"/>
                <w:color w:val="auto"/>
              </w:rPr>
            </w:pPr>
            <w:r>
              <w:rPr>
                <w:rFonts w:ascii="Arial" w:cs="Arial" w:eastAsia="Arial" w:hAnsi="Arial"/>
                <w:sz w:val="14"/>
                <w:szCs w:val="14"/>
                <w:color w:val="auto"/>
              </w:rPr>
              <w:t>​</w:t>
            </w:r>
          </w:p>
        </w:tc>
        <w:tc>
          <w:tcPr>
            <w:tcW w:w="1080" w:type="dxa"/>
            <w:vAlign w:val="bottom"/>
            <w:shd w:val="clear" w:color="auto" w:fill="B2B2B2"/>
          </w:tcPr>
          <w:p>
            <w:pPr>
              <w:ind w:left="18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B2B2B2"/>
          </w:tcPr>
          <w:p>
            <w:pPr>
              <w:ind w:left="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B2B2B2"/>
          </w:tcPr>
          <w:p>
            <w:pPr>
              <w:jc w:val="right"/>
              <w:spacing w:after="0" w:line="22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35,757(5) </w:t>
            </w:r>
            <w:r>
              <w:rPr>
                <w:rFonts w:ascii="Arial" w:cs="Arial" w:eastAsia="Arial" w:hAnsi="Arial"/>
                <w:sz w:val="25"/>
                <w:szCs w:val="25"/>
                <w:color w:val="auto"/>
                <w:vertAlign w:val="superscript"/>
              </w:rPr>
              <w:t>​</w:t>
            </w:r>
          </w:p>
        </w:tc>
        <w:tc>
          <w:tcPr>
            <w:tcW w:w="200" w:type="dxa"/>
            <w:vAlign w:val="bottom"/>
            <w:shd w:val="clear" w:color="auto" w:fill="B2B2B2"/>
          </w:tcPr>
          <w:p>
            <w:pPr>
              <w:ind w:left="120"/>
              <w:spacing w:after="0" w:line="220" w:lineRule="exact"/>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bscript"/>
              </w:rPr>
              <w:t>$</w:t>
            </w:r>
          </w:p>
        </w:tc>
        <w:tc>
          <w:tcPr>
            <w:tcW w:w="760" w:type="dxa"/>
            <w:vAlign w:val="bottom"/>
            <w:tcBorders>
              <w:right w:val="single" w:sz="8" w:color="B2B2B2"/>
            </w:tcBorders>
            <w:shd w:val="clear" w:color="auto" w:fill="B2B2B2"/>
          </w:tcPr>
          <w:p>
            <w:pPr>
              <w:jc w:val="right"/>
              <w:ind w:right="51"/>
              <w:spacing w:after="0"/>
              <w:rPr>
                <w:sz w:val="20"/>
                <w:szCs w:val="20"/>
                <w:color w:val="auto"/>
              </w:rPr>
            </w:pPr>
            <w:r>
              <w:rPr>
                <w:rFonts w:ascii="Arial" w:cs="Arial" w:eastAsia="Arial" w:hAnsi="Arial"/>
                <w:sz w:val="14"/>
                <w:szCs w:val="14"/>
                <w:color w:val="auto"/>
              </w:rPr>
              <w:t>250,657</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20" w:type="dxa"/>
            <w:vAlign w:val="bottom"/>
            <w:shd w:val="clear" w:color="auto" w:fill="B2B2B2"/>
          </w:tcPr>
          <w:p>
            <w:pPr>
              <w:spacing w:after="0"/>
              <w:rPr>
                <w:sz w:val="21"/>
                <w:szCs w:val="21"/>
                <w:color w:val="auto"/>
              </w:rPr>
            </w:pPr>
          </w:p>
        </w:tc>
        <w:tc>
          <w:tcPr>
            <w:tcW w:w="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B2B2B2"/>
          </w:tcPr>
          <w:p>
            <w:pPr>
              <w:spacing w:after="0"/>
              <w:rPr>
                <w:sz w:val="21"/>
                <w:szCs w:val="21"/>
                <w:color w:val="auto"/>
              </w:rPr>
            </w:pPr>
          </w:p>
        </w:tc>
        <w:tc>
          <w:tcPr>
            <w:tcW w:w="120" w:type="dxa"/>
            <w:vAlign w:val="bottom"/>
            <w:gridSpan w:val="2"/>
            <w:shd w:val="clear" w:color="auto" w:fill="B2B2B2"/>
          </w:tcPr>
          <w:p>
            <w:pPr>
              <w:jc w:val="right"/>
              <w:ind w:right="75"/>
              <w:spacing w:after="0"/>
              <w:rPr>
                <w:sz w:val="20"/>
                <w:szCs w:val="20"/>
                <w:color w:val="auto"/>
              </w:rPr>
            </w:pPr>
            <w:r>
              <w:rPr>
                <w:rFonts w:ascii="Arial" w:cs="Arial" w:eastAsia="Arial" w:hAnsi="Arial"/>
                <w:sz w:val="14"/>
                <w:szCs w:val="14"/>
                <w:color w:val="auto"/>
              </w:rPr>
              <w:t>​</w:t>
            </w:r>
          </w:p>
        </w:tc>
        <w:tc>
          <w:tcPr>
            <w:tcW w:w="1080" w:type="dxa"/>
            <w:vAlign w:val="bottom"/>
            <w:shd w:val="clear" w:color="auto" w:fill="B2B2B2"/>
          </w:tcPr>
          <w:p>
            <w:pPr>
              <w:ind w:left="18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B2B2B2"/>
          </w:tcPr>
          <w:p>
            <w:pPr>
              <w:ind w:left="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B2B2B2"/>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40,555(6) </w:t>
            </w:r>
            <w:r>
              <w:rPr>
                <w:rFonts w:ascii="Arial" w:cs="Arial" w:eastAsia="Arial" w:hAnsi="Arial"/>
                <w:sz w:val="28"/>
                <w:szCs w:val="28"/>
                <w:color w:val="auto"/>
                <w:vertAlign w:val="superscript"/>
              </w:rPr>
              <w:t>​</w:t>
            </w:r>
          </w:p>
        </w:tc>
        <w:tc>
          <w:tcPr>
            <w:tcW w:w="200" w:type="dxa"/>
            <w:vAlign w:val="bottom"/>
            <w:shd w:val="clear" w:color="auto" w:fill="B2B2B2"/>
          </w:tcPr>
          <w:p>
            <w:pPr>
              <w:ind w:left="120"/>
              <w:spacing w:after="0" w:line="243" w:lineRule="exact"/>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bscript"/>
              </w:rPr>
              <w:t>$</w:t>
            </w:r>
          </w:p>
        </w:tc>
        <w:tc>
          <w:tcPr>
            <w:tcW w:w="760" w:type="dxa"/>
            <w:vAlign w:val="bottom"/>
            <w:tcBorders>
              <w:right w:val="single" w:sz="8" w:color="B2B2B2"/>
            </w:tcBorders>
            <w:shd w:val="clear" w:color="auto" w:fill="B2B2B2"/>
          </w:tcPr>
          <w:p>
            <w:pPr>
              <w:jc w:val="right"/>
              <w:ind w:right="51"/>
              <w:spacing w:after="0"/>
              <w:rPr>
                <w:sz w:val="20"/>
                <w:szCs w:val="20"/>
                <w:color w:val="auto"/>
              </w:rPr>
            </w:pPr>
            <w:r>
              <w:rPr>
                <w:rFonts w:ascii="Arial" w:cs="Arial" w:eastAsia="Arial" w:hAnsi="Arial"/>
                <w:sz w:val="14"/>
                <w:szCs w:val="14"/>
                <w:color w:val="auto"/>
              </w:rPr>
              <w:t>284,291</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320" w:type="dxa"/>
            <w:vAlign w:val="bottom"/>
            <w:tcBorders>
              <w:bottom w:val="single" w:sz="8" w:color="B2B2B2"/>
            </w:tcBorders>
            <w:shd w:val="clear" w:color="auto" w:fill="B2B2B2"/>
          </w:tcPr>
          <w:p>
            <w:pPr>
              <w:spacing w:after="0"/>
              <w:rPr>
                <w:sz w:val="21"/>
                <w:szCs w:val="21"/>
                <w:color w:val="auto"/>
              </w:rPr>
            </w:pPr>
          </w:p>
        </w:tc>
        <w:tc>
          <w:tcPr>
            <w:tcW w:w="60" w:type="dxa"/>
            <w:vAlign w:val="bottom"/>
            <w:tcBorders>
              <w:bottom w:val="single" w:sz="8" w:color="B2B2B2"/>
            </w:tcBorders>
            <w:shd w:val="clear" w:color="auto" w:fill="B2B2B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B2B2B2"/>
            </w:tcBorders>
            <w:shd w:val="clear" w:color="auto" w:fill="B2B2B2"/>
          </w:tcPr>
          <w:p>
            <w:pPr>
              <w:spacing w:after="0"/>
              <w:rPr>
                <w:sz w:val="21"/>
                <w:szCs w:val="21"/>
                <w:color w:val="auto"/>
              </w:rPr>
            </w:pPr>
          </w:p>
        </w:tc>
        <w:tc>
          <w:tcPr>
            <w:tcW w:w="120" w:type="dxa"/>
            <w:vAlign w:val="bottom"/>
            <w:tcBorders>
              <w:bottom w:val="single" w:sz="8" w:color="B2B2B2"/>
            </w:tcBorders>
            <w:gridSpan w:val="2"/>
            <w:shd w:val="clear" w:color="auto" w:fill="B2B2B2"/>
          </w:tcPr>
          <w:p>
            <w:pPr>
              <w:jc w:val="right"/>
              <w:ind w:right="75"/>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B2B2B2"/>
            </w:tcBorders>
            <w:shd w:val="clear" w:color="auto" w:fill="B2B2B2"/>
          </w:tcPr>
          <w:p>
            <w:pPr>
              <w:ind w:lef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B2B2B2"/>
            </w:tcBorders>
            <w:gridSpan w:val="2"/>
            <w:shd w:val="clear" w:color="auto" w:fill="B2B2B2"/>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B2B2B2"/>
            </w:tcBorders>
            <w:gridSpan w:val="2"/>
            <w:shd w:val="clear" w:color="auto" w:fill="B2B2B2"/>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66,679(7) </w:t>
            </w:r>
            <w:r>
              <w:rPr>
                <w:rFonts w:ascii="Arial" w:cs="Arial" w:eastAsia="Arial" w:hAnsi="Arial"/>
                <w:sz w:val="28"/>
                <w:szCs w:val="28"/>
                <w:color w:val="auto"/>
                <w:vertAlign w:val="superscript"/>
              </w:rPr>
              <w:t>​</w:t>
            </w:r>
          </w:p>
        </w:tc>
        <w:tc>
          <w:tcPr>
            <w:tcW w:w="200" w:type="dxa"/>
            <w:vAlign w:val="bottom"/>
            <w:tcBorders>
              <w:bottom w:val="single" w:sz="8" w:color="B2B2B2"/>
            </w:tcBorders>
            <w:shd w:val="clear" w:color="auto" w:fill="B2B2B2"/>
          </w:tcPr>
          <w:p>
            <w:pPr>
              <w:ind w:left="120"/>
              <w:spacing w:after="0" w:line="243" w:lineRule="exact"/>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bscript"/>
              </w:rPr>
              <w:t>$</w:t>
            </w:r>
          </w:p>
        </w:tc>
        <w:tc>
          <w:tcPr>
            <w:tcW w:w="760" w:type="dxa"/>
            <w:vAlign w:val="bottom"/>
            <w:tcBorders>
              <w:bottom w:val="single" w:sz="8" w:color="B2B2B2"/>
              <w:right w:val="single" w:sz="8" w:color="B2B2B2"/>
            </w:tcBorders>
            <w:shd w:val="clear" w:color="auto" w:fill="B2B2B2"/>
          </w:tcPr>
          <w:p>
            <w:pPr>
              <w:jc w:val="right"/>
              <w:ind w:right="51"/>
              <w:spacing w:after="0"/>
              <w:rPr>
                <w:sz w:val="20"/>
                <w:szCs w:val="20"/>
                <w:color w:val="auto"/>
              </w:rPr>
            </w:pPr>
            <w:r>
              <w:rPr>
                <w:rFonts w:ascii="Arial" w:cs="Arial" w:eastAsia="Arial" w:hAnsi="Arial"/>
                <w:sz w:val="14"/>
                <w:szCs w:val="14"/>
                <w:color w:val="auto"/>
              </w:rPr>
              <w:t>467,420</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30"/>
              <w:spacing w:after="0"/>
              <w:rPr>
                <w:sz w:val="20"/>
                <w:szCs w:val="20"/>
                <w:color w:val="auto"/>
              </w:rPr>
            </w:pPr>
            <w:r>
              <w:rPr>
                <w:rFonts w:ascii="Arial" w:cs="Arial" w:eastAsia="Arial" w:hAnsi="Arial"/>
                <w:sz w:val="14"/>
                <w:szCs w:val="14"/>
                <w:color w:val="auto"/>
              </w:rPr>
              <w:t>292,898</w:t>
            </w:r>
          </w:p>
        </w:tc>
        <w:tc>
          <w:tcPr>
            <w:tcW w:w="120" w:type="dxa"/>
            <w:vAlign w:val="bottom"/>
            <w:gridSpan w:val="2"/>
          </w:tcPr>
          <w:p>
            <w:pPr>
              <w:jc w:val="right"/>
              <w:ind w:right="75"/>
              <w:spacing w:after="0"/>
              <w:rPr>
                <w:sz w:val="20"/>
                <w:szCs w:val="20"/>
                <w:color w:val="auto"/>
              </w:rPr>
            </w:pPr>
            <w:r>
              <w:rPr>
                <w:rFonts w:ascii="Arial" w:cs="Arial" w:eastAsia="Arial" w:hAnsi="Arial"/>
                <w:sz w:val="14"/>
                <w:szCs w:val="14"/>
                <w:color w:val="auto"/>
              </w:rPr>
              <w:t>​</w:t>
            </w:r>
          </w:p>
        </w:tc>
        <w:tc>
          <w:tcPr>
            <w:tcW w:w="1080" w:type="dxa"/>
            <w:vAlign w:val="bottom"/>
          </w:tcPr>
          <w:p>
            <w:pPr>
              <w:ind w:left="180"/>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$2,053,215</w:t>
            </w:r>
          </w:p>
        </w:tc>
        <w:tc>
          <w:tcPr>
            <w:tcW w:w="1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11,968(4) </w:t>
            </w:r>
            <w:r>
              <w:rPr>
                <w:rFonts w:ascii="Arial" w:cs="Arial" w:eastAsia="Arial" w:hAnsi="Arial"/>
                <w:sz w:val="23"/>
                <w:szCs w:val="23"/>
                <w:color w:val="auto"/>
                <w:vertAlign w:val="superscript"/>
              </w:rPr>
              <w:t>​</w:t>
            </w:r>
          </w:p>
        </w:tc>
        <w:tc>
          <w:tcPr>
            <w:tcW w:w="200" w:type="dxa"/>
            <w:vAlign w:val="bottom"/>
          </w:tcPr>
          <w:p>
            <w:pPr>
              <w:ind w:left="120"/>
              <w:spacing w:after="0" w:line="207" w:lineRule="exact"/>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bscript"/>
              </w:rPr>
              <w:t>$</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83,896</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1"/>
                <w:szCs w:val="21"/>
                <w:color w:val="auto"/>
              </w:rPr>
            </w:pPr>
          </w:p>
        </w:tc>
        <w:tc>
          <w:tcPr>
            <w:tcW w:w="120" w:type="dxa"/>
            <w:vAlign w:val="bottom"/>
            <w:gridSpan w:val="2"/>
          </w:tcPr>
          <w:p>
            <w:pPr>
              <w:jc w:val="right"/>
              <w:ind w:right="75"/>
              <w:spacing w:after="0"/>
              <w:rPr>
                <w:sz w:val="20"/>
                <w:szCs w:val="20"/>
                <w:color w:val="auto"/>
              </w:rPr>
            </w:pPr>
            <w:r>
              <w:rPr>
                <w:rFonts w:ascii="Arial" w:cs="Arial" w:eastAsia="Arial" w:hAnsi="Arial"/>
                <w:sz w:val="14"/>
                <w:szCs w:val="14"/>
                <w:color w:val="auto"/>
              </w:rPr>
              <w:t>​</w:t>
            </w:r>
          </w:p>
        </w:tc>
        <w:tc>
          <w:tcPr>
            <w:tcW w:w="1080" w:type="dxa"/>
            <w:vAlign w:val="bottom"/>
          </w:tcPr>
          <w:p>
            <w:pPr>
              <w:ind w:left="180"/>
              <w:spacing w:after="0"/>
              <w:rPr>
                <w:sz w:val="20"/>
                <w:szCs w:val="20"/>
                <w:color w:val="auto"/>
              </w:rPr>
            </w:pPr>
            <w:r>
              <w:rPr>
                <w:rFonts w:ascii="Arial" w:cs="Arial" w:eastAsia="Arial" w:hAnsi="Arial"/>
                <w:sz w:val="14"/>
                <w:szCs w:val="14"/>
                <w:color w:val="auto"/>
              </w:rPr>
              <w:t>​</w:t>
            </w:r>
          </w:p>
        </w:tc>
        <w:tc>
          <w:tcPr>
            <w:tcW w:w="1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29,053(5) </w:t>
            </w:r>
            <w:r>
              <w:rPr>
                <w:rFonts w:ascii="Arial" w:cs="Arial" w:eastAsia="Arial" w:hAnsi="Arial"/>
                <w:sz w:val="28"/>
                <w:szCs w:val="28"/>
                <w:color w:val="auto"/>
                <w:vertAlign w:val="superscript"/>
              </w:rPr>
              <w:t>​</w:t>
            </w:r>
          </w:p>
        </w:tc>
        <w:tc>
          <w:tcPr>
            <w:tcW w:w="200" w:type="dxa"/>
            <w:vAlign w:val="bottom"/>
          </w:tcPr>
          <w:p>
            <w:pPr>
              <w:ind w:left="120"/>
              <w:spacing w:after="0" w:line="243" w:lineRule="exact"/>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bscript"/>
              </w:rPr>
              <w:t>$</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203,662</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1"/>
                <w:szCs w:val="21"/>
                <w:color w:val="auto"/>
              </w:rPr>
            </w:pPr>
          </w:p>
        </w:tc>
        <w:tc>
          <w:tcPr>
            <w:tcW w:w="120" w:type="dxa"/>
            <w:vAlign w:val="bottom"/>
            <w:gridSpan w:val="2"/>
          </w:tcPr>
          <w:p>
            <w:pPr>
              <w:jc w:val="right"/>
              <w:ind w:right="75"/>
              <w:spacing w:after="0"/>
              <w:rPr>
                <w:sz w:val="20"/>
                <w:szCs w:val="20"/>
                <w:color w:val="auto"/>
              </w:rPr>
            </w:pPr>
            <w:r>
              <w:rPr>
                <w:rFonts w:ascii="Arial" w:cs="Arial" w:eastAsia="Arial" w:hAnsi="Arial"/>
                <w:sz w:val="14"/>
                <w:szCs w:val="14"/>
                <w:color w:val="auto"/>
              </w:rPr>
              <w:t>​</w:t>
            </w:r>
          </w:p>
        </w:tc>
        <w:tc>
          <w:tcPr>
            <w:tcW w:w="1080" w:type="dxa"/>
            <w:vAlign w:val="bottom"/>
          </w:tcPr>
          <w:p>
            <w:pPr>
              <w:ind w:left="180"/>
              <w:spacing w:after="0"/>
              <w:rPr>
                <w:sz w:val="20"/>
                <w:szCs w:val="20"/>
                <w:color w:val="auto"/>
              </w:rPr>
            </w:pPr>
            <w:r>
              <w:rPr>
                <w:rFonts w:ascii="Arial" w:cs="Arial" w:eastAsia="Arial" w:hAnsi="Arial"/>
                <w:sz w:val="14"/>
                <w:szCs w:val="14"/>
                <w:color w:val="auto"/>
              </w:rPr>
              <w:t>​</w:t>
            </w:r>
          </w:p>
        </w:tc>
        <w:tc>
          <w:tcPr>
            <w:tcW w:w="1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32,951(6) </w:t>
            </w:r>
            <w:r>
              <w:rPr>
                <w:rFonts w:ascii="Arial" w:cs="Arial" w:eastAsia="Arial" w:hAnsi="Arial"/>
                <w:sz w:val="28"/>
                <w:szCs w:val="28"/>
                <w:color w:val="auto"/>
                <w:vertAlign w:val="superscript"/>
              </w:rPr>
              <w:t>​</w:t>
            </w:r>
          </w:p>
        </w:tc>
        <w:tc>
          <w:tcPr>
            <w:tcW w:w="200" w:type="dxa"/>
            <w:vAlign w:val="bottom"/>
          </w:tcPr>
          <w:p>
            <w:pPr>
              <w:ind w:left="120"/>
              <w:spacing w:after="0" w:line="243" w:lineRule="exact"/>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bscript"/>
              </w:rPr>
              <w:t>$</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230,987</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6"/>
        </w:trPr>
        <w:tc>
          <w:tcPr>
            <w:tcW w:w="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4"/>
                <w:szCs w:val="24"/>
                <w:color w:val="auto"/>
              </w:rPr>
            </w:pPr>
          </w:p>
        </w:tc>
        <w:tc>
          <w:tcPr>
            <w:tcW w:w="120" w:type="dxa"/>
            <w:vAlign w:val="bottom"/>
            <w:gridSpan w:val="2"/>
          </w:tcPr>
          <w:p>
            <w:pPr>
              <w:jc w:val="right"/>
              <w:ind w:right="75"/>
              <w:spacing w:after="0"/>
              <w:rPr>
                <w:sz w:val="20"/>
                <w:szCs w:val="20"/>
                <w:color w:val="auto"/>
              </w:rPr>
            </w:pPr>
            <w:r>
              <w:rPr>
                <w:rFonts w:ascii="Arial" w:cs="Arial" w:eastAsia="Arial" w:hAnsi="Arial"/>
                <w:sz w:val="14"/>
                <w:szCs w:val="14"/>
                <w:color w:val="auto"/>
              </w:rPr>
              <w:t>​</w:t>
            </w:r>
          </w:p>
        </w:tc>
        <w:tc>
          <w:tcPr>
            <w:tcW w:w="1080" w:type="dxa"/>
            <w:vAlign w:val="bottom"/>
          </w:tcPr>
          <w:p>
            <w:pPr>
              <w:ind w:left="180"/>
              <w:spacing w:after="0"/>
              <w:rPr>
                <w:sz w:val="20"/>
                <w:szCs w:val="20"/>
                <w:color w:val="auto"/>
              </w:rPr>
            </w:pPr>
            <w:r>
              <w:rPr>
                <w:rFonts w:ascii="Arial" w:cs="Arial" w:eastAsia="Arial" w:hAnsi="Arial"/>
                <w:sz w:val="14"/>
                <w:szCs w:val="14"/>
                <w:color w:val="auto"/>
              </w:rPr>
              <w:t>​</w:t>
            </w:r>
          </w:p>
        </w:tc>
        <w:tc>
          <w:tcPr>
            <w:tcW w:w="1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77,534(7) </w:t>
            </w:r>
            <w:r>
              <w:rPr>
                <w:rFonts w:ascii="Arial" w:cs="Arial" w:eastAsia="Arial" w:hAnsi="Arial"/>
                <w:sz w:val="28"/>
                <w:szCs w:val="28"/>
                <w:color w:val="auto"/>
                <w:vertAlign w:val="superscript"/>
              </w:rPr>
              <w:t>​</w:t>
            </w:r>
          </w:p>
        </w:tc>
        <w:tc>
          <w:tcPr>
            <w:tcW w:w="200" w:type="dxa"/>
            <w:vAlign w:val="bottom"/>
          </w:tcPr>
          <w:p>
            <w:pPr>
              <w:ind w:left="120"/>
              <w:spacing w:after="0"/>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bscript"/>
              </w:rPr>
              <w:t>$</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543,513</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040" w:space="720"/>
            <w:col w:w="5119"/>
          </w:cols>
          <w:pgMar w:left="580" w:top="97" w:right="1440" w:bottom="1440" w:gutter="0" w:footer="0" w:header="0"/>
          <w:type w:val="continuous"/>
        </w:sectPr>
      </w:pPr>
    </w:p>
    <w:p>
      <w:pPr>
        <w:spacing w:after="0" w:line="53" w:lineRule="exact"/>
        <w:rPr>
          <w:sz w:val="20"/>
          <w:szCs w:val="20"/>
          <w:color w:val="auto"/>
        </w:rPr>
      </w:pPr>
    </w:p>
    <w:p>
      <w:pPr>
        <w:ind w:left="1900" w:right="1499" w:hanging="640"/>
        <w:spacing w:after="0" w:line="287" w:lineRule="auto"/>
        <w:tabs>
          <w:tab w:leader="none" w:pos="1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Uniti has not granted stock options and therefore no options were outstanding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00" w:right="499" w:hanging="640"/>
        <w:spacing w:after="0" w:line="262" w:lineRule="auto"/>
        <w:tabs>
          <w:tab w:leader="none" w:pos="1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following table sets forth the vesting schedule of the shares reported in this column for each NEO (rounded to the nearest whole number), which shares are subject to time-based vesting only and do not require the achievement of any corporate or individual performance targets to vest:</w:t>
      </w:r>
    </w:p>
    <w:p>
      <w:pPr>
        <w:spacing w:after="0" w:line="204" w:lineRule="exact"/>
        <w:rPr>
          <w:sz w:val="20"/>
          <w:szCs w:val="20"/>
          <w:color w:val="auto"/>
        </w:rPr>
      </w:pPr>
    </w:p>
    <w:tbl>
      <w:tblPr>
        <w:tblLayout w:type="fixed"/>
        <w:tblInd w:w="1260" w:type="dxa"/>
        <w:tblCellMar>
          <w:top w:w="0" w:type="dxa"/>
          <w:left w:w="0" w:type="dxa"/>
          <w:bottom w:w="0" w:type="dxa"/>
          <w:right w:w="0" w:type="dxa"/>
        </w:tblCellMar>
      </w:tblPr>
      <w:tr>
        <w:trPr>
          <w:trHeight w:val="200"/>
        </w:trPr>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8"/>
          </w:tcPr>
          <w:p>
            <w:pPr>
              <w:jc w:val="center"/>
              <w:ind w:left="89"/>
              <w:spacing w:after="0"/>
              <w:rPr>
                <w:sz w:val="20"/>
                <w:szCs w:val="20"/>
                <w:color w:val="auto"/>
              </w:rPr>
            </w:pPr>
            <w:r>
              <w:rPr>
                <w:rFonts w:ascii="Arial" w:cs="Arial" w:eastAsia="Arial" w:hAnsi="Arial"/>
                <w:sz w:val="14"/>
                <w:szCs w:val="14"/>
                <w:b w:val="1"/>
                <w:bCs w:val="1"/>
                <w:color w:val="auto"/>
                <w:w w:val="96"/>
              </w:rPr>
              <w:t>Named Executive Officer</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Vesting Date</w:t>
            </w:r>
          </w:p>
        </w:tc>
        <w:tc>
          <w:tcPr>
            <w:tcW w:w="22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Kenneth A. Gunderman</w:t>
            </w:r>
          </w:p>
        </w:tc>
        <w:tc>
          <w:tcPr>
            <w:tcW w:w="100" w:type="dxa"/>
            <w:vAlign w:val="bottom"/>
          </w:tcPr>
          <w:p>
            <w:pPr>
              <w:spacing w:after="0"/>
              <w:rPr>
                <w:sz w:val="21"/>
                <w:szCs w:val="21"/>
                <w:color w:val="auto"/>
              </w:rPr>
            </w:pPr>
          </w:p>
        </w:tc>
        <w:tc>
          <w:tcPr>
            <w:tcW w:w="1260" w:type="dxa"/>
            <w:vAlign w:val="bottom"/>
            <w:gridSpan w:val="5"/>
          </w:tcPr>
          <w:p>
            <w:pPr>
              <w:ind w:left="60"/>
              <w:spacing w:after="0" w:line="242"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Paul Bullington </w:t>
            </w:r>
            <w:r>
              <w:rPr>
                <w:rFonts w:ascii="Arial" w:cs="Arial" w:eastAsia="Arial" w:hAnsi="Arial"/>
                <w:sz w:val="27"/>
                <w:szCs w:val="27"/>
                <w:b w:val="1"/>
                <w:bCs w:val="1"/>
                <w:color w:val="auto"/>
                <w:vertAlign w:val="subscript"/>
              </w:rPr>
              <w:t>​</w:t>
            </w:r>
          </w:p>
        </w:tc>
        <w:tc>
          <w:tcPr>
            <w:tcW w:w="1200" w:type="dxa"/>
            <w:vAlign w:val="bottom"/>
            <w:gridSpan w:val="5"/>
          </w:tcPr>
          <w:p>
            <w:pPr>
              <w:ind w:left="40"/>
              <w:spacing w:after="0" w:line="242"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John Harrobin </w:t>
            </w:r>
            <w:r>
              <w:rPr>
                <w:rFonts w:ascii="Arial" w:cs="Arial" w:eastAsia="Arial" w:hAnsi="Arial"/>
                <w:sz w:val="27"/>
                <w:szCs w:val="27"/>
                <w:b w:val="1"/>
                <w:bCs w:val="1"/>
                <w:color w:val="auto"/>
                <w:vertAlign w:val="subscript"/>
              </w:rPr>
              <w:t>​</w:t>
            </w:r>
          </w:p>
        </w:tc>
        <w:tc>
          <w:tcPr>
            <w:tcW w:w="1140" w:type="dxa"/>
            <w:vAlign w:val="bottom"/>
            <w:gridSpan w:val="3"/>
          </w:tcPr>
          <w:p>
            <w:pPr>
              <w:ind w:left="40"/>
              <w:spacing w:after="0" w:line="242"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Daniel L. Heard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3"/>
          </w:tcPr>
          <w:p>
            <w:pPr>
              <w:ind w:left="40"/>
              <w:spacing w:after="0" w:line="242" w:lineRule="exact"/>
              <w:rPr>
                <w:sz w:val="20"/>
                <w:szCs w:val="20"/>
                <w:color w:val="auto"/>
              </w:rPr>
            </w:pPr>
            <w:r>
              <w:rPr>
                <w:rFonts w:ascii="Arial" w:cs="Arial" w:eastAsia="Arial" w:hAnsi="Arial"/>
                <w:sz w:val="27"/>
                <w:szCs w:val="27"/>
                <w:b w:val="1"/>
                <w:bCs w:val="1"/>
                <w:color w:val="auto"/>
                <w:w w:val="96"/>
                <w:vertAlign w:val="subscript"/>
              </w:rPr>
              <w:t>​</w:t>
            </w:r>
            <w:r>
              <w:rPr>
                <w:rFonts w:ascii="Arial" w:cs="Arial" w:eastAsia="Arial" w:hAnsi="Arial"/>
                <w:sz w:val="14"/>
                <w:szCs w:val="14"/>
                <w:b w:val="1"/>
                <w:bCs w:val="1"/>
                <w:color w:val="auto"/>
                <w:w w:val="96"/>
              </w:rPr>
              <w:t xml:space="preserve"> Michael Friloux</w:t>
            </w:r>
          </w:p>
        </w:tc>
        <w:tc>
          <w:tcPr>
            <w:tcW w:w="20" w:type="dxa"/>
            <w:vAlign w:val="bottom"/>
          </w:tcPr>
          <w:p>
            <w:pPr>
              <w:spacing w:after="0"/>
              <w:rPr>
                <w:sz w:val="21"/>
                <w:szCs w:val="21"/>
                <w:color w:val="auto"/>
              </w:rPr>
            </w:pPr>
          </w:p>
        </w:tc>
      </w:tr>
      <w:tr>
        <w:trPr>
          <w:trHeight w:val="20"/>
        </w:trPr>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00" w:type="dxa"/>
            <w:vAlign w:val="bottom"/>
          </w:tcPr>
          <w:p>
            <w:pPr>
              <w:ind w:lef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2/20/2026</w:t>
            </w:r>
          </w:p>
        </w:tc>
        <w:tc>
          <w:tcPr>
            <w:tcW w:w="220" w:type="dxa"/>
            <w:vAlign w:val="bottom"/>
          </w:tcPr>
          <w:p>
            <w:pPr>
              <w:spacing w:after="0"/>
              <w:rPr>
                <w:sz w:val="20"/>
                <w:szCs w:val="20"/>
                <w:color w:val="auto"/>
              </w:rPr>
            </w:pPr>
          </w:p>
        </w:tc>
        <w:tc>
          <w:tcPr>
            <w:tcW w:w="1560" w:type="dxa"/>
            <w:vAlign w:val="bottom"/>
            <w:gridSpan w:val="2"/>
          </w:tcPr>
          <w:p>
            <w:pPr>
              <w:jc w:val="right"/>
              <w:ind w:right="448"/>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56,090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9"/>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26,812</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jc w:val="center"/>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8"/>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13,519</w:t>
            </w:r>
          </w:p>
        </w:tc>
        <w:tc>
          <w:tcPr>
            <w:tcW w:w="16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8"/>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10,984</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r>
        <w:trPr>
          <w:trHeight w:val="243"/>
        </w:trPr>
        <w:tc>
          <w:tcPr>
            <w:tcW w:w="300" w:type="dxa"/>
            <w:vAlign w:val="bottom"/>
            <w:shd w:val="clear" w:color="auto" w:fill="B2B2B2"/>
          </w:tcPr>
          <w:p>
            <w:pPr>
              <w:ind w:lef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B2B2B2"/>
          </w:tcPr>
          <w:p>
            <w:pPr>
              <w:jc w:val="center"/>
              <w:ind w:left="8"/>
              <w:spacing w:after="0"/>
              <w:rPr>
                <w:sz w:val="20"/>
                <w:szCs w:val="20"/>
                <w:color w:val="auto"/>
              </w:rPr>
            </w:pPr>
            <w:r>
              <w:rPr>
                <w:rFonts w:ascii="Arial" w:cs="Arial" w:eastAsia="Arial" w:hAnsi="Arial"/>
                <w:sz w:val="14"/>
                <w:szCs w:val="14"/>
                <w:color w:val="auto"/>
              </w:rPr>
              <w:t>2/21/2026</w:t>
            </w:r>
          </w:p>
        </w:tc>
        <w:tc>
          <w:tcPr>
            <w:tcW w:w="220" w:type="dxa"/>
            <w:vAlign w:val="bottom"/>
            <w:shd w:val="clear" w:color="auto" w:fill="B2B2B2"/>
          </w:tcPr>
          <w:p>
            <w:pPr>
              <w:spacing w:after="0"/>
              <w:rPr>
                <w:sz w:val="21"/>
                <w:szCs w:val="21"/>
                <w:color w:val="auto"/>
              </w:rPr>
            </w:pPr>
          </w:p>
        </w:tc>
        <w:tc>
          <w:tcPr>
            <w:tcW w:w="1560" w:type="dxa"/>
            <w:vAlign w:val="bottom"/>
            <w:tcBorders>
              <w:right w:val="single" w:sz="8" w:color="B2B2B2"/>
            </w:tcBorders>
            <w:gridSpan w:val="2"/>
            <w:shd w:val="clear" w:color="auto" w:fill="B2B2B2"/>
          </w:tcPr>
          <w:p>
            <w:pPr>
              <w:jc w:val="right"/>
              <w:ind w:right="44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52,436</w:t>
            </w:r>
          </w:p>
        </w:tc>
        <w:tc>
          <w:tcPr>
            <w:tcW w:w="100" w:type="dxa"/>
            <w:vAlign w:val="bottom"/>
            <w:shd w:val="clear" w:color="auto" w:fill="B2B2B2"/>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B2B2B2"/>
          </w:tcPr>
          <w:p>
            <w:pPr>
              <w:ind w:left="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B2B2B2"/>
          </w:tcPr>
          <w:p>
            <w:pPr>
              <w:jc w:val="right"/>
              <w:ind w:right="49"/>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15,296</w:t>
            </w:r>
          </w:p>
        </w:tc>
        <w:tc>
          <w:tcPr>
            <w:tcW w:w="260" w:type="dxa"/>
            <w:vAlign w:val="bottom"/>
            <w:gridSpan w:val="2"/>
            <w:shd w:val="clear" w:color="auto" w:fill="B2B2B2"/>
          </w:tcPr>
          <w:p>
            <w:pPr>
              <w:ind w:left="120"/>
              <w:spacing w:after="0"/>
              <w:rPr>
                <w:sz w:val="20"/>
                <w:szCs w:val="20"/>
                <w:color w:val="auto"/>
              </w:rPr>
            </w:pPr>
            <w:r>
              <w:rPr>
                <w:rFonts w:ascii="Arial" w:cs="Arial" w:eastAsia="Arial" w:hAnsi="Arial"/>
                <w:sz w:val="14"/>
                <w:szCs w:val="14"/>
                <w:color w:val="auto"/>
              </w:rPr>
              <w:t>​ ​</w:t>
            </w:r>
          </w:p>
        </w:tc>
        <w:tc>
          <w:tcPr>
            <w:tcW w:w="100" w:type="dxa"/>
            <w:vAlign w:val="bottom"/>
            <w:shd w:val="clear" w:color="auto" w:fill="B2B2B2"/>
          </w:tcPr>
          <w:p>
            <w:pPr>
              <w:ind w:lef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B2B2B2"/>
          </w:tcPr>
          <w:p>
            <w:pPr>
              <w:jc w:val="center"/>
              <w:spacing w:after="0"/>
              <w:rPr>
                <w:sz w:val="20"/>
                <w:szCs w:val="20"/>
                <w:color w:val="auto"/>
              </w:rPr>
            </w:pPr>
            <w:r>
              <w:rPr>
                <w:rFonts w:ascii="Arial" w:cs="Arial" w:eastAsia="Arial" w:hAnsi="Arial"/>
                <w:sz w:val="14"/>
                <w:szCs w:val="14"/>
                <w:color w:val="auto"/>
              </w:rPr>
              <w:t>​</w:t>
            </w:r>
          </w:p>
        </w:tc>
        <w:tc>
          <w:tcPr>
            <w:tcW w:w="420" w:type="dxa"/>
            <w:vAlign w:val="bottom"/>
            <w:shd w:val="clear" w:color="auto" w:fill="B2B2B2"/>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B2B2B2"/>
          </w:tcPr>
          <w:p>
            <w:pPr>
              <w:ind w:left="100"/>
              <w:spacing w:after="0"/>
              <w:rPr>
                <w:sz w:val="20"/>
                <w:szCs w:val="20"/>
                <w:color w:val="auto"/>
              </w:rPr>
            </w:pPr>
            <w:r>
              <w:rPr>
                <w:rFonts w:ascii="Arial" w:cs="Arial" w:eastAsia="Arial" w:hAnsi="Arial"/>
                <w:sz w:val="14"/>
                <w:szCs w:val="14"/>
                <w:color w:val="auto"/>
              </w:rPr>
              <w:t>​ ​</w:t>
            </w:r>
          </w:p>
        </w:tc>
        <w:tc>
          <w:tcPr>
            <w:tcW w:w="100" w:type="dxa"/>
            <w:vAlign w:val="bottom"/>
            <w:shd w:val="clear" w:color="auto" w:fill="B2B2B2"/>
          </w:tcPr>
          <w:p>
            <w:pPr>
              <w:ind w:left="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B2B2B2"/>
          </w:tcPr>
          <w:p>
            <w:pPr>
              <w:jc w:val="right"/>
              <w:ind w:right="16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11,919</w:t>
            </w:r>
          </w:p>
        </w:tc>
        <w:tc>
          <w:tcPr>
            <w:tcW w:w="1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B2B2B2"/>
          </w:tcPr>
          <w:p>
            <w:pPr>
              <w:ind w:left="40"/>
              <w:spacing w:after="0"/>
              <w:rPr>
                <w:sz w:val="20"/>
                <w:szCs w:val="20"/>
                <w:color w:val="auto"/>
              </w:rPr>
            </w:pPr>
            <w:r>
              <w:rPr>
                <w:rFonts w:ascii="Arial" w:cs="Arial" w:eastAsia="Arial" w:hAnsi="Arial"/>
                <w:sz w:val="14"/>
                <w:szCs w:val="14"/>
                <w:color w:val="auto"/>
              </w:rPr>
              <w:t>​</w:t>
            </w:r>
          </w:p>
        </w:tc>
        <w:tc>
          <w:tcPr>
            <w:tcW w:w="340" w:type="dxa"/>
            <w:vAlign w:val="bottom"/>
            <w:shd w:val="clear" w:color="auto" w:fill="B2B2B2"/>
          </w:tcPr>
          <w:p>
            <w:pPr>
              <w:ind w:left="240"/>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B2B2B2"/>
            </w:tcBorders>
            <w:shd w:val="clear" w:color="auto" w:fill="B2B2B2"/>
          </w:tcPr>
          <w:p>
            <w:pPr>
              <w:jc w:val="right"/>
              <w:ind w:right="188"/>
              <w:spacing w:after="0"/>
              <w:rPr>
                <w:sz w:val="20"/>
                <w:szCs w:val="20"/>
                <w:color w:val="auto"/>
              </w:rPr>
            </w:pPr>
            <w:r>
              <w:rPr>
                <w:rFonts w:ascii="Arial" w:cs="Arial" w:eastAsia="Arial" w:hAnsi="Arial"/>
                <w:sz w:val="14"/>
                <w:szCs w:val="14"/>
                <w:color w:val="auto"/>
              </w:rPr>
              <w:t>9,685</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r>
        <w:trPr>
          <w:trHeight w:val="243"/>
        </w:trPr>
        <w:tc>
          <w:tcPr>
            <w:tcW w:w="30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center"/>
              <w:ind w:left="8"/>
              <w:spacing w:after="0"/>
              <w:rPr>
                <w:sz w:val="20"/>
                <w:szCs w:val="20"/>
                <w:color w:val="auto"/>
              </w:rPr>
            </w:pPr>
            <w:r>
              <w:rPr>
                <w:rFonts w:ascii="Arial" w:cs="Arial" w:eastAsia="Arial" w:hAnsi="Arial"/>
                <w:sz w:val="14"/>
                <w:szCs w:val="14"/>
                <w:color w:val="auto"/>
              </w:rPr>
              <w:t>2/27/2026</w:t>
            </w:r>
          </w:p>
        </w:tc>
        <w:tc>
          <w:tcPr>
            <w:tcW w:w="220" w:type="dxa"/>
            <w:vAlign w:val="bottom"/>
          </w:tcPr>
          <w:p>
            <w:pPr>
              <w:spacing w:after="0"/>
              <w:rPr>
                <w:sz w:val="21"/>
                <w:szCs w:val="21"/>
                <w:color w:val="auto"/>
              </w:rPr>
            </w:pPr>
          </w:p>
        </w:tc>
        <w:tc>
          <w:tcPr>
            <w:tcW w:w="1560" w:type="dxa"/>
            <w:vAlign w:val="bottom"/>
            <w:gridSpan w:val="2"/>
          </w:tcPr>
          <w:p>
            <w:pPr>
              <w:jc w:val="right"/>
              <w:ind w:right="44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44,493</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9"/>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12,601</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jc w:val="center"/>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360" w:type="dxa"/>
            <w:vAlign w:val="bottom"/>
          </w:tcPr>
          <w:p>
            <w:pPr>
              <w:ind w:left="2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68"/>
              <w:spacing w:after="0"/>
              <w:rPr>
                <w:sz w:val="20"/>
                <w:szCs w:val="20"/>
                <w:color w:val="auto"/>
              </w:rPr>
            </w:pPr>
            <w:r>
              <w:rPr>
                <w:rFonts w:ascii="Arial" w:cs="Arial" w:eastAsia="Arial" w:hAnsi="Arial"/>
                <w:sz w:val="14"/>
                <w:szCs w:val="14"/>
                <w:color w:val="auto"/>
              </w:rPr>
              <w:t>9,819</w:t>
            </w:r>
          </w:p>
        </w:tc>
        <w:tc>
          <w:tcPr>
            <w:tcW w:w="16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340" w:type="dxa"/>
            <w:vAlign w:val="bottom"/>
          </w:tcPr>
          <w:p>
            <w:pPr>
              <w:ind w:left="2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88"/>
              <w:spacing w:after="0"/>
              <w:rPr>
                <w:sz w:val="20"/>
                <w:szCs w:val="20"/>
                <w:color w:val="auto"/>
              </w:rPr>
            </w:pPr>
            <w:r>
              <w:rPr>
                <w:rFonts w:ascii="Arial" w:cs="Arial" w:eastAsia="Arial" w:hAnsi="Arial"/>
                <w:sz w:val="14"/>
                <w:szCs w:val="14"/>
                <w:color w:val="auto"/>
              </w:rPr>
              <w:t>7,978</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r>
        <w:trPr>
          <w:trHeight w:val="243"/>
        </w:trPr>
        <w:tc>
          <w:tcPr>
            <w:tcW w:w="300" w:type="dxa"/>
            <w:vAlign w:val="bottom"/>
            <w:shd w:val="clear" w:color="auto" w:fill="B2B2B2"/>
          </w:tcPr>
          <w:p>
            <w:pPr>
              <w:ind w:lef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B2B2B2"/>
          </w:tcPr>
          <w:p>
            <w:pPr>
              <w:jc w:val="center"/>
              <w:ind w:left="8"/>
              <w:spacing w:after="0"/>
              <w:rPr>
                <w:sz w:val="20"/>
                <w:szCs w:val="20"/>
                <w:color w:val="auto"/>
              </w:rPr>
            </w:pPr>
            <w:r>
              <w:rPr>
                <w:rFonts w:ascii="Arial" w:cs="Arial" w:eastAsia="Arial" w:hAnsi="Arial"/>
                <w:sz w:val="14"/>
                <w:szCs w:val="14"/>
                <w:color w:val="auto"/>
              </w:rPr>
              <w:t>4/28/2026</w:t>
            </w:r>
          </w:p>
        </w:tc>
        <w:tc>
          <w:tcPr>
            <w:tcW w:w="220" w:type="dxa"/>
            <w:vAlign w:val="bottom"/>
            <w:shd w:val="clear" w:color="auto" w:fill="B2B2B2"/>
          </w:tcPr>
          <w:p>
            <w:pPr>
              <w:spacing w:after="0"/>
              <w:rPr>
                <w:sz w:val="21"/>
                <w:szCs w:val="21"/>
                <w:color w:val="auto"/>
              </w:rPr>
            </w:pPr>
          </w:p>
        </w:tc>
        <w:tc>
          <w:tcPr>
            <w:tcW w:w="720" w:type="dxa"/>
            <w:vAlign w:val="bottom"/>
            <w:shd w:val="clear" w:color="auto" w:fill="B2B2B2"/>
          </w:tcPr>
          <w:p>
            <w:pPr>
              <w:ind w:left="52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B2B2B2"/>
            </w:tcBorders>
            <w:shd w:val="clear" w:color="auto" w:fill="B2B2B2"/>
          </w:tcPr>
          <w:p>
            <w:pPr>
              <w:jc w:val="right"/>
              <w:ind w:right="448"/>
              <w:spacing w:after="0"/>
              <w:rPr>
                <w:sz w:val="20"/>
                <w:szCs w:val="20"/>
                <w:color w:val="auto"/>
              </w:rPr>
            </w:pPr>
            <w:r>
              <w:rPr>
                <w:rFonts w:ascii="Arial" w:cs="Arial" w:eastAsia="Arial" w:hAnsi="Arial"/>
                <w:sz w:val="14"/>
                <w:szCs w:val="14"/>
                <w:color w:val="auto"/>
              </w:rPr>
              <w:t>—</w:t>
            </w:r>
          </w:p>
        </w:tc>
        <w:tc>
          <w:tcPr>
            <w:tcW w:w="100" w:type="dxa"/>
            <w:vAlign w:val="bottom"/>
            <w:shd w:val="clear" w:color="auto" w:fill="B2B2B2"/>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B2B2B2"/>
          </w:tcPr>
          <w:p>
            <w:pPr>
              <w:ind w:left="60"/>
              <w:spacing w:after="0"/>
              <w:rPr>
                <w:sz w:val="20"/>
                <w:szCs w:val="20"/>
                <w:color w:val="auto"/>
              </w:rPr>
            </w:pPr>
            <w:r>
              <w:rPr>
                <w:rFonts w:ascii="Arial" w:cs="Arial" w:eastAsia="Arial" w:hAnsi="Arial"/>
                <w:sz w:val="14"/>
                <w:szCs w:val="14"/>
                <w:color w:val="auto"/>
              </w:rPr>
              <w:t>​</w:t>
            </w:r>
          </w:p>
        </w:tc>
        <w:tc>
          <w:tcPr>
            <w:tcW w:w="460" w:type="dxa"/>
            <w:vAlign w:val="bottom"/>
            <w:shd w:val="clear" w:color="auto" w:fill="B2B2B2"/>
          </w:tcPr>
          <w:p>
            <w:pPr>
              <w:ind w:lef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B2B2B2"/>
          </w:tcPr>
          <w:p>
            <w:pPr>
              <w:jc w:val="right"/>
              <w:ind w:right="49"/>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B2B2B2"/>
          </w:tcPr>
          <w:p>
            <w:pPr>
              <w:ind w:left="120"/>
              <w:spacing w:after="0"/>
              <w:rPr>
                <w:sz w:val="20"/>
                <w:szCs w:val="20"/>
                <w:color w:val="auto"/>
              </w:rPr>
            </w:pPr>
            <w:r>
              <w:rPr>
                <w:rFonts w:ascii="Arial" w:cs="Arial" w:eastAsia="Arial" w:hAnsi="Arial"/>
                <w:sz w:val="14"/>
                <w:szCs w:val="14"/>
                <w:color w:val="auto"/>
              </w:rPr>
              <w:t>​ ​</w:t>
            </w:r>
          </w:p>
        </w:tc>
        <w:tc>
          <w:tcPr>
            <w:tcW w:w="100" w:type="dxa"/>
            <w:vAlign w:val="bottom"/>
            <w:shd w:val="clear" w:color="auto" w:fill="B2B2B2"/>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B2B2B2"/>
          </w:tcPr>
          <w:p>
            <w:pPr>
              <w:jc w:val="right"/>
              <w:ind w:right="2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123,316</w:t>
            </w:r>
          </w:p>
        </w:tc>
        <w:tc>
          <w:tcPr>
            <w:tcW w:w="240" w:type="dxa"/>
            <w:vAlign w:val="bottom"/>
            <w:gridSpan w:val="2"/>
            <w:shd w:val="clear" w:color="auto" w:fill="B2B2B2"/>
          </w:tcPr>
          <w:p>
            <w:pPr>
              <w:ind w:left="100"/>
              <w:spacing w:after="0"/>
              <w:rPr>
                <w:sz w:val="20"/>
                <w:szCs w:val="20"/>
                <w:color w:val="auto"/>
              </w:rPr>
            </w:pPr>
            <w:r>
              <w:rPr>
                <w:rFonts w:ascii="Arial" w:cs="Arial" w:eastAsia="Arial" w:hAnsi="Arial"/>
                <w:sz w:val="14"/>
                <w:szCs w:val="14"/>
                <w:color w:val="auto"/>
              </w:rPr>
              <w:t>​ ​</w:t>
            </w:r>
          </w:p>
        </w:tc>
        <w:tc>
          <w:tcPr>
            <w:tcW w:w="100" w:type="dxa"/>
            <w:vAlign w:val="bottom"/>
            <w:shd w:val="clear" w:color="auto" w:fill="B2B2B2"/>
          </w:tcPr>
          <w:p>
            <w:pPr>
              <w:ind w:left="40"/>
              <w:spacing w:after="0"/>
              <w:rPr>
                <w:sz w:val="20"/>
                <w:szCs w:val="20"/>
                <w:color w:val="auto"/>
              </w:rPr>
            </w:pPr>
            <w:r>
              <w:rPr>
                <w:rFonts w:ascii="Arial" w:cs="Arial" w:eastAsia="Arial" w:hAnsi="Arial"/>
                <w:sz w:val="14"/>
                <w:szCs w:val="14"/>
                <w:color w:val="auto"/>
              </w:rPr>
              <w:t>​</w:t>
            </w:r>
          </w:p>
        </w:tc>
        <w:tc>
          <w:tcPr>
            <w:tcW w:w="360" w:type="dxa"/>
            <w:vAlign w:val="bottom"/>
            <w:shd w:val="clear" w:color="auto" w:fill="B2B2B2"/>
          </w:tcPr>
          <w:p>
            <w:pPr>
              <w:ind w:left="260"/>
              <w:spacing w:after="0"/>
              <w:rPr>
                <w:sz w:val="20"/>
                <w:szCs w:val="20"/>
                <w:color w:val="auto"/>
              </w:rPr>
            </w:pPr>
            <w:r>
              <w:rPr>
                <w:rFonts w:ascii="Arial" w:cs="Arial" w:eastAsia="Arial" w:hAnsi="Arial"/>
                <w:sz w:val="14"/>
                <w:szCs w:val="14"/>
                <w:color w:val="auto"/>
              </w:rPr>
              <w:t>​</w:t>
            </w:r>
          </w:p>
        </w:tc>
        <w:tc>
          <w:tcPr>
            <w:tcW w:w="680" w:type="dxa"/>
            <w:vAlign w:val="bottom"/>
            <w:shd w:val="clear" w:color="auto" w:fill="B2B2B2"/>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B2B2B2"/>
          </w:tcPr>
          <w:p>
            <w:pPr>
              <w:ind w:left="40"/>
              <w:spacing w:after="0"/>
              <w:rPr>
                <w:sz w:val="20"/>
                <w:szCs w:val="20"/>
                <w:color w:val="auto"/>
              </w:rPr>
            </w:pPr>
            <w:r>
              <w:rPr>
                <w:rFonts w:ascii="Arial" w:cs="Arial" w:eastAsia="Arial" w:hAnsi="Arial"/>
                <w:sz w:val="14"/>
                <w:szCs w:val="14"/>
                <w:color w:val="auto"/>
              </w:rPr>
              <w:t>​</w:t>
            </w:r>
          </w:p>
        </w:tc>
        <w:tc>
          <w:tcPr>
            <w:tcW w:w="340" w:type="dxa"/>
            <w:vAlign w:val="bottom"/>
            <w:shd w:val="clear" w:color="auto" w:fill="B2B2B2"/>
          </w:tcPr>
          <w:p>
            <w:pPr>
              <w:ind w:left="240"/>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B2B2B2"/>
            </w:tcBorders>
            <w:shd w:val="clear" w:color="auto" w:fill="B2B2B2"/>
          </w:tcPr>
          <w:p>
            <w:pPr>
              <w:jc w:val="right"/>
              <w:ind w:right="188"/>
              <w:spacing w:after="0"/>
              <w:rPr>
                <w:sz w:val="20"/>
                <w:szCs w:val="20"/>
                <w:color w:val="auto"/>
              </w:rPr>
            </w:pPr>
            <w:r>
              <w:rPr>
                <w:rFonts w:ascii="Arial" w:cs="Arial" w:eastAsia="Arial" w:hAnsi="Arial"/>
                <w:sz w:val="14"/>
                <w:szCs w:val="14"/>
                <w:color w:val="auto"/>
              </w:rPr>
              <w:t>—</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r>
        <w:trPr>
          <w:trHeight w:val="243"/>
        </w:trPr>
        <w:tc>
          <w:tcPr>
            <w:tcW w:w="30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center"/>
              <w:ind w:left="8"/>
              <w:spacing w:after="0"/>
              <w:rPr>
                <w:sz w:val="20"/>
                <w:szCs w:val="20"/>
                <w:color w:val="auto"/>
              </w:rPr>
            </w:pPr>
            <w:r>
              <w:rPr>
                <w:rFonts w:ascii="Arial" w:cs="Arial" w:eastAsia="Arial" w:hAnsi="Arial"/>
                <w:sz w:val="14"/>
                <w:szCs w:val="14"/>
                <w:color w:val="auto"/>
              </w:rPr>
              <w:t>8/01/2026</w:t>
            </w:r>
          </w:p>
        </w:tc>
        <w:tc>
          <w:tcPr>
            <w:tcW w:w="220" w:type="dxa"/>
            <w:vAlign w:val="bottom"/>
          </w:tcPr>
          <w:p>
            <w:pPr>
              <w:spacing w:after="0"/>
              <w:rPr>
                <w:sz w:val="21"/>
                <w:szCs w:val="21"/>
                <w:color w:val="auto"/>
              </w:rPr>
            </w:pPr>
          </w:p>
        </w:tc>
        <w:tc>
          <w:tcPr>
            <w:tcW w:w="1560" w:type="dxa"/>
            <w:vAlign w:val="bottom"/>
            <w:gridSpan w:val="2"/>
          </w:tcPr>
          <w:p>
            <w:pPr>
              <w:jc w:val="right"/>
              <w:ind w:right="44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158,168</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9"/>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46,520</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jc w:val="center"/>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40,007</w:t>
            </w:r>
          </w:p>
        </w:tc>
        <w:tc>
          <w:tcPr>
            <w:tcW w:w="16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46,520</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r>
        <w:trPr>
          <w:trHeight w:val="243"/>
        </w:trPr>
        <w:tc>
          <w:tcPr>
            <w:tcW w:w="300" w:type="dxa"/>
            <w:vAlign w:val="bottom"/>
            <w:shd w:val="clear" w:color="auto" w:fill="B2B2B2"/>
          </w:tcPr>
          <w:p>
            <w:pPr>
              <w:ind w:lef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B2B2B2"/>
          </w:tcPr>
          <w:p>
            <w:pPr>
              <w:jc w:val="center"/>
              <w:ind w:left="8"/>
              <w:spacing w:after="0"/>
              <w:rPr>
                <w:sz w:val="20"/>
                <w:szCs w:val="20"/>
                <w:color w:val="auto"/>
              </w:rPr>
            </w:pPr>
            <w:r>
              <w:rPr>
                <w:rFonts w:ascii="Arial" w:cs="Arial" w:eastAsia="Arial" w:hAnsi="Arial"/>
                <w:sz w:val="14"/>
                <w:szCs w:val="14"/>
                <w:color w:val="auto"/>
              </w:rPr>
              <w:t>2/20/2027</w:t>
            </w:r>
          </w:p>
        </w:tc>
        <w:tc>
          <w:tcPr>
            <w:tcW w:w="220" w:type="dxa"/>
            <w:vAlign w:val="bottom"/>
            <w:shd w:val="clear" w:color="auto" w:fill="B2B2B2"/>
          </w:tcPr>
          <w:p>
            <w:pPr>
              <w:spacing w:after="0"/>
              <w:rPr>
                <w:sz w:val="21"/>
                <w:szCs w:val="21"/>
                <w:color w:val="auto"/>
              </w:rPr>
            </w:pPr>
          </w:p>
        </w:tc>
        <w:tc>
          <w:tcPr>
            <w:tcW w:w="1560" w:type="dxa"/>
            <w:vAlign w:val="bottom"/>
            <w:tcBorders>
              <w:right w:val="single" w:sz="8" w:color="B2B2B2"/>
            </w:tcBorders>
            <w:gridSpan w:val="2"/>
            <w:shd w:val="clear" w:color="auto" w:fill="B2B2B2"/>
          </w:tcPr>
          <w:p>
            <w:pPr>
              <w:jc w:val="right"/>
              <w:ind w:right="44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56,090</w:t>
            </w:r>
          </w:p>
        </w:tc>
        <w:tc>
          <w:tcPr>
            <w:tcW w:w="100" w:type="dxa"/>
            <w:vAlign w:val="bottom"/>
            <w:shd w:val="clear" w:color="auto" w:fill="B2B2B2"/>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B2B2B2"/>
          </w:tcPr>
          <w:p>
            <w:pPr>
              <w:ind w:left="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B2B2B2"/>
          </w:tcPr>
          <w:p>
            <w:pPr>
              <w:jc w:val="right"/>
              <w:ind w:right="49"/>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26,812</w:t>
            </w:r>
          </w:p>
        </w:tc>
        <w:tc>
          <w:tcPr>
            <w:tcW w:w="260" w:type="dxa"/>
            <w:vAlign w:val="bottom"/>
            <w:gridSpan w:val="2"/>
            <w:shd w:val="clear" w:color="auto" w:fill="B2B2B2"/>
          </w:tcPr>
          <w:p>
            <w:pPr>
              <w:ind w:left="120"/>
              <w:spacing w:after="0"/>
              <w:rPr>
                <w:sz w:val="20"/>
                <w:szCs w:val="20"/>
                <w:color w:val="auto"/>
              </w:rPr>
            </w:pPr>
            <w:r>
              <w:rPr>
                <w:rFonts w:ascii="Arial" w:cs="Arial" w:eastAsia="Arial" w:hAnsi="Arial"/>
                <w:sz w:val="14"/>
                <w:szCs w:val="14"/>
                <w:color w:val="auto"/>
              </w:rPr>
              <w:t>​ ​</w:t>
            </w:r>
          </w:p>
        </w:tc>
        <w:tc>
          <w:tcPr>
            <w:tcW w:w="100" w:type="dxa"/>
            <w:vAlign w:val="bottom"/>
            <w:shd w:val="clear" w:color="auto" w:fill="B2B2B2"/>
          </w:tcPr>
          <w:p>
            <w:pPr>
              <w:ind w:lef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B2B2B2"/>
          </w:tcPr>
          <w:p>
            <w:pPr>
              <w:jc w:val="center"/>
              <w:spacing w:after="0"/>
              <w:rPr>
                <w:sz w:val="20"/>
                <w:szCs w:val="20"/>
                <w:color w:val="auto"/>
              </w:rPr>
            </w:pPr>
            <w:r>
              <w:rPr>
                <w:rFonts w:ascii="Arial" w:cs="Arial" w:eastAsia="Arial" w:hAnsi="Arial"/>
                <w:sz w:val="14"/>
                <w:szCs w:val="14"/>
                <w:color w:val="auto"/>
              </w:rPr>
              <w:t>​</w:t>
            </w:r>
          </w:p>
        </w:tc>
        <w:tc>
          <w:tcPr>
            <w:tcW w:w="420" w:type="dxa"/>
            <w:vAlign w:val="bottom"/>
            <w:shd w:val="clear" w:color="auto" w:fill="B2B2B2"/>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B2B2B2"/>
          </w:tcPr>
          <w:p>
            <w:pPr>
              <w:ind w:left="100"/>
              <w:spacing w:after="0"/>
              <w:rPr>
                <w:sz w:val="20"/>
                <w:szCs w:val="20"/>
                <w:color w:val="auto"/>
              </w:rPr>
            </w:pPr>
            <w:r>
              <w:rPr>
                <w:rFonts w:ascii="Arial" w:cs="Arial" w:eastAsia="Arial" w:hAnsi="Arial"/>
                <w:sz w:val="14"/>
                <w:szCs w:val="14"/>
                <w:color w:val="auto"/>
              </w:rPr>
              <w:t>​ ​</w:t>
            </w:r>
          </w:p>
        </w:tc>
        <w:tc>
          <w:tcPr>
            <w:tcW w:w="100" w:type="dxa"/>
            <w:vAlign w:val="bottom"/>
            <w:shd w:val="clear" w:color="auto" w:fill="B2B2B2"/>
          </w:tcPr>
          <w:p>
            <w:pPr>
              <w:ind w:left="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B2B2B2"/>
          </w:tcPr>
          <w:p>
            <w:pPr>
              <w:jc w:val="right"/>
              <w:ind w:right="16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13,518</w:t>
            </w:r>
          </w:p>
        </w:tc>
        <w:tc>
          <w:tcPr>
            <w:tcW w:w="1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B2B2B2"/>
          </w:tcPr>
          <w:p>
            <w:pPr>
              <w:ind w:left="40"/>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B2B2B2"/>
            </w:tcBorders>
            <w:gridSpan w:val="2"/>
            <w:shd w:val="clear" w:color="auto" w:fill="B2B2B2"/>
          </w:tcPr>
          <w:p>
            <w:pPr>
              <w:jc w:val="right"/>
              <w:ind w:right="18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10,984</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r>
        <w:trPr>
          <w:trHeight w:val="243"/>
        </w:trPr>
        <w:tc>
          <w:tcPr>
            <w:tcW w:w="30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center"/>
              <w:ind w:left="8"/>
              <w:spacing w:after="0"/>
              <w:rPr>
                <w:sz w:val="20"/>
                <w:szCs w:val="20"/>
                <w:color w:val="auto"/>
              </w:rPr>
            </w:pPr>
            <w:r>
              <w:rPr>
                <w:rFonts w:ascii="Arial" w:cs="Arial" w:eastAsia="Arial" w:hAnsi="Arial"/>
                <w:sz w:val="14"/>
                <w:szCs w:val="14"/>
                <w:color w:val="auto"/>
              </w:rPr>
              <w:t>2/21/2027</w:t>
            </w:r>
          </w:p>
        </w:tc>
        <w:tc>
          <w:tcPr>
            <w:tcW w:w="220" w:type="dxa"/>
            <w:vAlign w:val="bottom"/>
          </w:tcPr>
          <w:p>
            <w:pPr>
              <w:spacing w:after="0"/>
              <w:rPr>
                <w:sz w:val="21"/>
                <w:szCs w:val="21"/>
                <w:color w:val="auto"/>
              </w:rPr>
            </w:pPr>
          </w:p>
        </w:tc>
        <w:tc>
          <w:tcPr>
            <w:tcW w:w="1560" w:type="dxa"/>
            <w:vAlign w:val="bottom"/>
            <w:gridSpan w:val="2"/>
          </w:tcPr>
          <w:p>
            <w:pPr>
              <w:jc w:val="right"/>
              <w:ind w:right="44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52,435</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9"/>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15,296</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jc w:val="center"/>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11,919</w:t>
            </w:r>
          </w:p>
        </w:tc>
        <w:tc>
          <w:tcPr>
            <w:tcW w:w="16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340" w:type="dxa"/>
            <w:vAlign w:val="bottom"/>
          </w:tcPr>
          <w:p>
            <w:pPr>
              <w:ind w:left="2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88"/>
              <w:spacing w:after="0"/>
              <w:rPr>
                <w:sz w:val="20"/>
                <w:szCs w:val="20"/>
                <w:color w:val="auto"/>
              </w:rPr>
            </w:pPr>
            <w:r>
              <w:rPr>
                <w:rFonts w:ascii="Arial" w:cs="Arial" w:eastAsia="Arial" w:hAnsi="Arial"/>
                <w:sz w:val="14"/>
                <w:szCs w:val="14"/>
                <w:color w:val="auto"/>
              </w:rPr>
              <w:t>9,684</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r>
        <w:trPr>
          <w:trHeight w:val="243"/>
        </w:trPr>
        <w:tc>
          <w:tcPr>
            <w:tcW w:w="300" w:type="dxa"/>
            <w:vAlign w:val="bottom"/>
            <w:shd w:val="clear" w:color="auto" w:fill="B2B2B2"/>
          </w:tcPr>
          <w:p>
            <w:pPr>
              <w:ind w:lef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B2B2B2"/>
          </w:tcPr>
          <w:p>
            <w:pPr>
              <w:jc w:val="center"/>
              <w:ind w:left="8"/>
              <w:spacing w:after="0"/>
              <w:rPr>
                <w:sz w:val="20"/>
                <w:szCs w:val="20"/>
                <w:color w:val="auto"/>
              </w:rPr>
            </w:pPr>
            <w:r>
              <w:rPr>
                <w:rFonts w:ascii="Arial" w:cs="Arial" w:eastAsia="Arial" w:hAnsi="Arial"/>
                <w:sz w:val="14"/>
                <w:szCs w:val="14"/>
                <w:color w:val="auto"/>
              </w:rPr>
              <w:t>4/28/2027</w:t>
            </w:r>
          </w:p>
        </w:tc>
        <w:tc>
          <w:tcPr>
            <w:tcW w:w="220" w:type="dxa"/>
            <w:vAlign w:val="bottom"/>
            <w:shd w:val="clear" w:color="auto" w:fill="B2B2B2"/>
          </w:tcPr>
          <w:p>
            <w:pPr>
              <w:spacing w:after="0"/>
              <w:rPr>
                <w:sz w:val="21"/>
                <w:szCs w:val="21"/>
                <w:color w:val="auto"/>
              </w:rPr>
            </w:pPr>
          </w:p>
        </w:tc>
        <w:tc>
          <w:tcPr>
            <w:tcW w:w="720" w:type="dxa"/>
            <w:vAlign w:val="bottom"/>
            <w:shd w:val="clear" w:color="auto" w:fill="B2B2B2"/>
          </w:tcPr>
          <w:p>
            <w:pPr>
              <w:ind w:left="52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B2B2B2"/>
            </w:tcBorders>
            <w:shd w:val="clear" w:color="auto" w:fill="B2B2B2"/>
          </w:tcPr>
          <w:p>
            <w:pPr>
              <w:jc w:val="right"/>
              <w:ind w:right="448"/>
              <w:spacing w:after="0"/>
              <w:rPr>
                <w:sz w:val="20"/>
                <w:szCs w:val="20"/>
                <w:color w:val="auto"/>
              </w:rPr>
            </w:pPr>
            <w:r>
              <w:rPr>
                <w:rFonts w:ascii="Arial" w:cs="Arial" w:eastAsia="Arial" w:hAnsi="Arial"/>
                <w:sz w:val="14"/>
                <w:szCs w:val="14"/>
                <w:color w:val="auto"/>
              </w:rPr>
              <w:t>—</w:t>
            </w:r>
          </w:p>
        </w:tc>
        <w:tc>
          <w:tcPr>
            <w:tcW w:w="100" w:type="dxa"/>
            <w:vAlign w:val="bottom"/>
            <w:shd w:val="clear" w:color="auto" w:fill="B2B2B2"/>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B2B2B2"/>
          </w:tcPr>
          <w:p>
            <w:pPr>
              <w:ind w:left="60"/>
              <w:spacing w:after="0"/>
              <w:rPr>
                <w:sz w:val="20"/>
                <w:szCs w:val="20"/>
                <w:color w:val="auto"/>
              </w:rPr>
            </w:pPr>
            <w:r>
              <w:rPr>
                <w:rFonts w:ascii="Arial" w:cs="Arial" w:eastAsia="Arial" w:hAnsi="Arial"/>
                <w:sz w:val="14"/>
                <w:szCs w:val="14"/>
                <w:color w:val="auto"/>
              </w:rPr>
              <w:t>​</w:t>
            </w:r>
          </w:p>
        </w:tc>
        <w:tc>
          <w:tcPr>
            <w:tcW w:w="460" w:type="dxa"/>
            <w:vAlign w:val="bottom"/>
            <w:shd w:val="clear" w:color="auto" w:fill="B2B2B2"/>
          </w:tcPr>
          <w:p>
            <w:pPr>
              <w:ind w:lef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B2B2B2"/>
          </w:tcPr>
          <w:p>
            <w:pPr>
              <w:jc w:val="right"/>
              <w:ind w:right="49"/>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B2B2B2"/>
          </w:tcPr>
          <w:p>
            <w:pPr>
              <w:ind w:left="120"/>
              <w:spacing w:after="0"/>
              <w:rPr>
                <w:sz w:val="20"/>
                <w:szCs w:val="20"/>
                <w:color w:val="auto"/>
              </w:rPr>
            </w:pPr>
            <w:r>
              <w:rPr>
                <w:rFonts w:ascii="Arial" w:cs="Arial" w:eastAsia="Arial" w:hAnsi="Arial"/>
                <w:sz w:val="14"/>
                <w:szCs w:val="14"/>
                <w:color w:val="auto"/>
              </w:rPr>
              <w:t>​ ​</w:t>
            </w:r>
          </w:p>
        </w:tc>
        <w:tc>
          <w:tcPr>
            <w:tcW w:w="100" w:type="dxa"/>
            <w:vAlign w:val="bottom"/>
            <w:shd w:val="clear" w:color="auto" w:fill="B2B2B2"/>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B2B2B2"/>
          </w:tcPr>
          <w:p>
            <w:pPr>
              <w:jc w:val="right"/>
              <w:ind w:right="2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123,316</w:t>
            </w:r>
          </w:p>
        </w:tc>
        <w:tc>
          <w:tcPr>
            <w:tcW w:w="240" w:type="dxa"/>
            <w:vAlign w:val="bottom"/>
            <w:gridSpan w:val="2"/>
            <w:shd w:val="clear" w:color="auto" w:fill="B2B2B2"/>
          </w:tcPr>
          <w:p>
            <w:pPr>
              <w:ind w:left="100"/>
              <w:spacing w:after="0"/>
              <w:rPr>
                <w:sz w:val="20"/>
                <w:szCs w:val="20"/>
                <w:color w:val="auto"/>
              </w:rPr>
            </w:pPr>
            <w:r>
              <w:rPr>
                <w:rFonts w:ascii="Arial" w:cs="Arial" w:eastAsia="Arial" w:hAnsi="Arial"/>
                <w:sz w:val="14"/>
                <w:szCs w:val="14"/>
                <w:color w:val="auto"/>
              </w:rPr>
              <w:t>​ ​</w:t>
            </w:r>
          </w:p>
        </w:tc>
        <w:tc>
          <w:tcPr>
            <w:tcW w:w="100" w:type="dxa"/>
            <w:vAlign w:val="bottom"/>
            <w:shd w:val="clear" w:color="auto" w:fill="B2B2B2"/>
          </w:tcPr>
          <w:p>
            <w:pPr>
              <w:ind w:left="40"/>
              <w:spacing w:after="0"/>
              <w:rPr>
                <w:sz w:val="20"/>
                <w:szCs w:val="20"/>
                <w:color w:val="auto"/>
              </w:rPr>
            </w:pPr>
            <w:r>
              <w:rPr>
                <w:rFonts w:ascii="Arial" w:cs="Arial" w:eastAsia="Arial" w:hAnsi="Arial"/>
                <w:sz w:val="14"/>
                <w:szCs w:val="14"/>
                <w:color w:val="auto"/>
              </w:rPr>
              <w:t>​</w:t>
            </w:r>
          </w:p>
        </w:tc>
        <w:tc>
          <w:tcPr>
            <w:tcW w:w="360" w:type="dxa"/>
            <w:vAlign w:val="bottom"/>
            <w:shd w:val="clear" w:color="auto" w:fill="B2B2B2"/>
          </w:tcPr>
          <w:p>
            <w:pPr>
              <w:ind w:left="260"/>
              <w:spacing w:after="0"/>
              <w:rPr>
                <w:sz w:val="20"/>
                <w:szCs w:val="20"/>
                <w:color w:val="auto"/>
              </w:rPr>
            </w:pPr>
            <w:r>
              <w:rPr>
                <w:rFonts w:ascii="Arial" w:cs="Arial" w:eastAsia="Arial" w:hAnsi="Arial"/>
                <w:sz w:val="14"/>
                <w:szCs w:val="14"/>
                <w:color w:val="auto"/>
              </w:rPr>
              <w:t>​</w:t>
            </w:r>
          </w:p>
        </w:tc>
        <w:tc>
          <w:tcPr>
            <w:tcW w:w="680" w:type="dxa"/>
            <w:vAlign w:val="bottom"/>
            <w:shd w:val="clear" w:color="auto" w:fill="B2B2B2"/>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B2B2B2"/>
          </w:tcPr>
          <w:p>
            <w:pPr>
              <w:ind w:left="40"/>
              <w:spacing w:after="0"/>
              <w:rPr>
                <w:sz w:val="20"/>
                <w:szCs w:val="20"/>
                <w:color w:val="auto"/>
              </w:rPr>
            </w:pPr>
            <w:r>
              <w:rPr>
                <w:rFonts w:ascii="Arial" w:cs="Arial" w:eastAsia="Arial" w:hAnsi="Arial"/>
                <w:sz w:val="14"/>
                <w:szCs w:val="14"/>
                <w:color w:val="auto"/>
              </w:rPr>
              <w:t>​</w:t>
            </w:r>
          </w:p>
        </w:tc>
        <w:tc>
          <w:tcPr>
            <w:tcW w:w="340" w:type="dxa"/>
            <w:vAlign w:val="bottom"/>
            <w:shd w:val="clear" w:color="auto" w:fill="B2B2B2"/>
          </w:tcPr>
          <w:p>
            <w:pPr>
              <w:ind w:left="240"/>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B2B2B2"/>
            </w:tcBorders>
            <w:shd w:val="clear" w:color="auto" w:fill="B2B2B2"/>
          </w:tcPr>
          <w:p>
            <w:pPr>
              <w:jc w:val="right"/>
              <w:ind w:right="188"/>
              <w:spacing w:after="0"/>
              <w:rPr>
                <w:sz w:val="20"/>
                <w:szCs w:val="20"/>
                <w:color w:val="auto"/>
              </w:rPr>
            </w:pPr>
            <w:r>
              <w:rPr>
                <w:rFonts w:ascii="Arial" w:cs="Arial" w:eastAsia="Arial" w:hAnsi="Arial"/>
                <w:sz w:val="14"/>
                <w:szCs w:val="14"/>
                <w:color w:val="auto"/>
              </w:rPr>
              <w:t>—</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r>
        <w:trPr>
          <w:trHeight w:val="243"/>
        </w:trPr>
        <w:tc>
          <w:tcPr>
            <w:tcW w:w="30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center"/>
              <w:ind w:left="8"/>
              <w:spacing w:after="0"/>
              <w:rPr>
                <w:sz w:val="20"/>
                <w:szCs w:val="20"/>
                <w:color w:val="auto"/>
              </w:rPr>
            </w:pPr>
            <w:r>
              <w:rPr>
                <w:rFonts w:ascii="Arial" w:cs="Arial" w:eastAsia="Arial" w:hAnsi="Arial"/>
                <w:sz w:val="14"/>
                <w:szCs w:val="14"/>
                <w:color w:val="auto"/>
              </w:rPr>
              <w:t>8/01/2027</w:t>
            </w:r>
          </w:p>
        </w:tc>
        <w:tc>
          <w:tcPr>
            <w:tcW w:w="220" w:type="dxa"/>
            <w:vAlign w:val="bottom"/>
          </w:tcPr>
          <w:p>
            <w:pPr>
              <w:spacing w:after="0"/>
              <w:rPr>
                <w:sz w:val="21"/>
                <w:szCs w:val="21"/>
                <w:color w:val="auto"/>
              </w:rPr>
            </w:pPr>
          </w:p>
        </w:tc>
        <w:tc>
          <w:tcPr>
            <w:tcW w:w="1560" w:type="dxa"/>
            <w:vAlign w:val="bottom"/>
            <w:gridSpan w:val="2"/>
          </w:tcPr>
          <w:p>
            <w:pPr>
              <w:jc w:val="right"/>
              <w:ind w:right="44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237,252</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9"/>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69,780</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jc w:val="center"/>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60,011</w:t>
            </w:r>
          </w:p>
        </w:tc>
        <w:tc>
          <w:tcPr>
            <w:tcW w:w="16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69,780</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r>
        <w:trPr>
          <w:trHeight w:val="243"/>
        </w:trPr>
        <w:tc>
          <w:tcPr>
            <w:tcW w:w="300" w:type="dxa"/>
            <w:vAlign w:val="bottom"/>
            <w:shd w:val="clear" w:color="auto" w:fill="B2B2B2"/>
          </w:tcPr>
          <w:p>
            <w:pPr>
              <w:ind w:lef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B2B2B2"/>
          </w:tcPr>
          <w:p>
            <w:pPr>
              <w:jc w:val="center"/>
              <w:ind w:left="8"/>
              <w:spacing w:after="0"/>
              <w:rPr>
                <w:sz w:val="20"/>
                <w:szCs w:val="20"/>
                <w:color w:val="auto"/>
              </w:rPr>
            </w:pPr>
            <w:r>
              <w:rPr>
                <w:rFonts w:ascii="Arial" w:cs="Arial" w:eastAsia="Arial" w:hAnsi="Arial"/>
                <w:sz w:val="14"/>
                <w:szCs w:val="14"/>
                <w:color w:val="auto"/>
              </w:rPr>
              <w:t>2/20/2028</w:t>
            </w:r>
          </w:p>
        </w:tc>
        <w:tc>
          <w:tcPr>
            <w:tcW w:w="220" w:type="dxa"/>
            <w:vAlign w:val="bottom"/>
            <w:shd w:val="clear" w:color="auto" w:fill="B2B2B2"/>
          </w:tcPr>
          <w:p>
            <w:pPr>
              <w:spacing w:after="0"/>
              <w:rPr>
                <w:sz w:val="21"/>
                <w:szCs w:val="21"/>
                <w:color w:val="auto"/>
              </w:rPr>
            </w:pPr>
          </w:p>
        </w:tc>
        <w:tc>
          <w:tcPr>
            <w:tcW w:w="1560" w:type="dxa"/>
            <w:vAlign w:val="bottom"/>
            <w:tcBorders>
              <w:right w:val="single" w:sz="8" w:color="B2B2B2"/>
            </w:tcBorders>
            <w:gridSpan w:val="2"/>
            <w:shd w:val="clear" w:color="auto" w:fill="B2B2B2"/>
          </w:tcPr>
          <w:p>
            <w:pPr>
              <w:jc w:val="right"/>
              <w:ind w:right="44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56,089</w:t>
            </w:r>
          </w:p>
        </w:tc>
        <w:tc>
          <w:tcPr>
            <w:tcW w:w="100" w:type="dxa"/>
            <w:vAlign w:val="bottom"/>
            <w:shd w:val="clear" w:color="auto" w:fill="B2B2B2"/>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B2B2B2"/>
          </w:tcPr>
          <w:p>
            <w:pPr>
              <w:ind w:left="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B2B2B2"/>
          </w:tcPr>
          <w:p>
            <w:pPr>
              <w:jc w:val="right"/>
              <w:ind w:right="49"/>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26,812</w:t>
            </w:r>
          </w:p>
        </w:tc>
        <w:tc>
          <w:tcPr>
            <w:tcW w:w="260" w:type="dxa"/>
            <w:vAlign w:val="bottom"/>
            <w:gridSpan w:val="2"/>
            <w:shd w:val="clear" w:color="auto" w:fill="B2B2B2"/>
          </w:tcPr>
          <w:p>
            <w:pPr>
              <w:ind w:left="120"/>
              <w:spacing w:after="0"/>
              <w:rPr>
                <w:sz w:val="20"/>
                <w:szCs w:val="20"/>
                <w:color w:val="auto"/>
              </w:rPr>
            </w:pPr>
            <w:r>
              <w:rPr>
                <w:rFonts w:ascii="Arial" w:cs="Arial" w:eastAsia="Arial" w:hAnsi="Arial"/>
                <w:sz w:val="14"/>
                <w:szCs w:val="14"/>
                <w:color w:val="auto"/>
              </w:rPr>
              <w:t>​ ​</w:t>
            </w:r>
          </w:p>
        </w:tc>
        <w:tc>
          <w:tcPr>
            <w:tcW w:w="100" w:type="dxa"/>
            <w:vAlign w:val="bottom"/>
            <w:shd w:val="clear" w:color="auto" w:fill="B2B2B2"/>
          </w:tcPr>
          <w:p>
            <w:pPr>
              <w:ind w:lef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B2B2B2"/>
          </w:tcPr>
          <w:p>
            <w:pPr>
              <w:jc w:val="center"/>
              <w:spacing w:after="0"/>
              <w:rPr>
                <w:sz w:val="20"/>
                <w:szCs w:val="20"/>
                <w:color w:val="auto"/>
              </w:rPr>
            </w:pPr>
            <w:r>
              <w:rPr>
                <w:rFonts w:ascii="Arial" w:cs="Arial" w:eastAsia="Arial" w:hAnsi="Arial"/>
                <w:sz w:val="14"/>
                <w:szCs w:val="14"/>
                <w:color w:val="auto"/>
              </w:rPr>
              <w:t>​</w:t>
            </w:r>
          </w:p>
        </w:tc>
        <w:tc>
          <w:tcPr>
            <w:tcW w:w="420" w:type="dxa"/>
            <w:vAlign w:val="bottom"/>
            <w:shd w:val="clear" w:color="auto" w:fill="B2B2B2"/>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B2B2B2"/>
          </w:tcPr>
          <w:p>
            <w:pPr>
              <w:ind w:left="100"/>
              <w:spacing w:after="0"/>
              <w:rPr>
                <w:sz w:val="20"/>
                <w:szCs w:val="20"/>
                <w:color w:val="auto"/>
              </w:rPr>
            </w:pPr>
            <w:r>
              <w:rPr>
                <w:rFonts w:ascii="Arial" w:cs="Arial" w:eastAsia="Arial" w:hAnsi="Arial"/>
                <w:sz w:val="14"/>
                <w:szCs w:val="14"/>
                <w:color w:val="auto"/>
              </w:rPr>
              <w:t>​ ​</w:t>
            </w:r>
          </w:p>
        </w:tc>
        <w:tc>
          <w:tcPr>
            <w:tcW w:w="100" w:type="dxa"/>
            <w:vAlign w:val="bottom"/>
            <w:shd w:val="clear" w:color="auto" w:fill="B2B2B2"/>
          </w:tcPr>
          <w:p>
            <w:pPr>
              <w:ind w:left="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B2B2B2"/>
          </w:tcPr>
          <w:p>
            <w:pPr>
              <w:jc w:val="right"/>
              <w:ind w:right="16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13,518</w:t>
            </w:r>
          </w:p>
        </w:tc>
        <w:tc>
          <w:tcPr>
            <w:tcW w:w="1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B2B2B2"/>
          </w:tcPr>
          <w:p>
            <w:pPr>
              <w:ind w:left="40"/>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B2B2B2"/>
            </w:tcBorders>
            <w:gridSpan w:val="2"/>
            <w:shd w:val="clear" w:color="auto" w:fill="B2B2B2"/>
          </w:tcPr>
          <w:p>
            <w:pPr>
              <w:jc w:val="right"/>
              <w:ind w:right="18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10,983</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r>
        <w:trPr>
          <w:trHeight w:val="243"/>
        </w:trPr>
        <w:tc>
          <w:tcPr>
            <w:tcW w:w="30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center"/>
              <w:ind w:left="8"/>
              <w:spacing w:after="0"/>
              <w:rPr>
                <w:sz w:val="20"/>
                <w:szCs w:val="20"/>
                <w:color w:val="auto"/>
              </w:rPr>
            </w:pPr>
            <w:r>
              <w:rPr>
                <w:rFonts w:ascii="Arial" w:cs="Arial" w:eastAsia="Arial" w:hAnsi="Arial"/>
                <w:sz w:val="14"/>
                <w:szCs w:val="14"/>
                <w:color w:val="auto"/>
              </w:rPr>
              <w:t>4/28/2028</w:t>
            </w:r>
          </w:p>
        </w:tc>
        <w:tc>
          <w:tcPr>
            <w:tcW w:w="220" w:type="dxa"/>
            <w:vAlign w:val="bottom"/>
          </w:tcPr>
          <w:p>
            <w:pPr>
              <w:spacing w:after="0"/>
              <w:rPr>
                <w:sz w:val="21"/>
                <w:szCs w:val="21"/>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460" w:type="dxa"/>
            <w:vAlign w:val="bottom"/>
          </w:tcPr>
          <w:p>
            <w:pPr>
              <w:ind w:left="2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123,316</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360" w:type="dxa"/>
            <w:vAlign w:val="bottom"/>
          </w:tcPr>
          <w:p>
            <w:pPr>
              <w:ind w:left="2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340" w:type="dxa"/>
            <w:vAlign w:val="bottom"/>
          </w:tcPr>
          <w:p>
            <w:pPr>
              <w:ind w:left="2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r>
        <w:trPr>
          <w:trHeight w:val="243"/>
        </w:trPr>
        <w:tc>
          <w:tcPr>
            <w:tcW w:w="300" w:type="dxa"/>
            <w:vAlign w:val="bottom"/>
            <w:shd w:val="clear" w:color="auto" w:fill="B2B2B2"/>
          </w:tcPr>
          <w:p>
            <w:pPr>
              <w:ind w:lef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B2B2B2"/>
          </w:tcPr>
          <w:p>
            <w:pPr>
              <w:jc w:val="center"/>
              <w:ind w:left="8"/>
              <w:spacing w:after="0"/>
              <w:rPr>
                <w:sz w:val="20"/>
                <w:szCs w:val="20"/>
                <w:color w:val="auto"/>
              </w:rPr>
            </w:pPr>
            <w:r>
              <w:rPr>
                <w:rFonts w:ascii="Arial" w:cs="Arial" w:eastAsia="Arial" w:hAnsi="Arial"/>
                <w:sz w:val="14"/>
                <w:szCs w:val="14"/>
                <w:color w:val="auto"/>
              </w:rPr>
              <w:t>8/01/2028</w:t>
            </w:r>
          </w:p>
        </w:tc>
        <w:tc>
          <w:tcPr>
            <w:tcW w:w="220" w:type="dxa"/>
            <w:vAlign w:val="bottom"/>
            <w:shd w:val="clear" w:color="auto" w:fill="B2B2B2"/>
          </w:tcPr>
          <w:p>
            <w:pPr>
              <w:spacing w:after="0"/>
              <w:rPr>
                <w:sz w:val="21"/>
                <w:szCs w:val="21"/>
                <w:color w:val="auto"/>
              </w:rPr>
            </w:pPr>
          </w:p>
        </w:tc>
        <w:tc>
          <w:tcPr>
            <w:tcW w:w="1560" w:type="dxa"/>
            <w:vAlign w:val="bottom"/>
            <w:tcBorders>
              <w:right w:val="single" w:sz="8" w:color="B2B2B2"/>
            </w:tcBorders>
            <w:gridSpan w:val="2"/>
            <w:shd w:val="clear" w:color="auto" w:fill="B2B2B2"/>
          </w:tcPr>
          <w:p>
            <w:pPr>
              <w:jc w:val="right"/>
              <w:ind w:right="44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395,421</w:t>
            </w:r>
          </w:p>
        </w:tc>
        <w:tc>
          <w:tcPr>
            <w:tcW w:w="100" w:type="dxa"/>
            <w:vAlign w:val="bottom"/>
            <w:shd w:val="clear" w:color="auto" w:fill="B2B2B2"/>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B2B2B2"/>
          </w:tcPr>
          <w:p>
            <w:pPr>
              <w:ind w:left="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B2B2B2"/>
          </w:tcPr>
          <w:p>
            <w:pPr>
              <w:jc w:val="right"/>
              <w:ind w:right="49"/>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116,300</w:t>
            </w:r>
          </w:p>
        </w:tc>
        <w:tc>
          <w:tcPr>
            <w:tcW w:w="260" w:type="dxa"/>
            <w:vAlign w:val="bottom"/>
            <w:gridSpan w:val="2"/>
            <w:shd w:val="clear" w:color="auto" w:fill="B2B2B2"/>
          </w:tcPr>
          <w:p>
            <w:pPr>
              <w:ind w:left="120"/>
              <w:spacing w:after="0"/>
              <w:rPr>
                <w:sz w:val="20"/>
                <w:szCs w:val="20"/>
                <w:color w:val="auto"/>
              </w:rPr>
            </w:pPr>
            <w:r>
              <w:rPr>
                <w:rFonts w:ascii="Arial" w:cs="Arial" w:eastAsia="Arial" w:hAnsi="Arial"/>
                <w:sz w:val="14"/>
                <w:szCs w:val="14"/>
                <w:color w:val="auto"/>
              </w:rPr>
              <w:t>​ ​</w:t>
            </w:r>
          </w:p>
        </w:tc>
        <w:tc>
          <w:tcPr>
            <w:tcW w:w="100" w:type="dxa"/>
            <w:vAlign w:val="bottom"/>
            <w:shd w:val="clear" w:color="auto" w:fill="B2B2B2"/>
          </w:tcPr>
          <w:p>
            <w:pPr>
              <w:ind w:lef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B2B2B2"/>
          </w:tcPr>
          <w:p>
            <w:pPr>
              <w:jc w:val="center"/>
              <w:spacing w:after="0"/>
              <w:rPr>
                <w:sz w:val="20"/>
                <w:szCs w:val="20"/>
                <w:color w:val="auto"/>
              </w:rPr>
            </w:pPr>
            <w:r>
              <w:rPr>
                <w:rFonts w:ascii="Arial" w:cs="Arial" w:eastAsia="Arial" w:hAnsi="Arial"/>
                <w:sz w:val="14"/>
                <w:szCs w:val="14"/>
                <w:color w:val="auto"/>
              </w:rPr>
              <w:t>​</w:t>
            </w:r>
          </w:p>
        </w:tc>
        <w:tc>
          <w:tcPr>
            <w:tcW w:w="420" w:type="dxa"/>
            <w:vAlign w:val="bottom"/>
            <w:shd w:val="clear" w:color="auto" w:fill="B2B2B2"/>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B2B2B2"/>
          </w:tcPr>
          <w:p>
            <w:pPr>
              <w:ind w:left="100"/>
              <w:spacing w:after="0"/>
              <w:rPr>
                <w:sz w:val="20"/>
                <w:szCs w:val="20"/>
                <w:color w:val="auto"/>
              </w:rPr>
            </w:pPr>
            <w:r>
              <w:rPr>
                <w:rFonts w:ascii="Arial" w:cs="Arial" w:eastAsia="Arial" w:hAnsi="Arial"/>
                <w:sz w:val="14"/>
                <w:szCs w:val="14"/>
                <w:color w:val="auto"/>
              </w:rPr>
              <w:t>​ ​</w:t>
            </w:r>
          </w:p>
        </w:tc>
        <w:tc>
          <w:tcPr>
            <w:tcW w:w="100" w:type="dxa"/>
            <w:vAlign w:val="bottom"/>
            <w:shd w:val="clear" w:color="auto" w:fill="B2B2B2"/>
          </w:tcPr>
          <w:p>
            <w:pPr>
              <w:ind w:left="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B2B2B2"/>
          </w:tcPr>
          <w:p>
            <w:pPr>
              <w:jc w:val="right"/>
              <w:ind w:right="16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100,018</w:t>
            </w:r>
          </w:p>
        </w:tc>
        <w:tc>
          <w:tcPr>
            <w:tcW w:w="1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B2B2B2"/>
          </w:tcPr>
          <w:p>
            <w:pPr>
              <w:ind w:left="40"/>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B2B2B2"/>
            </w:tcBorders>
            <w:gridSpan w:val="2"/>
            <w:shd w:val="clear" w:color="auto" w:fill="B2B2B2"/>
          </w:tcPr>
          <w:p>
            <w:pPr>
              <w:jc w:val="right"/>
              <w:ind w:right="18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116,300</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r>
    </w:tbl>
    <w:p>
      <w:pPr>
        <w:spacing w:after="0" w:line="157" w:lineRule="exact"/>
        <w:rPr>
          <w:sz w:val="20"/>
          <w:szCs w:val="20"/>
          <w:color w:val="auto"/>
        </w:rPr>
      </w:pPr>
    </w:p>
    <w:p>
      <w:pPr>
        <w:ind w:left="1900" w:right="539" w:hanging="640"/>
        <w:spacing w:after="0" w:line="318" w:lineRule="auto"/>
        <w:tabs>
          <w:tab w:leader="none" w:pos="1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This value was determined by multiplying the number of unvested shares or units by the closing price of our common stock as reported on Nasdaq on December 31, 2025, which was $7.01.</w:t>
      </w:r>
    </w:p>
    <w:p>
      <w:pPr>
        <w:spacing w:after="0" w:line="129" w:lineRule="exact"/>
        <w:rPr>
          <w:rFonts w:ascii="Arial" w:cs="Arial" w:eastAsia="Arial" w:hAnsi="Arial"/>
          <w:sz w:val="17"/>
          <w:szCs w:val="17"/>
          <w:color w:val="auto"/>
        </w:rPr>
      </w:pPr>
    </w:p>
    <w:p>
      <w:pPr>
        <w:ind w:left="1900" w:right="419" w:hanging="640"/>
        <w:spacing w:after="0" w:line="257" w:lineRule="auto"/>
        <w:tabs>
          <w:tab w:leader="none" w:pos="1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These amounts represent outstanding and unvested awards of PBRSUs (at threshold) granted in 2023 scheduled to vest, if at all, based on the Company’s achievement of metrics related to relative TSR over a three-year period ending February 27, 2026. In measuring our relative TSR, 100% is weighted to our performance against our 2023 peer group (as previously disclosed), measured by percentile ranking. As a result of actual performance, all of the shares reported vested.</w:t>
      </w:r>
    </w:p>
    <w:p>
      <w:pPr>
        <w:spacing w:after="0" w:line="182" w:lineRule="exact"/>
        <w:rPr>
          <w:rFonts w:ascii="Arial" w:cs="Arial" w:eastAsia="Arial" w:hAnsi="Arial"/>
          <w:sz w:val="18"/>
          <w:szCs w:val="18"/>
          <w:color w:val="auto"/>
        </w:rPr>
      </w:pPr>
    </w:p>
    <w:p>
      <w:pPr>
        <w:ind w:left="1900" w:right="519" w:hanging="640"/>
        <w:spacing w:after="0" w:line="259" w:lineRule="auto"/>
        <w:tabs>
          <w:tab w:leader="none" w:pos="1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These amounts represent outstanding and unvested awards of PBRSUs (at target) granted in 2024 scheduled to vest, if at all, based on the Company’s achievement of metrics related to relative TSR over a three-year period ending February 21, 2027. In measuring our relative TSR, 100% is weighted to our performance against the 2024 peer group (as previously disclosed) measured by percentile ranking.</w:t>
      </w:r>
    </w:p>
    <w:p>
      <w:pPr>
        <w:spacing w:after="0" w:line="179" w:lineRule="exact"/>
        <w:rPr>
          <w:rFonts w:ascii="Arial" w:cs="Arial" w:eastAsia="Arial" w:hAnsi="Arial"/>
          <w:sz w:val="18"/>
          <w:szCs w:val="18"/>
          <w:color w:val="auto"/>
        </w:rPr>
      </w:pPr>
    </w:p>
    <w:p>
      <w:pPr>
        <w:ind w:left="1900" w:right="459" w:hanging="640"/>
        <w:spacing w:after="0" w:line="257" w:lineRule="auto"/>
        <w:tabs>
          <w:tab w:leader="none" w:pos="1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These amounts represent outstanding and unvested awards of PBRSUs (at target) granted in 2025 scheduled to vest, if at all, based on the Company’s achievement of metrics related to relative TSR over a three-year period ending February 20, 2028. In measuring our relative TSR, 100% is weighted to our performance against the Peer Group measured by percentile ranking, as further discussed in the Compensation Discussion &amp; Analysis under the heading “Elements of 2025 Compensation — Equity-Based Compensation.”</w:t>
      </w:r>
    </w:p>
    <w:p>
      <w:pPr>
        <w:spacing w:after="0" w:line="182" w:lineRule="exact"/>
        <w:rPr>
          <w:rFonts w:ascii="Arial" w:cs="Arial" w:eastAsia="Arial" w:hAnsi="Arial"/>
          <w:sz w:val="18"/>
          <w:szCs w:val="18"/>
          <w:color w:val="auto"/>
        </w:rPr>
      </w:pPr>
    </w:p>
    <w:p>
      <w:pPr>
        <w:ind w:left="1900" w:right="559" w:hanging="640"/>
        <w:spacing w:after="0" w:line="256" w:lineRule="auto"/>
        <w:tabs>
          <w:tab w:leader="none" w:pos="1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These amounts represent outstanding and unvested awards of Merger PBRSUs (at target) granted in 2025 scheduled to vest, if at all, based on the Company’s achievement of metrics related to relative TSR over a three-year period ending on the third anniversary of the closing of the Merger. In measuring our relative TSR, 100% is weighted to our performance against the Merger PBRSU Peer Group measured by percentile ranking, as further discussed in the Compensation Discussion &amp; Analysis under the heading “Elements of 2025 Compensation —  Equity-Based Compensation — Special Merger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13" w:lineRule="exact"/>
        <w:rPr>
          <w:sz w:val="20"/>
          <w:szCs w:val="20"/>
          <w:color w:val="auto"/>
        </w:rPr>
      </w:pPr>
    </w:p>
    <w:p>
      <w:pPr>
        <w:ind w:left="1260" w:right="499" w:firstLine="648"/>
        <w:spacing w:after="0" w:line="287" w:lineRule="auto"/>
        <w:rPr>
          <w:sz w:val="20"/>
          <w:szCs w:val="20"/>
          <w:color w:val="auto"/>
        </w:rPr>
      </w:pPr>
      <w:r>
        <w:rPr>
          <w:rFonts w:ascii="Arial" w:cs="Arial" w:eastAsia="Arial" w:hAnsi="Arial"/>
          <w:sz w:val="18"/>
          <w:szCs w:val="18"/>
          <w:color w:val="auto"/>
        </w:rPr>
        <w:t>The following table sets forth certain information regarding the vesting of Old Uniti equity awards held by the individuals named below during 2025 prior to the closing of the Merger.</w:t>
      </w:r>
    </w:p>
    <w:p>
      <w:pPr>
        <w:spacing w:after="0" w:line="167" w:lineRule="exact"/>
        <w:rPr>
          <w:sz w:val="20"/>
          <w:szCs w:val="20"/>
          <w:color w:val="auto"/>
        </w:rPr>
      </w:pPr>
    </w:p>
    <w:tbl>
      <w:tblPr>
        <w:tblLayout w:type="fixed"/>
        <w:tblInd w:w="224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rPr>
              <w:t>Stock Awards(1)</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ind w:right="135"/>
              <w:spacing w:after="0" w:line="135" w:lineRule="exact"/>
              <w:rPr>
                <w:sz w:val="20"/>
                <w:szCs w:val="20"/>
                <w:color w:val="auto"/>
              </w:rPr>
            </w:pPr>
            <w:r>
              <w:rPr>
                <w:rFonts w:ascii="Arial" w:cs="Arial" w:eastAsia="Arial" w:hAnsi="Arial"/>
                <w:sz w:val="13"/>
                <w:szCs w:val="13"/>
                <w:b w:val="1"/>
                <w:bCs w:val="1"/>
                <w:color w:val="auto"/>
                <w:w w:val="96"/>
              </w:rPr>
              <w:t>Shares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Acquired</w:t>
            </w:r>
          </w:p>
        </w:tc>
        <w:tc>
          <w:tcPr>
            <w:tcW w:w="220" w:type="dxa"/>
            <w:vAlign w:val="bottom"/>
          </w:tcPr>
          <w:p>
            <w:pPr>
              <w:spacing w:after="0"/>
              <w:rPr>
                <w:sz w:val="11"/>
                <w:szCs w:val="11"/>
                <w:color w:val="auto"/>
              </w:rPr>
            </w:pPr>
          </w:p>
        </w:tc>
        <w:tc>
          <w:tcPr>
            <w:tcW w:w="8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4"/>
              </w:rPr>
              <w:t>Realized on</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4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80" w:type="dxa"/>
            <w:vAlign w:val="bottom"/>
          </w:tcPr>
          <w:p>
            <w:pPr>
              <w:spacing w:after="0"/>
              <w:rPr>
                <w:sz w:val="12"/>
                <w:szCs w:val="12"/>
                <w:color w:val="auto"/>
              </w:rPr>
            </w:pPr>
          </w:p>
        </w:tc>
        <w:tc>
          <w:tcPr>
            <w:tcW w:w="620" w:type="dxa"/>
            <w:vAlign w:val="bottom"/>
          </w:tcPr>
          <w:p>
            <w:pPr>
              <w:jc w:val="center"/>
              <w:ind w:right="135"/>
              <w:spacing w:after="0"/>
              <w:rPr>
                <w:sz w:val="20"/>
                <w:szCs w:val="20"/>
                <w:color w:val="auto"/>
              </w:rPr>
            </w:pPr>
            <w:r>
              <w:rPr>
                <w:rFonts w:ascii="Arial" w:cs="Arial" w:eastAsia="Arial" w:hAnsi="Arial"/>
                <w:sz w:val="13"/>
                <w:szCs w:val="13"/>
                <w:b w:val="1"/>
                <w:bCs w:val="1"/>
                <w:color w:val="auto"/>
                <w:w w:val="87"/>
              </w:rPr>
              <w:t>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Vesting</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4400" w:type="dxa"/>
            <w:vAlign w:val="bottom"/>
            <w:gridSpan w:val="2"/>
            <w:vMerge w:val="continue"/>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Vesting (#)(2)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52"/>
              <w:spacing w:after="0"/>
              <w:rPr>
                <w:sz w:val="20"/>
                <w:szCs w:val="20"/>
                <w:color w:val="auto"/>
              </w:rPr>
            </w:pPr>
            <w:r>
              <w:rPr>
                <w:rFonts w:ascii="Arial" w:cs="Arial" w:eastAsia="Arial" w:hAnsi="Arial"/>
                <w:sz w:val="13"/>
                <w:szCs w:val="13"/>
                <w:b w:val="1"/>
                <w:bCs w:val="1"/>
                <w:color w:val="auto"/>
                <w:w w:val="94"/>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Kenneth A. Gunderman</w:t>
            </w:r>
          </w:p>
        </w:tc>
        <w:tc>
          <w:tcPr>
            <w:tcW w:w="800" w:type="dxa"/>
            <w:vAlign w:val="bottom"/>
            <w:gridSpan w:val="2"/>
          </w:tcPr>
          <w:p>
            <w:pPr>
              <w:jc w:val="right"/>
              <w:ind w:right="75"/>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120,359</w:t>
            </w:r>
          </w:p>
        </w:tc>
        <w:tc>
          <w:tcPr>
            <w:tcW w:w="220" w:type="dxa"/>
            <w:vAlign w:val="bottom"/>
            <w:vMerge w:val="continue"/>
          </w:tcPr>
          <w:p>
            <w:pPr>
              <w:spacing w:after="0"/>
              <w:rPr>
                <w:sz w:val="19"/>
                <w:szCs w:val="19"/>
                <w:color w:val="auto"/>
              </w:rPr>
            </w:pPr>
          </w:p>
        </w:tc>
        <w:tc>
          <w:tcPr>
            <w:tcW w:w="740" w:type="dxa"/>
            <w:vAlign w:val="bottom"/>
            <w:gridSpan w:val="2"/>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$1,127,841</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B2B2B2"/>
          </w:tcPr>
          <w:p>
            <w:pPr>
              <w:spacing w:after="0"/>
              <w:rPr>
                <w:sz w:val="19"/>
                <w:szCs w:val="19"/>
                <w:color w:val="auto"/>
              </w:rPr>
            </w:pPr>
          </w:p>
        </w:tc>
        <w:tc>
          <w:tcPr>
            <w:tcW w:w="4400" w:type="dxa"/>
            <w:vAlign w:val="bottom"/>
            <w:gridSpan w:val="2"/>
            <w:shd w:val="clear" w:color="auto" w:fill="B2B2B2"/>
          </w:tcPr>
          <w:p>
            <w:pPr>
              <w:spacing w:after="0"/>
              <w:rPr>
                <w:sz w:val="20"/>
                <w:szCs w:val="20"/>
                <w:color w:val="auto"/>
              </w:rPr>
            </w:pPr>
            <w:r>
              <w:rPr>
                <w:rFonts w:ascii="Arial" w:cs="Arial" w:eastAsia="Arial" w:hAnsi="Arial"/>
                <w:sz w:val="14"/>
                <w:szCs w:val="14"/>
                <w:color w:val="auto"/>
              </w:rPr>
              <w:t>Paul Bullington</w:t>
            </w:r>
          </w:p>
        </w:tc>
        <w:tc>
          <w:tcPr>
            <w:tcW w:w="800" w:type="dxa"/>
            <w:vAlign w:val="bottom"/>
            <w:gridSpan w:val="2"/>
            <w:shd w:val="clear" w:color="auto" w:fill="B2B2B2"/>
          </w:tcPr>
          <w:p>
            <w:pPr>
              <w:jc w:val="right"/>
              <w:ind w:right="75"/>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 33,585</w:t>
            </w:r>
          </w:p>
        </w:tc>
        <w:tc>
          <w:tcPr>
            <w:tcW w:w="220" w:type="dxa"/>
            <w:vAlign w:val="bottom"/>
            <w:shd w:val="clear" w:color="auto" w:fill="B2B2B2"/>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B2B2B2"/>
          </w:tcPr>
          <w:p>
            <w:pP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w:t>
            </w:r>
          </w:p>
        </w:tc>
        <w:tc>
          <w:tcPr>
            <w:tcW w:w="680" w:type="dxa"/>
            <w:vAlign w:val="bottom"/>
            <w:gridSpan w:val="2"/>
            <w:shd w:val="clear" w:color="auto" w:fill="B2B2B2"/>
          </w:tcPr>
          <w:p>
            <w:pPr>
              <w:jc w:val="right"/>
              <w:ind w:right="60"/>
              <w:spacing w:after="0"/>
              <w:rPr>
                <w:sz w:val="20"/>
                <w:szCs w:val="20"/>
                <w:color w:val="auto"/>
              </w:rPr>
            </w:pPr>
            <w:r>
              <w:rPr>
                <w:rFonts w:ascii="Arial" w:cs="Arial" w:eastAsia="Arial" w:hAnsi="Arial"/>
                <w:sz w:val="14"/>
                <w:szCs w:val="14"/>
                <w:color w:val="auto"/>
              </w:rPr>
              <w:t>314,740</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John Harrobin</w:t>
            </w:r>
          </w:p>
        </w:tc>
        <w:tc>
          <w:tcPr>
            <w:tcW w:w="180" w:type="dxa"/>
            <w:vAlign w:val="bottom"/>
          </w:tcPr>
          <w:p>
            <w:pPr>
              <w:ind w:left="1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5"/>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B2B2B2"/>
          </w:tcPr>
          <w:p>
            <w:pPr>
              <w:spacing w:after="0"/>
              <w:rPr>
                <w:sz w:val="21"/>
                <w:szCs w:val="21"/>
                <w:color w:val="auto"/>
              </w:rPr>
            </w:pPr>
          </w:p>
        </w:tc>
        <w:tc>
          <w:tcPr>
            <w:tcW w:w="4400" w:type="dxa"/>
            <w:vAlign w:val="bottom"/>
            <w:gridSpan w:val="2"/>
            <w:shd w:val="clear" w:color="auto" w:fill="B2B2B2"/>
          </w:tcPr>
          <w:p>
            <w:pPr>
              <w:spacing w:after="0"/>
              <w:rPr>
                <w:sz w:val="20"/>
                <w:szCs w:val="20"/>
                <w:color w:val="auto"/>
              </w:rPr>
            </w:pPr>
            <w:r>
              <w:rPr>
                <w:rFonts w:ascii="Arial" w:cs="Arial" w:eastAsia="Arial" w:hAnsi="Arial"/>
                <w:sz w:val="14"/>
                <w:szCs w:val="14"/>
                <w:color w:val="auto"/>
              </w:rPr>
              <w:t>Daniel L. Heard</w:t>
            </w:r>
          </w:p>
        </w:tc>
        <w:tc>
          <w:tcPr>
            <w:tcW w:w="800" w:type="dxa"/>
            <w:vAlign w:val="bottom"/>
            <w:gridSpan w:val="2"/>
            <w:shd w:val="clear" w:color="auto" w:fill="B2B2B2"/>
          </w:tcPr>
          <w:p>
            <w:pPr>
              <w:jc w:val="right"/>
              <w:ind w:right="75"/>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26,908</w:t>
            </w:r>
          </w:p>
        </w:tc>
        <w:tc>
          <w:tcPr>
            <w:tcW w:w="220" w:type="dxa"/>
            <w:vAlign w:val="bottom"/>
            <w:shd w:val="clear" w:color="auto" w:fill="B2B2B2"/>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B2B2B2"/>
          </w:tcPr>
          <w:p>
            <w:pPr>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680" w:type="dxa"/>
            <w:vAlign w:val="bottom"/>
            <w:gridSpan w:val="2"/>
            <w:shd w:val="clear" w:color="auto" w:fill="B2B2B2"/>
          </w:tcPr>
          <w:p>
            <w:pPr>
              <w:jc w:val="right"/>
              <w:ind w:right="60"/>
              <w:spacing w:after="0"/>
              <w:rPr>
                <w:sz w:val="20"/>
                <w:szCs w:val="20"/>
                <w:color w:val="auto"/>
              </w:rPr>
            </w:pPr>
            <w:r>
              <w:rPr>
                <w:rFonts w:ascii="Arial" w:cs="Arial" w:eastAsia="Arial" w:hAnsi="Arial"/>
                <w:sz w:val="14"/>
                <w:szCs w:val="14"/>
                <w:color w:val="auto"/>
              </w:rPr>
              <w:t>252,134</w:t>
            </w:r>
          </w:p>
        </w:tc>
        <w:tc>
          <w:tcPr>
            <w:tcW w:w="0" w:type="dxa"/>
            <w:vAlign w:val="bottom"/>
          </w:tcPr>
          <w:p>
            <w:pPr>
              <w:spacing w:after="0"/>
              <w:rPr>
                <w:sz w:val="1"/>
                <w:szCs w:val="1"/>
                <w:color w:val="auto"/>
              </w:rPr>
            </w:pPr>
          </w:p>
        </w:tc>
      </w:tr>
      <w:tr>
        <w:trPr>
          <w:trHeight w:val="386"/>
        </w:trPr>
        <w:tc>
          <w:tcPr>
            <w:tcW w:w="4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Michael Friloux</w:t>
            </w:r>
          </w:p>
        </w:tc>
        <w:tc>
          <w:tcPr>
            <w:tcW w:w="800" w:type="dxa"/>
            <w:vAlign w:val="bottom"/>
            <w:gridSpan w:val="2"/>
          </w:tcPr>
          <w:p>
            <w:pPr>
              <w:jc w:val="right"/>
              <w:ind w:right="75"/>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21,864</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w w:val="95"/>
              </w:rPr>
              <w:t>​</w:t>
            </w:r>
            <w:r>
              <w:rPr>
                <w:rFonts w:ascii="Arial" w:cs="Arial" w:eastAsia="Arial" w:hAnsi="Arial"/>
                <w:sz w:val="28"/>
                <w:szCs w:val="28"/>
                <w:color w:val="auto"/>
                <w:w w:val="95"/>
                <w:vertAlign w:val="subscript"/>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204,862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1417320</wp:posOffset>
            </wp:positionH>
            <wp:positionV relativeFrom="paragraph">
              <wp:posOffset>63500</wp:posOffset>
            </wp:positionV>
            <wp:extent cx="12344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43" w:lineRule="exact"/>
        <w:rPr>
          <w:sz w:val="20"/>
          <w:szCs w:val="20"/>
          <w:color w:val="auto"/>
        </w:rPr>
      </w:pPr>
    </w:p>
    <w:p>
      <w:pPr>
        <w:ind w:left="2880" w:right="659" w:hanging="648"/>
        <w:spacing w:after="0" w:line="287" w:lineRule="auto"/>
        <w:tabs>
          <w:tab w:leader="none" w:pos="2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Old Uniti did not grant stock options and therefore had no option exercises by any NEO in 2025.</w:t>
      </w:r>
    </w:p>
    <w:p>
      <w:pPr>
        <w:spacing w:after="0" w:line="152" w:lineRule="exact"/>
        <w:rPr>
          <w:rFonts w:ascii="Arial" w:cs="Arial" w:eastAsia="Arial" w:hAnsi="Arial"/>
          <w:sz w:val="18"/>
          <w:szCs w:val="18"/>
          <w:color w:val="auto"/>
        </w:rPr>
      </w:pPr>
    </w:p>
    <w:p>
      <w:pPr>
        <w:ind w:left="2880" w:right="679" w:hanging="648"/>
        <w:spacing w:after="0" w:line="287" w:lineRule="auto"/>
        <w:tabs>
          <w:tab w:leader="none" w:pos="2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number of shares acquired on vesting reported in the table above have been retrospectively adjusted to reflect the Exchange Ratio.</w:t>
      </w:r>
    </w:p>
    <w:p>
      <w:pPr>
        <w:spacing w:after="0" w:line="152" w:lineRule="exact"/>
        <w:rPr>
          <w:rFonts w:ascii="Arial" w:cs="Arial" w:eastAsia="Arial" w:hAnsi="Arial"/>
          <w:sz w:val="18"/>
          <w:szCs w:val="18"/>
          <w:color w:val="auto"/>
        </w:rPr>
      </w:pPr>
    </w:p>
    <w:p>
      <w:pPr>
        <w:ind w:left="2880" w:right="519" w:hanging="648"/>
        <w:spacing w:after="0" w:line="262" w:lineRule="auto"/>
        <w:tabs>
          <w:tab w:leader="none" w:pos="2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vestings reported in the table above occurred prior to the closing of the Merger. Accordingly, the stock awards values were determined by multiplying the number of shares acquired on vesting (on a pre-conversion basis) by the closing market price of the Old Uniti’s common stock on the vesting date.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3"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Executive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9"/>
              </w:rPr>
              <w:t>Uniti</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Aggregate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Aggregate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1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Contributions in</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Contributions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Earnings in</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Aggregate</w:t>
            </w:r>
          </w:p>
        </w:tc>
        <w:tc>
          <w:tcPr>
            <w:tcW w:w="220" w:type="dxa"/>
            <w:vAlign w:val="bottom"/>
          </w:tcPr>
          <w:p>
            <w:pPr>
              <w:spacing w:after="0"/>
              <w:rPr>
                <w:sz w:val="11"/>
                <w:szCs w:val="11"/>
                <w:color w:val="auto"/>
              </w:rPr>
            </w:pPr>
          </w:p>
        </w:tc>
        <w:tc>
          <w:tcPr>
            <w:tcW w:w="12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Balance at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1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Last Fiscal Year</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4"/>
              </w:rPr>
              <w:t>in Last Fiscal</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Last Fiscal</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ind w:left="100"/>
              <w:spacing w:after="0"/>
              <w:rPr>
                <w:sz w:val="20"/>
                <w:szCs w:val="20"/>
                <w:color w:val="auto"/>
              </w:rPr>
            </w:pPr>
            <w:r>
              <w:rPr>
                <w:rFonts w:ascii="Arial" w:cs="Arial" w:eastAsia="Arial" w:hAnsi="Arial"/>
                <w:sz w:val="13"/>
                <w:szCs w:val="13"/>
                <w:b w:val="1"/>
                <w:bCs w:val="1"/>
                <w:color w:val="auto"/>
              </w:rPr>
              <w:t>Withdrawals/​</w:t>
            </w:r>
          </w:p>
        </w:tc>
        <w:tc>
          <w:tcPr>
            <w:tcW w:w="220" w:type="dxa"/>
            <w:vAlign w:val="bottom"/>
          </w:tcPr>
          <w:p>
            <w:pPr>
              <w:spacing w:after="0"/>
              <w:rPr>
                <w:sz w:val="12"/>
                <w:szCs w:val="12"/>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Last Fiscal Year End</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3"/>
        </w:trPr>
        <w:tc>
          <w:tcPr>
            <w:tcW w:w="1960" w:type="dxa"/>
            <w:vAlign w:val="bottom"/>
          </w:tcPr>
          <w:p>
            <w:pPr>
              <w:spacing w:after="0"/>
              <w:rPr>
                <w:sz w:val="16"/>
                <w:szCs w:val="16"/>
                <w:color w:val="auto"/>
              </w:rPr>
            </w:pPr>
          </w:p>
        </w:tc>
        <w:tc>
          <w:tcPr>
            <w:tcW w:w="560" w:type="dxa"/>
            <w:vAlign w:val="bottom"/>
          </w:tcPr>
          <w:p>
            <w:pPr>
              <w:ind w:left="420"/>
              <w:spacing w:after="0"/>
              <w:rPr>
                <w:sz w:val="20"/>
                <w:szCs w:val="20"/>
                <w:color w:val="auto"/>
              </w:rPr>
            </w:pPr>
            <w:r>
              <w:rPr>
                <w:rFonts w:ascii="Arial" w:cs="Arial" w:eastAsia="Arial" w:hAnsi="Arial"/>
                <w:sz w:val="13"/>
                <w:szCs w:val="13"/>
                <w:b w:val="1"/>
                <w:bCs w:val="1"/>
                <w:color w:val="auto"/>
              </w:rPr>
              <w:t>​ ​</w:t>
            </w: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94"/>
              </w:rPr>
              <w:t>($)(1)</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Year ($)</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Year ($)(2)</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Distributions ($)</w:t>
            </w:r>
          </w:p>
        </w:tc>
        <w:tc>
          <w:tcPr>
            <w:tcW w:w="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50"/>
              <w:spacing w:after="0"/>
              <w:rPr>
                <w:sz w:val="20"/>
                <w:szCs w:val="20"/>
                <w:color w:val="auto"/>
              </w:rPr>
            </w:pPr>
            <w:r>
              <w:rPr>
                <w:rFonts w:ascii="Arial" w:cs="Arial" w:eastAsia="Arial" w:hAnsi="Arial"/>
                <w:sz w:val="13"/>
                <w:szCs w:val="13"/>
                <w:b w:val="1"/>
                <w:bCs w:val="1"/>
                <w:color w:val="auto"/>
                <w:w w:val="87"/>
              </w:rPr>
              <w:t>($)</w:t>
            </w: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23"/>
        </w:trPr>
        <w:tc>
          <w:tcPr>
            <w:tcW w:w="1960" w:type="dxa"/>
            <w:vAlign w:val="bottom"/>
          </w:tcPr>
          <w:p>
            <w:pPr>
              <w:ind w:left="60"/>
              <w:spacing w:after="0"/>
              <w:rPr>
                <w:sz w:val="20"/>
                <w:szCs w:val="20"/>
                <w:color w:val="auto"/>
              </w:rPr>
            </w:pPr>
            <w:r>
              <w:rPr>
                <w:rFonts w:ascii="Arial" w:cs="Arial" w:eastAsia="Arial" w:hAnsi="Arial"/>
                <w:sz w:val="14"/>
                <w:szCs w:val="14"/>
                <w:color w:val="auto"/>
              </w:rPr>
              <w:t>Kenneth A. Gunderman</w:t>
            </w:r>
          </w:p>
        </w:tc>
        <w:tc>
          <w:tcPr>
            <w:tcW w:w="560" w:type="dxa"/>
            <w:vAlign w:val="bottom"/>
          </w:tcPr>
          <w:p>
            <w:pPr>
              <w:ind w:left="420"/>
              <w:spacing w:after="0"/>
              <w:rPr>
                <w:sz w:val="20"/>
                <w:szCs w:val="20"/>
                <w:color w:val="auto"/>
              </w:rPr>
            </w:pPr>
            <w:r>
              <w:rPr>
                <w:rFonts w:ascii="Arial" w:cs="Arial" w:eastAsia="Arial" w:hAnsi="Arial"/>
                <w:sz w:val="14"/>
                <w:szCs w:val="14"/>
                <w:color w:val="auto"/>
              </w:rPr>
              <w:t>​ ​</w:t>
            </w:r>
          </w:p>
        </w:tc>
        <w:tc>
          <w:tcPr>
            <w:tcW w:w="980" w:type="dxa"/>
            <w:vAlign w:val="bottom"/>
            <w:gridSpan w:val="2"/>
          </w:tcPr>
          <w:p>
            <w:pPr>
              <w:jc w:val="right"/>
              <w:ind w:right="15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$72,500</w:t>
            </w:r>
          </w:p>
        </w:tc>
        <w:tc>
          <w:tcPr>
            <w:tcW w:w="2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center"/>
              <w:spacing w:after="0" w:line="223" w:lineRule="exact"/>
              <w:rPr>
                <w:sz w:val="20"/>
                <w:szCs w:val="20"/>
                <w:color w:val="auto"/>
              </w:rPr>
            </w:pPr>
            <w:r>
              <w:rPr>
                <w:rFonts w:ascii="Arial" w:cs="Arial" w:eastAsia="Arial" w:hAnsi="Arial"/>
                <w:sz w:val="13"/>
                <w:szCs w:val="13"/>
                <w:color w:val="auto"/>
                <w:w w:val="83"/>
              </w:rPr>
              <w:t>​</w:t>
            </w:r>
            <w:r>
              <w:rPr>
                <w:rFonts w:ascii="Arial" w:cs="Arial" w:eastAsia="Arial" w:hAnsi="Arial"/>
                <w:sz w:val="25"/>
                <w:szCs w:val="25"/>
                <w:color w:val="auto"/>
                <w:w w:val="83"/>
                <w:vertAlign w:val="superscript"/>
              </w:rPr>
              <w:t>—</w:t>
            </w:r>
          </w:p>
        </w:tc>
        <w:tc>
          <w:tcPr>
            <w:tcW w:w="2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$ 34,977</w:t>
            </w:r>
          </w:p>
        </w:tc>
        <w:tc>
          <w:tcPr>
            <w:tcW w:w="2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line="223" w:lineRule="exact"/>
              <w:rPr>
                <w:sz w:val="20"/>
                <w:szCs w:val="20"/>
                <w:color w:val="auto"/>
              </w:rPr>
            </w:pPr>
            <w:r>
              <w:rPr>
                <w:rFonts w:ascii="Arial" w:cs="Arial" w:eastAsia="Arial" w:hAnsi="Arial"/>
                <w:sz w:val="13"/>
                <w:szCs w:val="13"/>
                <w:color w:val="auto"/>
                <w:w w:val="95"/>
              </w:rPr>
              <w:t>​</w:t>
            </w:r>
            <w:r>
              <w:rPr>
                <w:rFonts w:ascii="Arial" w:cs="Arial" w:eastAsia="Arial" w:hAnsi="Arial"/>
                <w:sz w:val="25"/>
                <w:szCs w:val="25"/>
                <w:color w:val="auto"/>
                <w:w w:val="95"/>
                <w:vertAlign w:val="superscript"/>
              </w:rPr>
              <w:t>—</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3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$877,389</w:t>
            </w:r>
          </w:p>
        </w:tc>
        <w:tc>
          <w:tcPr>
            <w:tcW w:w="60" w:type="dxa"/>
            <w:vAlign w:val="bottom"/>
            <w:gridSpan w:val="2"/>
          </w:tcPr>
          <w:p>
            <w:pPr>
              <w:spacing w:after="0"/>
              <w:rPr>
                <w:sz w:val="20"/>
                <w:szCs w:val="20"/>
                <w:color w:val="auto"/>
              </w:rPr>
            </w:pPr>
            <w:r>
              <w:rPr>
                <w:rFonts w:ascii="Arial" w:cs="Arial" w:eastAsia="Arial" w:hAnsi="Arial"/>
                <w:sz w:val="14"/>
                <w:szCs w:val="14"/>
                <w:color w:val="auto"/>
              </w:rPr>
              <w:t>​</w:t>
            </w:r>
          </w:p>
        </w:tc>
      </w:tr>
      <w:tr>
        <w:trPr>
          <w:trHeight w:val="229"/>
        </w:trPr>
        <w:tc>
          <w:tcPr>
            <w:tcW w:w="1960" w:type="dxa"/>
            <w:vAlign w:val="bottom"/>
            <w:shd w:val="clear" w:color="auto" w:fill="B2B2B2"/>
          </w:tcPr>
          <w:p>
            <w:pPr>
              <w:ind w:left="60"/>
              <w:spacing w:after="0"/>
              <w:rPr>
                <w:sz w:val="20"/>
                <w:szCs w:val="20"/>
                <w:color w:val="auto"/>
              </w:rPr>
            </w:pPr>
            <w:r>
              <w:rPr>
                <w:rFonts w:ascii="Arial" w:cs="Arial" w:eastAsia="Arial" w:hAnsi="Arial"/>
                <w:sz w:val="14"/>
                <w:szCs w:val="14"/>
                <w:color w:val="auto"/>
              </w:rPr>
              <w:t>Paul Bullington</w:t>
            </w:r>
          </w:p>
        </w:tc>
        <w:tc>
          <w:tcPr>
            <w:tcW w:w="560" w:type="dxa"/>
            <w:vAlign w:val="bottom"/>
            <w:shd w:val="clear" w:color="auto" w:fill="B2B2B2"/>
          </w:tcPr>
          <w:p>
            <w:pPr>
              <w:ind w:left="420"/>
              <w:spacing w:after="0"/>
              <w:rPr>
                <w:sz w:val="20"/>
                <w:szCs w:val="20"/>
                <w:color w:val="auto"/>
              </w:rPr>
            </w:pPr>
            <w:r>
              <w:rPr>
                <w:rFonts w:ascii="Arial" w:cs="Arial" w:eastAsia="Arial" w:hAnsi="Arial"/>
                <w:sz w:val="14"/>
                <w:szCs w:val="14"/>
                <w:color w:val="auto"/>
              </w:rPr>
              <w:t>​ ​</w:t>
            </w:r>
          </w:p>
        </w:tc>
        <w:tc>
          <w:tcPr>
            <w:tcW w:w="320" w:type="dxa"/>
            <w:vAlign w:val="bottom"/>
            <w:shd w:val="clear" w:color="auto" w:fill="B2B2B2"/>
          </w:tcPr>
          <w:p>
            <w:pPr>
              <w:ind w:lef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B2B2B2"/>
          </w:tcPr>
          <w:p>
            <w:pPr>
              <w:jc w:val="right"/>
              <w:ind w:right="15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B2B2B2"/>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B2B2B2"/>
          </w:tcPr>
          <w:p>
            <w:pPr>
              <w:jc w:val="center"/>
              <w:spacing w:after="0" w:line="230" w:lineRule="exact"/>
              <w:rPr>
                <w:sz w:val="20"/>
                <w:szCs w:val="20"/>
                <w:color w:val="auto"/>
              </w:rPr>
            </w:pPr>
            <w:r>
              <w:rPr>
                <w:rFonts w:ascii="Arial" w:cs="Arial" w:eastAsia="Arial" w:hAnsi="Arial"/>
                <w:sz w:val="26"/>
                <w:szCs w:val="26"/>
                <w:color w:val="auto"/>
                <w:w w:val="99"/>
                <w:vertAlign w:val="subscript"/>
              </w:rPr>
              <w:t>​</w:t>
            </w:r>
            <w:r>
              <w:rPr>
                <w:rFonts w:ascii="Arial" w:cs="Arial" w:eastAsia="Arial" w:hAnsi="Arial"/>
                <w:sz w:val="14"/>
                <w:szCs w:val="14"/>
                <w:color w:val="auto"/>
                <w:w w:val="99"/>
              </w:rPr>
              <w:t>—</w:t>
            </w:r>
          </w:p>
        </w:tc>
        <w:tc>
          <w:tcPr>
            <w:tcW w:w="240" w:type="dxa"/>
            <w:vAlign w:val="bottom"/>
            <w:gridSpan w:val="2"/>
            <w:shd w:val="clear" w:color="auto" w:fill="B2B2B2"/>
          </w:tcPr>
          <w:p>
            <w:pPr>
              <w:ind w:lef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B2B2B2"/>
          </w:tcPr>
          <w:p>
            <w:pPr>
              <w:ind w:lef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B2B2B2"/>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B2B2B2"/>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B2B2B2"/>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w:t>
            </w:r>
          </w:p>
        </w:tc>
        <w:tc>
          <w:tcPr>
            <w:tcW w:w="220" w:type="dxa"/>
            <w:vAlign w:val="bottom"/>
            <w:shd w:val="clear" w:color="auto" w:fill="B2B2B2"/>
          </w:tcPr>
          <w:p>
            <w:pPr>
              <w:spacing w:after="0"/>
              <w:rPr>
                <w:sz w:val="20"/>
                <w:szCs w:val="20"/>
                <w:color w:val="auto"/>
              </w:rPr>
            </w:pPr>
            <w:r>
              <w:rPr>
                <w:rFonts w:ascii="Arial" w:cs="Arial" w:eastAsia="Arial" w:hAnsi="Arial"/>
                <w:sz w:val="14"/>
                <w:szCs w:val="14"/>
                <w:color w:val="auto"/>
              </w:rPr>
              <w:t>​</w:t>
            </w:r>
          </w:p>
        </w:tc>
        <w:tc>
          <w:tcPr>
            <w:tcW w:w="420" w:type="dxa"/>
            <w:vAlign w:val="bottom"/>
            <w:shd w:val="clear" w:color="auto" w:fill="B2B2B2"/>
          </w:tcPr>
          <w:p>
            <w:pPr>
              <w:ind w:left="300"/>
              <w:spacing w:after="0"/>
              <w:rPr>
                <w:sz w:val="20"/>
                <w:szCs w:val="20"/>
                <w:color w:val="auto"/>
              </w:rPr>
            </w:pPr>
            <w:r>
              <w:rPr>
                <w:rFonts w:ascii="Arial" w:cs="Arial" w:eastAsia="Arial" w:hAnsi="Arial"/>
                <w:sz w:val="14"/>
                <w:szCs w:val="14"/>
                <w:color w:val="auto"/>
              </w:rPr>
              <w:t>​</w:t>
            </w:r>
          </w:p>
        </w:tc>
        <w:tc>
          <w:tcPr>
            <w:tcW w:w="800" w:type="dxa"/>
            <w:vAlign w:val="bottom"/>
            <w:shd w:val="clear" w:color="auto" w:fill="B2B2B2"/>
          </w:tcPr>
          <w:p>
            <w:pPr>
              <w:jc w:val="right"/>
              <w:ind w:right="230"/>
              <w:spacing w:after="0"/>
              <w:rPr>
                <w:sz w:val="20"/>
                <w:szCs w:val="20"/>
                <w:color w:val="auto"/>
              </w:rPr>
            </w:pPr>
            <w:r>
              <w:rPr>
                <w:rFonts w:ascii="Arial" w:cs="Arial" w:eastAsia="Arial" w:hAnsi="Arial"/>
                <w:sz w:val="14"/>
                <w:szCs w:val="14"/>
                <w:color w:val="auto"/>
              </w:rPr>
              <w:t>—</w:t>
            </w:r>
          </w:p>
        </w:tc>
        <w:tc>
          <w:tcPr>
            <w:tcW w:w="60" w:type="dxa"/>
            <w:vAlign w:val="bottom"/>
            <w:gridSpan w:val="2"/>
            <w:shd w:val="clear" w:color="auto" w:fill="B2B2B2"/>
          </w:tcPr>
          <w:p>
            <w:pPr>
              <w:spacing w:after="0"/>
              <w:rPr>
                <w:sz w:val="20"/>
                <w:szCs w:val="20"/>
                <w:color w:val="auto"/>
              </w:rPr>
            </w:pPr>
            <w:r>
              <w:rPr>
                <w:rFonts w:ascii="Arial" w:cs="Arial" w:eastAsia="Arial" w:hAnsi="Arial"/>
                <w:sz w:val="14"/>
                <w:szCs w:val="14"/>
                <w:color w:val="auto"/>
              </w:rPr>
              <w:t>​</w:t>
            </w:r>
          </w:p>
        </w:tc>
      </w:tr>
      <w:tr>
        <w:trPr>
          <w:trHeight w:val="230"/>
        </w:trPr>
        <w:tc>
          <w:tcPr>
            <w:tcW w:w="1960" w:type="dxa"/>
            <w:vAlign w:val="bottom"/>
          </w:tcPr>
          <w:p>
            <w:pPr>
              <w:ind w:left="60"/>
              <w:spacing w:after="0"/>
              <w:rPr>
                <w:sz w:val="20"/>
                <w:szCs w:val="20"/>
                <w:color w:val="auto"/>
              </w:rPr>
            </w:pPr>
            <w:r>
              <w:rPr>
                <w:rFonts w:ascii="Arial" w:cs="Arial" w:eastAsia="Arial" w:hAnsi="Arial"/>
                <w:sz w:val="14"/>
                <w:szCs w:val="14"/>
                <w:color w:val="auto"/>
              </w:rPr>
              <w:t>John Harrobin</w:t>
            </w:r>
          </w:p>
        </w:tc>
        <w:tc>
          <w:tcPr>
            <w:tcW w:w="560" w:type="dxa"/>
            <w:vAlign w:val="bottom"/>
          </w:tcPr>
          <w:p>
            <w:pPr>
              <w:ind w:left="420"/>
              <w:spacing w:after="0"/>
              <w:rPr>
                <w:sz w:val="20"/>
                <w:szCs w:val="20"/>
                <w:color w:val="auto"/>
              </w:rPr>
            </w:pPr>
            <w:r>
              <w:rPr>
                <w:rFonts w:ascii="Arial" w:cs="Arial" w:eastAsia="Arial" w:hAnsi="Arial"/>
                <w:sz w:val="14"/>
                <w:szCs w:val="14"/>
                <w:color w:val="auto"/>
              </w:rPr>
              <w:t>​ ​</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center"/>
              <w:spacing w:after="0" w:line="230" w:lineRule="exact"/>
              <w:rPr>
                <w:sz w:val="20"/>
                <w:szCs w:val="20"/>
                <w:color w:val="auto"/>
              </w:rPr>
            </w:pPr>
            <w:r>
              <w:rPr>
                <w:rFonts w:ascii="Arial" w:cs="Arial" w:eastAsia="Arial" w:hAnsi="Arial"/>
                <w:sz w:val="14"/>
                <w:szCs w:val="14"/>
                <w:color w:val="auto"/>
                <w:w w:val="80"/>
              </w:rPr>
              <w:t>​</w:t>
            </w:r>
            <w:r>
              <w:rPr>
                <w:rFonts w:ascii="Arial" w:cs="Arial" w:eastAsia="Arial" w:hAnsi="Arial"/>
                <w:sz w:val="26"/>
                <w:szCs w:val="26"/>
                <w:color w:val="auto"/>
                <w:w w:val="80"/>
                <w:vertAlign w:val="superscript"/>
              </w:rPr>
              <w:t>—</w:t>
            </w:r>
          </w:p>
        </w:tc>
        <w:tc>
          <w:tcPr>
            <w:tcW w:w="2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line="230" w:lineRule="exact"/>
              <w:rPr>
                <w:sz w:val="20"/>
                <w:szCs w:val="20"/>
                <w:color w:val="auto"/>
              </w:rPr>
            </w:pPr>
            <w:r>
              <w:rPr>
                <w:rFonts w:ascii="Arial" w:cs="Arial" w:eastAsia="Arial" w:hAnsi="Arial"/>
                <w:sz w:val="14"/>
                <w:szCs w:val="14"/>
                <w:color w:val="auto"/>
                <w:w w:val="92"/>
              </w:rPr>
              <w:t>​</w:t>
            </w:r>
            <w:r>
              <w:rPr>
                <w:rFonts w:ascii="Arial" w:cs="Arial" w:eastAsia="Arial" w:hAnsi="Arial"/>
                <w:sz w:val="26"/>
                <w:szCs w:val="26"/>
                <w:color w:val="auto"/>
                <w:w w:val="92"/>
                <w:vertAlign w:val="superscript"/>
              </w:rPr>
              <w:t>—</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ind w:left="3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60" w:type="dxa"/>
            <w:vAlign w:val="bottom"/>
            <w:gridSpan w:val="2"/>
          </w:tcPr>
          <w:p>
            <w:pPr>
              <w:spacing w:after="0"/>
              <w:rPr>
                <w:sz w:val="20"/>
                <w:szCs w:val="20"/>
                <w:color w:val="auto"/>
              </w:rPr>
            </w:pPr>
            <w:r>
              <w:rPr>
                <w:rFonts w:ascii="Arial" w:cs="Arial" w:eastAsia="Arial" w:hAnsi="Arial"/>
                <w:sz w:val="14"/>
                <w:szCs w:val="14"/>
                <w:color w:val="auto"/>
              </w:rPr>
              <w:t>​</w:t>
            </w:r>
          </w:p>
        </w:tc>
      </w:tr>
      <w:tr>
        <w:trPr>
          <w:trHeight w:val="230"/>
        </w:trPr>
        <w:tc>
          <w:tcPr>
            <w:tcW w:w="1960" w:type="dxa"/>
            <w:vAlign w:val="bottom"/>
            <w:shd w:val="clear" w:color="auto" w:fill="B2B2B2"/>
          </w:tcPr>
          <w:p>
            <w:pPr>
              <w:ind w:left="60"/>
              <w:spacing w:after="0"/>
              <w:rPr>
                <w:sz w:val="20"/>
                <w:szCs w:val="20"/>
                <w:color w:val="auto"/>
              </w:rPr>
            </w:pPr>
            <w:r>
              <w:rPr>
                <w:rFonts w:ascii="Arial" w:cs="Arial" w:eastAsia="Arial" w:hAnsi="Arial"/>
                <w:sz w:val="14"/>
                <w:szCs w:val="14"/>
                <w:color w:val="auto"/>
              </w:rPr>
              <w:t>Daniel L. Heard</w:t>
            </w:r>
          </w:p>
        </w:tc>
        <w:tc>
          <w:tcPr>
            <w:tcW w:w="560" w:type="dxa"/>
            <w:vAlign w:val="bottom"/>
            <w:shd w:val="clear" w:color="auto" w:fill="B2B2B2"/>
          </w:tcPr>
          <w:p>
            <w:pPr>
              <w:ind w:left="420"/>
              <w:spacing w:after="0"/>
              <w:rPr>
                <w:sz w:val="20"/>
                <w:szCs w:val="20"/>
                <w:color w:val="auto"/>
              </w:rPr>
            </w:pPr>
            <w:r>
              <w:rPr>
                <w:rFonts w:ascii="Arial" w:cs="Arial" w:eastAsia="Arial" w:hAnsi="Arial"/>
                <w:sz w:val="14"/>
                <w:szCs w:val="14"/>
                <w:color w:val="auto"/>
              </w:rPr>
              <w:t>​ ​</w:t>
            </w:r>
          </w:p>
        </w:tc>
        <w:tc>
          <w:tcPr>
            <w:tcW w:w="320" w:type="dxa"/>
            <w:vAlign w:val="bottom"/>
            <w:shd w:val="clear" w:color="auto" w:fill="B2B2B2"/>
          </w:tcPr>
          <w:p>
            <w:pPr>
              <w:ind w:lef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B2B2B2"/>
          </w:tcPr>
          <w:p>
            <w:pPr>
              <w:jc w:val="right"/>
              <w:ind w:right="15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B2B2B2"/>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B2B2B2"/>
          </w:tcPr>
          <w:p>
            <w:pPr>
              <w:jc w:val="center"/>
              <w:spacing w:after="0" w:line="230" w:lineRule="exact"/>
              <w:rPr>
                <w:sz w:val="20"/>
                <w:szCs w:val="20"/>
                <w:color w:val="auto"/>
              </w:rPr>
            </w:pPr>
            <w:r>
              <w:rPr>
                <w:rFonts w:ascii="Arial" w:cs="Arial" w:eastAsia="Arial" w:hAnsi="Arial"/>
                <w:sz w:val="14"/>
                <w:szCs w:val="14"/>
                <w:color w:val="auto"/>
                <w:w w:val="80"/>
              </w:rPr>
              <w:t>​</w:t>
            </w:r>
            <w:r>
              <w:rPr>
                <w:rFonts w:ascii="Arial" w:cs="Arial" w:eastAsia="Arial" w:hAnsi="Arial"/>
                <w:sz w:val="26"/>
                <w:szCs w:val="26"/>
                <w:color w:val="auto"/>
                <w:w w:val="80"/>
                <w:vertAlign w:val="superscript"/>
              </w:rPr>
              <w:t>—</w:t>
            </w:r>
          </w:p>
        </w:tc>
        <w:tc>
          <w:tcPr>
            <w:tcW w:w="240" w:type="dxa"/>
            <w:vAlign w:val="bottom"/>
            <w:gridSpan w:val="2"/>
            <w:shd w:val="clear" w:color="auto" w:fill="B2B2B2"/>
          </w:tcPr>
          <w:p>
            <w:pPr>
              <w:ind w:lef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B2B2B2"/>
          </w:tcPr>
          <w:p>
            <w:pPr>
              <w:ind w:left="80"/>
              <w:spacing w:after="0" w:line="230"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perscript"/>
              </w:rPr>
              <w:t>$</w:t>
            </w:r>
          </w:p>
        </w:tc>
        <w:tc>
          <w:tcPr>
            <w:tcW w:w="480" w:type="dxa"/>
            <w:vAlign w:val="bottom"/>
            <w:shd w:val="clear" w:color="auto" w:fill="B2B2B2"/>
          </w:tcPr>
          <w:p>
            <w:pPr>
              <w:jc w:val="right"/>
              <w:ind w:right="8"/>
              <w:spacing w:after="0"/>
              <w:rPr>
                <w:sz w:val="20"/>
                <w:szCs w:val="20"/>
                <w:color w:val="auto"/>
              </w:rPr>
            </w:pPr>
            <w:r>
              <w:rPr>
                <w:rFonts w:ascii="Arial" w:cs="Arial" w:eastAsia="Arial" w:hAnsi="Arial"/>
                <w:sz w:val="14"/>
                <w:szCs w:val="14"/>
                <w:color w:val="auto"/>
              </w:rPr>
              <w:t>2,400</w:t>
            </w:r>
          </w:p>
        </w:tc>
        <w:tc>
          <w:tcPr>
            <w:tcW w:w="240" w:type="dxa"/>
            <w:vAlign w:val="bottom"/>
            <w:gridSpan w:val="2"/>
            <w:shd w:val="clear" w:color="auto" w:fill="B2B2B2"/>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B2B2B2"/>
          </w:tcPr>
          <w:p>
            <w:pPr>
              <w:jc w:val="center"/>
              <w:spacing w:after="0" w:line="230" w:lineRule="exact"/>
              <w:rPr>
                <w:sz w:val="20"/>
                <w:szCs w:val="20"/>
                <w:color w:val="auto"/>
              </w:rPr>
            </w:pPr>
            <w:r>
              <w:rPr>
                <w:rFonts w:ascii="Arial" w:cs="Arial" w:eastAsia="Arial" w:hAnsi="Arial"/>
                <w:sz w:val="14"/>
                <w:szCs w:val="14"/>
                <w:color w:val="auto"/>
                <w:w w:val="92"/>
              </w:rPr>
              <w:t>​</w:t>
            </w:r>
            <w:r>
              <w:rPr>
                <w:rFonts w:ascii="Arial" w:cs="Arial" w:eastAsia="Arial" w:hAnsi="Arial"/>
                <w:sz w:val="26"/>
                <w:szCs w:val="26"/>
                <w:color w:val="auto"/>
                <w:w w:val="92"/>
                <w:vertAlign w:val="superscript"/>
              </w:rPr>
              <w:t>—</w:t>
            </w:r>
          </w:p>
        </w:tc>
        <w:tc>
          <w:tcPr>
            <w:tcW w:w="220" w:type="dxa"/>
            <w:vAlign w:val="bottom"/>
            <w:shd w:val="clear" w:color="auto" w:fill="B2B2B2"/>
          </w:tcPr>
          <w:p>
            <w:pPr>
              <w:spacing w:after="0"/>
              <w:rPr>
                <w:sz w:val="20"/>
                <w:szCs w:val="20"/>
                <w:color w:val="auto"/>
              </w:rPr>
            </w:pPr>
            <w:r>
              <w:rPr>
                <w:rFonts w:ascii="Arial" w:cs="Arial" w:eastAsia="Arial" w:hAnsi="Arial"/>
                <w:sz w:val="14"/>
                <w:szCs w:val="14"/>
                <w:color w:val="auto"/>
              </w:rPr>
              <w:t>​</w:t>
            </w:r>
          </w:p>
        </w:tc>
        <w:tc>
          <w:tcPr>
            <w:tcW w:w="420" w:type="dxa"/>
            <w:vAlign w:val="bottom"/>
            <w:shd w:val="clear" w:color="auto" w:fill="B2B2B2"/>
          </w:tcPr>
          <w:p>
            <w:pPr>
              <w:ind w:left="300"/>
              <w:spacing w:after="0" w:line="230"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perscript"/>
              </w:rPr>
              <w:t>$</w:t>
            </w:r>
          </w:p>
        </w:tc>
        <w:tc>
          <w:tcPr>
            <w:tcW w:w="800" w:type="dxa"/>
            <w:vAlign w:val="bottom"/>
            <w:shd w:val="clear" w:color="auto" w:fill="B2B2B2"/>
          </w:tcPr>
          <w:p>
            <w:pPr>
              <w:jc w:val="right"/>
              <w:ind w:right="230"/>
              <w:spacing w:after="0"/>
              <w:rPr>
                <w:sz w:val="20"/>
                <w:szCs w:val="20"/>
                <w:color w:val="auto"/>
              </w:rPr>
            </w:pPr>
            <w:r>
              <w:rPr>
                <w:rFonts w:ascii="Arial" w:cs="Arial" w:eastAsia="Arial" w:hAnsi="Arial"/>
                <w:sz w:val="14"/>
                <w:szCs w:val="14"/>
                <w:color w:val="auto"/>
              </w:rPr>
              <w:t>60,193</w:t>
            </w:r>
          </w:p>
        </w:tc>
        <w:tc>
          <w:tcPr>
            <w:tcW w:w="60" w:type="dxa"/>
            <w:vAlign w:val="bottom"/>
            <w:gridSpan w:val="2"/>
            <w:shd w:val="clear" w:color="auto" w:fill="B2B2B2"/>
          </w:tcPr>
          <w:p>
            <w:pPr>
              <w:spacing w:after="0"/>
              <w:rPr>
                <w:sz w:val="20"/>
                <w:szCs w:val="20"/>
                <w:color w:val="auto"/>
              </w:rPr>
            </w:pPr>
            <w:r>
              <w:rPr>
                <w:rFonts w:ascii="Arial" w:cs="Arial" w:eastAsia="Arial" w:hAnsi="Arial"/>
                <w:sz w:val="14"/>
                <w:szCs w:val="14"/>
                <w:color w:val="auto"/>
              </w:rPr>
              <w:t>​</w:t>
            </w:r>
          </w:p>
        </w:tc>
      </w:tr>
      <w:tr>
        <w:trPr>
          <w:trHeight w:val="386"/>
        </w:trPr>
        <w:tc>
          <w:tcPr>
            <w:tcW w:w="1960" w:type="dxa"/>
            <w:vAlign w:val="bottom"/>
          </w:tcPr>
          <w:p>
            <w:pPr>
              <w:ind w:left="60"/>
              <w:spacing w:after="0"/>
              <w:rPr>
                <w:sz w:val="20"/>
                <w:szCs w:val="20"/>
                <w:color w:val="auto"/>
              </w:rPr>
            </w:pPr>
            <w:r>
              <w:rPr>
                <w:rFonts w:ascii="Arial" w:cs="Arial" w:eastAsia="Arial" w:hAnsi="Arial"/>
                <w:sz w:val="14"/>
                <w:szCs w:val="14"/>
                <w:color w:val="auto"/>
              </w:rPr>
              <w:t>Michael Friloux</w:t>
            </w:r>
          </w:p>
        </w:tc>
        <w:tc>
          <w:tcPr>
            <w:tcW w:w="560" w:type="dxa"/>
            <w:vAlign w:val="bottom"/>
          </w:tcPr>
          <w:p>
            <w:pPr>
              <w:ind w:left="420"/>
              <w:spacing w:after="0"/>
              <w:rPr>
                <w:sz w:val="20"/>
                <w:szCs w:val="20"/>
                <w:color w:val="auto"/>
              </w:rPr>
            </w:pPr>
            <w:r>
              <w:rPr>
                <w:rFonts w:ascii="Arial" w:cs="Arial" w:eastAsia="Arial" w:hAnsi="Arial"/>
                <w:sz w:val="14"/>
                <w:szCs w:val="14"/>
                <w:color w:val="auto"/>
              </w:rPr>
              <w:t>​ ​</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2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ind w:left="3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60" w:type="dxa"/>
            <w:vAlign w:val="bottom"/>
            <w:gridSpan w:val="2"/>
          </w:tcPr>
          <w:p>
            <w:pPr>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63500</wp:posOffset>
            </wp:positionV>
            <wp:extent cx="123444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56" w:lineRule="exact"/>
        <w:rPr>
          <w:sz w:val="20"/>
          <w:szCs w:val="20"/>
          <w:color w:val="auto"/>
        </w:rPr>
      </w:pPr>
    </w:p>
    <w:p>
      <w:pPr>
        <w:ind w:left="1900" w:right="1379" w:hanging="640"/>
        <w:spacing w:after="0" w:line="287" w:lineRule="auto"/>
        <w:tabs>
          <w:tab w:leader="none" w:pos="1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Amounts included in this column are included in the “Salary” column of the Summary Compensation Table.</w:t>
      </w:r>
    </w:p>
    <w:p>
      <w:pPr>
        <w:spacing w:after="0" w:line="152" w:lineRule="exact"/>
        <w:rPr>
          <w:rFonts w:ascii="Arial" w:cs="Arial" w:eastAsia="Arial" w:hAnsi="Arial"/>
          <w:sz w:val="18"/>
          <w:szCs w:val="18"/>
          <w:color w:val="auto"/>
        </w:rPr>
      </w:pPr>
    </w:p>
    <w:p>
      <w:pPr>
        <w:ind w:left="1900" w:right="799" w:hanging="640"/>
        <w:spacing w:after="0" w:line="287" w:lineRule="auto"/>
        <w:tabs>
          <w:tab w:leader="none" w:pos="1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There were no “above-market earnings” for 2025 and therefore none of these amounts were included in the Summary Compensation Table.</w:t>
      </w:r>
    </w:p>
    <w:p>
      <w:pPr>
        <w:spacing w:after="0" w:line="153" w:lineRule="exact"/>
        <w:rPr>
          <w:sz w:val="20"/>
          <w:szCs w:val="20"/>
          <w:color w:val="auto"/>
        </w:rPr>
      </w:pPr>
    </w:p>
    <w:p>
      <w:pPr>
        <w:ind w:left="1260" w:right="619" w:firstLine="648"/>
        <w:spacing w:after="0" w:line="275" w:lineRule="auto"/>
        <w:rPr>
          <w:sz w:val="20"/>
          <w:szCs w:val="20"/>
          <w:color w:val="auto"/>
        </w:rPr>
      </w:pPr>
      <w:r>
        <w:rPr>
          <w:rFonts w:ascii="Arial" w:cs="Arial" w:eastAsia="Arial" w:hAnsi="Arial"/>
          <w:sz w:val="17"/>
          <w:szCs w:val="17"/>
          <w:color w:val="auto"/>
        </w:rPr>
        <w:t>The Uniti Group Inc. Deferred Compensation Plan (the “Plan”) permitted eligible employees, including the Company’s NEOs, to defer payment of up to 75% of their base salary and 90% of their annual bonuses and other cash compensation. Each participant’s account was credited annually with interest at a rate equal to the lesser of (i) the Company’s Weighted Average Cost of Debt (as defined in the Plan) or (ii) the then current yield on the United States 10-year Treasury Note. The participants’ interest in Company contributions vested upon the Plan’s termination on February 26, 2026.</w:t>
      </w: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Agreements with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0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00ABD1"/>
        </w:rPr>
        <w:t>Employment Agreement with Kenneth A. Gunderman</w:t>
      </w:r>
    </w:p>
    <w:p>
      <w:pPr>
        <w:spacing w:after="0" w:line="223" w:lineRule="exact"/>
        <w:rPr>
          <w:sz w:val="20"/>
          <w:szCs w:val="20"/>
          <w:color w:val="auto"/>
        </w:rPr>
      </w:pPr>
    </w:p>
    <w:p>
      <w:pPr>
        <w:ind w:left="1260" w:right="499" w:firstLine="648"/>
        <w:spacing w:after="0" w:line="258" w:lineRule="auto"/>
        <w:rPr>
          <w:sz w:val="20"/>
          <w:szCs w:val="20"/>
          <w:color w:val="auto"/>
        </w:rPr>
      </w:pPr>
      <w:r>
        <w:rPr>
          <w:rFonts w:ascii="Arial" w:cs="Arial" w:eastAsia="Arial" w:hAnsi="Arial"/>
          <w:sz w:val="17"/>
          <w:szCs w:val="17"/>
          <w:color w:val="auto"/>
        </w:rPr>
        <w:t>On August 1, 2025, we entered into an employment agreement with Mr. Gunderman (the “Employment Agreement”) pursuant to which he will serve as our President and Chief Executive Officer and as a member of our Board of Directors. The Employment Agreement replaced Mr. Gunderman’s previous employment agreement with Old Uniti. The initial term of the Employment Agreement runs through August 1, 2026. It automatically renews for successive one-year intervals unless either party gives the other at least 90 days’ notice. In the event of a “change in control” as defined in the Employment Agreement, the term shall continue for a two-year period following such change in control and automatically renew for successive one-year periods thereafter. The Employment Agreement provides Mr. Gunderman a base salary of no less than $725,000 per year (subject to periodic review and increase) and provides further that he will be eligible to participate in any annual cash incentive plans as may be then implemented with a target bonus equal to 150% of his then base salary. The target bonus may be increased to 200% of his then base salary at the discretion of the Compensation Committee. Nothing contained in the Employment Agreement will guarantee Mr. Gunderman any specific amount of bonus payment or other incentive compensation, or prevent the Board from establishing performance goals and compensation targets applicable only to Mr. Gunderman.</w:t>
      </w:r>
    </w:p>
    <w:p>
      <w:pPr>
        <w:spacing w:after="0" w:line="379" w:lineRule="exact"/>
        <w:rPr>
          <w:sz w:val="20"/>
          <w:szCs w:val="20"/>
          <w:color w:val="auto"/>
        </w:rPr>
      </w:pPr>
    </w:p>
    <w:p>
      <w:pPr>
        <w:ind w:left="1260" w:right="439" w:firstLine="648"/>
        <w:spacing w:after="0" w:line="248" w:lineRule="auto"/>
        <w:rPr>
          <w:sz w:val="20"/>
          <w:szCs w:val="20"/>
          <w:color w:val="auto"/>
        </w:rPr>
      </w:pPr>
      <w:r>
        <w:rPr>
          <w:rFonts w:ascii="Arial" w:cs="Arial" w:eastAsia="Arial" w:hAnsi="Arial"/>
          <w:sz w:val="18"/>
          <w:szCs w:val="18"/>
          <w:color w:val="auto"/>
        </w:rPr>
        <w:t>The Employment Agreement provides that should Mr. Gunderman’s employment be terminated for any reason, then we will pay to Mr. Gunderman his base salary and any accrued vacation pay through the date of termination and any amount payable under any incentive compensation plan with respect to the measuring period ending immediately prior to the measuring period during which the termination occurs, in each case to the extent not already paid. Additionally, the Employment Agreement provides that in the event:</w:t>
      </w:r>
    </w:p>
    <w:p>
      <w:pPr>
        <w:spacing w:after="0" w:line="175" w:lineRule="exact"/>
        <w:rPr>
          <w:sz w:val="20"/>
          <w:szCs w:val="20"/>
          <w:color w:val="auto"/>
        </w:rPr>
      </w:pPr>
    </w:p>
    <w:p>
      <w:pPr>
        <w:ind w:left="2080" w:right="679" w:hanging="172"/>
        <w:spacing w:after="0" w:line="287" w:lineRule="auto"/>
        <w:tabs>
          <w:tab w:leader="none" w:pos="2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Mr. Gunderman is terminated due to death or disability, we will pay to Mr. Gunderman or his heirs an amount equal to one times his annual base salary;</w:t>
      </w:r>
    </w:p>
    <w:p>
      <w:pPr>
        <w:spacing w:after="0" w:line="139" w:lineRule="exact"/>
        <w:rPr>
          <w:rFonts w:ascii="Arial" w:cs="Arial" w:eastAsia="Arial" w:hAnsi="Arial"/>
          <w:sz w:val="18"/>
          <w:szCs w:val="18"/>
          <w:color w:val="auto"/>
        </w:rPr>
      </w:pPr>
    </w:p>
    <w:p>
      <w:pPr>
        <w:ind w:left="2080" w:right="439" w:hanging="172"/>
        <w:spacing w:after="0" w:line="255" w:lineRule="auto"/>
        <w:tabs>
          <w:tab w:leader="none" w:pos="2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terminate Mr. Gunderman without “cause” or he resigns for “good reason” (as​ both terms are defined in the Employment Agreement), then we will pay to Mr. Gunderman the following amounts: (i) a lump-sum severance benefit equal to two and a half times the sum of his annual base salary and the average of the annual bonus payments paid to Mr. Gunderman under an annual compensation plan during the three years preceding the year in which the termination occurs; (ii) a pro-rata annual bonus for the year of termination based on actual performance; and (ii) a lump-sum cash amount equivalent to the cost of two years’ health and dental insurance continuation for him and his family; and</w:t>
      </w:r>
    </w:p>
    <w:p>
      <w:pPr>
        <w:spacing w:after="0" w:line="184" w:lineRule="exact"/>
        <w:rPr>
          <w:rFonts w:ascii="Arial" w:cs="Arial" w:eastAsia="Arial" w:hAnsi="Arial"/>
          <w:sz w:val="18"/>
          <w:szCs w:val="18"/>
          <w:color w:val="auto"/>
        </w:rPr>
      </w:pPr>
    </w:p>
    <w:p>
      <w:pPr>
        <w:ind w:left="2080" w:right="419" w:hanging="172"/>
        <w:spacing w:after="0" w:line="270" w:lineRule="auto"/>
        <w:tabs>
          <w:tab w:leader="none" w:pos="20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we terminate Mr. Gunderman without cause or he resigns for good reason, in each case within two years of a change in control, then we will pay to Mr. Gunderman, in a lump sum, the following amounts: (i) a pro-rata annual bonus for the year of termination at target; (ii) a severance benefit equal to two and a half times the sum of (x) the higher of his annual base salary in effect prior to the change in control or his annual base salary in effect prior to his termination and (y) the highest of Mr. Gunderman’s (1) annual bonus target in effect immediately prior to the occurrence of the change in control, (2) annual bonus target in effect immediately prior to the termination and (3) the average of the annual bonus payments paid to him under an annual compensation plan during the three years preceding the year in which the termination occurs; (iii) certain outplacement services; and (iv) an amount equivalent to the cost of two years’ health and dental insurance continuation for him and his family.</w:t>
      </w:r>
    </w:p>
    <w:p>
      <w:pPr>
        <w:spacing w:after="0" w:line="173" w:lineRule="exact"/>
        <w:rPr>
          <w:sz w:val="20"/>
          <w:szCs w:val="20"/>
          <w:color w:val="auto"/>
        </w:rPr>
      </w:pPr>
    </w:p>
    <w:p>
      <w:pPr>
        <w:ind w:left="1260" w:right="439" w:firstLine="648"/>
        <w:spacing w:after="0" w:line="261" w:lineRule="auto"/>
        <w:rPr>
          <w:sz w:val="20"/>
          <w:szCs w:val="20"/>
          <w:color w:val="auto"/>
        </w:rPr>
      </w:pPr>
      <w:r>
        <w:rPr>
          <w:rFonts w:ascii="Arial" w:cs="Arial" w:eastAsia="Arial" w:hAnsi="Arial"/>
          <w:sz w:val="17"/>
          <w:szCs w:val="17"/>
          <w:color w:val="auto"/>
        </w:rPr>
        <w:t>No severance payable following a change in control is subject to a gross-up for golden parachute excise taxes, and the severance payable to Mr. Gunderman will be reduced to the amount that is not subject to such taxes if doing so would result in a greater after-tax payment to him. In the event</w:t>
      </w:r>
    </w:p>
    <w:p>
      <w:pPr>
        <w:spacing w:after="0" w:line="1" w:lineRule="exact"/>
        <w:rPr>
          <w:sz w:val="20"/>
          <w:szCs w:val="20"/>
          <w:color w:val="auto"/>
        </w:rPr>
      </w:pPr>
    </w:p>
    <w:p>
      <w:pPr>
        <w:ind w:left="1260" w:right="559"/>
        <w:spacing w:after="0" w:line="250" w:lineRule="auto"/>
        <w:rPr>
          <w:sz w:val="20"/>
          <w:szCs w:val="20"/>
          <w:color w:val="auto"/>
        </w:rPr>
      </w:pPr>
      <w:r>
        <w:rPr>
          <w:rFonts w:ascii="Arial" w:cs="Arial" w:eastAsia="Arial" w:hAnsi="Arial"/>
          <w:sz w:val="18"/>
          <w:szCs w:val="18"/>
          <w:color w:val="auto"/>
        </w:rPr>
        <w:t>Mr. Gunderman is terminated without cause or resigns for good reason, including within two years of a change in control, the severance payable to Mr. Gunderman will be subject to his execution of a release of</w:t>
      </w:r>
    </w:p>
    <w:p>
      <w:pPr>
        <w:sectPr>
          <w:pgSz w:w="11900" w:h="16838" w:orient="portrait"/>
          <w:cols w:equalWidth="0" w:num="1">
            <w:col w:w="9879"/>
          </w:cols>
          <w:pgMar w:left="580" w:top="97" w:right="1440" w:bottom="1440" w:gutter="0" w:footer="0" w:header="0"/>
        </w:sectPr>
      </w:pP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claims. The Employment Agreement also imposes one-year post termination non-competition/non-solicitation obligations in the event of Mr. Gunderman’s termination for cause or following a change in control and two-year post termination non-competition/non-solicitation obligations in the event of all other termination scenarios contemplated by the Employment Agreement.</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00ABD1"/>
        </w:rPr>
        <w:t>Severance Agreement with Paul Bullington, John Harrobin, Daniel L. Heard and Michael Friloux</w:t>
      </w:r>
    </w:p>
    <w:p>
      <w:pPr>
        <w:spacing w:after="0" w:line="223" w:lineRule="exact"/>
        <w:rPr>
          <w:sz w:val="20"/>
          <w:szCs w:val="20"/>
          <w:color w:val="auto"/>
        </w:rPr>
      </w:pPr>
    </w:p>
    <w:p>
      <w:pPr>
        <w:ind w:left="1260" w:right="519" w:firstLine="648"/>
        <w:spacing w:after="0" w:line="261" w:lineRule="auto"/>
        <w:rPr>
          <w:sz w:val="20"/>
          <w:szCs w:val="20"/>
          <w:color w:val="auto"/>
        </w:rPr>
      </w:pPr>
      <w:r>
        <w:rPr>
          <w:rFonts w:ascii="Arial" w:cs="Arial" w:eastAsia="Arial" w:hAnsi="Arial"/>
          <w:sz w:val="17"/>
          <w:szCs w:val="17"/>
          <w:color w:val="auto"/>
        </w:rPr>
        <w:t>On August 1, 2025, the Company approved new severance agreements for Paul Bullington, John Harrobin, Daniel L. Heard and Michael Friloux. The terms of the severance agreements for each of the above named NEOs are identical and will run from the applicable execution dates until the earliest of</w:t>
      </w:r>
    </w:p>
    <w:p>
      <w:pPr>
        <w:spacing w:after="0" w:line="1" w:lineRule="exact"/>
        <w:rPr>
          <w:sz w:val="20"/>
          <w:szCs w:val="20"/>
          <w:color w:val="auto"/>
        </w:rPr>
      </w:pPr>
    </w:p>
    <w:p>
      <w:pPr>
        <w:ind w:left="1260" w:right="499"/>
        <w:spacing w:after="0" w:line="252" w:lineRule="auto"/>
        <w:tabs>
          <w:tab w:leader="none" w:pos="1463" w:val="left"/>
        </w:tabs>
        <w:numPr>
          <w:ilvl w:val="0"/>
          <w:numId w:val="81"/>
        </w:numPr>
        <w:rPr>
          <w:rFonts w:ascii="Arial" w:cs="Arial" w:eastAsia="Arial" w:hAnsi="Arial"/>
          <w:sz w:val="17"/>
          <w:szCs w:val="17"/>
          <w:color w:val="auto"/>
        </w:rPr>
      </w:pPr>
      <w:r>
        <w:rPr>
          <w:rFonts w:ascii="Arial" w:cs="Arial" w:eastAsia="Arial" w:hAnsi="Arial"/>
          <w:sz w:val="17"/>
          <w:szCs w:val="17"/>
          <w:color w:val="auto"/>
        </w:rPr>
        <w:t>prior to a change in control, the date of termination determined in accordance with the severance agreements or August 1, 2026, or (ii) after a change in control, the Company’s performance of its obligations under the severance agreements if a payment trigger has occurred or the expiration of the period for a payment trigger to occur if such expiration occurs after August 1, 2026. To the extent not previously terminated, commencing on August 1, 2026 and on each subsequent anniversary thereof, the terms of the severance agreements will be automatically extended for a period of one additional year following the expiration of the applicable term unless the Company or the applicable executive officer elect not to extend the term by notifying the other party of such non-renewal in writing not later than</w:t>
      </w:r>
    </w:p>
    <w:p>
      <w:pPr>
        <w:spacing w:after="0" w:line="5"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8"/>
          <w:szCs w:val="18"/>
          <w:color w:val="auto"/>
        </w:rPr>
        <w:t>60 days prior to the end of the current term.</w:t>
      </w:r>
    </w:p>
    <w:p>
      <w:pPr>
        <w:spacing w:after="0" w:line="207" w:lineRule="exact"/>
        <w:rPr>
          <w:sz w:val="20"/>
          <w:szCs w:val="20"/>
          <w:color w:val="auto"/>
        </w:rPr>
      </w:pPr>
    </w:p>
    <w:p>
      <w:pPr>
        <w:ind w:left="1260" w:right="419" w:firstLine="648"/>
        <w:spacing w:after="0" w:line="244" w:lineRule="auto"/>
        <w:rPr>
          <w:sz w:val="20"/>
          <w:szCs w:val="20"/>
          <w:color w:val="auto"/>
        </w:rPr>
      </w:pPr>
      <w:r>
        <w:rPr>
          <w:rFonts w:ascii="Arial" w:cs="Arial" w:eastAsia="Arial" w:hAnsi="Arial"/>
          <w:sz w:val="18"/>
          <w:szCs w:val="18"/>
          <w:color w:val="auto"/>
        </w:rPr>
        <w:t>The severance agreements provide that should the applicable executive officer’s employment be terminated by the Company for “cause” or by the executive officer without “good reason” ​(as both terms are defined in the severance agreements), the Company must pay to the executive officer his base salary and any accrued vacation pay through the date of termination. Additionally, should the executive officer’s employment be terminated due to his death or disability, the Company must pay to the executive officer or his estate the following: (i) his base salary and any accrued vacation pay through the date of termination; (ii) any incentive compensation allocated to, accrued to, earned by or awarded to the executive officer for a completed performance period preceding the date of termination, to the extent not already paid; and (iii) an amount equal to the executive officer’s annual base salary in effect on the date of termination.</w:t>
      </w:r>
    </w:p>
    <w:p>
      <w:pPr>
        <w:spacing w:after="0" w:line="177" w:lineRule="exact"/>
        <w:rPr>
          <w:sz w:val="20"/>
          <w:szCs w:val="20"/>
          <w:color w:val="auto"/>
        </w:rPr>
      </w:pPr>
    </w:p>
    <w:p>
      <w:pPr>
        <w:ind w:left="1260" w:right="619" w:firstLine="648"/>
        <w:spacing w:after="0" w:line="247" w:lineRule="auto"/>
        <w:rPr>
          <w:sz w:val="20"/>
          <w:szCs w:val="20"/>
          <w:color w:val="auto"/>
        </w:rPr>
      </w:pPr>
      <w:r>
        <w:rPr>
          <w:rFonts w:ascii="Arial" w:cs="Arial" w:eastAsia="Arial" w:hAnsi="Arial"/>
          <w:sz w:val="18"/>
          <w:szCs w:val="18"/>
          <w:color w:val="auto"/>
        </w:rPr>
        <w:t>The severance agreements also provide that should the executive officer’s employment be terminated by the Company without cause or by the executive officer for good reason and such termination does not occur at the same time or within two years following a change in control of the Company, the Company must pay to the executive officer, in lieu of any other post-termination benefits, the following:</w:t>
      </w:r>
    </w:p>
    <w:p>
      <w:pPr>
        <w:spacing w:after="0" w:line="177" w:lineRule="exact"/>
        <w:rPr>
          <w:sz w:val="20"/>
          <w:szCs w:val="20"/>
          <w:color w:val="auto"/>
        </w:rPr>
      </w:pPr>
    </w:p>
    <w:p>
      <w:pPr>
        <w:ind w:left="2080" w:hanging="172"/>
        <w:spacing w:after="0"/>
        <w:tabs>
          <w:tab w:leader="none" w:pos="2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his base salary and any accrued vacation pay through the date of termination;</w:t>
      </w:r>
    </w:p>
    <w:p>
      <w:pPr>
        <w:spacing w:after="0" w:line="225" w:lineRule="exact"/>
        <w:rPr>
          <w:rFonts w:ascii="Arial" w:cs="Arial" w:eastAsia="Arial" w:hAnsi="Arial"/>
          <w:sz w:val="18"/>
          <w:szCs w:val="18"/>
          <w:color w:val="auto"/>
        </w:rPr>
      </w:pPr>
    </w:p>
    <w:p>
      <w:pPr>
        <w:ind w:left="2080" w:right="539" w:hanging="172"/>
        <w:spacing w:after="0" w:line="268" w:lineRule="auto"/>
        <w:tabs>
          <w:tab w:leader="none" w:pos="2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incentive compensation that has been earned by or awarded to the executive officer for a completed performance period preceding the date of termination, to the extent not already paid;</w:t>
      </w:r>
    </w:p>
    <w:p>
      <w:pPr>
        <w:spacing w:after="0" w:line="170" w:lineRule="exact"/>
        <w:rPr>
          <w:rFonts w:ascii="Arial" w:cs="Arial" w:eastAsia="Arial" w:hAnsi="Arial"/>
          <w:sz w:val="18"/>
          <w:szCs w:val="18"/>
          <w:color w:val="auto"/>
        </w:rPr>
      </w:pPr>
    </w:p>
    <w:p>
      <w:pPr>
        <w:ind w:left="2080" w:right="739" w:hanging="172"/>
        <w:spacing w:after="0" w:line="318" w:lineRule="auto"/>
        <w:tabs>
          <w:tab w:leader="none" w:pos="20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 pro-rated portion of the executive officer’s annual bonus based on actual performance, reduced by any amount paid for the fiscal year during which the date of termination occurs;</w:t>
      </w:r>
    </w:p>
    <w:p>
      <w:pPr>
        <w:spacing w:after="0" w:line="129" w:lineRule="exact"/>
        <w:rPr>
          <w:rFonts w:ascii="Arial" w:cs="Arial" w:eastAsia="Arial" w:hAnsi="Arial"/>
          <w:sz w:val="17"/>
          <w:szCs w:val="17"/>
          <w:color w:val="auto"/>
        </w:rPr>
      </w:pPr>
    </w:p>
    <w:p>
      <w:pPr>
        <w:ind w:left="2080" w:right="619" w:hanging="172"/>
        <w:spacing w:after="0" w:line="262" w:lineRule="auto"/>
        <w:tabs>
          <w:tab w:leader="none" w:pos="2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amount equal to one and a half (1.5) times the sum of (x) his then current annual base salary and (y) the average of the annual bonus payments paid to the executive officer during the three years (or shorter period, as applicable) preceding the year in which the date of termination occurs;</w:t>
      </w:r>
    </w:p>
    <w:p>
      <w:pPr>
        <w:spacing w:after="0" w:line="176" w:lineRule="exact"/>
        <w:rPr>
          <w:rFonts w:ascii="Arial" w:cs="Arial" w:eastAsia="Arial" w:hAnsi="Arial"/>
          <w:sz w:val="18"/>
          <w:szCs w:val="18"/>
          <w:color w:val="auto"/>
        </w:rPr>
      </w:pPr>
    </w:p>
    <w:p>
      <w:pPr>
        <w:ind w:left="2080" w:hanging="172"/>
        <w:spacing w:after="0"/>
        <w:tabs>
          <w:tab w:leader="none" w:pos="2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his health, vision and dental insurance benefits for twelve months;</w:t>
      </w:r>
    </w:p>
    <w:p>
      <w:pPr>
        <w:spacing w:after="0" w:line="225" w:lineRule="exact"/>
        <w:rPr>
          <w:rFonts w:ascii="Arial" w:cs="Arial" w:eastAsia="Arial" w:hAnsi="Arial"/>
          <w:sz w:val="18"/>
          <w:szCs w:val="18"/>
          <w:color w:val="auto"/>
        </w:rPr>
      </w:pPr>
    </w:p>
    <w:p>
      <w:pPr>
        <w:ind w:left="2080" w:hanging="172"/>
        <w:spacing w:after="0"/>
        <w:tabs>
          <w:tab w:leader="none" w:pos="2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certain outplacement services.</w:t>
      </w:r>
    </w:p>
    <w:p>
      <w:pPr>
        <w:spacing w:after="0" w:line="225" w:lineRule="exact"/>
        <w:rPr>
          <w:sz w:val="20"/>
          <w:szCs w:val="20"/>
          <w:color w:val="auto"/>
        </w:rPr>
      </w:pPr>
    </w:p>
    <w:p>
      <w:pPr>
        <w:ind w:left="1260" w:right="519" w:firstLine="648"/>
        <w:spacing w:after="0" w:line="252" w:lineRule="auto"/>
        <w:rPr>
          <w:sz w:val="20"/>
          <w:szCs w:val="20"/>
          <w:color w:val="auto"/>
        </w:rPr>
      </w:pPr>
      <w:r>
        <w:rPr>
          <w:rFonts w:ascii="Arial" w:cs="Arial" w:eastAsia="Arial" w:hAnsi="Arial"/>
          <w:sz w:val="18"/>
          <w:szCs w:val="18"/>
          <w:color w:val="auto"/>
        </w:rPr>
        <w:t>Finally, should the executive officer’s employment be terminated by the Company without cause or by the executive officer with good reason and such termination occurs at the same time as or within two years following a change in control of the Company, the severance agreements obligate the Company to pay or provide to the executive officer the following:</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80" w:hanging="172"/>
        <w:spacing w:after="0"/>
        <w:tabs>
          <w:tab w:leader="none" w:pos="2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his base salary and any accrued vacation pay through the date of termination;</w:t>
      </w:r>
    </w:p>
    <w:p>
      <w:pPr>
        <w:spacing w:after="0" w:line="225" w:lineRule="exact"/>
        <w:rPr>
          <w:rFonts w:ascii="Arial" w:cs="Arial" w:eastAsia="Arial" w:hAnsi="Arial"/>
          <w:sz w:val="18"/>
          <w:szCs w:val="18"/>
          <w:color w:val="auto"/>
        </w:rPr>
      </w:pPr>
    </w:p>
    <w:p>
      <w:pPr>
        <w:ind w:left="2080" w:right="539" w:hanging="172"/>
        <w:spacing w:after="0" w:line="268" w:lineRule="auto"/>
        <w:tabs>
          <w:tab w:leader="none" w:pos="2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incentive compensation that has been earned by or awarded to the executive officer for a completed performance period preceding the date of termination, to the extent not already paid;</w:t>
      </w:r>
    </w:p>
    <w:p>
      <w:pPr>
        <w:spacing w:after="0" w:line="184" w:lineRule="exact"/>
        <w:rPr>
          <w:rFonts w:ascii="Arial" w:cs="Arial" w:eastAsia="Arial" w:hAnsi="Arial"/>
          <w:sz w:val="18"/>
          <w:szCs w:val="18"/>
          <w:color w:val="auto"/>
        </w:rPr>
      </w:pPr>
    </w:p>
    <w:p>
      <w:pPr>
        <w:ind w:left="2080" w:right="439" w:hanging="172"/>
        <w:spacing w:after="0" w:line="287" w:lineRule="auto"/>
        <w:tabs>
          <w:tab w:leader="none" w:pos="2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pro-rated portion of the executive officer’s then-current target bonus, reduced by any amount paid for the fiscal year during which the date of termination occurs;</w:t>
      </w:r>
    </w:p>
    <w:p>
      <w:pPr>
        <w:spacing w:after="0" w:line="152" w:lineRule="exact"/>
        <w:rPr>
          <w:rFonts w:ascii="Arial" w:cs="Arial" w:eastAsia="Arial" w:hAnsi="Arial"/>
          <w:sz w:val="18"/>
          <w:szCs w:val="18"/>
          <w:color w:val="auto"/>
        </w:rPr>
      </w:pPr>
    </w:p>
    <w:p>
      <w:pPr>
        <w:ind w:left="2080" w:right="659" w:hanging="172"/>
        <w:spacing w:after="0" w:line="278" w:lineRule="auto"/>
        <w:tabs>
          <w:tab w:leader="none" w:pos="20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 amount equal to two (2) times the sum of (x) his annual base salary in effect immediately prior to the change in control or payment trigger, whichever is higher and (y) the executive officer’s then-current target bonus in effect prior to the payment trigger or the average of the bonus payments paid to the executive officer during the three years (or shorter period, as applicable) preceding the year in which the date of termination occurs, whichever is higher;</w:t>
      </w:r>
    </w:p>
    <w:p>
      <w:pPr>
        <w:spacing w:after="0" w:line="163" w:lineRule="exact"/>
        <w:rPr>
          <w:rFonts w:ascii="Arial" w:cs="Arial" w:eastAsia="Arial" w:hAnsi="Arial"/>
          <w:sz w:val="17"/>
          <w:szCs w:val="17"/>
          <w:color w:val="auto"/>
        </w:rPr>
      </w:pPr>
    </w:p>
    <w:p>
      <w:pPr>
        <w:ind w:left="2080" w:hanging="172"/>
        <w:spacing w:after="0"/>
        <w:tabs>
          <w:tab w:leader="none" w:pos="20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executive officer’s health, vision and dental insurance benefits for twenty-four months; and</w:t>
      </w:r>
    </w:p>
    <w:p>
      <w:pPr>
        <w:spacing w:after="0" w:line="236" w:lineRule="exact"/>
        <w:rPr>
          <w:rFonts w:ascii="Arial" w:cs="Arial" w:eastAsia="Arial" w:hAnsi="Arial"/>
          <w:sz w:val="17"/>
          <w:szCs w:val="17"/>
          <w:color w:val="auto"/>
        </w:rPr>
      </w:pPr>
    </w:p>
    <w:p>
      <w:pPr>
        <w:ind w:left="2080" w:hanging="172"/>
        <w:spacing w:after="0"/>
        <w:tabs>
          <w:tab w:leader="none" w:pos="2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certain outplacement services.</w:t>
      </w:r>
    </w:p>
    <w:p>
      <w:pPr>
        <w:spacing w:after="0" w:line="225" w:lineRule="exact"/>
        <w:rPr>
          <w:sz w:val="20"/>
          <w:szCs w:val="20"/>
          <w:color w:val="auto"/>
        </w:rPr>
      </w:pPr>
    </w:p>
    <w:p>
      <w:pPr>
        <w:ind w:left="1260" w:right="519" w:firstLine="648"/>
        <w:spacing w:after="0" w:line="254" w:lineRule="auto"/>
        <w:rPr>
          <w:sz w:val="20"/>
          <w:szCs w:val="20"/>
          <w:color w:val="auto"/>
        </w:rPr>
      </w:pPr>
      <w:r>
        <w:rPr>
          <w:rFonts w:ascii="Arial" w:cs="Arial" w:eastAsia="Arial" w:hAnsi="Arial"/>
          <w:sz w:val="18"/>
          <w:szCs w:val="18"/>
          <w:color w:val="auto"/>
        </w:rPr>
        <w:t>The Company will pay or provide the foregoing in the manner set forth in the severance agreements. In the event that certain payments or benefits under the severance agreement would be subject to an excise tax under Section 4999 of the Internal Revenue Code, as amended, then such payments or benefits may be reduced in the manner set forth in the severance agreements. The Company is only obligated to pay or provide, or continue to pay or provide, benefits for a termination without cause or a resignation with good reason prior to a change in control or certain benefits in the event of a payment trigger to the extent that an executive officer executes a waiver and release in the form set forth in the severance agreements and otherwise remains in compliance with certain covenants set forth therein. The severance agreements include one-year post-termination non-disclosure, non-compete and non-interference covenants.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13" w:lineRule="exact"/>
        <w:rPr>
          <w:sz w:val="20"/>
          <w:szCs w:val="20"/>
          <w:color w:val="auto"/>
        </w:rPr>
      </w:pPr>
    </w:p>
    <w:p>
      <w:pPr>
        <w:ind w:left="1260" w:right="679" w:firstLine="648"/>
        <w:spacing w:after="0" w:line="268" w:lineRule="auto"/>
        <w:rPr>
          <w:sz w:val="20"/>
          <w:szCs w:val="20"/>
          <w:color w:val="auto"/>
        </w:rPr>
      </w:pPr>
      <w:r>
        <w:rPr>
          <w:rFonts w:ascii="Arial" w:cs="Arial" w:eastAsia="Arial" w:hAnsi="Arial"/>
          <w:sz w:val="18"/>
          <w:szCs w:val="18"/>
          <w:color w:val="auto"/>
        </w:rPr>
        <w:t>As discussed in the section above titled “Agreements with Our Named Executive Officers,” we are required to pay or provide certain compensation and benefits to each of the NEOs in the event of certain terminations of employment or a change in control of the Company.</w:t>
      </w:r>
    </w:p>
    <w:p>
      <w:pPr>
        <w:spacing w:after="0" w:line="171" w:lineRule="exact"/>
        <w:rPr>
          <w:sz w:val="20"/>
          <w:szCs w:val="20"/>
          <w:color w:val="auto"/>
        </w:rPr>
      </w:pPr>
    </w:p>
    <w:p>
      <w:pPr>
        <w:ind w:left="1260" w:right="959" w:firstLine="648"/>
        <w:spacing w:after="0" w:line="287" w:lineRule="auto"/>
        <w:rPr>
          <w:sz w:val="20"/>
          <w:szCs w:val="20"/>
          <w:color w:val="auto"/>
        </w:rPr>
      </w:pPr>
      <w:r>
        <w:rPr>
          <w:rFonts w:ascii="Arial" w:cs="Arial" w:eastAsia="Arial" w:hAnsi="Arial"/>
          <w:sz w:val="18"/>
          <w:szCs w:val="18"/>
          <w:color w:val="auto"/>
        </w:rPr>
        <w:t>In addition to such compensation and benefits, each NEO’s outstanding equity awards are subject to accelerated vesting in the event the NEO is terminated.</w:t>
      </w:r>
    </w:p>
    <w:p>
      <w:pPr>
        <w:spacing w:after="0" w:line="153" w:lineRule="exact"/>
        <w:rPr>
          <w:sz w:val="20"/>
          <w:szCs w:val="20"/>
          <w:color w:val="auto"/>
        </w:rPr>
      </w:pPr>
    </w:p>
    <w:p>
      <w:pPr>
        <w:ind w:left="1260" w:right="419" w:firstLine="648"/>
        <w:spacing w:after="0" w:line="262" w:lineRule="auto"/>
        <w:rPr>
          <w:sz w:val="20"/>
          <w:szCs w:val="20"/>
          <w:color w:val="auto"/>
        </w:rPr>
      </w:pPr>
      <w:r>
        <w:rPr>
          <w:rFonts w:ascii="Arial" w:cs="Arial" w:eastAsia="Arial" w:hAnsi="Arial"/>
          <w:sz w:val="18"/>
          <w:szCs w:val="18"/>
          <w:i w:val="1"/>
          <w:iCs w:val="1"/>
          <w:color w:val="00ABD1"/>
        </w:rPr>
        <w:t xml:space="preserve">Treatment of Equity Awards. </w:t>
      </w:r>
      <w:r>
        <w:rPr>
          <w:rFonts w:ascii="Arial" w:cs="Arial" w:eastAsia="Arial" w:hAnsi="Arial"/>
          <w:sz w:val="18"/>
          <w:szCs w:val="18"/>
          <w:color w:val="000000"/>
        </w:rPr>
        <w:t>In the event that an NEO is terminated without “cause” (as​ defined</w:t>
      </w:r>
      <w:r>
        <w:rPr>
          <w:rFonts w:ascii="Arial" w:cs="Arial" w:eastAsia="Arial" w:hAnsi="Arial"/>
          <w:sz w:val="18"/>
          <w:szCs w:val="18"/>
          <w:i w:val="1"/>
          <w:iCs w:val="1"/>
          <w:color w:val="00ABD1"/>
        </w:rPr>
        <w:t xml:space="preserve"> </w:t>
      </w:r>
      <w:r>
        <w:rPr>
          <w:rFonts w:ascii="Arial" w:cs="Arial" w:eastAsia="Arial" w:hAnsi="Arial"/>
          <w:sz w:val="18"/>
          <w:szCs w:val="18"/>
          <w:color w:val="000000"/>
        </w:rPr>
        <w:t>in the 2025 Plan), terminates his employment for “good reason” (as​ defined in the 2025 Plan) or dies or becomes permanently disabled (as determined by the Compensation Committee), all unvested restricted stock will vest in full.</w:t>
      </w:r>
    </w:p>
    <w:p>
      <w:pPr>
        <w:spacing w:after="0" w:line="176" w:lineRule="exact"/>
        <w:rPr>
          <w:sz w:val="20"/>
          <w:szCs w:val="20"/>
          <w:color w:val="auto"/>
        </w:rPr>
      </w:pPr>
    </w:p>
    <w:p>
      <w:pPr>
        <w:ind w:left="1260" w:right="559" w:firstLine="648"/>
        <w:spacing w:after="0" w:line="257" w:lineRule="auto"/>
        <w:rPr>
          <w:sz w:val="20"/>
          <w:szCs w:val="20"/>
          <w:color w:val="auto"/>
        </w:rPr>
      </w:pPr>
      <w:r>
        <w:rPr>
          <w:rFonts w:ascii="Arial" w:cs="Arial" w:eastAsia="Arial" w:hAnsi="Arial"/>
          <w:sz w:val="18"/>
          <w:szCs w:val="18"/>
          <w:color w:val="auto"/>
        </w:rPr>
        <w:t>In the event an NEO experiences a Company-approved retirement (as determined in the sole discretion of the Compensation Committee), a pro-rated portion of unvested restricted stock held by an NEO would vest based on the date of termination, provided however, all unvested restricted stock will vest in full upon a Company-approved retirement if (i) such retirement occurs during the two-year period following a Change in Control or (ii) the Retirement Policy, as discussed below, applies to the applicable NEO.</w:t>
      </w:r>
    </w:p>
    <w:p>
      <w:pPr>
        <w:spacing w:after="0" w:line="182" w:lineRule="exact"/>
        <w:rPr>
          <w:sz w:val="20"/>
          <w:szCs w:val="20"/>
          <w:color w:val="auto"/>
        </w:rPr>
      </w:pPr>
    </w:p>
    <w:p>
      <w:pPr>
        <w:ind w:left="1260" w:right="459" w:firstLine="648"/>
        <w:spacing w:after="0" w:line="257" w:lineRule="auto"/>
        <w:rPr>
          <w:sz w:val="20"/>
          <w:szCs w:val="20"/>
          <w:color w:val="auto"/>
        </w:rPr>
      </w:pPr>
      <w:r>
        <w:rPr>
          <w:rFonts w:ascii="Arial" w:cs="Arial" w:eastAsia="Arial" w:hAnsi="Arial"/>
          <w:sz w:val="18"/>
          <w:szCs w:val="18"/>
          <w:color w:val="auto"/>
        </w:rPr>
        <w:t>A pro-rated portion of unvested PBRSUs based on an NEO’s date of termination would remain eligible to vest subject to achievement of the relevant performance criteria in the event the NEO is terminated without “cause” (as​ defined in the 2025 Plan), terminates his employment for “good reason” ​ (as defined in the 2025 Plan), or experiences a Company-approved retirement (as determined in the sole discretion of the Compensation Committee) and such termination does not occur at the same time or within two years</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59"/>
        <w:spacing w:after="0" w:line="282" w:lineRule="auto"/>
        <w:rPr>
          <w:sz w:val="20"/>
          <w:szCs w:val="20"/>
          <w:color w:val="auto"/>
        </w:rPr>
      </w:pPr>
      <w:r>
        <w:rPr>
          <w:rFonts w:ascii="Arial" w:cs="Arial" w:eastAsia="Arial" w:hAnsi="Arial"/>
          <w:sz w:val="17"/>
          <w:szCs w:val="17"/>
          <w:color w:val="auto"/>
        </w:rPr>
        <w:t>following a “change in control” of the Company (as defined in the 2025 Plan). The actual amount of PBRSUs would remain eligible to vest subject to achievement of the relevant performance criteria in the event the NEO dies or becomes permanently disabled (as determined by the Compensation Committee). In the event of a “change in control” of Uniti, the PBRSUs would be deemed earned in an amount equal to 200% of the target number of PBRSUs granted and treated as unvested restricted stock units (“RSUs”), which will vest subject to continuous employment through the vesting date. In the event that an NEO is terminated without cause, terminates his employment for good reason, experiences a Company-approved retirement (as determined in the sole discretion of the Compensation Committee) or dies or becomes permanently disabled (as determined by the Compensation Committee) within two years of a “change in control” of the Company, all unvested RSUs will vest in full.</w:t>
      </w:r>
    </w:p>
    <w:p>
      <w:pPr>
        <w:spacing w:after="0" w:line="174" w:lineRule="exact"/>
        <w:rPr>
          <w:sz w:val="20"/>
          <w:szCs w:val="20"/>
          <w:color w:val="auto"/>
        </w:rPr>
      </w:pPr>
    </w:p>
    <w:p>
      <w:pPr>
        <w:ind w:left="1260" w:right="439" w:firstLine="648"/>
        <w:spacing w:after="0" w:line="264" w:lineRule="auto"/>
        <w:rPr>
          <w:sz w:val="20"/>
          <w:szCs w:val="20"/>
          <w:color w:val="auto"/>
        </w:rPr>
      </w:pPr>
      <w:r>
        <w:rPr>
          <w:rFonts w:ascii="Arial" w:cs="Arial" w:eastAsia="Arial" w:hAnsi="Arial"/>
          <w:sz w:val="18"/>
          <w:szCs w:val="18"/>
          <w:color w:val="auto"/>
        </w:rPr>
        <w:t>The Compensation Committee has adopted a policy (the “Retirement Policy”) which provides that if at the effective time of a Company-approved retirement, (i) the sum of the NEO’s age and years of service is equal to or greater than 60 (provided the NEO has completed at least 10 years of service to the Company and its subsidiaries, including service at predecessor acquired companies) and (ii) the NEO has given at least 180 days prior written notice of his or her planned retirement from the Company, then the Compensation Committee will accelerate the vesting of all of the NEO’s unvested restricted stock and PBRSUs (in an amount equal to 200% of the target number of PBRSUs granted) upon such Company-approved retirement. The Retirement Policy also imposes a one-year post retirement restriction on employment.</w:t>
      </w:r>
    </w:p>
    <w:p>
      <w:pPr>
        <w:spacing w:after="0" w:line="192" w:lineRule="exact"/>
        <w:rPr>
          <w:sz w:val="20"/>
          <w:szCs w:val="20"/>
          <w:color w:val="auto"/>
        </w:rPr>
      </w:pPr>
    </w:p>
    <w:p>
      <w:pPr>
        <w:ind w:left="1260" w:right="519" w:firstLine="648"/>
        <w:spacing w:after="0" w:line="282" w:lineRule="auto"/>
        <w:rPr>
          <w:sz w:val="20"/>
          <w:szCs w:val="20"/>
          <w:color w:val="auto"/>
        </w:rPr>
      </w:pPr>
      <w:r>
        <w:rPr>
          <w:rFonts w:ascii="Arial" w:cs="Arial" w:eastAsia="Arial" w:hAnsi="Arial"/>
          <w:sz w:val="17"/>
          <w:szCs w:val="17"/>
          <w:color w:val="auto"/>
        </w:rPr>
        <w:t>The following table describes estimated amounts of compensation and benefits that could be payable to each NEO upon certain terminations or a change in control pursuant to the current arrangements with our NEOs, as discussed in the section above titled “Agreements with Our Named Executive Officers.” All amounts assume the NEOs terminated employment as of December 31, 2025. The actual amounts that would be paid to each NEO upon termination of employment or a change in control can only be determined at the time the actual triggering event occurs. The estimated amounts of compensation and benefits described below are in addition to the benefits the NEOs would be entitled to receive upon termination of employment generally under the retirement plan described in the section above titled “Other Benefit Plans.” This section identifies and quantifies the extent to which those retirement benefits are enhanced or accelerated upon the triggering events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Termination</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81"/>
              <w:spacing w:after="0" w:line="135" w:lineRule="exact"/>
              <w:rPr>
                <w:sz w:val="20"/>
                <w:szCs w:val="20"/>
                <w:color w:val="auto"/>
              </w:rPr>
            </w:pPr>
            <w:r>
              <w:rPr>
                <w:rFonts w:ascii="Arial" w:cs="Arial" w:eastAsia="Arial" w:hAnsi="Arial"/>
                <w:sz w:val="13"/>
                <w:szCs w:val="13"/>
                <w:b w:val="1"/>
                <w:bCs w:val="1"/>
                <w:color w:val="auto"/>
                <w:w w:val="95"/>
              </w:rPr>
              <w:t>without</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4"/>
              </w:rPr>
              <w:t>Termination</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3"/>
              </w:rPr>
              <w:t>Voluntary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Cause or</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4"/>
              </w:rPr>
              <w:t>Resignation</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Company</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4"/>
              </w:rPr>
              <w:t>without Cause</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4"/>
              </w:rPr>
              <w:t>Termination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4"/>
              </w:rPr>
              <w:t>for Good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4"/>
              </w:rPr>
              <w:t>or Resignation</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Without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101"/>
              <w:spacing w:after="0"/>
              <w:rPr>
                <w:sz w:val="20"/>
                <w:szCs w:val="20"/>
                <w:color w:val="auto"/>
              </w:rPr>
            </w:pPr>
            <w:r>
              <w:rPr>
                <w:rFonts w:ascii="Arial" w:cs="Arial" w:eastAsia="Arial" w:hAnsi="Arial"/>
                <w:sz w:val="13"/>
                <w:szCs w:val="13"/>
                <w:b w:val="1"/>
                <w:bCs w:val="1"/>
                <w:color w:val="auto"/>
                <w:w w:val="97"/>
              </w:rPr>
              <w:t>Reason</w:t>
            </w:r>
          </w:p>
        </w:tc>
        <w:tc>
          <w:tcPr>
            <w:tcW w:w="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Change in</w:t>
            </w:r>
          </w:p>
        </w:tc>
        <w:tc>
          <w:tcPr>
            <w:tcW w:w="4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Approved</w:t>
            </w:r>
          </w:p>
        </w:tc>
        <w:tc>
          <w:tcPr>
            <w:tcW w:w="4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Death or</w:t>
            </w:r>
          </w:p>
        </w:tc>
        <w:tc>
          <w:tcPr>
            <w:tcW w:w="40" w:type="dxa"/>
            <w:vAlign w:val="bottom"/>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for Good</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4"/>
              </w:rPr>
              <w:t>Good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4"/>
              </w:rPr>
              <w:t>other than</w:t>
            </w:r>
          </w:p>
        </w:tc>
        <w:tc>
          <w:tcPr>
            <w:tcW w:w="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Retirement</w:t>
            </w:r>
          </w:p>
        </w:tc>
        <w:tc>
          <w:tcPr>
            <w:tcW w:w="4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Disability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center"/>
              <w:ind w:right="121"/>
              <w:spacing w:after="0" w:line="135" w:lineRule="exact"/>
              <w:rPr>
                <w:sz w:val="20"/>
                <w:szCs w:val="20"/>
                <w:color w:val="auto"/>
              </w:rPr>
            </w:pPr>
            <w:r>
              <w:rPr>
                <w:rFonts w:ascii="Arial" w:cs="Arial" w:eastAsia="Arial" w:hAnsi="Arial"/>
                <w:sz w:val="13"/>
                <w:szCs w:val="13"/>
                <w:b w:val="1"/>
                <w:bCs w:val="1"/>
                <w:color w:val="auto"/>
                <w:w w:val="97"/>
              </w:rPr>
              <w:t>Reason</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Reason or</w:t>
            </w:r>
          </w:p>
        </w:tc>
        <w:tc>
          <w:tcPr>
            <w:tcW w:w="8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Company</w:t>
            </w:r>
          </w:p>
        </w:tc>
        <w:tc>
          <w:tcPr>
            <w:tcW w:w="40" w:type="dxa"/>
            <w:vAlign w:val="bottom"/>
          </w:tcPr>
          <w:p>
            <w:pPr>
              <w:spacing w:after="0"/>
              <w:rPr>
                <w:sz w:val="12"/>
                <w:szCs w:val="12"/>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4"/>
              </w:rPr>
              <w:t>Death or</w:t>
            </w: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following a</w:t>
            </w:r>
          </w:p>
        </w:tc>
        <w:tc>
          <w:tcPr>
            <w:tcW w:w="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4"/>
              </w:rPr>
              <w:t>Control with</w:t>
            </w:r>
          </w:p>
        </w:tc>
        <w:tc>
          <w:tcPr>
            <w:tcW w:w="4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following a</w:t>
            </w:r>
          </w:p>
        </w:tc>
        <w:tc>
          <w:tcPr>
            <w:tcW w:w="4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following a</w:t>
            </w:r>
          </w:p>
        </w:tc>
        <w:tc>
          <w:tcPr>
            <w:tcW w:w="40" w:type="dxa"/>
            <w:vAlign w:val="bottom"/>
          </w:tcPr>
          <w:p>
            <w:pPr>
              <w:spacing w:after="0"/>
              <w:rPr>
                <w:sz w:val="12"/>
                <w:szCs w:val="12"/>
                <w:color w:val="auto"/>
              </w:rPr>
            </w:pPr>
          </w:p>
        </w:tc>
        <w:tc>
          <w:tcPr>
            <w:tcW w:w="880" w:type="dxa"/>
            <w:vAlign w:val="bottom"/>
            <w:gridSpan w:val="2"/>
          </w:tcPr>
          <w:p>
            <w:pPr>
              <w:ind w:left="120"/>
              <w:spacing w:after="0"/>
              <w:rPr>
                <w:sz w:val="20"/>
                <w:szCs w:val="20"/>
                <w:color w:val="auto"/>
              </w:rPr>
            </w:pPr>
            <w:r>
              <w:rPr>
                <w:rFonts w:ascii="Arial" w:cs="Arial" w:eastAsia="Arial" w:hAnsi="Arial"/>
                <w:sz w:val="13"/>
                <w:szCs w:val="13"/>
                <w:b w:val="1"/>
                <w:bCs w:val="1"/>
                <w:color w:val="auto"/>
              </w:rPr>
              <w:t>following a</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4"/>
              </w:rPr>
              <w:t>Termination</w:t>
            </w:r>
          </w:p>
        </w:tc>
        <w:tc>
          <w:tcPr>
            <w:tcW w:w="8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Approved</w:t>
            </w:r>
          </w:p>
        </w:tc>
        <w:tc>
          <w:tcPr>
            <w:tcW w:w="4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7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Change in</w:t>
            </w:r>
          </w:p>
        </w:tc>
        <w:tc>
          <w:tcPr>
            <w:tcW w:w="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no</w:t>
            </w:r>
          </w:p>
        </w:tc>
        <w:tc>
          <w:tcPr>
            <w:tcW w:w="4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Change in</w:t>
            </w:r>
          </w:p>
        </w:tc>
        <w:tc>
          <w:tcPr>
            <w:tcW w:w="4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Change in</w:t>
            </w:r>
          </w:p>
        </w:tc>
        <w:tc>
          <w:tcPr>
            <w:tcW w:w="4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Change in</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ind w:left="140"/>
              <w:spacing w:after="0"/>
              <w:rPr>
                <w:sz w:val="20"/>
                <w:szCs w:val="20"/>
                <w:color w:val="auto"/>
              </w:rPr>
            </w:pPr>
            <w:r>
              <w:rPr>
                <w:rFonts w:ascii="Arial" w:cs="Arial" w:eastAsia="Arial" w:hAnsi="Arial"/>
                <w:sz w:val="13"/>
                <w:szCs w:val="13"/>
                <w:b w:val="1"/>
                <w:bCs w:val="1"/>
                <w:color w:val="auto"/>
              </w:rPr>
              <w:t>Type of</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for Cause</w:t>
            </w:r>
          </w:p>
        </w:tc>
        <w:tc>
          <w:tcPr>
            <w:tcW w:w="8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Retirement</w:t>
            </w:r>
          </w:p>
        </w:tc>
        <w:tc>
          <w:tcPr>
            <w:tcW w:w="40" w:type="dxa"/>
            <w:vAlign w:val="bottom"/>
          </w:tcPr>
          <w:p>
            <w:pPr>
              <w:spacing w:after="0"/>
              <w:rPr>
                <w:sz w:val="12"/>
                <w:szCs w:val="12"/>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3"/>
              </w:rPr>
              <w:t>Disability</w:t>
            </w:r>
          </w:p>
        </w:tc>
        <w:tc>
          <w:tcPr>
            <w:tcW w:w="120" w:type="dxa"/>
            <w:vAlign w:val="bottom"/>
          </w:tcPr>
          <w:p>
            <w:pPr>
              <w:spacing w:after="0"/>
              <w:rPr>
                <w:sz w:val="12"/>
                <w:szCs w:val="12"/>
                <w:color w:val="auto"/>
              </w:rPr>
            </w:pPr>
          </w:p>
        </w:tc>
        <w:tc>
          <w:tcPr>
            <w:tcW w:w="620" w:type="dxa"/>
            <w:vAlign w:val="bottom"/>
          </w:tcPr>
          <w:p>
            <w:pPr>
              <w:jc w:val="center"/>
              <w:ind w:right="81"/>
              <w:spacing w:after="0"/>
              <w:rPr>
                <w:sz w:val="20"/>
                <w:szCs w:val="20"/>
                <w:color w:val="auto"/>
              </w:rPr>
            </w:pPr>
            <w:r>
              <w:rPr>
                <w:rFonts w:ascii="Arial" w:cs="Arial" w:eastAsia="Arial" w:hAnsi="Arial"/>
                <w:sz w:val="13"/>
                <w:szCs w:val="13"/>
                <w:b w:val="1"/>
                <w:bCs w:val="1"/>
                <w:color w:val="auto"/>
                <w:w w:val="95"/>
              </w:rPr>
              <w:t>Control</w:t>
            </w:r>
          </w:p>
        </w:tc>
        <w:tc>
          <w:tcPr>
            <w:tcW w:w="60" w:type="dxa"/>
            <w:vAlign w:val="bottom"/>
          </w:tcPr>
          <w:p>
            <w:pPr>
              <w:spacing w:after="0"/>
              <w:rPr>
                <w:sz w:val="12"/>
                <w:szCs w:val="12"/>
                <w:color w:val="auto"/>
              </w:rPr>
            </w:pPr>
          </w:p>
        </w:tc>
        <w:tc>
          <w:tcPr>
            <w:tcW w:w="760" w:type="dxa"/>
            <w:vAlign w:val="bottom"/>
          </w:tcPr>
          <w:p>
            <w:pPr>
              <w:jc w:val="center"/>
              <w:ind w:right="2"/>
              <w:spacing w:after="0"/>
              <w:rPr>
                <w:sz w:val="20"/>
                <w:szCs w:val="20"/>
                <w:color w:val="auto"/>
              </w:rPr>
            </w:pPr>
            <w:r>
              <w:rPr>
                <w:rFonts w:ascii="Arial" w:cs="Arial" w:eastAsia="Arial" w:hAnsi="Arial"/>
                <w:sz w:val="13"/>
                <w:szCs w:val="13"/>
                <w:b w:val="1"/>
                <w:bCs w:val="1"/>
                <w:color w:val="auto"/>
                <w:w w:val="94"/>
              </w:rPr>
              <w:t>Termination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61"/>
              <w:spacing w:after="0"/>
              <w:rPr>
                <w:sz w:val="20"/>
                <w:szCs w:val="20"/>
                <w:color w:val="auto"/>
              </w:rPr>
            </w:pPr>
            <w:r>
              <w:rPr>
                <w:rFonts w:ascii="Arial" w:cs="Arial" w:eastAsia="Arial" w:hAnsi="Arial"/>
                <w:sz w:val="13"/>
                <w:szCs w:val="13"/>
                <w:b w:val="1"/>
                <w:bCs w:val="1"/>
                <w:color w:val="auto"/>
                <w:w w:val="95"/>
              </w:rPr>
              <w:t>Control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61"/>
              <w:spacing w:after="0"/>
              <w:rPr>
                <w:sz w:val="20"/>
                <w:szCs w:val="20"/>
                <w:color w:val="auto"/>
              </w:rPr>
            </w:pPr>
            <w:r>
              <w:rPr>
                <w:rFonts w:ascii="Arial" w:cs="Arial" w:eastAsia="Arial" w:hAnsi="Arial"/>
                <w:sz w:val="13"/>
                <w:szCs w:val="13"/>
                <w:b w:val="1"/>
                <w:bCs w:val="1"/>
                <w:color w:val="auto"/>
                <w:w w:val="95"/>
              </w:rPr>
              <w:t>Control</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141"/>
              <w:spacing w:after="0"/>
              <w:rPr>
                <w:sz w:val="20"/>
                <w:szCs w:val="20"/>
                <w:color w:val="auto"/>
              </w:rPr>
            </w:pPr>
            <w:r>
              <w:rPr>
                <w:rFonts w:ascii="Arial" w:cs="Arial" w:eastAsia="Arial" w:hAnsi="Arial"/>
                <w:sz w:val="13"/>
                <w:szCs w:val="13"/>
                <w:b w:val="1"/>
                <w:bCs w:val="1"/>
                <w:color w:val="auto"/>
                <w:w w:val="95"/>
              </w:rPr>
              <w:t>Control</w:t>
            </w: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gridSpan w:val="2"/>
          </w:tcPr>
          <w:p>
            <w:pPr>
              <w:jc w:val="right"/>
              <w:ind w:right="52"/>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ind w:left="100"/>
              <w:spacing w:after="0"/>
              <w:rPr>
                <w:sz w:val="20"/>
                <w:szCs w:val="20"/>
                <w:color w:val="auto"/>
              </w:rPr>
            </w:pPr>
            <w:r>
              <w:rPr>
                <w:rFonts w:ascii="Arial" w:cs="Arial" w:eastAsia="Arial" w:hAnsi="Arial"/>
                <w:sz w:val="13"/>
                <w:szCs w:val="13"/>
                <w:b w:val="1"/>
                <w:bCs w:val="1"/>
                <w:color w:val="auto"/>
              </w:rPr>
              <w:t>Payment</w:t>
            </w:r>
          </w:p>
        </w:tc>
        <w:tc>
          <w:tcPr>
            <w:tcW w:w="40" w:type="dxa"/>
            <w:vAlign w:val="bottom"/>
            <w:gridSpan w:val="2"/>
          </w:tcPr>
          <w:p>
            <w:pPr>
              <w:ind w:left="20"/>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tcPr>
          <w:p>
            <w:pPr>
              <w:ind w:left="30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right="61"/>
              <w:spacing w:after="0"/>
              <w:rPr>
                <w:sz w:val="20"/>
                <w:szCs w:val="20"/>
                <w:color w:val="auto"/>
              </w:rPr>
            </w:pPr>
            <w:r>
              <w:rPr>
                <w:rFonts w:ascii="Arial" w:cs="Arial" w:eastAsia="Arial" w:hAnsi="Arial"/>
                <w:sz w:val="13"/>
                <w:szCs w:val="13"/>
                <w:b w:val="1"/>
                <w:bCs w:val="1"/>
                <w:color w:val="auto"/>
                <w:w w:val="87"/>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center"/>
              <w:ind w:right="41"/>
              <w:spacing w:after="0"/>
              <w:rPr>
                <w:sz w:val="20"/>
                <w:szCs w:val="20"/>
                <w:color w:val="auto"/>
              </w:rPr>
            </w:pPr>
            <w:r>
              <w:rPr>
                <w:rFonts w:ascii="Arial" w:cs="Arial" w:eastAsia="Arial" w:hAnsi="Arial"/>
                <w:sz w:val="13"/>
                <w:szCs w:val="13"/>
                <w:b w:val="1"/>
                <w:bCs w:val="1"/>
                <w:color w:val="auto"/>
                <w:w w:val="87"/>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center"/>
              <w:ind w:right="61"/>
              <w:spacing w:after="0"/>
              <w:rPr>
                <w:sz w:val="20"/>
                <w:szCs w:val="20"/>
                <w:color w:val="auto"/>
              </w:rPr>
            </w:pPr>
            <w:r>
              <w:rPr>
                <w:rFonts w:ascii="Arial" w:cs="Arial" w:eastAsia="Arial" w:hAnsi="Arial"/>
                <w:sz w:val="13"/>
                <w:szCs w:val="13"/>
                <w:b w:val="1"/>
                <w:bCs w:val="1"/>
                <w:color w:val="auto"/>
                <w:w w:val="87"/>
              </w:rPr>
              <w:t>($)</w:t>
            </w:r>
          </w:p>
        </w:tc>
        <w:tc>
          <w:tcPr>
            <w:tcW w:w="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41"/>
              <w:spacing w:after="0"/>
              <w:rPr>
                <w:sz w:val="20"/>
                <w:szCs w:val="20"/>
                <w:color w:val="auto"/>
              </w:rPr>
            </w:pPr>
            <w:r>
              <w:rPr>
                <w:rFonts w:ascii="Arial" w:cs="Arial" w:eastAsia="Arial" w:hAnsi="Arial"/>
                <w:sz w:val="13"/>
                <w:szCs w:val="13"/>
                <w:b w:val="1"/>
                <w:bCs w:val="1"/>
                <w:color w:val="auto"/>
                <w:w w:val="87"/>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41"/>
              <w:spacing w:after="0"/>
              <w:rPr>
                <w:sz w:val="20"/>
                <w:szCs w:val="20"/>
                <w:color w:val="auto"/>
              </w:rPr>
            </w:pPr>
            <w:r>
              <w:rPr>
                <w:rFonts w:ascii="Arial" w:cs="Arial" w:eastAsia="Arial" w:hAnsi="Arial"/>
                <w:sz w:val="13"/>
                <w:szCs w:val="13"/>
                <w:b w:val="1"/>
                <w:bCs w:val="1"/>
                <w:color w:val="auto"/>
                <w:w w:val="87"/>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center"/>
              <w:ind w:right="101"/>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7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vMerge w:val="restart"/>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restart"/>
          </w:tcPr>
          <w:p>
            <w:pPr>
              <w:jc w:val="right"/>
              <w:ind w:right="14"/>
              <w:spacing w:after="0"/>
              <w:rPr>
                <w:sz w:val="20"/>
                <w:szCs w:val="20"/>
                <w:color w:val="auto"/>
              </w:rPr>
            </w:pPr>
            <w:r>
              <w:rPr>
                <w:rFonts w:ascii="Arial" w:cs="Arial" w:eastAsia="Arial" w:hAnsi="Arial"/>
                <w:sz w:val="1"/>
                <w:szCs w:val="1"/>
                <w:color w:val="auto"/>
                <w:w w:val="4294942296"/>
              </w:rPr>
              <w:t>​</w:t>
            </w:r>
          </w:p>
        </w:tc>
        <w:tc>
          <w:tcPr>
            <w:tcW w:w="200" w:type="dxa"/>
            <w:vAlign w:val="bottom"/>
            <w:vMerge w:val="restart"/>
          </w:tcPr>
          <w:p>
            <w:pPr>
              <w:ind w:left="120"/>
              <w:spacing w:after="0" w:line="208"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2"/>
                <w:szCs w:val="12"/>
                <w:color w:val="auto"/>
              </w:rPr>
              <w:t>Kenneth A.</w:t>
            </w:r>
          </w:p>
        </w:tc>
        <w:tc>
          <w:tcPr>
            <w:tcW w:w="980" w:type="dxa"/>
            <w:vAlign w:val="bottom"/>
            <w:gridSpan w:val="3"/>
          </w:tcPr>
          <w:p>
            <w:pPr>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Severance</w:t>
            </w:r>
          </w:p>
        </w:tc>
        <w:tc>
          <w:tcPr>
            <w:tcW w:w="40" w:type="dxa"/>
            <w:vAlign w:val="bottom"/>
            <w:gridSpan w:val="2"/>
            <w:vMerge w:val="continue"/>
          </w:tcPr>
          <w:p>
            <w:pPr>
              <w:spacing w:after="0"/>
              <w:rPr>
                <w:sz w:val="16"/>
                <w:szCs w:val="16"/>
                <w:color w:val="auto"/>
              </w:rPr>
            </w:pPr>
          </w:p>
        </w:tc>
        <w:tc>
          <w:tcPr>
            <w:tcW w:w="720" w:type="dxa"/>
            <w:vAlign w:val="bottom"/>
            <w:gridSpan w:val="2"/>
          </w:tcPr>
          <w:p>
            <w:pPr>
              <w:ind w:left="300"/>
              <w:spacing w:after="0" w:line="189" w:lineRule="exact"/>
              <w:rPr>
                <w:sz w:val="20"/>
                <w:szCs w:val="20"/>
                <w:color w:val="auto"/>
              </w:rPr>
            </w:pPr>
            <w:r>
              <w:rPr>
                <w:rFonts w:ascii="Arial" w:cs="Arial" w:eastAsia="Arial" w:hAnsi="Arial"/>
                <w:sz w:val="11"/>
                <w:szCs w:val="11"/>
                <w:color w:val="auto"/>
              </w:rPr>
              <w:t>​</w:t>
            </w:r>
            <w:r>
              <w:rPr>
                <w:rFonts w:ascii="Arial" w:cs="Arial" w:eastAsia="Arial" w:hAnsi="Arial"/>
                <w:sz w:val="21"/>
                <w:szCs w:val="21"/>
                <w:color w:val="auto"/>
                <w:vertAlign w:val="subscript"/>
              </w:rPr>
              <w:t>—</w:t>
            </w:r>
          </w:p>
        </w:tc>
        <w:tc>
          <w:tcPr>
            <w:tcW w:w="80" w:type="dxa"/>
            <w:vAlign w:val="bottom"/>
          </w:tcPr>
          <w:p>
            <w:pPr>
              <w:ind w:left="20"/>
              <w:spacing w:after="0"/>
              <w:rPr>
                <w:sz w:val="20"/>
                <w:szCs w:val="20"/>
                <w:color w:val="auto"/>
              </w:rPr>
            </w:pPr>
            <w:r>
              <w:rPr>
                <w:rFonts w:ascii="Arial" w:cs="Arial" w:eastAsia="Arial" w:hAnsi="Arial"/>
                <w:sz w:val="12"/>
                <w:szCs w:val="12"/>
                <w:color w:val="auto"/>
              </w:rPr>
              <w:t>​</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vMerge w:val="continue"/>
          </w:tcPr>
          <w:p>
            <w:pPr>
              <w:spacing w:after="0"/>
              <w:rPr>
                <w:sz w:val="16"/>
                <w:szCs w:val="16"/>
                <w:color w:val="auto"/>
              </w:rPr>
            </w:pPr>
          </w:p>
        </w:tc>
        <w:tc>
          <w:tcPr>
            <w:tcW w:w="120" w:type="dxa"/>
            <w:vAlign w:val="bottom"/>
          </w:tcPr>
          <w:p>
            <w:pPr>
              <w:ind w:left="20"/>
              <w:spacing w:after="0" w:line="189" w:lineRule="exact"/>
              <w:rPr>
                <w:sz w:val="20"/>
                <w:szCs w:val="20"/>
                <w:color w:val="auto"/>
              </w:rPr>
            </w:pPr>
            <w:r>
              <w:rPr>
                <w:rFonts w:ascii="Arial" w:cs="Arial" w:eastAsia="Arial" w:hAnsi="Arial"/>
                <w:sz w:val="11"/>
                <w:szCs w:val="11"/>
                <w:color w:val="auto"/>
              </w:rPr>
              <w:t>​</w:t>
            </w:r>
            <w:r>
              <w:rPr>
                <w:rFonts w:ascii="Arial" w:cs="Arial" w:eastAsia="Arial" w:hAnsi="Arial"/>
                <w:sz w:val="21"/>
                <w:szCs w:val="21"/>
                <w:color w:val="auto"/>
                <w:vertAlign w:val="subscript"/>
              </w:rPr>
              <w:t>$</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725,000</w:t>
            </w:r>
          </w:p>
        </w:tc>
        <w:tc>
          <w:tcPr>
            <w:tcW w:w="120" w:type="dxa"/>
            <w:vAlign w:val="bottom"/>
          </w:tcPr>
          <w:p>
            <w:pPr>
              <w:ind w:left="40"/>
              <w:spacing w:after="0" w:line="189" w:lineRule="exact"/>
              <w:rPr>
                <w:sz w:val="20"/>
                <w:szCs w:val="20"/>
                <w:color w:val="auto"/>
              </w:rPr>
            </w:pPr>
            <w:r>
              <w:rPr>
                <w:rFonts w:ascii="Arial" w:cs="Arial" w:eastAsia="Arial" w:hAnsi="Arial"/>
                <w:sz w:val="11"/>
                <w:szCs w:val="11"/>
                <w:color w:val="auto"/>
                <w:w w:val="76"/>
              </w:rPr>
              <w:t>​</w:t>
            </w:r>
            <w:r>
              <w:rPr>
                <w:rFonts w:ascii="Arial" w:cs="Arial" w:eastAsia="Arial" w:hAnsi="Arial"/>
                <w:sz w:val="21"/>
                <w:szCs w:val="21"/>
                <w:color w:val="auto"/>
                <w:w w:val="76"/>
                <w:vertAlign w:val="subscript"/>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7,656,431</w:t>
            </w:r>
          </w:p>
        </w:tc>
        <w:tc>
          <w:tcPr>
            <w:tcW w:w="60" w:type="dxa"/>
            <w:vAlign w:val="bottom"/>
            <w:vMerge w:val="continue"/>
          </w:tcPr>
          <w:p>
            <w:pPr>
              <w:spacing w:after="0"/>
              <w:rPr>
                <w:sz w:val="16"/>
                <w:szCs w:val="16"/>
                <w:color w:val="auto"/>
              </w:rPr>
            </w:pPr>
          </w:p>
        </w:tc>
        <w:tc>
          <w:tcPr>
            <w:tcW w:w="760" w:type="dxa"/>
            <w:vAlign w:val="bottom"/>
          </w:tcPr>
          <w:p>
            <w:pPr>
              <w:jc w:val="center"/>
              <w:spacing w:after="0" w:line="189" w:lineRule="exact"/>
              <w:rPr>
                <w:sz w:val="20"/>
                <w:szCs w:val="20"/>
                <w:color w:val="auto"/>
              </w:rPr>
            </w:pPr>
            <w:r>
              <w:rPr>
                <w:rFonts w:ascii="Arial" w:cs="Arial" w:eastAsia="Arial" w:hAnsi="Arial"/>
                <w:sz w:val="11"/>
                <w:szCs w:val="11"/>
                <w:color w:val="auto"/>
                <w:w w:val="85"/>
              </w:rPr>
              <w:t>​</w:t>
            </w:r>
            <w:r>
              <w:rPr>
                <w:rFonts w:ascii="Arial" w:cs="Arial" w:eastAsia="Arial" w:hAnsi="Arial"/>
                <w:sz w:val="21"/>
                <w:szCs w:val="21"/>
                <w:color w:val="auto"/>
                <w:w w:val="85"/>
                <w:vertAlign w:val="subscript"/>
              </w:rPr>
              <w:t>—</w:t>
            </w:r>
          </w:p>
        </w:tc>
        <w:tc>
          <w:tcPr>
            <w:tcW w:w="40" w:type="dxa"/>
            <w:vAlign w:val="bottom"/>
            <w:vMerge w:val="continue"/>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vMerge w:val="continue"/>
          </w:tcPr>
          <w:p>
            <w:pPr>
              <w:spacing w:after="0"/>
              <w:rPr>
                <w:sz w:val="16"/>
                <w:szCs w:val="16"/>
                <w:color w:val="auto"/>
              </w:rPr>
            </w:pPr>
          </w:p>
        </w:tc>
        <w:tc>
          <w:tcPr>
            <w:tcW w:w="100" w:type="dxa"/>
            <w:vAlign w:val="bottom"/>
          </w:tcPr>
          <w:p>
            <w:pPr>
              <w:ind w:left="20"/>
              <w:spacing w:after="0" w:line="189" w:lineRule="exact"/>
              <w:rPr>
                <w:sz w:val="20"/>
                <w:szCs w:val="20"/>
                <w:color w:val="auto"/>
              </w:rPr>
            </w:pPr>
            <w:r>
              <w:rPr>
                <w:rFonts w:ascii="Arial" w:cs="Arial" w:eastAsia="Arial" w:hAnsi="Arial"/>
                <w:sz w:val="11"/>
                <w:szCs w:val="11"/>
                <w:color w:val="auto"/>
                <w:w w:val="76"/>
              </w:rPr>
              <w:t>​</w:t>
            </w:r>
            <w:r>
              <w:rPr>
                <w:rFonts w:ascii="Arial" w:cs="Arial" w:eastAsia="Arial" w:hAnsi="Arial"/>
                <w:sz w:val="21"/>
                <w:szCs w:val="21"/>
                <w:color w:val="auto"/>
                <w:w w:val="76"/>
                <w:vertAlign w:val="sub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725,000</w:t>
            </w:r>
          </w:p>
        </w:tc>
        <w:tc>
          <w:tcPr>
            <w:tcW w:w="4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7,521,875</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2"/>
                <w:szCs w:val="12"/>
                <w:color w:val="auto"/>
              </w:rPr>
              <w:t>Gunderman</w:t>
            </w:r>
          </w:p>
        </w:tc>
        <w:tc>
          <w:tcPr>
            <w:tcW w:w="1020" w:type="dxa"/>
            <w:vAlign w:val="bottom"/>
            <w:gridSpan w:val="5"/>
          </w:tcPr>
          <w:p>
            <w:pPr>
              <w:ind w:left="20"/>
              <w:spacing w:after="0" w:line="243" w:lineRule="exact"/>
              <w:rPr>
                <w:sz w:val="20"/>
                <w:szCs w:val="20"/>
                <w:color w:val="auto"/>
              </w:rPr>
            </w:pPr>
            <w:r>
              <w:rPr>
                <w:rFonts w:ascii="Arial" w:cs="Arial" w:eastAsia="Arial" w:hAnsi="Arial"/>
                <w:sz w:val="23"/>
                <w:szCs w:val="23"/>
                <w:color w:val="auto"/>
                <w:w w:val="89"/>
                <w:vertAlign w:val="superscript"/>
              </w:rPr>
              <w:t>​</w:t>
            </w:r>
            <w:r>
              <w:rPr>
                <w:rFonts w:ascii="Arial" w:cs="Arial" w:eastAsia="Arial" w:hAnsi="Arial"/>
                <w:sz w:val="12"/>
                <w:szCs w:val="12"/>
                <w:color w:val="auto"/>
                <w:w w:val="89"/>
              </w:rPr>
              <w:t xml:space="preserve">Restricted Stock </w:t>
            </w:r>
            <w:r>
              <w:rPr>
                <w:rFonts w:ascii="Arial" w:cs="Arial" w:eastAsia="Arial" w:hAnsi="Arial"/>
                <w:sz w:val="16"/>
                <w:szCs w:val="16"/>
                <w:color w:val="auto"/>
                <w:w w:val="89"/>
                <w:vertAlign w:val="superscript"/>
              </w:rPr>
              <w:t>(1)</w:t>
            </w:r>
            <w:r>
              <w:rPr>
                <w:rFonts w:ascii="Arial" w:cs="Arial" w:eastAsia="Arial" w:hAnsi="Arial"/>
                <w:sz w:val="12"/>
                <w:szCs w:val="12"/>
                <w:color w:val="auto"/>
                <w:w w:val="89"/>
              </w:rPr>
              <w:t xml:space="preserve"> </w:t>
            </w:r>
            <w:r>
              <w:rPr>
                <w:rFonts w:ascii="Arial" w:cs="Arial" w:eastAsia="Arial" w:hAnsi="Arial"/>
                <w:sz w:val="23"/>
                <w:szCs w:val="23"/>
                <w:color w:val="auto"/>
                <w:w w:val="89"/>
                <w:vertAlign w:val="superscript"/>
              </w:rPr>
              <w:t>​</w:t>
            </w:r>
          </w:p>
        </w:tc>
        <w:tc>
          <w:tcPr>
            <w:tcW w:w="720" w:type="dxa"/>
            <w:vAlign w:val="bottom"/>
            <w:gridSpan w:val="2"/>
          </w:tcPr>
          <w:p>
            <w:pPr>
              <w:ind w:left="300"/>
              <w:spacing w:after="0" w:line="243"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200" w:type="dxa"/>
            <w:vAlign w:val="bottom"/>
            <w:gridSpan w:val="2"/>
          </w:tcPr>
          <w:p>
            <w:pPr>
              <w:ind w:left="20"/>
              <w:spacing w:after="0" w:line="243"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7,770,402</w:t>
            </w:r>
          </w:p>
        </w:tc>
        <w:tc>
          <w:tcPr>
            <w:tcW w:w="160" w:type="dxa"/>
            <w:vAlign w:val="bottom"/>
            <w:gridSpan w:val="2"/>
          </w:tcPr>
          <w:p>
            <w:pPr>
              <w:spacing w:after="0" w:line="243"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7,770,402</w:t>
            </w:r>
          </w:p>
        </w:tc>
        <w:tc>
          <w:tcPr>
            <w:tcW w:w="120" w:type="dxa"/>
            <w:vAlign w:val="bottom"/>
          </w:tcPr>
          <w:p>
            <w:pPr>
              <w:ind w:left="40"/>
              <w:spacing w:after="0" w:line="243"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7,770,402</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tcPr>
          <w:p>
            <w:pPr>
              <w:jc w:val="center"/>
              <w:spacing w:after="0" w:line="243" w:lineRule="exact"/>
              <w:rPr>
                <w:sz w:val="20"/>
                <w:szCs w:val="20"/>
                <w:color w:val="auto"/>
              </w:rPr>
            </w:pPr>
            <w:r>
              <w:rPr>
                <w:rFonts w:ascii="Arial" w:cs="Arial" w:eastAsia="Arial" w:hAnsi="Arial"/>
                <w:sz w:val="12"/>
                <w:szCs w:val="12"/>
                <w:color w:val="auto"/>
                <w:w w:val="77"/>
              </w:rPr>
              <w:t>​</w:t>
            </w:r>
            <w:r>
              <w:rPr>
                <w:rFonts w:ascii="Arial" w:cs="Arial" w:eastAsia="Arial" w:hAnsi="Arial"/>
                <w:sz w:val="23"/>
                <w:szCs w:val="23"/>
                <w:color w:val="auto"/>
                <w:w w:val="77"/>
                <w:vertAlign w:val="subscript"/>
              </w:rPr>
              <w:t>—</w:t>
            </w:r>
          </w:p>
        </w:tc>
        <w:tc>
          <w:tcPr>
            <w:tcW w:w="140" w:type="dxa"/>
            <w:vAlign w:val="bottom"/>
            <w:gridSpan w:val="2"/>
          </w:tcPr>
          <w:p>
            <w:pPr>
              <w:spacing w:after="0" w:line="243"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7,770,402</w:t>
            </w:r>
          </w:p>
        </w:tc>
        <w:tc>
          <w:tcPr>
            <w:tcW w:w="140" w:type="dxa"/>
            <w:vAlign w:val="bottom"/>
            <w:gridSpan w:val="2"/>
          </w:tcPr>
          <w:p>
            <w:pPr>
              <w:spacing w:after="0" w:line="243"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7,770,402</w:t>
            </w:r>
          </w:p>
        </w:tc>
        <w:tc>
          <w:tcPr>
            <w:tcW w:w="40" w:type="dxa"/>
            <w:vAlign w:val="bottom"/>
          </w:tcPr>
          <w:p>
            <w:pPr>
              <w:jc w:val="right"/>
              <w:ind w:right="14"/>
              <w:spacing w:after="0"/>
              <w:rPr>
                <w:sz w:val="20"/>
                <w:szCs w:val="20"/>
                <w:color w:val="auto"/>
              </w:rPr>
            </w:pPr>
            <w:r>
              <w:rPr>
                <w:rFonts w:ascii="Arial" w:cs="Arial" w:eastAsia="Arial" w:hAnsi="Arial"/>
                <w:sz w:val="1"/>
                <w:szCs w:val="1"/>
                <w:color w:val="auto"/>
                <w:w w:val="4294942296"/>
              </w:rPr>
              <w:t>​</w:t>
            </w:r>
          </w:p>
        </w:tc>
        <w:tc>
          <w:tcPr>
            <w:tcW w:w="200" w:type="dxa"/>
            <w:vAlign w:val="bottom"/>
          </w:tcPr>
          <w:p>
            <w:pPr>
              <w:ind w:left="120"/>
              <w:spacing w:after="0" w:line="243"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7,770,402</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gridSpan w:val="3"/>
          </w:tcPr>
          <w:p>
            <w:pPr>
              <w:ind w:left="20"/>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PBRSUs</w:t>
            </w:r>
            <w:r>
              <w:rPr>
                <w:rFonts w:ascii="Arial" w:cs="Arial" w:eastAsia="Arial" w:hAnsi="Arial"/>
                <w:sz w:val="12"/>
                <w:szCs w:val="12"/>
                <w:color w:val="auto"/>
              </w:rPr>
              <w:t xml:space="preserve"> </w:t>
            </w:r>
            <w:r>
              <w:rPr>
                <w:rFonts w:ascii="Arial" w:cs="Arial" w:eastAsia="Arial" w:hAnsi="Arial"/>
                <w:sz w:val="8"/>
                <w:szCs w:val="8"/>
                <w:color w:val="auto"/>
              </w:rPr>
              <w:t>(1)(2)</w:t>
            </w:r>
          </w:p>
        </w:tc>
        <w:tc>
          <w:tcPr>
            <w:tcW w:w="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300"/>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780" w:type="dxa"/>
            <w:vAlign w:val="bottom"/>
            <w:gridSpan w:val="3"/>
          </w:tcPr>
          <w:p>
            <w:pPr>
              <w:jc w:val="right"/>
              <w:spacing w:after="0" w:line="230"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2"/>
                <w:szCs w:val="12"/>
                <w:color w:val="auto"/>
              </w:rPr>
              <w:t>$10,419,286</w:t>
            </w:r>
          </w:p>
        </w:tc>
        <w:tc>
          <w:tcPr>
            <w:tcW w:w="160" w:type="dxa"/>
            <w:vAlign w:val="bottom"/>
            <w:gridSpan w:val="2"/>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4,681,731</w:t>
            </w:r>
          </w:p>
        </w:tc>
        <w:tc>
          <w:tcPr>
            <w:tcW w:w="120" w:type="dxa"/>
            <w:vAlign w:val="bottom"/>
          </w:tcPr>
          <w:p>
            <w:pPr>
              <w:ind w:left="4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1,792,294</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tcPr>
          <w:p>
            <w:pPr>
              <w:jc w:val="center"/>
              <w:spacing w:after="0" w:line="230" w:lineRule="exact"/>
              <w:rPr>
                <w:sz w:val="20"/>
                <w:szCs w:val="20"/>
                <w:color w:val="auto"/>
              </w:rPr>
            </w:pPr>
            <w:r>
              <w:rPr>
                <w:rFonts w:ascii="Arial" w:cs="Arial" w:eastAsia="Arial" w:hAnsi="Arial"/>
                <w:sz w:val="12"/>
                <w:szCs w:val="12"/>
                <w:color w:val="auto"/>
                <w:w w:val="77"/>
              </w:rPr>
              <w:t>​</w:t>
            </w:r>
            <w:r>
              <w:rPr>
                <w:rFonts w:ascii="Arial" w:cs="Arial" w:eastAsia="Arial" w:hAnsi="Arial"/>
                <w:sz w:val="23"/>
                <w:szCs w:val="23"/>
                <w:color w:val="auto"/>
                <w:w w:val="77"/>
                <w:vertAlign w:val="subscript"/>
              </w:rPr>
              <w:t>—</w:t>
            </w:r>
          </w:p>
        </w:tc>
        <w:tc>
          <w:tcPr>
            <w:tcW w:w="740" w:type="dxa"/>
            <w:vAlign w:val="bottom"/>
            <w:gridSpan w:val="3"/>
          </w:tcPr>
          <w:p>
            <w:pPr>
              <w:jc w:val="right"/>
              <w:spacing w:after="0" w:line="230" w:lineRule="exact"/>
              <w:rPr>
                <w:sz w:val="20"/>
                <w:szCs w:val="20"/>
                <w:color w:val="auto"/>
              </w:rPr>
            </w:pPr>
            <w:r>
              <w:rPr>
                <w:rFonts w:ascii="Arial" w:cs="Arial" w:eastAsia="Arial" w:hAnsi="Arial"/>
                <w:sz w:val="23"/>
                <w:szCs w:val="23"/>
                <w:color w:val="auto"/>
                <w:w w:val="98"/>
                <w:vertAlign w:val="superscript"/>
              </w:rPr>
              <w:t>​ ​</w:t>
            </w:r>
            <w:r>
              <w:rPr>
                <w:rFonts w:ascii="Arial" w:cs="Arial" w:eastAsia="Arial" w:hAnsi="Arial"/>
                <w:sz w:val="12"/>
                <w:szCs w:val="12"/>
                <w:color w:val="auto"/>
                <w:w w:val="98"/>
              </w:rPr>
              <w:t>$10,419,286</w:t>
            </w:r>
          </w:p>
        </w:tc>
        <w:tc>
          <w:tcPr>
            <w:tcW w:w="780" w:type="dxa"/>
            <w:vAlign w:val="bottom"/>
            <w:gridSpan w:val="4"/>
          </w:tcPr>
          <w:p>
            <w:pPr>
              <w:jc w:val="right"/>
              <w:ind w:right="14"/>
              <w:spacing w:after="0" w:line="230"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2"/>
                <w:szCs w:val="12"/>
                <w:color w:val="auto"/>
              </w:rPr>
              <w:t>$10,419,286</w:t>
            </w:r>
            <w:r>
              <w:rPr>
                <w:rFonts w:ascii="Arial" w:cs="Arial" w:eastAsia="Arial" w:hAnsi="Arial"/>
                <w:sz w:val="23"/>
                <w:szCs w:val="23"/>
                <w:color w:val="auto"/>
                <w:vertAlign w:val="superscript"/>
              </w:rPr>
              <w:t>​</w:t>
            </w:r>
          </w:p>
        </w:tc>
        <w:tc>
          <w:tcPr>
            <w:tcW w:w="880" w:type="dxa"/>
            <w:vAlign w:val="bottom"/>
            <w:gridSpan w:val="2"/>
          </w:tcPr>
          <w:p>
            <w:pPr>
              <w:jc w:val="right"/>
              <w:ind w:right="21"/>
              <w:spacing w:after="0" w:line="23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$10,419,286</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gridSpan w:val="3"/>
          </w:tcPr>
          <w:p>
            <w:pPr>
              <w:ind w:left="20"/>
              <w:spacing w:after="0" w:line="23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Outplacement</w:t>
            </w:r>
          </w:p>
        </w:tc>
        <w:tc>
          <w:tcPr>
            <w:tcW w:w="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300"/>
              <w:spacing w:after="0" w:line="23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w:t>
            </w:r>
          </w:p>
        </w:tc>
        <w:tc>
          <w:tcPr>
            <w:tcW w:w="20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tcPr>
          <w:p>
            <w:pPr>
              <w:spacing w:after="0"/>
              <w:rPr>
                <w:sz w:val="20"/>
                <w:szCs w:val="20"/>
                <w:color w:val="auto"/>
              </w:rPr>
            </w:pPr>
            <w:r>
              <w:rPr>
                <w:rFonts w:ascii="Arial" w:cs="Arial" w:eastAsia="Arial" w:hAnsi="Arial"/>
                <w:sz w:val="12"/>
                <w:szCs w:val="12"/>
                <w:color w:val="auto"/>
              </w:rPr>
              <w:t>​ ​</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ind w:left="4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34"/>
              <w:spacing w:after="0" w:line="230" w:lineRule="exact"/>
              <w:rPr>
                <w:sz w:val="20"/>
                <w:szCs w:val="20"/>
                <w:color w:val="auto"/>
              </w:rPr>
            </w:pPr>
            <w:r>
              <w:rPr>
                <w:rFonts w:ascii="Arial" w:cs="Arial" w:eastAsia="Arial" w:hAnsi="Arial"/>
                <w:sz w:val="12"/>
                <w:szCs w:val="12"/>
                <w:color w:val="auto"/>
              </w:rPr>
              <w:t xml:space="preserve">— </w:t>
            </w:r>
            <w:r>
              <w:rPr>
                <w:rFonts w:ascii="Arial" w:cs="Arial" w:eastAsia="Arial" w:hAnsi="Arial"/>
                <w:sz w:val="23"/>
                <w:szCs w:val="23"/>
                <w:color w:val="auto"/>
                <w:vertAlign w:val="superscript"/>
              </w:rPr>
              <w:t>​</w:t>
            </w:r>
          </w:p>
        </w:tc>
        <w:tc>
          <w:tcPr>
            <w:tcW w:w="760" w:type="dxa"/>
            <w:vAlign w:val="bottom"/>
          </w:tcPr>
          <w:p>
            <w:pPr>
              <w:jc w:val="center"/>
              <w:spacing w:after="0" w:line="230" w:lineRule="exact"/>
              <w:rPr>
                <w:sz w:val="20"/>
                <w:szCs w:val="20"/>
                <w:color w:val="auto"/>
              </w:rPr>
            </w:pPr>
            <w:r>
              <w:rPr>
                <w:rFonts w:ascii="Arial" w:cs="Arial" w:eastAsia="Arial" w:hAnsi="Arial"/>
                <w:sz w:val="23"/>
                <w:szCs w:val="23"/>
                <w:color w:val="auto"/>
                <w:w w:val="99"/>
                <w:vertAlign w:val="superscript"/>
              </w:rPr>
              <w:t>​</w:t>
            </w:r>
            <w:r>
              <w:rPr>
                <w:rFonts w:ascii="Arial" w:cs="Arial" w:eastAsia="Arial" w:hAnsi="Arial"/>
                <w:sz w:val="12"/>
                <w:szCs w:val="12"/>
                <w:color w:val="auto"/>
                <w:w w:val="99"/>
              </w:rPr>
              <w:t>—</w:t>
            </w:r>
          </w:p>
        </w:tc>
        <w:tc>
          <w:tcPr>
            <w:tcW w:w="140" w:type="dxa"/>
            <w:vAlign w:val="bottom"/>
            <w:gridSpan w:val="2"/>
          </w:tcPr>
          <w:p>
            <w:pPr>
              <w:spacing w:after="0"/>
              <w:rPr>
                <w:sz w:val="20"/>
                <w:szCs w:val="20"/>
                <w:color w:val="auto"/>
              </w:rPr>
            </w:pPr>
            <w:r>
              <w:rPr>
                <w:rFonts w:ascii="Arial" w:cs="Arial" w:eastAsia="Arial" w:hAnsi="Arial"/>
                <w:sz w:val="12"/>
                <w:szCs w:val="12"/>
                <w:color w:val="auto"/>
              </w:rPr>
              <w:t>​ ​</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tcPr>
          <w:p>
            <w:pPr>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ind w:right="14"/>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perscript"/>
              </w:rPr>
              <w:t>​</w:t>
            </w:r>
          </w:p>
        </w:tc>
        <w:tc>
          <w:tcPr>
            <w:tcW w:w="200" w:type="dxa"/>
            <w:vAlign w:val="bottom"/>
          </w:tcPr>
          <w:p>
            <w:pPr>
              <w:ind w:left="120"/>
              <w:spacing w:after="0" w:line="230" w:lineRule="exact"/>
              <w:rPr>
                <w:sz w:val="20"/>
                <w:szCs w:val="20"/>
                <w:color w:val="auto"/>
              </w:rPr>
            </w:pPr>
            <w:r>
              <w:rPr>
                <w:rFonts w:ascii="Arial" w:cs="Arial" w:eastAsia="Arial" w:hAnsi="Arial"/>
                <w:sz w:val="23"/>
                <w:szCs w:val="23"/>
                <w:color w:val="auto"/>
                <w:w w:val="89"/>
                <w:vertAlign w:val="superscript"/>
              </w:rPr>
              <w:t>​</w:t>
            </w:r>
            <w:r>
              <w:rPr>
                <w:rFonts w:ascii="Arial" w:cs="Arial" w:eastAsia="Arial" w:hAnsi="Arial"/>
                <w:sz w:val="12"/>
                <w:szCs w:val="12"/>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25,000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gridSpan w:val="3"/>
          </w:tcPr>
          <w:p>
            <w:pPr>
              <w:ind w:left="20"/>
              <w:spacing w:after="0" w:line="23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Healthcare</w:t>
            </w:r>
          </w:p>
        </w:tc>
        <w:tc>
          <w:tcPr>
            <w:tcW w:w="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300"/>
              <w:spacing w:after="0" w:line="23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w:t>
            </w:r>
          </w:p>
        </w:tc>
        <w:tc>
          <w:tcPr>
            <w:tcW w:w="20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tcPr>
          <w:p>
            <w:pPr>
              <w:spacing w:after="0"/>
              <w:rPr>
                <w:sz w:val="20"/>
                <w:szCs w:val="20"/>
                <w:color w:val="auto"/>
              </w:rPr>
            </w:pPr>
            <w:r>
              <w:rPr>
                <w:rFonts w:ascii="Arial" w:cs="Arial" w:eastAsia="Arial" w:hAnsi="Arial"/>
                <w:sz w:val="12"/>
                <w:szCs w:val="12"/>
                <w:color w:val="auto"/>
              </w:rPr>
              <w:t>​ ​</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ind w:left="40"/>
              <w:spacing w:after="0" w:line="230" w:lineRule="exact"/>
              <w:rPr>
                <w:sz w:val="20"/>
                <w:szCs w:val="20"/>
                <w:color w:val="auto"/>
              </w:rPr>
            </w:pPr>
            <w:r>
              <w:rPr>
                <w:rFonts w:ascii="Arial" w:cs="Arial" w:eastAsia="Arial" w:hAnsi="Arial"/>
                <w:sz w:val="23"/>
                <w:szCs w:val="23"/>
                <w:color w:val="auto"/>
                <w:w w:val="89"/>
                <w:vertAlign w:val="superscript"/>
              </w:rPr>
              <w:t>​</w:t>
            </w: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38,982</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tcPr>
          <w:p>
            <w:pPr>
              <w:jc w:val="center"/>
              <w:spacing w:after="0" w:line="230" w:lineRule="exact"/>
              <w:rPr>
                <w:sz w:val="20"/>
                <w:szCs w:val="20"/>
                <w:color w:val="auto"/>
              </w:rPr>
            </w:pPr>
            <w:r>
              <w:rPr>
                <w:rFonts w:ascii="Arial" w:cs="Arial" w:eastAsia="Arial" w:hAnsi="Arial"/>
                <w:sz w:val="23"/>
                <w:szCs w:val="23"/>
                <w:color w:val="auto"/>
                <w:w w:val="99"/>
                <w:vertAlign w:val="superscript"/>
              </w:rPr>
              <w:t>​</w:t>
            </w:r>
            <w:r>
              <w:rPr>
                <w:rFonts w:ascii="Arial" w:cs="Arial" w:eastAsia="Arial" w:hAnsi="Arial"/>
                <w:sz w:val="12"/>
                <w:szCs w:val="12"/>
                <w:color w:val="auto"/>
                <w:w w:val="99"/>
              </w:rPr>
              <w:t>—</w:t>
            </w:r>
          </w:p>
        </w:tc>
        <w:tc>
          <w:tcPr>
            <w:tcW w:w="140" w:type="dxa"/>
            <w:vAlign w:val="bottom"/>
            <w:gridSpan w:val="2"/>
          </w:tcPr>
          <w:p>
            <w:pPr>
              <w:spacing w:after="0"/>
              <w:rPr>
                <w:sz w:val="20"/>
                <w:szCs w:val="20"/>
                <w:color w:val="auto"/>
              </w:rPr>
            </w:pPr>
            <w:r>
              <w:rPr>
                <w:rFonts w:ascii="Arial" w:cs="Arial" w:eastAsia="Arial" w:hAnsi="Arial"/>
                <w:sz w:val="12"/>
                <w:szCs w:val="12"/>
                <w:color w:val="auto"/>
              </w:rPr>
              <w:t>​ ​</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tcPr>
          <w:p>
            <w:pPr>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ind w:right="14"/>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perscript"/>
              </w:rPr>
              <w:t>​</w:t>
            </w:r>
          </w:p>
        </w:tc>
        <w:tc>
          <w:tcPr>
            <w:tcW w:w="200" w:type="dxa"/>
            <w:vAlign w:val="bottom"/>
          </w:tcPr>
          <w:p>
            <w:pPr>
              <w:ind w:left="120"/>
              <w:spacing w:after="0" w:line="230" w:lineRule="exact"/>
              <w:rPr>
                <w:sz w:val="20"/>
                <w:szCs w:val="20"/>
                <w:color w:val="auto"/>
              </w:rPr>
            </w:pPr>
            <w:r>
              <w:rPr>
                <w:rFonts w:ascii="Arial" w:cs="Arial" w:eastAsia="Arial" w:hAnsi="Arial"/>
                <w:sz w:val="23"/>
                <w:szCs w:val="23"/>
                <w:color w:val="auto"/>
                <w:w w:val="89"/>
                <w:vertAlign w:val="superscript"/>
              </w:rPr>
              <w:t>​</w:t>
            </w:r>
            <w:r>
              <w:rPr>
                <w:rFonts w:ascii="Arial" w:cs="Arial" w:eastAsia="Arial" w:hAnsi="Arial"/>
                <w:sz w:val="12"/>
                <w:szCs w:val="12"/>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38,982</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gridSpan w:val="2"/>
          </w:tcPr>
          <w:p>
            <w:pPr>
              <w:jc w:val="right"/>
              <w:ind w:right="52"/>
              <w:spacing w:after="0"/>
              <w:rPr>
                <w:sz w:val="20"/>
                <w:szCs w:val="20"/>
                <w:color w:val="auto"/>
              </w:rPr>
            </w:pPr>
            <w:r>
              <w:rPr>
                <w:rFonts w:ascii="Arial" w:cs="Arial" w:eastAsia="Arial" w:hAnsi="Arial"/>
                <w:sz w:val="12"/>
                <w:szCs w:val="12"/>
                <w:color w:val="auto"/>
              </w:rPr>
              <w:t>​</w:t>
            </w:r>
          </w:p>
        </w:tc>
        <w:tc>
          <w:tcPr>
            <w:tcW w:w="880" w:type="dxa"/>
            <w:vAlign w:val="bottom"/>
            <w:gridSpan w:val="3"/>
          </w:tcPr>
          <w:p>
            <w:pPr>
              <w:ind w:left="580"/>
              <w:spacing w:after="0" w:line="230" w:lineRule="exact"/>
              <w:rPr>
                <w:sz w:val="20"/>
                <w:szCs w:val="20"/>
                <w:color w:val="auto"/>
              </w:rPr>
            </w:pPr>
            <w:r>
              <w:rPr>
                <w:rFonts w:ascii="Arial" w:cs="Arial" w:eastAsia="Arial" w:hAnsi="Arial"/>
                <w:sz w:val="12"/>
                <w:szCs w:val="12"/>
                <w:b w:val="1"/>
                <w:bCs w:val="1"/>
                <w:color w:val="auto"/>
                <w:w w:val="81"/>
              </w:rPr>
              <w:t xml:space="preserve">Total </w:t>
            </w:r>
            <w:r>
              <w:rPr>
                <w:rFonts w:ascii="Arial" w:cs="Arial" w:eastAsia="Arial" w:hAnsi="Arial"/>
                <w:sz w:val="23"/>
                <w:szCs w:val="23"/>
                <w:color w:val="auto"/>
                <w:w w:val="81"/>
                <w:vertAlign w:val="superscript"/>
              </w:rPr>
              <w:t>​</w:t>
            </w:r>
          </w:p>
        </w:tc>
        <w:tc>
          <w:tcPr>
            <w:tcW w:w="720" w:type="dxa"/>
            <w:vAlign w:val="bottom"/>
            <w:gridSpan w:val="2"/>
          </w:tcPr>
          <w:p>
            <w:pPr>
              <w:ind w:left="300"/>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780" w:type="dxa"/>
            <w:vAlign w:val="bottom"/>
            <w:gridSpan w:val="3"/>
          </w:tcPr>
          <w:p>
            <w:pPr>
              <w:jc w:val="right"/>
              <w:spacing w:after="0" w:line="230"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2"/>
                <w:szCs w:val="12"/>
                <w:color w:val="auto"/>
              </w:rPr>
              <w:t>$18,189,687</w:t>
            </w:r>
          </w:p>
        </w:tc>
        <w:tc>
          <w:tcPr>
            <w:tcW w:w="780" w:type="dxa"/>
            <w:vAlign w:val="bottom"/>
            <w:gridSpan w:val="4"/>
          </w:tcPr>
          <w:p>
            <w:pPr>
              <w:jc w:val="right"/>
              <w:ind w:right="60"/>
              <w:spacing w:after="0" w:line="230" w:lineRule="exact"/>
              <w:rPr>
                <w:sz w:val="20"/>
                <w:szCs w:val="20"/>
                <w:color w:val="auto"/>
              </w:rPr>
            </w:pPr>
            <w:r>
              <w:rPr>
                <w:rFonts w:ascii="Arial" w:cs="Arial" w:eastAsia="Arial" w:hAnsi="Arial"/>
                <w:sz w:val="23"/>
                <w:szCs w:val="23"/>
                <w:color w:val="auto"/>
                <w:w w:val="98"/>
                <w:vertAlign w:val="superscript"/>
              </w:rPr>
              <w:t>​ ​</w:t>
            </w:r>
            <w:r>
              <w:rPr>
                <w:rFonts w:ascii="Arial" w:cs="Arial" w:eastAsia="Arial" w:hAnsi="Arial"/>
                <w:sz w:val="12"/>
                <w:szCs w:val="12"/>
                <w:color w:val="auto"/>
                <w:w w:val="98"/>
              </w:rPr>
              <w:t>$13,177,133</w:t>
            </w:r>
          </w:p>
        </w:tc>
        <w:tc>
          <w:tcPr>
            <w:tcW w:w="800" w:type="dxa"/>
            <w:vAlign w:val="bottom"/>
            <w:gridSpan w:val="3"/>
          </w:tcPr>
          <w:p>
            <w:pPr>
              <w:jc w:val="right"/>
              <w:ind w:right="34"/>
              <w:spacing w:after="0" w:line="23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$17,258,109 </w:t>
            </w:r>
            <w:r>
              <w:rPr>
                <w:rFonts w:ascii="Arial" w:cs="Arial" w:eastAsia="Arial" w:hAnsi="Arial"/>
                <w:sz w:val="23"/>
                <w:szCs w:val="23"/>
                <w:color w:val="auto"/>
                <w:vertAlign w:val="superscript"/>
              </w:rPr>
              <w:t>​</w:t>
            </w:r>
          </w:p>
        </w:tc>
        <w:tc>
          <w:tcPr>
            <w:tcW w:w="760" w:type="dxa"/>
            <w:vAlign w:val="bottom"/>
          </w:tcPr>
          <w:p>
            <w:pPr>
              <w:jc w:val="center"/>
              <w:spacing w:after="0" w:line="230" w:lineRule="exact"/>
              <w:rPr>
                <w:sz w:val="20"/>
                <w:szCs w:val="20"/>
                <w:color w:val="auto"/>
              </w:rPr>
            </w:pPr>
            <w:r>
              <w:rPr>
                <w:rFonts w:ascii="Arial" w:cs="Arial" w:eastAsia="Arial" w:hAnsi="Arial"/>
                <w:sz w:val="12"/>
                <w:szCs w:val="12"/>
                <w:color w:val="auto"/>
                <w:w w:val="77"/>
              </w:rPr>
              <w:t>​</w:t>
            </w:r>
            <w:r>
              <w:rPr>
                <w:rFonts w:ascii="Arial" w:cs="Arial" w:eastAsia="Arial" w:hAnsi="Arial"/>
                <w:sz w:val="23"/>
                <w:szCs w:val="23"/>
                <w:color w:val="auto"/>
                <w:w w:val="77"/>
                <w:vertAlign w:val="subscript"/>
              </w:rPr>
              <w:t>—</w:t>
            </w:r>
          </w:p>
        </w:tc>
        <w:tc>
          <w:tcPr>
            <w:tcW w:w="740" w:type="dxa"/>
            <w:vAlign w:val="bottom"/>
            <w:gridSpan w:val="3"/>
          </w:tcPr>
          <w:p>
            <w:pPr>
              <w:jc w:val="right"/>
              <w:spacing w:after="0" w:line="230" w:lineRule="exact"/>
              <w:rPr>
                <w:sz w:val="20"/>
                <w:szCs w:val="20"/>
                <w:color w:val="auto"/>
              </w:rPr>
            </w:pPr>
            <w:r>
              <w:rPr>
                <w:rFonts w:ascii="Arial" w:cs="Arial" w:eastAsia="Arial" w:hAnsi="Arial"/>
                <w:sz w:val="23"/>
                <w:szCs w:val="23"/>
                <w:color w:val="auto"/>
                <w:w w:val="98"/>
                <w:vertAlign w:val="superscript"/>
              </w:rPr>
              <w:t>​ ​</w:t>
            </w:r>
            <w:r>
              <w:rPr>
                <w:rFonts w:ascii="Arial" w:cs="Arial" w:eastAsia="Arial" w:hAnsi="Arial"/>
                <w:sz w:val="12"/>
                <w:szCs w:val="12"/>
                <w:color w:val="auto"/>
                <w:w w:val="98"/>
              </w:rPr>
              <w:t>$18,189,687</w:t>
            </w:r>
          </w:p>
        </w:tc>
        <w:tc>
          <w:tcPr>
            <w:tcW w:w="780" w:type="dxa"/>
            <w:vAlign w:val="bottom"/>
            <w:gridSpan w:val="4"/>
          </w:tcPr>
          <w:p>
            <w:pPr>
              <w:jc w:val="right"/>
              <w:ind w:right="14"/>
              <w:spacing w:after="0" w:line="230"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2"/>
                <w:szCs w:val="12"/>
                <w:color w:val="auto"/>
              </w:rPr>
              <w:t>$18,914,687</w:t>
            </w:r>
            <w:r>
              <w:rPr>
                <w:rFonts w:ascii="Arial" w:cs="Arial" w:eastAsia="Arial" w:hAnsi="Arial"/>
                <w:sz w:val="23"/>
                <w:szCs w:val="23"/>
                <w:color w:val="auto"/>
                <w:vertAlign w:val="superscript"/>
              </w:rPr>
              <w:t>​</w:t>
            </w:r>
          </w:p>
        </w:tc>
        <w:tc>
          <w:tcPr>
            <w:tcW w:w="880" w:type="dxa"/>
            <w:vAlign w:val="bottom"/>
            <w:gridSpan w:val="2"/>
          </w:tcPr>
          <w:p>
            <w:pPr>
              <w:jc w:val="right"/>
              <w:ind w:right="21"/>
              <w:spacing w:after="0" w:line="23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$25,775,545</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780" w:type="dxa"/>
            <w:vAlign w:val="bottom"/>
            <w:gridSpan w:val="4"/>
          </w:tcPr>
          <w:p>
            <w:pPr>
              <w:spacing w:after="0" w:line="189" w:lineRule="exact"/>
              <w:rPr>
                <w:sz w:val="20"/>
                <w:szCs w:val="20"/>
                <w:color w:val="auto"/>
              </w:rPr>
            </w:pPr>
            <w:r>
              <w:rPr>
                <w:rFonts w:ascii="Arial" w:cs="Arial" w:eastAsia="Arial" w:hAnsi="Arial"/>
                <w:sz w:val="11"/>
                <w:szCs w:val="11"/>
                <w:color w:val="auto"/>
              </w:rPr>
              <w:t xml:space="preserve">Paul Bullington </w:t>
            </w:r>
            <w:r>
              <w:rPr>
                <w:rFonts w:ascii="Arial" w:cs="Arial" w:eastAsia="Arial" w:hAnsi="Arial"/>
                <w:sz w:val="21"/>
                <w:szCs w:val="21"/>
                <w:color w:val="auto"/>
                <w:vertAlign w:val="superscript"/>
              </w:rPr>
              <w:t>​​</w:t>
            </w:r>
            <w:r>
              <w:rPr>
                <w:rFonts w:ascii="Arial" w:cs="Arial" w:eastAsia="Arial" w:hAnsi="Arial"/>
                <w:sz w:val="11"/>
                <w:szCs w:val="11"/>
                <w:color w:val="auto"/>
              </w:rPr>
              <w:t>Severance</w:t>
            </w:r>
          </w:p>
        </w:tc>
        <w:tc>
          <w:tcPr>
            <w:tcW w:w="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300"/>
              <w:spacing w:after="0" w:line="189" w:lineRule="exact"/>
              <w:rPr>
                <w:sz w:val="20"/>
                <w:szCs w:val="20"/>
                <w:color w:val="auto"/>
              </w:rPr>
            </w:pPr>
            <w:r>
              <w:rPr>
                <w:rFonts w:ascii="Arial" w:cs="Arial" w:eastAsia="Arial" w:hAnsi="Arial"/>
                <w:sz w:val="11"/>
                <w:szCs w:val="11"/>
                <w:color w:val="auto"/>
              </w:rPr>
              <w:t>​</w:t>
            </w:r>
            <w:r>
              <w:rPr>
                <w:rFonts w:ascii="Arial" w:cs="Arial" w:eastAsia="Arial" w:hAnsi="Arial"/>
                <w:sz w:val="21"/>
                <w:szCs w:val="21"/>
                <w:color w:val="auto"/>
                <w:vertAlign w:val="subscript"/>
              </w:rPr>
              <w:t>—</w:t>
            </w:r>
          </w:p>
        </w:tc>
        <w:tc>
          <w:tcPr>
            <w:tcW w:w="20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tcPr>
          <w:p>
            <w:pPr>
              <w:spacing w:after="0" w:line="189" w:lineRule="exact"/>
              <w:rPr>
                <w:sz w:val="20"/>
                <w:szCs w:val="20"/>
                <w:color w:val="auto"/>
              </w:rPr>
            </w:pPr>
            <w:r>
              <w:rPr>
                <w:rFonts w:ascii="Arial" w:cs="Arial" w:eastAsia="Arial" w:hAnsi="Arial"/>
                <w:sz w:val="11"/>
                <w:szCs w:val="11"/>
                <w:color w:val="auto"/>
              </w:rPr>
              <w:t>​ ​</w:t>
            </w:r>
            <w:r>
              <w:rPr>
                <w:rFonts w:ascii="Arial" w:cs="Arial" w:eastAsia="Arial" w:hAnsi="Arial"/>
                <w:sz w:val="21"/>
                <w:szCs w:val="21"/>
                <w:color w:val="auto"/>
                <w:vertAlign w:val="subscript"/>
              </w:rPr>
              <w:t>$</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453,200</w:t>
            </w:r>
          </w:p>
        </w:tc>
        <w:tc>
          <w:tcPr>
            <w:tcW w:w="120" w:type="dxa"/>
            <w:vAlign w:val="bottom"/>
          </w:tcPr>
          <w:p>
            <w:pPr>
              <w:ind w:left="40"/>
              <w:spacing w:after="0" w:line="189" w:lineRule="exact"/>
              <w:rPr>
                <w:sz w:val="20"/>
                <w:szCs w:val="20"/>
                <w:color w:val="auto"/>
              </w:rPr>
            </w:pPr>
            <w:r>
              <w:rPr>
                <w:rFonts w:ascii="Arial" w:cs="Arial" w:eastAsia="Arial" w:hAnsi="Arial"/>
                <w:sz w:val="11"/>
                <w:szCs w:val="11"/>
                <w:color w:val="auto"/>
                <w:w w:val="76"/>
              </w:rPr>
              <w:t>​</w:t>
            </w:r>
            <w:r>
              <w:rPr>
                <w:rFonts w:ascii="Arial" w:cs="Arial" w:eastAsia="Arial" w:hAnsi="Arial"/>
                <w:sz w:val="21"/>
                <w:szCs w:val="21"/>
                <w:color w:val="auto"/>
                <w:w w:val="76"/>
                <w:vertAlign w:val="subscript"/>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2,046,539</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tcPr>
          <w:p>
            <w:pPr>
              <w:jc w:val="center"/>
              <w:spacing w:after="0" w:line="189" w:lineRule="exact"/>
              <w:rPr>
                <w:sz w:val="20"/>
                <w:szCs w:val="20"/>
                <w:color w:val="auto"/>
              </w:rPr>
            </w:pPr>
            <w:r>
              <w:rPr>
                <w:rFonts w:ascii="Arial" w:cs="Arial" w:eastAsia="Arial" w:hAnsi="Arial"/>
                <w:sz w:val="11"/>
                <w:szCs w:val="11"/>
                <w:color w:val="auto"/>
                <w:w w:val="85"/>
              </w:rPr>
              <w:t>​</w:t>
            </w:r>
            <w:r>
              <w:rPr>
                <w:rFonts w:ascii="Arial" w:cs="Arial" w:eastAsia="Arial" w:hAnsi="Arial"/>
                <w:sz w:val="21"/>
                <w:szCs w:val="21"/>
                <w:color w:val="auto"/>
                <w:w w:val="85"/>
                <w:vertAlign w:val="subscript"/>
              </w:rPr>
              <w:t>—</w:t>
            </w:r>
          </w:p>
        </w:tc>
        <w:tc>
          <w:tcPr>
            <w:tcW w:w="140" w:type="dxa"/>
            <w:vAlign w:val="bottom"/>
            <w:gridSpan w:val="2"/>
          </w:tcPr>
          <w:p>
            <w:pPr>
              <w:spacing w:after="0"/>
              <w:rPr>
                <w:sz w:val="20"/>
                <w:szCs w:val="20"/>
                <w:color w:val="auto"/>
              </w:rPr>
            </w:pPr>
            <w:r>
              <w:rPr>
                <w:rFonts w:ascii="Arial" w:cs="Arial" w:eastAsia="Arial" w:hAnsi="Arial"/>
                <w:sz w:val="12"/>
                <w:szCs w:val="12"/>
                <w:color w:val="auto"/>
              </w:rPr>
              <w:t>​ ​</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tcPr>
          <w:p>
            <w:pPr>
              <w:spacing w:after="0" w:line="189" w:lineRule="exact"/>
              <w:rPr>
                <w:sz w:val="20"/>
                <w:szCs w:val="20"/>
                <w:color w:val="auto"/>
              </w:rPr>
            </w:pPr>
            <w:r>
              <w:rPr>
                <w:rFonts w:ascii="Arial" w:cs="Arial" w:eastAsia="Arial" w:hAnsi="Arial"/>
                <w:sz w:val="11"/>
                <w:szCs w:val="11"/>
                <w:color w:val="auto"/>
              </w:rPr>
              <w:t>​ ​</w:t>
            </w:r>
            <w:r>
              <w:rPr>
                <w:rFonts w:ascii="Arial" w:cs="Arial" w:eastAsia="Arial" w:hAnsi="Arial"/>
                <w:sz w:val="21"/>
                <w:szCs w:val="21"/>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453,200</w:t>
            </w:r>
          </w:p>
        </w:tc>
        <w:tc>
          <w:tcPr>
            <w:tcW w:w="40" w:type="dxa"/>
            <w:vAlign w:val="bottom"/>
          </w:tcPr>
          <w:p>
            <w:pPr>
              <w:jc w:val="right"/>
              <w:ind w:right="14"/>
              <w:spacing w:after="0"/>
              <w:rPr>
                <w:sz w:val="20"/>
                <w:szCs w:val="20"/>
                <w:color w:val="auto"/>
              </w:rPr>
            </w:pPr>
            <w:r>
              <w:rPr>
                <w:rFonts w:ascii="Arial" w:cs="Arial" w:eastAsia="Arial" w:hAnsi="Arial"/>
                <w:sz w:val="1"/>
                <w:szCs w:val="1"/>
                <w:color w:val="auto"/>
                <w:w w:val="4294942296"/>
              </w:rPr>
              <w:t>​</w:t>
            </w:r>
          </w:p>
        </w:tc>
        <w:tc>
          <w:tcPr>
            <w:tcW w:w="200" w:type="dxa"/>
            <w:vAlign w:val="bottom"/>
          </w:tcPr>
          <w:p>
            <w:pPr>
              <w:ind w:left="120"/>
              <w:spacing w:after="0" w:line="189" w:lineRule="exact"/>
              <w:rPr>
                <w:sz w:val="20"/>
                <w:szCs w:val="20"/>
                <w:color w:val="auto"/>
              </w:rPr>
            </w:pPr>
            <w:r>
              <w:rPr>
                <w:rFonts w:ascii="Arial" w:cs="Arial" w:eastAsia="Arial" w:hAnsi="Arial"/>
                <w:sz w:val="11"/>
                <w:szCs w:val="11"/>
                <w:color w:val="auto"/>
                <w:w w:val="76"/>
              </w:rPr>
              <w:t>​</w:t>
            </w:r>
            <w:r>
              <w:rPr>
                <w:rFonts w:ascii="Arial" w:cs="Arial" w:eastAsia="Arial" w:hAnsi="Arial"/>
                <w:sz w:val="21"/>
                <w:szCs w:val="21"/>
                <w:color w:val="auto"/>
                <w:w w:val="76"/>
                <w:vertAlign w:val="subscript"/>
              </w:rPr>
              <w:t>$</w:t>
            </w: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2,382,336</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ind w:left="300"/>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200" w:type="dxa"/>
            <w:vAlign w:val="bottom"/>
            <w:gridSpan w:val="2"/>
            <w:vMerge w:val="restart"/>
          </w:tcPr>
          <w:p>
            <w:pPr>
              <w:ind w:left="20"/>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580" w:type="dxa"/>
            <w:vAlign w:val="bottom"/>
          </w:tcPr>
          <w:p>
            <w:pPr>
              <w:spacing w:after="0" w:line="20" w:lineRule="exact"/>
              <w:rPr>
                <w:sz w:val="1"/>
                <w:szCs w:val="1"/>
                <w:color w:val="auto"/>
              </w:rPr>
            </w:pPr>
          </w:p>
        </w:tc>
        <w:tc>
          <w:tcPr>
            <w:tcW w:w="160" w:type="dxa"/>
            <w:vAlign w:val="bottom"/>
            <w:gridSpan w:val="2"/>
            <w:vMerge w:val="restart"/>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restart"/>
          </w:tcPr>
          <w:p>
            <w:pPr>
              <w:ind w:left="4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20" w:type="dxa"/>
            <w:vAlign w:val="bottom"/>
          </w:tcPr>
          <w:p>
            <w:pPr>
              <w:spacing w:after="0" w:line="20" w:lineRule="exact"/>
              <w:rPr>
                <w:sz w:val="1"/>
                <w:szCs w:val="1"/>
                <w:color w:val="auto"/>
              </w:rPr>
            </w:pPr>
          </w:p>
        </w:tc>
        <w:tc>
          <w:tcPr>
            <w:tcW w:w="60" w:type="dxa"/>
            <w:vAlign w:val="bottom"/>
            <w:vMerge w:val="restart"/>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vMerge w:val="restart"/>
          </w:tcPr>
          <w:p>
            <w:pPr>
              <w:jc w:val="center"/>
              <w:spacing w:after="0" w:line="230" w:lineRule="exact"/>
              <w:rPr>
                <w:sz w:val="20"/>
                <w:szCs w:val="20"/>
                <w:color w:val="auto"/>
              </w:rPr>
            </w:pPr>
            <w:r>
              <w:rPr>
                <w:rFonts w:ascii="Arial" w:cs="Arial" w:eastAsia="Arial" w:hAnsi="Arial"/>
                <w:sz w:val="12"/>
                <w:szCs w:val="12"/>
                <w:color w:val="auto"/>
                <w:w w:val="77"/>
              </w:rPr>
              <w:t>​</w:t>
            </w:r>
            <w:r>
              <w:rPr>
                <w:rFonts w:ascii="Arial" w:cs="Arial" w:eastAsia="Arial" w:hAnsi="Arial"/>
                <w:sz w:val="23"/>
                <w:szCs w:val="23"/>
                <w:color w:val="auto"/>
                <w:w w:val="77"/>
                <w:vertAlign w:val="subscript"/>
              </w:rPr>
              <w:t>—</w:t>
            </w:r>
          </w:p>
        </w:tc>
        <w:tc>
          <w:tcPr>
            <w:tcW w:w="140" w:type="dxa"/>
            <w:vAlign w:val="bottom"/>
            <w:gridSpan w:val="2"/>
            <w:vMerge w:val="restart"/>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tcPr>
          <w:p>
            <w:pPr>
              <w:spacing w:after="0" w:line="20" w:lineRule="exact"/>
              <w:rPr>
                <w:sz w:val="1"/>
                <w:szCs w:val="1"/>
                <w:color w:val="auto"/>
              </w:rPr>
            </w:pPr>
          </w:p>
        </w:tc>
        <w:tc>
          <w:tcPr>
            <w:tcW w:w="140" w:type="dxa"/>
            <w:vAlign w:val="bottom"/>
            <w:gridSpan w:val="2"/>
            <w:vMerge w:val="restart"/>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tcPr>
          <w:p>
            <w:pPr>
              <w:spacing w:after="0" w:line="20" w:lineRule="exact"/>
              <w:rPr>
                <w:sz w:val="1"/>
                <w:szCs w:val="1"/>
                <w:color w:val="auto"/>
              </w:rPr>
            </w:pPr>
          </w:p>
        </w:tc>
        <w:tc>
          <w:tcPr>
            <w:tcW w:w="40" w:type="dxa"/>
            <w:vAlign w:val="bottom"/>
            <w:vMerge w:val="restart"/>
          </w:tcPr>
          <w:p>
            <w:pPr>
              <w:jc w:val="right"/>
              <w:ind w:right="14"/>
              <w:spacing w:after="0"/>
              <w:rPr>
                <w:sz w:val="20"/>
                <w:szCs w:val="20"/>
                <w:color w:val="auto"/>
              </w:rPr>
            </w:pPr>
            <w:r>
              <w:rPr>
                <w:rFonts w:ascii="Arial" w:cs="Arial" w:eastAsia="Arial" w:hAnsi="Arial"/>
                <w:sz w:val="1"/>
                <w:szCs w:val="1"/>
                <w:color w:val="auto"/>
                <w:w w:val="4294942296"/>
              </w:rPr>
              <w:t>​</w:t>
            </w:r>
          </w:p>
        </w:tc>
        <w:tc>
          <w:tcPr>
            <w:tcW w:w="200" w:type="dxa"/>
            <w:vAlign w:val="bottom"/>
            <w:vMerge w:val="restart"/>
          </w:tcPr>
          <w:p>
            <w:pPr>
              <w:ind w:left="12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960" w:type="dxa"/>
            <w:vAlign w:val="bottom"/>
            <w:gridSpan w:val="2"/>
            <w:shd w:val="clear" w:color="auto" w:fill="B2B2B2"/>
          </w:tcPr>
          <w:p>
            <w:pPr>
              <w:spacing w:after="0" w:line="208" w:lineRule="exact"/>
              <w:rPr>
                <w:sz w:val="20"/>
                <w:szCs w:val="20"/>
                <w:color w:val="auto"/>
              </w:rPr>
            </w:pPr>
            <w:r>
              <w:rPr>
                <w:rFonts w:ascii="Arial" w:cs="Arial" w:eastAsia="Arial" w:hAnsi="Arial"/>
                <w:sz w:val="23"/>
                <w:szCs w:val="23"/>
                <w:color w:val="auto"/>
                <w:w w:val="90"/>
                <w:vertAlign w:val="superscript"/>
              </w:rPr>
              <w:t>​</w:t>
            </w:r>
            <w:r>
              <w:rPr>
                <w:rFonts w:ascii="Arial" w:cs="Arial" w:eastAsia="Arial" w:hAnsi="Arial"/>
                <w:sz w:val="12"/>
                <w:szCs w:val="12"/>
                <w:color w:val="auto"/>
                <w:w w:val="90"/>
              </w:rPr>
              <w:t xml:space="preserve">Restricted Stock </w:t>
            </w:r>
            <w:r>
              <w:rPr>
                <w:rFonts w:ascii="Arial" w:cs="Arial" w:eastAsia="Arial" w:hAnsi="Arial"/>
                <w:sz w:val="16"/>
                <w:szCs w:val="16"/>
                <w:color w:val="auto"/>
                <w:w w:val="90"/>
                <w:vertAlign w:val="superscript"/>
              </w:rPr>
              <w:t>(1)</w:t>
            </w:r>
          </w:p>
        </w:tc>
        <w:tc>
          <w:tcPr>
            <w:tcW w:w="4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2,497,167</w:t>
            </w:r>
          </w:p>
        </w:tc>
        <w:tc>
          <w:tcPr>
            <w:tcW w:w="160" w:type="dxa"/>
            <w:vAlign w:val="bottom"/>
            <w:gridSpan w:val="2"/>
            <w:vMerge w:val="continue"/>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2,497,167</w:t>
            </w:r>
          </w:p>
        </w:tc>
        <w:tc>
          <w:tcPr>
            <w:tcW w:w="12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2,497,167</w:t>
            </w:r>
          </w:p>
        </w:tc>
        <w:tc>
          <w:tcPr>
            <w:tcW w:w="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2,497,167</w:t>
            </w:r>
          </w:p>
        </w:tc>
        <w:tc>
          <w:tcPr>
            <w:tcW w:w="140" w:type="dxa"/>
            <w:vAlign w:val="bottom"/>
            <w:gridSpan w:val="2"/>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2,497,167</w:t>
            </w:r>
          </w:p>
        </w:tc>
        <w:tc>
          <w:tcPr>
            <w:tcW w:w="4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2,497,167</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vMerge w:val="restart"/>
            <w:shd w:val="clear" w:color="auto" w:fill="B2B2B2"/>
          </w:tcPr>
          <w:p>
            <w:pPr>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PBRSUs</w:t>
            </w:r>
            <w:r>
              <w:rPr>
                <w:rFonts w:ascii="Arial" w:cs="Arial" w:eastAsia="Arial" w:hAnsi="Arial"/>
                <w:sz w:val="12"/>
                <w:szCs w:val="12"/>
                <w:color w:val="auto"/>
              </w:rPr>
              <w:t xml:space="preserve"> </w:t>
            </w:r>
            <w:r>
              <w:rPr>
                <w:rFonts w:ascii="Arial" w:cs="Arial" w:eastAsia="Arial" w:hAnsi="Arial"/>
                <w:sz w:val="8"/>
                <w:szCs w:val="8"/>
                <w:color w:val="auto"/>
              </w:rPr>
              <w:t>(1)(2)</w:t>
            </w:r>
          </w:p>
        </w:tc>
        <w:tc>
          <w:tcPr>
            <w:tcW w:w="20" w:type="dxa"/>
            <w:vAlign w:val="bottom"/>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ind w:left="300"/>
              <w:spacing w:after="0" w:line="23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w:t>
            </w:r>
          </w:p>
        </w:tc>
        <w:tc>
          <w:tcPr>
            <w:tcW w:w="200" w:type="dxa"/>
            <w:vAlign w:val="bottom"/>
            <w:gridSpan w:val="2"/>
            <w:vMerge w:val="restart"/>
          </w:tcPr>
          <w:p>
            <w:pPr>
              <w:ind w:left="20"/>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3,469,918</w:t>
            </w:r>
          </w:p>
        </w:tc>
        <w:tc>
          <w:tcPr>
            <w:tcW w:w="160" w:type="dxa"/>
            <w:vAlign w:val="bottom"/>
            <w:gridSpan w:val="2"/>
            <w:vMerge w:val="restart"/>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1,585,443</w:t>
            </w:r>
          </w:p>
        </w:tc>
        <w:tc>
          <w:tcPr>
            <w:tcW w:w="120" w:type="dxa"/>
            <w:vAlign w:val="bottom"/>
            <w:vMerge w:val="restart"/>
          </w:tcPr>
          <w:p>
            <w:pPr>
              <w:ind w:left="40"/>
              <w:spacing w:after="0" w:line="230" w:lineRule="exact"/>
              <w:rPr>
                <w:sz w:val="20"/>
                <w:szCs w:val="20"/>
                <w:color w:val="auto"/>
              </w:rPr>
            </w:pPr>
            <w:r>
              <w:rPr>
                <w:rFonts w:ascii="Arial" w:cs="Arial" w:eastAsia="Arial" w:hAnsi="Arial"/>
                <w:sz w:val="23"/>
                <w:szCs w:val="23"/>
                <w:color w:val="auto"/>
                <w:w w:val="89"/>
                <w:vertAlign w:val="superscript"/>
              </w:rPr>
              <w:t>​</w:t>
            </w:r>
            <w:r>
              <w:rPr>
                <w:rFonts w:ascii="Arial" w:cs="Arial" w:eastAsia="Arial" w:hAnsi="Arial"/>
                <w:sz w:val="12"/>
                <w:szCs w:val="12"/>
                <w:color w:val="auto"/>
                <w:w w:val="89"/>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582,223</w:t>
            </w:r>
          </w:p>
        </w:tc>
        <w:tc>
          <w:tcPr>
            <w:tcW w:w="60" w:type="dxa"/>
            <w:vAlign w:val="bottom"/>
            <w:vMerge w:val="restart"/>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vMerge w:val="restart"/>
          </w:tcPr>
          <w:p>
            <w:pPr>
              <w:jc w:val="center"/>
              <w:spacing w:after="0" w:line="230" w:lineRule="exact"/>
              <w:rPr>
                <w:sz w:val="20"/>
                <w:szCs w:val="20"/>
                <w:color w:val="auto"/>
              </w:rPr>
            </w:pPr>
            <w:r>
              <w:rPr>
                <w:rFonts w:ascii="Arial" w:cs="Arial" w:eastAsia="Arial" w:hAnsi="Arial"/>
                <w:sz w:val="23"/>
                <w:szCs w:val="23"/>
                <w:color w:val="auto"/>
                <w:w w:val="99"/>
                <w:vertAlign w:val="superscript"/>
              </w:rPr>
              <w:t>​</w:t>
            </w:r>
            <w:r>
              <w:rPr>
                <w:rFonts w:ascii="Arial" w:cs="Arial" w:eastAsia="Arial" w:hAnsi="Arial"/>
                <w:sz w:val="12"/>
                <w:szCs w:val="12"/>
                <w:color w:val="auto"/>
                <w:w w:val="99"/>
              </w:rPr>
              <w:t>—</w:t>
            </w:r>
          </w:p>
        </w:tc>
        <w:tc>
          <w:tcPr>
            <w:tcW w:w="140" w:type="dxa"/>
            <w:vAlign w:val="bottom"/>
            <w:gridSpan w:val="2"/>
            <w:vMerge w:val="restart"/>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3,469,918</w:t>
            </w:r>
          </w:p>
        </w:tc>
        <w:tc>
          <w:tcPr>
            <w:tcW w:w="140" w:type="dxa"/>
            <w:vAlign w:val="bottom"/>
            <w:gridSpan w:val="2"/>
            <w:vMerge w:val="restart"/>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3,469,918</w:t>
            </w:r>
          </w:p>
        </w:tc>
        <w:tc>
          <w:tcPr>
            <w:tcW w:w="40" w:type="dxa"/>
            <w:vAlign w:val="bottom"/>
            <w:vMerge w:val="restart"/>
          </w:tcPr>
          <w:p>
            <w:pPr>
              <w:jc w:val="right"/>
              <w:ind w:right="14"/>
              <w:spacing w:after="0"/>
              <w:rPr>
                <w:sz w:val="20"/>
                <w:szCs w:val="20"/>
                <w:color w:val="auto"/>
              </w:rPr>
            </w:pPr>
            <w:r>
              <w:rPr>
                <w:rFonts w:ascii="Arial" w:cs="Arial" w:eastAsia="Arial" w:hAnsi="Arial"/>
                <w:sz w:val="1"/>
                <w:szCs w:val="1"/>
                <w:color w:val="auto"/>
                <w:w w:val="4294942296"/>
              </w:rPr>
              <w:t>​</w:t>
            </w:r>
          </w:p>
        </w:tc>
        <w:tc>
          <w:tcPr>
            <w:tcW w:w="200" w:type="dxa"/>
            <w:vAlign w:val="bottom"/>
            <w:vMerge w:val="restart"/>
          </w:tcPr>
          <w:p>
            <w:pPr>
              <w:ind w:left="120"/>
              <w:spacing w:after="0" w:line="230" w:lineRule="exact"/>
              <w:rPr>
                <w:sz w:val="20"/>
                <w:szCs w:val="20"/>
                <w:color w:val="auto"/>
              </w:rPr>
            </w:pPr>
            <w:r>
              <w:rPr>
                <w:rFonts w:ascii="Arial" w:cs="Arial" w:eastAsia="Arial" w:hAnsi="Arial"/>
                <w:sz w:val="23"/>
                <w:szCs w:val="23"/>
                <w:color w:val="auto"/>
                <w:w w:val="89"/>
                <w:vertAlign w:val="superscript"/>
              </w:rPr>
              <w:t>​</w:t>
            </w:r>
            <w:r>
              <w:rPr>
                <w:rFonts w:ascii="Arial" w:cs="Arial" w:eastAsia="Arial" w:hAnsi="Arial"/>
                <w:sz w:val="12"/>
                <w:szCs w:val="12"/>
                <w:color w:val="auto"/>
                <w:w w:val="89"/>
              </w:rPr>
              <w:t>$</w:t>
            </w:r>
          </w:p>
        </w:tc>
        <w:tc>
          <w:tcPr>
            <w:tcW w:w="680" w:type="dxa"/>
            <w:vAlign w:val="bottom"/>
            <w:vMerge w:val="restart"/>
          </w:tcPr>
          <w:p>
            <w:pPr>
              <w:jc w:val="right"/>
              <w:ind w:right="21"/>
              <w:spacing w:after="0"/>
              <w:rPr>
                <w:sz w:val="20"/>
                <w:szCs w:val="20"/>
                <w:color w:val="auto"/>
              </w:rPr>
            </w:pPr>
            <w:r>
              <w:rPr>
                <w:rFonts w:ascii="Arial" w:cs="Arial" w:eastAsia="Arial" w:hAnsi="Arial"/>
                <w:sz w:val="12"/>
                <w:szCs w:val="12"/>
                <w:color w:val="auto"/>
              </w:rPr>
              <w:t>3,469,918</w:t>
            </w:r>
          </w:p>
        </w:tc>
        <w:tc>
          <w:tcPr>
            <w:tcW w:w="0" w:type="dxa"/>
            <w:vAlign w:val="bottom"/>
          </w:tcPr>
          <w:p>
            <w:pPr>
              <w:spacing w:after="0" w:line="20" w:lineRule="exact"/>
              <w:rPr>
                <w:sz w:val="1"/>
                <w:szCs w:val="1"/>
                <w:color w:val="auto"/>
              </w:rPr>
            </w:pPr>
          </w:p>
        </w:tc>
      </w:tr>
      <w:tr>
        <w:trPr>
          <w:trHeight w:val="208"/>
        </w:trPr>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vMerge w:val="continue"/>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vMerge w:val="restart"/>
            <w:shd w:val="clear" w:color="auto" w:fill="B2B2B2"/>
          </w:tcPr>
          <w:p>
            <w:pPr>
              <w:spacing w:after="0" w:line="23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Outplacement</w:t>
            </w:r>
          </w:p>
        </w:tc>
        <w:tc>
          <w:tcPr>
            <w:tcW w:w="20" w:type="dxa"/>
            <w:vAlign w:val="bottom"/>
            <w:shd w:val="clear" w:color="auto" w:fill="B2B2B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vMerge w:val="restart"/>
          </w:tcPr>
          <w:p>
            <w:pPr>
              <w:ind w:left="300"/>
              <w:spacing w:after="0" w:line="23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w:t>
            </w:r>
          </w:p>
        </w:tc>
        <w:tc>
          <w:tcPr>
            <w:tcW w:w="200" w:type="dxa"/>
            <w:vAlign w:val="bottom"/>
            <w:gridSpan w:val="2"/>
            <w:vMerge w:val="restart"/>
          </w:tcPr>
          <w:p>
            <w:pPr>
              <w:ind w:left="20"/>
              <w:spacing w:after="0"/>
              <w:rPr>
                <w:sz w:val="20"/>
                <w:szCs w:val="20"/>
                <w:color w:val="auto"/>
              </w:rPr>
            </w:pPr>
            <w:r>
              <w:rPr>
                <w:rFonts w:ascii="Arial" w:cs="Arial" w:eastAsia="Arial" w:hAnsi="Arial"/>
                <w:sz w:val="12"/>
                <w:szCs w:val="12"/>
                <w:color w:val="auto"/>
              </w:rPr>
              <w:t>​ ​</w:t>
            </w:r>
          </w:p>
        </w:tc>
        <w:tc>
          <w:tcPr>
            <w:tcW w:w="580" w:type="dxa"/>
            <w:vAlign w:val="bottom"/>
          </w:tcPr>
          <w:p>
            <w:pPr>
              <w:spacing w:after="0" w:line="20" w:lineRule="exact"/>
              <w:rPr>
                <w:sz w:val="1"/>
                <w:szCs w:val="1"/>
                <w:color w:val="auto"/>
              </w:rPr>
            </w:pPr>
          </w:p>
        </w:tc>
        <w:tc>
          <w:tcPr>
            <w:tcW w:w="160" w:type="dxa"/>
            <w:vAlign w:val="bottom"/>
            <w:gridSpan w:val="2"/>
            <w:vMerge w:val="restart"/>
          </w:tcPr>
          <w:p>
            <w:pPr>
              <w:spacing w:after="0"/>
              <w:rPr>
                <w:sz w:val="20"/>
                <w:szCs w:val="20"/>
                <w:color w:val="auto"/>
              </w:rPr>
            </w:pPr>
            <w:r>
              <w:rPr>
                <w:rFonts w:ascii="Arial" w:cs="Arial" w:eastAsia="Arial" w:hAnsi="Arial"/>
                <w:sz w:val="12"/>
                <w:szCs w:val="12"/>
                <w:color w:val="auto"/>
              </w:rPr>
              <w:t>​ ​</w:t>
            </w: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restart"/>
          </w:tcPr>
          <w:p>
            <w:pPr>
              <w:ind w:left="40"/>
              <w:spacing w:after="0" w:line="230" w:lineRule="exact"/>
              <w:rPr>
                <w:sz w:val="20"/>
                <w:szCs w:val="20"/>
                <w:color w:val="auto"/>
              </w:rPr>
            </w:pPr>
            <w:r>
              <w:rPr>
                <w:rFonts w:ascii="Arial" w:cs="Arial" w:eastAsia="Arial" w:hAnsi="Arial"/>
                <w:sz w:val="23"/>
                <w:szCs w:val="23"/>
                <w:color w:val="auto"/>
                <w:w w:val="89"/>
                <w:vertAlign w:val="superscript"/>
              </w:rPr>
              <w:t>​</w:t>
            </w:r>
            <w:r>
              <w:rPr>
                <w:rFonts w:ascii="Arial" w:cs="Arial" w:eastAsia="Arial" w:hAnsi="Arial"/>
                <w:sz w:val="12"/>
                <w:szCs w:val="12"/>
                <w:color w:val="auto"/>
                <w:w w:val="89"/>
              </w:rPr>
              <w:t>$</w:t>
            </w:r>
          </w:p>
        </w:tc>
        <w:tc>
          <w:tcPr>
            <w:tcW w:w="620" w:type="dxa"/>
            <w:vAlign w:val="bottom"/>
          </w:tcPr>
          <w:p>
            <w:pPr>
              <w:spacing w:after="0" w:line="20" w:lineRule="exact"/>
              <w:rPr>
                <w:sz w:val="1"/>
                <w:szCs w:val="1"/>
                <w:color w:val="auto"/>
              </w:rPr>
            </w:pPr>
          </w:p>
        </w:tc>
        <w:tc>
          <w:tcPr>
            <w:tcW w:w="60" w:type="dxa"/>
            <w:vAlign w:val="bottom"/>
            <w:vMerge w:val="restart"/>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vMerge w:val="restart"/>
          </w:tcPr>
          <w:p>
            <w:pPr>
              <w:jc w:val="center"/>
              <w:spacing w:after="0" w:line="230" w:lineRule="exact"/>
              <w:rPr>
                <w:sz w:val="20"/>
                <w:szCs w:val="20"/>
                <w:color w:val="auto"/>
              </w:rPr>
            </w:pPr>
            <w:r>
              <w:rPr>
                <w:rFonts w:ascii="Arial" w:cs="Arial" w:eastAsia="Arial" w:hAnsi="Arial"/>
                <w:sz w:val="23"/>
                <w:szCs w:val="23"/>
                <w:color w:val="auto"/>
                <w:w w:val="99"/>
                <w:vertAlign w:val="superscript"/>
              </w:rPr>
              <w:t>​</w:t>
            </w:r>
            <w:r>
              <w:rPr>
                <w:rFonts w:ascii="Arial" w:cs="Arial" w:eastAsia="Arial" w:hAnsi="Arial"/>
                <w:sz w:val="12"/>
                <w:szCs w:val="12"/>
                <w:color w:val="auto"/>
                <w:w w:val="99"/>
              </w:rPr>
              <w:t>—</w:t>
            </w:r>
          </w:p>
        </w:tc>
        <w:tc>
          <w:tcPr>
            <w:tcW w:w="140" w:type="dxa"/>
            <w:vAlign w:val="bottom"/>
            <w:gridSpan w:val="2"/>
            <w:vMerge w:val="restart"/>
          </w:tcPr>
          <w:p>
            <w:pPr>
              <w:spacing w:after="0"/>
              <w:rPr>
                <w:sz w:val="20"/>
                <w:szCs w:val="20"/>
                <w:color w:val="auto"/>
              </w:rPr>
            </w:pPr>
            <w:r>
              <w:rPr>
                <w:rFonts w:ascii="Arial" w:cs="Arial" w:eastAsia="Arial" w:hAnsi="Arial"/>
                <w:sz w:val="12"/>
                <w:szCs w:val="12"/>
                <w:color w:val="auto"/>
              </w:rPr>
              <w:t>​ ​</w:t>
            </w:r>
          </w:p>
        </w:tc>
        <w:tc>
          <w:tcPr>
            <w:tcW w:w="600" w:type="dxa"/>
            <w:vAlign w:val="bottom"/>
          </w:tcPr>
          <w:p>
            <w:pPr>
              <w:spacing w:after="0" w:line="20" w:lineRule="exact"/>
              <w:rPr>
                <w:sz w:val="1"/>
                <w:szCs w:val="1"/>
                <w:color w:val="auto"/>
              </w:rPr>
            </w:pPr>
          </w:p>
        </w:tc>
        <w:tc>
          <w:tcPr>
            <w:tcW w:w="140" w:type="dxa"/>
            <w:vAlign w:val="bottom"/>
            <w:gridSpan w:val="2"/>
            <w:vMerge w:val="restart"/>
          </w:tcPr>
          <w:p>
            <w:pPr>
              <w:spacing w:after="0"/>
              <w:rPr>
                <w:sz w:val="20"/>
                <w:szCs w:val="20"/>
                <w:color w:val="auto"/>
              </w:rPr>
            </w:pPr>
            <w:r>
              <w:rPr>
                <w:rFonts w:ascii="Arial" w:cs="Arial" w:eastAsia="Arial" w:hAnsi="Arial"/>
                <w:sz w:val="12"/>
                <w:szCs w:val="12"/>
                <w:color w:val="auto"/>
              </w:rPr>
              <w:t>​ ​</w:t>
            </w:r>
          </w:p>
        </w:tc>
        <w:tc>
          <w:tcPr>
            <w:tcW w:w="640" w:type="dxa"/>
            <w:vAlign w:val="bottom"/>
            <w:gridSpan w:val="2"/>
            <w:vMerge w:val="restart"/>
          </w:tcPr>
          <w:p>
            <w:pPr>
              <w:jc w:val="right"/>
              <w:ind w:right="14"/>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perscript"/>
              </w:rPr>
              <w:t>​</w:t>
            </w:r>
          </w:p>
        </w:tc>
        <w:tc>
          <w:tcPr>
            <w:tcW w:w="200" w:type="dxa"/>
            <w:vAlign w:val="bottom"/>
            <w:vMerge w:val="restart"/>
          </w:tcPr>
          <w:p>
            <w:pPr>
              <w:ind w:left="120"/>
              <w:spacing w:after="0" w:line="230" w:lineRule="exact"/>
              <w:rPr>
                <w:sz w:val="20"/>
                <w:szCs w:val="20"/>
                <w:color w:val="auto"/>
              </w:rPr>
            </w:pPr>
            <w:r>
              <w:rPr>
                <w:rFonts w:ascii="Arial" w:cs="Arial" w:eastAsia="Arial" w:hAnsi="Arial"/>
                <w:sz w:val="23"/>
                <w:szCs w:val="23"/>
                <w:color w:val="auto"/>
                <w:w w:val="89"/>
                <w:vertAlign w:val="superscript"/>
              </w:rPr>
              <w:t>​</w:t>
            </w:r>
            <w:r>
              <w:rPr>
                <w:rFonts w:ascii="Arial" w:cs="Arial" w:eastAsia="Arial" w:hAnsi="Arial"/>
                <w:sz w:val="12"/>
                <w:szCs w:val="12"/>
                <w:color w:val="auto"/>
                <w:w w:val="89"/>
              </w:rPr>
              <w:t>$</w:t>
            </w: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vMerge w:val="continue"/>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20"/>
                <w:szCs w:val="20"/>
                <w:color w:val="auto"/>
              </w:rPr>
            </w:pPr>
            <w:r>
              <w:rPr>
                <w:rFonts w:ascii="Arial" w:cs="Arial" w:eastAsia="Arial" w:hAnsi="Arial"/>
                <w:sz w:val="12"/>
                <w:szCs w:val="12"/>
                <w:color w:val="auto"/>
              </w:rPr>
              <w:t>​</w:t>
            </w:r>
          </w:p>
        </w:tc>
        <w:tc>
          <w:tcPr>
            <w:tcW w:w="72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vMerge w:val="continue"/>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25,000</w:t>
            </w:r>
          </w:p>
        </w:tc>
        <w:tc>
          <w:tcPr>
            <w:tcW w:w="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25,000</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vMerge w:val="restart"/>
            <w:shd w:val="clear" w:color="auto" w:fill="B2B2B2"/>
          </w:tcPr>
          <w:p>
            <w:pPr>
              <w:spacing w:after="0" w:line="23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Healthcare</w:t>
            </w:r>
          </w:p>
        </w:tc>
        <w:tc>
          <w:tcPr>
            <w:tcW w:w="20" w:type="dxa"/>
            <w:vAlign w:val="bottom"/>
            <w:shd w:val="clear" w:color="auto" w:fill="B2B2B2"/>
          </w:tcPr>
          <w:p>
            <w:pPr>
              <w:spacing w:after="0" w:line="20" w:lineRule="exact"/>
              <w:rPr>
                <w:sz w:val="1"/>
                <w:szCs w:val="1"/>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2"/>
                <w:szCs w:val="12"/>
                <w:color w:val="auto"/>
              </w:rPr>
              <w:t>​</w:t>
            </w:r>
          </w:p>
        </w:tc>
        <w:tc>
          <w:tcPr>
            <w:tcW w:w="300" w:type="dxa"/>
            <w:vAlign w:val="bottom"/>
          </w:tcPr>
          <w:p>
            <w:pPr>
              <w:spacing w:after="0" w:line="20" w:lineRule="exact"/>
              <w:rPr>
                <w:sz w:val="1"/>
                <w:szCs w:val="1"/>
                <w:color w:val="auto"/>
              </w:rPr>
            </w:pPr>
          </w:p>
        </w:tc>
        <w:tc>
          <w:tcPr>
            <w:tcW w:w="420" w:type="dxa"/>
            <w:vAlign w:val="bottom"/>
            <w:vMerge w:val="restart"/>
          </w:tcPr>
          <w:p>
            <w:pPr>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200" w:type="dxa"/>
            <w:vAlign w:val="bottom"/>
            <w:gridSpan w:val="2"/>
            <w:vMerge w:val="restart"/>
          </w:tcPr>
          <w:p>
            <w:pPr>
              <w:ind w:left="20"/>
              <w:spacing w:after="0"/>
              <w:rPr>
                <w:sz w:val="20"/>
                <w:szCs w:val="20"/>
                <w:color w:val="auto"/>
              </w:rPr>
            </w:pPr>
            <w:r>
              <w:rPr>
                <w:rFonts w:ascii="Arial" w:cs="Arial" w:eastAsia="Arial" w:hAnsi="Arial"/>
                <w:sz w:val="12"/>
                <w:szCs w:val="12"/>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vMerge w:val="restart"/>
          </w:tcPr>
          <w:p>
            <w:pPr>
              <w:spacing w:after="0"/>
              <w:rPr>
                <w:sz w:val="20"/>
                <w:szCs w:val="20"/>
                <w:color w:val="auto"/>
              </w:rPr>
            </w:pPr>
            <w:r>
              <w:rPr>
                <w:rFonts w:ascii="Arial" w:cs="Arial" w:eastAsia="Arial" w:hAnsi="Arial"/>
                <w:sz w:val="12"/>
                <w:szCs w:val="12"/>
                <w:color w:val="auto"/>
              </w:rPr>
              <w:t>​ ​</w:t>
            </w: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ind w:left="4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24,114</w:t>
            </w:r>
          </w:p>
        </w:tc>
        <w:tc>
          <w:tcPr>
            <w:tcW w:w="60" w:type="dxa"/>
            <w:vAlign w:val="bottom"/>
            <w:vMerge w:val="restart"/>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vMerge w:val="restart"/>
          </w:tcPr>
          <w:p>
            <w:pPr>
              <w:jc w:val="center"/>
              <w:spacing w:after="0" w:line="230" w:lineRule="exact"/>
              <w:rPr>
                <w:sz w:val="20"/>
                <w:szCs w:val="20"/>
                <w:color w:val="auto"/>
              </w:rPr>
            </w:pPr>
            <w:r>
              <w:rPr>
                <w:rFonts w:ascii="Arial" w:cs="Arial" w:eastAsia="Arial" w:hAnsi="Arial"/>
                <w:sz w:val="12"/>
                <w:szCs w:val="12"/>
                <w:color w:val="auto"/>
                <w:w w:val="77"/>
              </w:rPr>
              <w:t>​</w:t>
            </w:r>
            <w:r>
              <w:rPr>
                <w:rFonts w:ascii="Arial" w:cs="Arial" w:eastAsia="Arial" w:hAnsi="Arial"/>
                <w:sz w:val="23"/>
                <w:szCs w:val="23"/>
                <w:color w:val="auto"/>
                <w:w w:val="77"/>
                <w:vertAlign w:val="subscript"/>
              </w:rPr>
              <w:t>—</w:t>
            </w:r>
          </w:p>
        </w:tc>
        <w:tc>
          <w:tcPr>
            <w:tcW w:w="140" w:type="dxa"/>
            <w:vAlign w:val="bottom"/>
            <w:gridSpan w:val="2"/>
            <w:vMerge w:val="restart"/>
          </w:tcPr>
          <w:p>
            <w:pPr>
              <w:spacing w:after="0"/>
              <w:rPr>
                <w:sz w:val="20"/>
                <w:szCs w:val="20"/>
                <w:color w:val="auto"/>
              </w:rPr>
            </w:pPr>
            <w:r>
              <w:rPr>
                <w:rFonts w:ascii="Arial" w:cs="Arial" w:eastAsia="Arial" w:hAnsi="Arial"/>
                <w:sz w:val="12"/>
                <w:szCs w:val="12"/>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vMerge w:val="restart"/>
          </w:tcPr>
          <w:p>
            <w:pPr>
              <w:spacing w:after="0"/>
              <w:rPr>
                <w:sz w:val="20"/>
                <w:szCs w:val="20"/>
                <w:color w:val="auto"/>
              </w:rPr>
            </w:pPr>
            <w:r>
              <w:rPr>
                <w:rFonts w:ascii="Arial" w:cs="Arial" w:eastAsia="Arial" w:hAnsi="Arial"/>
                <w:sz w:val="12"/>
                <w:szCs w:val="12"/>
                <w:color w:val="auto"/>
              </w:rPr>
              <w:t>​ ​</w:t>
            </w:r>
          </w:p>
        </w:tc>
        <w:tc>
          <w:tcPr>
            <w:tcW w:w="640" w:type="dxa"/>
            <w:vAlign w:val="bottom"/>
            <w:gridSpan w:val="2"/>
            <w:vMerge w:val="restart"/>
          </w:tcPr>
          <w:p>
            <w:pPr>
              <w:jc w:val="right"/>
              <w:ind w:right="14"/>
              <w:spacing w:after="0" w:line="230"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w:t>
            </w:r>
          </w:p>
        </w:tc>
        <w:tc>
          <w:tcPr>
            <w:tcW w:w="200" w:type="dxa"/>
            <w:vAlign w:val="bottom"/>
            <w:vMerge w:val="restart"/>
          </w:tcPr>
          <w:p>
            <w:pPr>
              <w:ind w:left="12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80" w:type="dxa"/>
            <w:vAlign w:val="bottom"/>
            <w:vMerge w:val="restart"/>
          </w:tcPr>
          <w:p>
            <w:pPr>
              <w:jc w:val="right"/>
              <w:ind w:right="21"/>
              <w:spacing w:after="0"/>
              <w:rPr>
                <w:sz w:val="20"/>
                <w:szCs w:val="20"/>
                <w:color w:val="auto"/>
              </w:rPr>
            </w:pPr>
            <w:r>
              <w:rPr>
                <w:rFonts w:ascii="Arial" w:cs="Arial" w:eastAsia="Arial" w:hAnsi="Arial"/>
                <w:sz w:val="12"/>
                <w:szCs w:val="12"/>
                <w:color w:val="auto"/>
              </w:rPr>
              <w:t>48,228</w:t>
            </w:r>
          </w:p>
        </w:tc>
        <w:tc>
          <w:tcPr>
            <w:tcW w:w="0" w:type="dxa"/>
            <w:vAlign w:val="bottom"/>
          </w:tcPr>
          <w:p>
            <w:pPr>
              <w:spacing w:after="0" w:line="20" w:lineRule="exact"/>
              <w:rPr>
                <w:sz w:val="1"/>
                <w:szCs w:val="1"/>
                <w:color w:val="auto"/>
              </w:rPr>
            </w:pPr>
          </w:p>
        </w:tc>
      </w:tr>
      <w:tr>
        <w:trPr>
          <w:trHeight w:val="208"/>
        </w:trPr>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vMerge w:val="continue"/>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 w:type="dxa"/>
            <w:vAlign w:val="bottom"/>
            <w:vMerge w:val="continue"/>
            <w:shd w:val="clear" w:color="auto" w:fill="B2B2B2"/>
          </w:tcPr>
          <w:p>
            <w:pPr>
              <w:spacing w:after="0"/>
              <w:rPr>
                <w:sz w:val="18"/>
                <w:szCs w:val="18"/>
                <w:color w:val="auto"/>
              </w:rPr>
            </w:pPr>
          </w:p>
        </w:tc>
        <w:tc>
          <w:tcPr>
            <w:tcW w:w="300" w:type="dxa"/>
            <w:vAlign w:val="bottom"/>
            <w:tcBorders>
              <w:left w:val="single" w:sz="8" w:color="B2B2B2"/>
            </w:tcBorders>
            <w:shd w:val="clear" w:color="auto" w:fill="B2B2B2"/>
          </w:tcPr>
          <w:p>
            <w:pPr>
              <w:spacing w:after="0"/>
              <w:rPr>
                <w:sz w:val="18"/>
                <w:szCs w:val="18"/>
                <w:color w:val="auto"/>
              </w:rPr>
            </w:pPr>
          </w:p>
        </w:tc>
        <w:tc>
          <w:tcPr>
            <w:tcW w:w="42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B2B2B2"/>
            </w:tcBorders>
            <w:shd w:val="clear" w:color="auto" w:fill="B2B2B2"/>
          </w:tcPr>
          <w:p>
            <w:pPr>
              <w:jc w:val="right"/>
              <w:ind w:right="52"/>
              <w:spacing w:after="0"/>
              <w:rPr>
                <w:sz w:val="20"/>
                <w:szCs w:val="20"/>
                <w:color w:val="auto"/>
              </w:rPr>
            </w:pPr>
            <w:r>
              <w:rPr>
                <w:rFonts w:ascii="Arial" w:cs="Arial" w:eastAsia="Arial" w:hAnsi="Arial"/>
                <w:sz w:val="1"/>
                <w:szCs w:val="1"/>
                <w:color w:val="auto"/>
                <w:w w:val="4294942296"/>
              </w:rPr>
              <w:t>​</w:t>
            </w:r>
          </w:p>
        </w:tc>
        <w:tc>
          <w:tcPr>
            <w:tcW w:w="840" w:type="dxa"/>
            <w:vAlign w:val="bottom"/>
            <w:tcBorders>
              <w:bottom w:val="single" w:sz="8" w:color="B2B2B2"/>
            </w:tcBorders>
            <w:shd w:val="clear" w:color="auto" w:fill="B2B2B2"/>
          </w:tcPr>
          <w:p>
            <w:pPr>
              <w:ind w:left="580"/>
              <w:spacing w:after="0"/>
              <w:rPr>
                <w:sz w:val="20"/>
                <w:szCs w:val="20"/>
                <w:color w:val="auto"/>
              </w:rPr>
            </w:pPr>
            <w:r>
              <w:rPr>
                <w:rFonts w:ascii="Arial" w:cs="Arial" w:eastAsia="Arial" w:hAnsi="Arial"/>
                <w:sz w:val="12"/>
                <w:szCs w:val="12"/>
                <w:b w:val="1"/>
                <w:bCs w:val="1"/>
                <w:color w:val="auto"/>
                <w:w w:val="83"/>
              </w:rPr>
              <w:t>Total</w:t>
            </w:r>
          </w:p>
        </w:tc>
        <w:tc>
          <w:tcPr>
            <w:tcW w:w="20" w:type="dxa"/>
            <w:vAlign w:val="bottom"/>
            <w:tcBorders>
              <w:bottom w:val="single" w:sz="8" w:color="B2B2B2"/>
            </w:tcBorders>
            <w:shd w:val="clear" w:color="auto" w:fill="B2B2B2"/>
          </w:tcPr>
          <w:p>
            <w:pPr>
              <w:spacing w:after="0"/>
              <w:rPr>
                <w:sz w:val="20"/>
                <w:szCs w:val="20"/>
                <w:color w:val="auto"/>
              </w:rPr>
            </w:pPr>
          </w:p>
        </w:tc>
        <w:tc>
          <w:tcPr>
            <w:tcW w:w="20" w:type="dxa"/>
            <w:vAlign w:val="bottom"/>
            <w:tcBorders>
              <w:bottom w:val="single" w:sz="8" w:color="B2B2B2"/>
            </w:tcBorders>
            <w:shd w:val="clear" w:color="auto" w:fill="B2B2B2"/>
          </w:tcPr>
          <w:p>
            <w:pPr>
              <w:spacing w:after="0"/>
              <w:rPr>
                <w:sz w:val="20"/>
                <w:szCs w:val="20"/>
                <w:color w:val="auto"/>
              </w:rPr>
            </w:pPr>
            <w:r>
              <w:rPr>
                <w:rFonts w:ascii="Arial" w:cs="Arial" w:eastAsia="Arial" w:hAnsi="Arial"/>
                <w:sz w:val="12"/>
                <w:szCs w:val="12"/>
                <w:color w:val="auto"/>
              </w:rPr>
              <w:t>​</w:t>
            </w:r>
          </w:p>
        </w:tc>
        <w:tc>
          <w:tcPr>
            <w:tcW w:w="300" w:type="dxa"/>
            <w:vAlign w:val="bottom"/>
            <w:tcBorders>
              <w:left w:val="single" w:sz="8" w:color="B2B2B2"/>
              <w:bottom w:val="single" w:sz="8" w:color="B2B2B2"/>
            </w:tcBorders>
            <w:shd w:val="clear" w:color="auto" w:fill="B2B2B2"/>
          </w:tcPr>
          <w:p>
            <w:pPr>
              <w:spacing w:after="0"/>
              <w:rPr>
                <w:sz w:val="20"/>
                <w:szCs w:val="20"/>
                <w:color w:val="auto"/>
              </w:rPr>
            </w:pPr>
          </w:p>
        </w:tc>
        <w:tc>
          <w:tcPr>
            <w:tcW w:w="420" w:type="dxa"/>
            <w:vAlign w:val="bottom"/>
          </w:tcPr>
          <w:p>
            <w:pPr>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200" w:type="dxa"/>
            <w:vAlign w:val="bottom"/>
            <w:gridSpan w:val="2"/>
          </w:tcPr>
          <w:p>
            <w:pPr>
              <w:ind w:left="20"/>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5,967,086</w:t>
            </w:r>
          </w:p>
        </w:tc>
        <w:tc>
          <w:tcPr>
            <w:tcW w:w="160" w:type="dxa"/>
            <w:vAlign w:val="bottom"/>
            <w:gridSpan w:val="2"/>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4,535,811</w:t>
            </w:r>
          </w:p>
        </w:tc>
        <w:tc>
          <w:tcPr>
            <w:tcW w:w="120" w:type="dxa"/>
            <w:vAlign w:val="bottom"/>
          </w:tcPr>
          <w:p>
            <w:pPr>
              <w:ind w:left="4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5,175,043</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tcPr>
          <w:p>
            <w:pPr>
              <w:jc w:val="center"/>
              <w:spacing w:after="0" w:line="230" w:lineRule="exact"/>
              <w:rPr>
                <w:sz w:val="20"/>
                <w:szCs w:val="20"/>
                <w:color w:val="auto"/>
              </w:rPr>
            </w:pPr>
            <w:r>
              <w:rPr>
                <w:rFonts w:ascii="Arial" w:cs="Arial" w:eastAsia="Arial" w:hAnsi="Arial"/>
                <w:sz w:val="12"/>
                <w:szCs w:val="12"/>
                <w:color w:val="auto"/>
                <w:w w:val="77"/>
              </w:rPr>
              <w:t>​</w:t>
            </w:r>
            <w:r>
              <w:rPr>
                <w:rFonts w:ascii="Arial" w:cs="Arial" w:eastAsia="Arial" w:hAnsi="Arial"/>
                <w:sz w:val="23"/>
                <w:szCs w:val="23"/>
                <w:color w:val="auto"/>
                <w:w w:val="77"/>
                <w:vertAlign w:val="subscript"/>
              </w:rPr>
              <w:t>—</w:t>
            </w:r>
          </w:p>
        </w:tc>
        <w:tc>
          <w:tcPr>
            <w:tcW w:w="140" w:type="dxa"/>
            <w:vAlign w:val="bottom"/>
            <w:gridSpan w:val="2"/>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5,967,086</w:t>
            </w:r>
          </w:p>
        </w:tc>
        <w:tc>
          <w:tcPr>
            <w:tcW w:w="140" w:type="dxa"/>
            <w:vAlign w:val="bottom"/>
            <w:gridSpan w:val="2"/>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6,420,286</w:t>
            </w:r>
          </w:p>
        </w:tc>
        <w:tc>
          <w:tcPr>
            <w:tcW w:w="40" w:type="dxa"/>
            <w:vAlign w:val="bottom"/>
          </w:tcPr>
          <w:p>
            <w:pPr>
              <w:jc w:val="right"/>
              <w:ind w:right="14"/>
              <w:spacing w:after="0"/>
              <w:rPr>
                <w:sz w:val="20"/>
                <w:szCs w:val="20"/>
                <w:color w:val="auto"/>
              </w:rPr>
            </w:pPr>
            <w:r>
              <w:rPr>
                <w:rFonts w:ascii="Arial" w:cs="Arial" w:eastAsia="Arial" w:hAnsi="Arial"/>
                <w:sz w:val="1"/>
                <w:szCs w:val="1"/>
                <w:color w:val="auto"/>
                <w:w w:val="4294942296"/>
              </w:rPr>
              <w:t>​</w:t>
            </w:r>
          </w:p>
        </w:tc>
        <w:tc>
          <w:tcPr>
            <w:tcW w:w="200" w:type="dxa"/>
            <w:vAlign w:val="bottom"/>
          </w:tcPr>
          <w:p>
            <w:pPr>
              <w:ind w:left="12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8,422,649</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2"/>
                <w:szCs w:val="12"/>
                <w:color w:val="auto"/>
              </w:rPr>
              <w:t>John Harrobin</w:t>
            </w:r>
          </w:p>
        </w:tc>
        <w:tc>
          <w:tcPr>
            <w:tcW w:w="980" w:type="dxa"/>
            <w:vAlign w:val="bottom"/>
            <w:gridSpan w:val="3"/>
          </w:tcPr>
          <w:p>
            <w:pPr>
              <w:spacing w:after="0" w:line="168"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Severance</w:t>
            </w:r>
          </w:p>
        </w:tc>
        <w:tc>
          <w:tcPr>
            <w:tcW w:w="20" w:type="dxa"/>
            <w:vAlign w:val="bottom"/>
          </w:tcPr>
          <w:p>
            <w:pPr>
              <w:spacing w:after="0"/>
              <w:rPr>
                <w:sz w:val="14"/>
                <w:szCs w:val="14"/>
                <w:color w:val="auto"/>
              </w:rPr>
            </w:pPr>
          </w:p>
        </w:tc>
        <w:tc>
          <w:tcPr>
            <w:tcW w:w="20" w:type="dxa"/>
            <w:vAlign w:val="bottom"/>
          </w:tcPr>
          <w:p>
            <w:pPr>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420" w:type="dxa"/>
            <w:vAlign w:val="bottom"/>
          </w:tcPr>
          <w:p>
            <w:pPr>
              <w:spacing w:after="0" w:line="168"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200" w:type="dxa"/>
            <w:vAlign w:val="bottom"/>
            <w:gridSpan w:val="2"/>
          </w:tcPr>
          <w:p>
            <w:pPr>
              <w:ind w:left="20"/>
              <w:spacing w:after="0" w:line="130" w:lineRule="exact"/>
              <w:rPr>
                <w:sz w:val="20"/>
                <w:szCs w:val="20"/>
                <w:color w:val="auto"/>
              </w:rPr>
            </w:pPr>
            <w:r>
              <w:rPr>
                <w:rFonts w:ascii="Arial" w:cs="Arial" w:eastAsia="Arial" w:hAnsi="Arial"/>
                <w:sz w:val="12"/>
                <w:szCs w:val="12"/>
                <w:color w:val="auto"/>
              </w:rPr>
              <w:t>​ ​</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tcPr>
          <w:p>
            <w:pPr>
              <w:spacing w:after="0" w:line="168" w:lineRule="exact"/>
              <w:rPr>
                <w:sz w:val="20"/>
                <w:szCs w:val="20"/>
                <w:color w:val="auto"/>
              </w:rPr>
            </w:pPr>
            <w:r>
              <w:rPr>
                <w:rFonts w:ascii="Arial" w:cs="Arial" w:eastAsia="Arial" w:hAnsi="Arial"/>
                <w:sz w:val="10"/>
                <w:szCs w:val="10"/>
                <w:color w:val="auto"/>
              </w:rPr>
              <w:t>​ ​</w:t>
            </w:r>
            <w:r>
              <w:rPr>
                <w:rFonts w:ascii="Arial" w:cs="Arial" w:eastAsia="Arial" w:hAnsi="Arial"/>
                <w:sz w:val="19"/>
                <w:szCs w:val="19"/>
                <w:color w:val="auto"/>
                <w:vertAlign w:val="subscript"/>
              </w:rPr>
              <w:t>$</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750,000</w:t>
            </w:r>
          </w:p>
        </w:tc>
        <w:tc>
          <w:tcPr>
            <w:tcW w:w="120" w:type="dxa"/>
            <w:vAlign w:val="bottom"/>
          </w:tcPr>
          <w:p>
            <w:pPr>
              <w:ind w:left="40"/>
              <w:spacing w:after="0" w:line="168"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bscript"/>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5,359,841</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tcPr>
          <w:p>
            <w:pPr>
              <w:jc w:val="center"/>
              <w:spacing w:after="0" w:line="168" w:lineRule="exact"/>
              <w:rPr>
                <w:sz w:val="20"/>
                <w:szCs w:val="20"/>
                <w:color w:val="auto"/>
              </w:rPr>
            </w:pPr>
            <w:r>
              <w:rPr>
                <w:rFonts w:ascii="Arial" w:cs="Arial" w:eastAsia="Arial" w:hAnsi="Arial"/>
                <w:sz w:val="10"/>
                <w:szCs w:val="10"/>
                <w:color w:val="auto"/>
                <w:w w:val="94"/>
              </w:rPr>
              <w:t>​</w:t>
            </w:r>
            <w:r>
              <w:rPr>
                <w:rFonts w:ascii="Arial" w:cs="Arial" w:eastAsia="Arial" w:hAnsi="Arial"/>
                <w:sz w:val="19"/>
                <w:szCs w:val="19"/>
                <w:color w:val="auto"/>
                <w:w w:val="94"/>
                <w:vertAlign w:val="subscript"/>
              </w:rPr>
              <w:t>—</w:t>
            </w:r>
          </w:p>
        </w:tc>
        <w:tc>
          <w:tcPr>
            <w:tcW w:w="140" w:type="dxa"/>
            <w:vAlign w:val="bottom"/>
            <w:gridSpan w:val="2"/>
          </w:tcPr>
          <w:p>
            <w:pPr>
              <w:spacing w:after="0" w:line="130" w:lineRule="exact"/>
              <w:rPr>
                <w:sz w:val="20"/>
                <w:szCs w:val="20"/>
                <w:color w:val="auto"/>
              </w:rPr>
            </w:pPr>
            <w:r>
              <w:rPr>
                <w:rFonts w:ascii="Arial" w:cs="Arial" w:eastAsia="Arial" w:hAnsi="Arial"/>
                <w:sz w:val="12"/>
                <w:szCs w:val="12"/>
                <w:color w:val="auto"/>
              </w:rPr>
              <w:t>​ ​</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tcPr>
          <w:p>
            <w:pPr>
              <w:spacing w:after="0" w:line="168" w:lineRule="exact"/>
              <w:rPr>
                <w:sz w:val="20"/>
                <w:szCs w:val="20"/>
                <w:color w:val="auto"/>
              </w:rPr>
            </w:pPr>
            <w:r>
              <w:rPr>
                <w:rFonts w:ascii="Arial" w:cs="Arial" w:eastAsia="Arial" w:hAnsi="Arial"/>
                <w:sz w:val="10"/>
                <w:szCs w:val="10"/>
                <w:color w:val="auto"/>
              </w:rPr>
              <w:t>​ ​</w:t>
            </w:r>
            <w:r>
              <w:rPr>
                <w:rFonts w:ascii="Arial" w:cs="Arial" w:eastAsia="Arial" w:hAnsi="Arial"/>
                <w:sz w:val="19"/>
                <w:szCs w:val="19"/>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750,000</w:t>
            </w:r>
          </w:p>
        </w:tc>
        <w:tc>
          <w:tcPr>
            <w:tcW w:w="40" w:type="dxa"/>
            <w:vAlign w:val="bottom"/>
          </w:tcPr>
          <w:p>
            <w:pPr>
              <w:jc w:val="right"/>
              <w:ind w:right="14"/>
              <w:spacing w:after="0"/>
              <w:rPr>
                <w:sz w:val="20"/>
                <w:szCs w:val="20"/>
                <w:color w:val="auto"/>
              </w:rPr>
            </w:pPr>
            <w:r>
              <w:rPr>
                <w:rFonts w:ascii="Arial" w:cs="Arial" w:eastAsia="Arial" w:hAnsi="Arial"/>
                <w:sz w:val="1"/>
                <w:szCs w:val="1"/>
                <w:color w:val="auto"/>
                <w:w w:val="4294942296"/>
              </w:rPr>
              <w:t>​</w:t>
            </w:r>
          </w:p>
        </w:tc>
        <w:tc>
          <w:tcPr>
            <w:tcW w:w="200" w:type="dxa"/>
            <w:vAlign w:val="bottom"/>
          </w:tcPr>
          <w:p>
            <w:pPr>
              <w:ind w:left="120"/>
              <w:spacing w:after="0" w:line="168"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bscript"/>
              </w:rPr>
              <w:t>$</w:t>
            </w: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6,000,000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5"/>
          </w:tcPr>
          <w:p>
            <w:pPr>
              <w:ind w:left="20"/>
              <w:spacing w:after="0" w:line="230" w:lineRule="exact"/>
              <w:rPr>
                <w:sz w:val="20"/>
                <w:szCs w:val="20"/>
                <w:color w:val="auto"/>
              </w:rPr>
            </w:pPr>
            <w:r>
              <w:rPr>
                <w:rFonts w:ascii="Arial" w:cs="Arial" w:eastAsia="Arial" w:hAnsi="Arial"/>
                <w:sz w:val="23"/>
                <w:szCs w:val="23"/>
                <w:color w:val="auto"/>
                <w:w w:val="89"/>
                <w:vertAlign w:val="superscript"/>
              </w:rPr>
              <w:t>​</w:t>
            </w:r>
            <w:r>
              <w:rPr>
                <w:rFonts w:ascii="Arial" w:cs="Arial" w:eastAsia="Arial" w:hAnsi="Arial"/>
                <w:sz w:val="12"/>
                <w:szCs w:val="12"/>
                <w:color w:val="auto"/>
                <w:w w:val="89"/>
              </w:rPr>
              <w:t xml:space="preserve">Restricted Stock </w:t>
            </w:r>
            <w:r>
              <w:rPr>
                <w:rFonts w:ascii="Arial" w:cs="Arial" w:eastAsia="Arial" w:hAnsi="Arial"/>
                <w:sz w:val="16"/>
                <w:szCs w:val="16"/>
                <w:color w:val="auto"/>
                <w:w w:val="89"/>
                <w:vertAlign w:val="superscript"/>
              </w:rPr>
              <w:t>(1)</w:t>
            </w:r>
            <w:r>
              <w:rPr>
                <w:rFonts w:ascii="Arial" w:cs="Arial" w:eastAsia="Arial" w:hAnsi="Arial"/>
                <w:sz w:val="12"/>
                <w:szCs w:val="12"/>
                <w:color w:val="auto"/>
                <w:w w:val="89"/>
              </w:rPr>
              <w:t xml:space="preserve"> </w:t>
            </w:r>
            <w:r>
              <w:rPr>
                <w:rFonts w:ascii="Arial" w:cs="Arial" w:eastAsia="Arial" w:hAnsi="Arial"/>
                <w:sz w:val="23"/>
                <w:szCs w:val="23"/>
                <w:color w:val="auto"/>
                <w:w w:val="89"/>
                <w:vertAlign w:val="superscript"/>
              </w:rPr>
              <w:t>​</w:t>
            </w:r>
          </w:p>
        </w:tc>
        <w:tc>
          <w:tcPr>
            <w:tcW w:w="720" w:type="dxa"/>
            <w:vAlign w:val="bottom"/>
            <w:gridSpan w:val="2"/>
          </w:tcPr>
          <w:p>
            <w:pPr>
              <w:ind w:left="300"/>
              <w:spacing w:after="0" w:line="23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w:t>
            </w:r>
          </w:p>
        </w:tc>
        <w:tc>
          <w:tcPr>
            <w:tcW w:w="200" w:type="dxa"/>
            <w:vAlign w:val="bottom"/>
            <w:gridSpan w:val="2"/>
          </w:tcPr>
          <w:p>
            <w:pPr>
              <w:ind w:left="20"/>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584,447</w:t>
            </w:r>
          </w:p>
        </w:tc>
        <w:tc>
          <w:tcPr>
            <w:tcW w:w="160" w:type="dxa"/>
            <w:vAlign w:val="bottom"/>
            <w:gridSpan w:val="2"/>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2,593,335</w:t>
            </w:r>
          </w:p>
        </w:tc>
        <w:tc>
          <w:tcPr>
            <w:tcW w:w="120" w:type="dxa"/>
            <w:vAlign w:val="bottom"/>
          </w:tcPr>
          <w:p>
            <w:pPr>
              <w:ind w:left="40"/>
              <w:spacing w:after="0" w:line="230" w:lineRule="exact"/>
              <w:rPr>
                <w:sz w:val="20"/>
                <w:szCs w:val="20"/>
                <w:color w:val="auto"/>
              </w:rPr>
            </w:pPr>
            <w:r>
              <w:rPr>
                <w:rFonts w:ascii="Arial" w:cs="Arial" w:eastAsia="Arial" w:hAnsi="Arial"/>
                <w:sz w:val="23"/>
                <w:szCs w:val="23"/>
                <w:color w:val="auto"/>
                <w:w w:val="89"/>
                <w:vertAlign w:val="superscript"/>
              </w:rPr>
              <w:t>​</w:t>
            </w: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2,593,335</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tcPr>
          <w:p>
            <w:pPr>
              <w:jc w:val="center"/>
              <w:spacing w:after="0" w:line="230" w:lineRule="exact"/>
              <w:rPr>
                <w:sz w:val="20"/>
                <w:szCs w:val="20"/>
                <w:color w:val="auto"/>
              </w:rPr>
            </w:pPr>
            <w:r>
              <w:rPr>
                <w:rFonts w:ascii="Arial" w:cs="Arial" w:eastAsia="Arial" w:hAnsi="Arial"/>
                <w:sz w:val="23"/>
                <w:szCs w:val="23"/>
                <w:color w:val="auto"/>
                <w:w w:val="99"/>
                <w:vertAlign w:val="superscript"/>
              </w:rPr>
              <w:t>​</w:t>
            </w:r>
            <w:r>
              <w:rPr>
                <w:rFonts w:ascii="Arial" w:cs="Arial" w:eastAsia="Arial" w:hAnsi="Arial"/>
                <w:sz w:val="12"/>
                <w:szCs w:val="12"/>
                <w:color w:val="auto"/>
                <w:w w:val="99"/>
              </w:rPr>
              <w:t>—</w:t>
            </w:r>
          </w:p>
        </w:tc>
        <w:tc>
          <w:tcPr>
            <w:tcW w:w="140" w:type="dxa"/>
            <w:vAlign w:val="bottom"/>
            <w:gridSpan w:val="2"/>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2,593,335</w:t>
            </w:r>
          </w:p>
        </w:tc>
        <w:tc>
          <w:tcPr>
            <w:tcW w:w="140" w:type="dxa"/>
            <w:vAlign w:val="bottom"/>
            <w:gridSpan w:val="2"/>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2,593,335</w:t>
            </w:r>
          </w:p>
        </w:tc>
        <w:tc>
          <w:tcPr>
            <w:tcW w:w="40" w:type="dxa"/>
            <w:vAlign w:val="bottom"/>
          </w:tcPr>
          <w:p>
            <w:pPr>
              <w:jc w:val="right"/>
              <w:ind w:right="14"/>
              <w:spacing w:after="0"/>
              <w:rPr>
                <w:sz w:val="20"/>
                <w:szCs w:val="20"/>
                <w:color w:val="auto"/>
              </w:rPr>
            </w:pPr>
            <w:r>
              <w:rPr>
                <w:rFonts w:ascii="Arial" w:cs="Arial" w:eastAsia="Arial" w:hAnsi="Arial"/>
                <w:sz w:val="1"/>
                <w:szCs w:val="1"/>
                <w:color w:val="auto"/>
                <w:w w:val="4294942296"/>
              </w:rPr>
              <w:t>​</w:t>
            </w:r>
          </w:p>
        </w:tc>
        <w:tc>
          <w:tcPr>
            <w:tcW w:w="200" w:type="dxa"/>
            <w:vAlign w:val="bottom"/>
          </w:tcPr>
          <w:p>
            <w:pPr>
              <w:ind w:left="120"/>
              <w:spacing w:after="0" w:line="230" w:lineRule="exact"/>
              <w:rPr>
                <w:sz w:val="20"/>
                <w:szCs w:val="20"/>
                <w:color w:val="auto"/>
              </w:rPr>
            </w:pPr>
            <w:r>
              <w:rPr>
                <w:rFonts w:ascii="Arial" w:cs="Arial" w:eastAsia="Arial" w:hAnsi="Arial"/>
                <w:sz w:val="23"/>
                <w:szCs w:val="23"/>
                <w:color w:val="auto"/>
                <w:w w:val="89"/>
                <w:vertAlign w:val="superscript"/>
              </w:rPr>
              <w:t>​</w:t>
            </w:r>
            <w:r>
              <w:rPr>
                <w:rFonts w:ascii="Arial" w:cs="Arial" w:eastAsia="Arial" w:hAnsi="Arial"/>
                <w:sz w:val="12"/>
                <w:szCs w:val="12"/>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2,593,335</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gridSpan w:val="3"/>
          </w:tcPr>
          <w:p>
            <w:pPr>
              <w:ind w:left="20"/>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PBRSUs</w:t>
            </w:r>
            <w:r>
              <w:rPr>
                <w:rFonts w:ascii="Arial" w:cs="Arial" w:eastAsia="Arial" w:hAnsi="Arial"/>
                <w:sz w:val="12"/>
                <w:szCs w:val="12"/>
                <w:color w:val="auto"/>
              </w:rPr>
              <w:t xml:space="preserve"> </w:t>
            </w:r>
            <w:r>
              <w:rPr>
                <w:rFonts w:ascii="Arial" w:cs="Arial" w:eastAsia="Arial" w:hAnsi="Arial"/>
                <w:sz w:val="8"/>
                <w:szCs w:val="8"/>
                <w:color w:val="auto"/>
              </w:rPr>
              <w:t>(1)(2)</w:t>
            </w:r>
          </w:p>
        </w:tc>
        <w:tc>
          <w:tcPr>
            <w:tcW w:w="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300"/>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200" w:type="dxa"/>
            <w:vAlign w:val="bottom"/>
            <w:gridSpan w:val="2"/>
          </w:tcPr>
          <w:p>
            <w:pPr>
              <w:ind w:left="20"/>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237,466</w:t>
            </w:r>
          </w:p>
        </w:tc>
        <w:tc>
          <w:tcPr>
            <w:tcW w:w="160" w:type="dxa"/>
            <w:vAlign w:val="bottom"/>
            <w:gridSpan w:val="2"/>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1,053,694</w:t>
            </w:r>
          </w:p>
        </w:tc>
        <w:tc>
          <w:tcPr>
            <w:tcW w:w="120" w:type="dxa"/>
            <w:vAlign w:val="bottom"/>
          </w:tcPr>
          <w:p>
            <w:pPr>
              <w:ind w:left="4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237,466</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tcPr>
          <w:p>
            <w:pPr>
              <w:jc w:val="center"/>
              <w:spacing w:after="0" w:line="230" w:lineRule="exact"/>
              <w:rPr>
                <w:sz w:val="20"/>
                <w:szCs w:val="20"/>
                <w:color w:val="auto"/>
              </w:rPr>
            </w:pPr>
            <w:r>
              <w:rPr>
                <w:rFonts w:ascii="Arial" w:cs="Arial" w:eastAsia="Arial" w:hAnsi="Arial"/>
                <w:sz w:val="12"/>
                <w:szCs w:val="12"/>
                <w:color w:val="auto"/>
                <w:w w:val="77"/>
              </w:rPr>
              <w:t>​</w:t>
            </w:r>
            <w:r>
              <w:rPr>
                <w:rFonts w:ascii="Arial" w:cs="Arial" w:eastAsia="Arial" w:hAnsi="Arial"/>
                <w:sz w:val="23"/>
                <w:szCs w:val="23"/>
                <w:color w:val="auto"/>
                <w:w w:val="77"/>
                <w:vertAlign w:val="subscript"/>
              </w:rPr>
              <w:t>—</w:t>
            </w:r>
          </w:p>
        </w:tc>
        <w:tc>
          <w:tcPr>
            <w:tcW w:w="140" w:type="dxa"/>
            <w:vAlign w:val="bottom"/>
            <w:gridSpan w:val="2"/>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2,107,388</w:t>
            </w:r>
          </w:p>
        </w:tc>
        <w:tc>
          <w:tcPr>
            <w:tcW w:w="140" w:type="dxa"/>
            <w:vAlign w:val="bottom"/>
            <w:gridSpan w:val="2"/>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2,107,388</w:t>
            </w:r>
          </w:p>
        </w:tc>
        <w:tc>
          <w:tcPr>
            <w:tcW w:w="40" w:type="dxa"/>
            <w:vAlign w:val="bottom"/>
          </w:tcPr>
          <w:p>
            <w:pPr>
              <w:jc w:val="right"/>
              <w:ind w:right="14"/>
              <w:spacing w:after="0"/>
              <w:rPr>
                <w:sz w:val="20"/>
                <w:szCs w:val="20"/>
                <w:color w:val="auto"/>
              </w:rPr>
            </w:pPr>
            <w:r>
              <w:rPr>
                <w:rFonts w:ascii="Arial" w:cs="Arial" w:eastAsia="Arial" w:hAnsi="Arial"/>
                <w:sz w:val="1"/>
                <w:szCs w:val="1"/>
                <w:color w:val="auto"/>
                <w:w w:val="4294942296"/>
              </w:rPr>
              <w:t>​</w:t>
            </w:r>
          </w:p>
        </w:tc>
        <w:tc>
          <w:tcPr>
            <w:tcW w:w="200" w:type="dxa"/>
            <w:vAlign w:val="bottom"/>
          </w:tcPr>
          <w:p>
            <w:pPr>
              <w:ind w:left="12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2,107,388</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gridSpan w:val="3"/>
          </w:tcPr>
          <w:p>
            <w:pPr>
              <w:ind w:left="20"/>
              <w:spacing w:after="0" w:line="23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Outplacement</w:t>
            </w:r>
          </w:p>
        </w:tc>
        <w:tc>
          <w:tcPr>
            <w:tcW w:w="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300"/>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20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tcPr>
          <w:p>
            <w:pPr>
              <w:spacing w:after="0"/>
              <w:rPr>
                <w:sz w:val="20"/>
                <w:szCs w:val="20"/>
                <w:color w:val="auto"/>
              </w:rPr>
            </w:pPr>
            <w:r>
              <w:rPr>
                <w:rFonts w:ascii="Arial" w:cs="Arial" w:eastAsia="Arial" w:hAnsi="Arial"/>
                <w:sz w:val="12"/>
                <w:szCs w:val="12"/>
                <w:color w:val="auto"/>
              </w:rPr>
              <w:t>​ ​</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ind w:left="4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25,000</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tcPr>
          <w:p>
            <w:pPr>
              <w:jc w:val="center"/>
              <w:spacing w:after="0" w:line="230" w:lineRule="exact"/>
              <w:rPr>
                <w:sz w:val="20"/>
                <w:szCs w:val="20"/>
                <w:color w:val="auto"/>
              </w:rPr>
            </w:pPr>
            <w:r>
              <w:rPr>
                <w:rFonts w:ascii="Arial" w:cs="Arial" w:eastAsia="Arial" w:hAnsi="Arial"/>
                <w:sz w:val="12"/>
                <w:szCs w:val="12"/>
                <w:color w:val="auto"/>
                <w:w w:val="77"/>
              </w:rPr>
              <w:t>​</w:t>
            </w:r>
            <w:r>
              <w:rPr>
                <w:rFonts w:ascii="Arial" w:cs="Arial" w:eastAsia="Arial" w:hAnsi="Arial"/>
                <w:sz w:val="23"/>
                <w:szCs w:val="23"/>
                <w:color w:val="auto"/>
                <w:w w:val="77"/>
                <w:vertAlign w:val="subscript"/>
              </w:rPr>
              <w:t>—</w:t>
            </w:r>
          </w:p>
        </w:tc>
        <w:tc>
          <w:tcPr>
            <w:tcW w:w="140" w:type="dxa"/>
            <w:vAlign w:val="bottom"/>
            <w:gridSpan w:val="2"/>
          </w:tcPr>
          <w:p>
            <w:pPr>
              <w:spacing w:after="0"/>
              <w:rPr>
                <w:sz w:val="20"/>
                <w:szCs w:val="20"/>
                <w:color w:val="auto"/>
              </w:rPr>
            </w:pPr>
            <w:r>
              <w:rPr>
                <w:rFonts w:ascii="Arial" w:cs="Arial" w:eastAsia="Arial" w:hAnsi="Arial"/>
                <w:sz w:val="12"/>
                <w:szCs w:val="12"/>
                <w:color w:val="auto"/>
              </w:rPr>
              <w:t>​ ​</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tcPr>
          <w:p>
            <w:pPr>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ind w:right="14"/>
              <w:spacing w:after="0" w:line="230"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w:t>
            </w:r>
          </w:p>
        </w:tc>
        <w:tc>
          <w:tcPr>
            <w:tcW w:w="200" w:type="dxa"/>
            <w:vAlign w:val="bottom"/>
          </w:tcPr>
          <w:p>
            <w:pPr>
              <w:ind w:left="12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25,000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gridSpan w:val="3"/>
          </w:tcPr>
          <w:p>
            <w:pPr>
              <w:ind w:left="20"/>
              <w:spacing w:after="0" w:line="23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Healthcare</w:t>
            </w:r>
          </w:p>
        </w:tc>
        <w:tc>
          <w:tcPr>
            <w:tcW w:w="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300"/>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20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tcPr>
          <w:p>
            <w:pPr>
              <w:spacing w:after="0"/>
              <w:rPr>
                <w:sz w:val="20"/>
                <w:szCs w:val="20"/>
                <w:color w:val="auto"/>
              </w:rPr>
            </w:pPr>
            <w:r>
              <w:rPr>
                <w:rFonts w:ascii="Arial" w:cs="Arial" w:eastAsia="Arial" w:hAnsi="Arial"/>
                <w:sz w:val="12"/>
                <w:szCs w:val="12"/>
                <w:color w:val="auto"/>
              </w:rPr>
              <w:t>​ ​</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ind w:left="4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33,530</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tcPr>
          <w:p>
            <w:pPr>
              <w:jc w:val="center"/>
              <w:spacing w:after="0" w:line="230" w:lineRule="exact"/>
              <w:rPr>
                <w:sz w:val="20"/>
                <w:szCs w:val="20"/>
                <w:color w:val="auto"/>
              </w:rPr>
            </w:pPr>
            <w:r>
              <w:rPr>
                <w:rFonts w:ascii="Arial" w:cs="Arial" w:eastAsia="Arial" w:hAnsi="Arial"/>
                <w:sz w:val="12"/>
                <w:szCs w:val="12"/>
                <w:color w:val="auto"/>
                <w:w w:val="77"/>
              </w:rPr>
              <w:t>​</w:t>
            </w:r>
            <w:r>
              <w:rPr>
                <w:rFonts w:ascii="Arial" w:cs="Arial" w:eastAsia="Arial" w:hAnsi="Arial"/>
                <w:sz w:val="23"/>
                <w:szCs w:val="23"/>
                <w:color w:val="auto"/>
                <w:w w:val="77"/>
                <w:vertAlign w:val="subscript"/>
              </w:rPr>
              <w:t>—</w:t>
            </w:r>
          </w:p>
        </w:tc>
        <w:tc>
          <w:tcPr>
            <w:tcW w:w="140" w:type="dxa"/>
            <w:vAlign w:val="bottom"/>
            <w:gridSpan w:val="2"/>
          </w:tcPr>
          <w:p>
            <w:pPr>
              <w:spacing w:after="0"/>
              <w:rPr>
                <w:sz w:val="20"/>
                <w:szCs w:val="20"/>
                <w:color w:val="auto"/>
              </w:rPr>
            </w:pPr>
            <w:r>
              <w:rPr>
                <w:rFonts w:ascii="Arial" w:cs="Arial" w:eastAsia="Arial" w:hAnsi="Arial"/>
                <w:sz w:val="12"/>
                <w:szCs w:val="12"/>
                <w:color w:val="auto"/>
              </w:rPr>
              <w:t>​ ​</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tcPr>
          <w:p>
            <w:pPr>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ind w:right="14"/>
              <w:spacing w:after="0" w:line="230"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w:t>
            </w:r>
          </w:p>
        </w:tc>
        <w:tc>
          <w:tcPr>
            <w:tcW w:w="200" w:type="dxa"/>
            <w:vAlign w:val="bottom"/>
          </w:tcPr>
          <w:p>
            <w:pPr>
              <w:ind w:left="12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67,060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gridSpan w:val="2"/>
          </w:tcPr>
          <w:p>
            <w:pPr>
              <w:jc w:val="right"/>
              <w:ind w:right="52"/>
              <w:spacing w:after="0"/>
              <w:rPr>
                <w:sz w:val="20"/>
                <w:szCs w:val="20"/>
                <w:color w:val="auto"/>
              </w:rPr>
            </w:pPr>
            <w:r>
              <w:rPr>
                <w:rFonts w:ascii="Arial" w:cs="Arial" w:eastAsia="Arial" w:hAnsi="Arial"/>
                <w:sz w:val="12"/>
                <w:szCs w:val="12"/>
                <w:color w:val="auto"/>
              </w:rPr>
              <w:t>​</w:t>
            </w:r>
          </w:p>
        </w:tc>
        <w:tc>
          <w:tcPr>
            <w:tcW w:w="880" w:type="dxa"/>
            <w:vAlign w:val="bottom"/>
            <w:gridSpan w:val="3"/>
          </w:tcPr>
          <w:p>
            <w:pPr>
              <w:ind w:left="580"/>
              <w:spacing w:after="0" w:line="230" w:lineRule="exact"/>
              <w:rPr>
                <w:sz w:val="20"/>
                <w:szCs w:val="20"/>
                <w:color w:val="auto"/>
              </w:rPr>
            </w:pPr>
            <w:r>
              <w:rPr>
                <w:rFonts w:ascii="Arial" w:cs="Arial" w:eastAsia="Arial" w:hAnsi="Arial"/>
                <w:sz w:val="12"/>
                <w:szCs w:val="12"/>
                <w:b w:val="1"/>
                <w:bCs w:val="1"/>
                <w:color w:val="auto"/>
                <w:w w:val="81"/>
              </w:rPr>
              <w:t xml:space="preserve">Total </w:t>
            </w:r>
            <w:r>
              <w:rPr>
                <w:rFonts w:ascii="Arial" w:cs="Arial" w:eastAsia="Arial" w:hAnsi="Arial"/>
                <w:sz w:val="23"/>
                <w:szCs w:val="23"/>
                <w:color w:val="auto"/>
                <w:w w:val="81"/>
                <w:vertAlign w:val="superscript"/>
              </w:rPr>
              <w:t>​</w:t>
            </w:r>
          </w:p>
        </w:tc>
        <w:tc>
          <w:tcPr>
            <w:tcW w:w="720" w:type="dxa"/>
            <w:vAlign w:val="bottom"/>
            <w:gridSpan w:val="2"/>
          </w:tcPr>
          <w:p>
            <w:pPr>
              <w:ind w:left="300"/>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200" w:type="dxa"/>
            <w:vAlign w:val="bottom"/>
            <w:gridSpan w:val="2"/>
          </w:tcPr>
          <w:p>
            <w:pPr>
              <w:ind w:left="20"/>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821,913</w:t>
            </w:r>
          </w:p>
        </w:tc>
        <w:tc>
          <w:tcPr>
            <w:tcW w:w="160" w:type="dxa"/>
            <w:vAlign w:val="bottom"/>
            <w:gridSpan w:val="2"/>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4,397,030</w:t>
            </w:r>
          </w:p>
        </w:tc>
        <w:tc>
          <w:tcPr>
            <w:tcW w:w="120" w:type="dxa"/>
            <w:vAlign w:val="bottom"/>
          </w:tcPr>
          <w:p>
            <w:pPr>
              <w:ind w:left="4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8,249,172</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tcPr>
          <w:p>
            <w:pPr>
              <w:jc w:val="center"/>
              <w:spacing w:after="0" w:line="230" w:lineRule="exact"/>
              <w:rPr>
                <w:sz w:val="20"/>
                <w:szCs w:val="20"/>
                <w:color w:val="auto"/>
              </w:rPr>
            </w:pPr>
            <w:r>
              <w:rPr>
                <w:rFonts w:ascii="Arial" w:cs="Arial" w:eastAsia="Arial" w:hAnsi="Arial"/>
                <w:sz w:val="12"/>
                <w:szCs w:val="12"/>
                <w:color w:val="auto"/>
                <w:w w:val="77"/>
              </w:rPr>
              <w:t>​</w:t>
            </w:r>
            <w:r>
              <w:rPr>
                <w:rFonts w:ascii="Arial" w:cs="Arial" w:eastAsia="Arial" w:hAnsi="Arial"/>
                <w:sz w:val="23"/>
                <w:szCs w:val="23"/>
                <w:color w:val="auto"/>
                <w:w w:val="77"/>
                <w:vertAlign w:val="subscript"/>
              </w:rPr>
              <w:t>—</w:t>
            </w:r>
          </w:p>
        </w:tc>
        <w:tc>
          <w:tcPr>
            <w:tcW w:w="140" w:type="dxa"/>
            <w:vAlign w:val="bottom"/>
            <w:gridSpan w:val="2"/>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4,700,724</w:t>
            </w:r>
          </w:p>
        </w:tc>
        <w:tc>
          <w:tcPr>
            <w:tcW w:w="140" w:type="dxa"/>
            <w:vAlign w:val="bottom"/>
            <w:gridSpan w:val="2"/>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5,450,724</w:t>
            </w:r>
          </w:p>
        </w:tc>
        <w:tc>
          <w:tcPr>
            <w:tcW w:w="40" w:type="dxa"/>
            <w:vAlign w:val="bottom"/>
          </w:tcPr>
          <w:p>
            <w:pPr>
              <w:jc w:val="right"/>
              <w:ind w:right="14"/>
              <w:spacing w:after="0"/>
              <w:rPr>
                <w:sz w:val="20"/>
                <w:szCs w:val="20"/>
                <w:color w:val="auto"/>
              </w:rPr>
            </w:pPr>
            <w:r>
              <w:rPr>
                <w:rFonts w:ascii="Arial" w:cs="Arial" w:eastAsia="Arial" w:hAnsi="Arial"/>
                <w:sz w:val="1"/>
                <w:szCs w:val="1"/>
                <w:color w:val="auto"/>
                <w:w w:val="4294942296"/>
              </w:rPr>
              <w:t>​</w:t>
            </w:r>
          </w:p>
        </w:tc>
        <w:tc>
          <w:tcPr>
            <w:tcW w:w="880" w:type="dxa"/>
            <w:vAlign w:val="bottom"/>
            <w:gridSpan w:val="2"/>
          </w:tcPr>
          <w:p>
            <w:pPr>
              <w:jc w:val="right"/>
              <w:ind w:right="21"/>
              <w:spacing w:after="0" w:line="23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$10,792,784</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780" w:type="dxa"/>
            <w:vAlign w:val="bottom"/>
            <w:gridSpan w:val="4"/>
          </w:tcPr>
          <w:p>
            <w:pPr>
              <w:spacing w:after="0" w:line="189" w:lineRule="exact"/>
              <w:rPr>
                <w:sz w:val="20"/>
                <w:szCs w:val="20"/>
                <w:color w:val="auto"/>
              </w:rPr>
            </w:pPr>
            <w:r>
              <w:rPr>
                <w:rFonts w:ascii="Arial" w:cs="Arial" w:eastAsia="Arial" w:hAnsi="Arial"/>
                <w:sz w:val="11"/>
                <w:szCs w:val="11"/>
                <w:color w:val="auto"/>
              </w:rPr>
              <w:t>Daniel L. Heard</w:t>
            </w:r>
            <w:r>
              <w:rPr>
                <w:rFonts w:ascii="Arial" w:cs="Arial" w:eastAsia="Arial" w:hAnsi="Arial"/>
                <w:sz w:val="21"/>
                <w:szCs w:val="21"/>
                <w:color w:val="auto"/>
                <w:vertAlign w:val="superscript"/>
              </w:rPr>
              <w:t>​​</w:t>
            </w:r>
            <w:r>
              <w:rPr>
                <w:rFonts w:ascii="Arial" w:cs="Arial" w:eastAsia="Arial" w:hAnsi="Arial"/>
                <w:sz w:val="11"/>
                <w:szCs w:val="11"/>
                <w:color w:val="auto"/>
              </w:rPr>
              <w:t>Severance</w:t>
            </w:r>
          </w:p>
        </w:tc>
        <w:tc>
          <w:tcPr>
            <w:tcW w:w="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300"/>
              <w:spacing w:after="0" w:line="189" w:lineRule="exact"/>
              <w:rPr>
                <w:sz w:val="20"/>
                <w:szCs w:val="20"/>
                <w:color w:val="auto"/>
              </w:rPr>
            </w:pPr>
            <w:r>
              <w:rPr>
                <w:rFonts w:ascii="Arial" w:cs="Arial" w:eastAsia="Arial" w:hAnsi="Arial"/>
                <w:sz w:val="11"/>
                <w:szCs w:val="11"/>
                <w:color w:val="auto"/>
              </w:rPr>
              <w:t>​</w:t>
            </w:r>
            <w:r>
              <w:rPr>
                <w:rFonts w:ascii="Arial" w:cs="Arial" w:eastAsia="Arial" w:hAnsi="Arial"/>
                <w:sz w:val="21"/>
                <w:szCs w:val="21"/>
                <w:color w:val="auto"/>
                <w:vertAlign w:val="subscript"/>
              </w:rPr>
              <w:t>—</w:t>
            </w:r>
          </w:p>
        </w:tc>
        <w:tc>
          <w:tcPr>
            <w:tcW w:w="20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tcPr>
          <w:p>
            <w:pPr>
              <w:spacing w:after="0" w:line="189" w:lineRule="exact"/>
              <w:rPr>
                <w:sz w:val="20"/>
                <w:szCs w:val="20"/>
                <w:color w:val="auto"/>
              </w:rPr>
            </w:pPr>
            <w:r>
              <w:rPr>
                <w:rFonts w:ascii="Arial" w:cs="Arial" w:eastAsia="Arial" w:hAnsi="Arial"/>
                <w:sz w:val="11"/>
                <w:szCs w:val="11"/>
                <w:color w:val="auto"/>
              </w:rPr>
              <w:t>​ ​</w:t>
            </w:r>
            <w:r>
              <w:rPr>
                <w:rFonts w:ascii="Arial" w:cs="Arial" w:eastAsia="Arial" w:hAnsi="Arial"/>
                <w:sz w:val="21"/>
                <w:szCs w:val="21"/>
                <w:color w:val="auto"/>
                <w:vertAlign w:val="subscript"/>
              </w:rPr>
              <w:t>$</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424,360</w:t>
            </w:r>
          </w:p>
        </w:tc>
        <w:tc>
          <w:tcPr>
            <w:tcW w:w="120" w:type="dxa"/>
            <w:vAlign w:val="bottom"/>
          </w:tcPr>
          <w:p>
            <w:pPr>
              <w:ind w:left="40"/>
              <w:spacing w:after="0" w:line="189" w:lineRule="exact"/>
              <w:rPr>
                <w:sz w:val="20"/>
                <w:szCs w:val="20"/>
                <w:color w:val="auto"/>
              </w:rPr>
            </w:pPr>
            <w:r>
              <w:rPr>
                <w:rFonts w:ascii="Arial" w:cs="Arial" w:eastAsia="Arial" w:hAnsi="Arial"/>
                <w:sz w:val="11"/>
                <w:szCs w:val="11"/>
                <w:color w:val="auto"/>
                <w:w w:val="76"/>
              </w:rPr>
              <w:t>​</w:t>
            </w:r>
            <w:r>
              <w:rPr>
                <w:rFonts w:ascii="Arial" w:cs="Arial" w:eastAsia="Arial" w:hAnsi="Arial"/>
                <w:sz w:val="21"/>
                <w:szCs w:val="21"/>
                <w:color w:val="auto"/>
                <w:w w:val="76"/>
                <w:vertAlign w:val="subscript"/>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1,909,464</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tcPr>
          <w:p>
            <w:pPr>
              <w:jc w:val="center"/>
              <w:spacing w:after="0" w:line="189" w:lineRule="exact"/>
              <w:rPr>
                <w:sz w:val="20"/>
                <w:szCs w:val="20"/>
                <w:color w:val="auto"/>
              </w:rPr>
            </w:pPr>
            <w:r>
              <w:rPr>
                <w:rFonts w:ascii="Arial" w:cs="Arial" w:eastAsia="Arial" w:hAnsi="Arial"/>
                <w:sz w:val="11"/>
                <w:szCs w:val="11"/>
                <w:color w:val="auto"/>
                <w:w w:val="85"/>
              </w:rPr>
              <w:t>​</w:t>
            </w:r>
            <w:r>
              <w:rPr>
                <w:rFonts w:ascii="Arial" w:cs="Arial" w:eastAsia="Arial" w:hAnsi="Arial"/>
                <w:sz w:val="21"/>
                <w:szCs w:val="21"/>
                <w:color w:val="auto"/>
                <w:w w:val="85"/>
                <w:vertAlign w:val="subscript"/>
              </w:rPr>
              <w:t>—</w:t>
            </w:r>
          </w:p>
        </w:tc>
        <w:tc>
          <w:tcPr>
            <w:tcW w:w="140" w:type="dxa"/>
            <w:vAlign w:val="bottom"/>
            <w:gridSpan w:val="2"/>
          </w:tcPr>
          <w:p>
            <w:pPr>
              <w:spacing w:after="0"/>
              <w:rPr>
                <w:sz w:val="20"/>
                <w:szCs w:val="20"/>
                <w:color w:val="auto"/>
              </w:rPr>
            </w:pPr>
            <w:r>
              <w:rPr>
                <w:rFonts w:ascii="Arial" w:cs="Arial" w:eastAsia="Arial" w:hAnsi="Arial"/>
                <w:sz w:val="12"/>
                <w:szCs w:val="12"/>
                <w:color w:val="auto"/>
              </w:rPr>
              <w:t>​ ​</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tcPr>
          <w:p>
            <w:pPr>
              <w:spacing w:after="0" w:line="189" w:lineRule="exact"/>
              <w:rPr>
                <w:sz w:val="20"/>
                <w:szCs w:val="20"/>
                <w:color w:val="auto"/>
              </w:rPr>
            </w:pPr>
            <w:r>
              <w:rPr>
                <w:rFonts w:ascii="Arial" w:cs="Arial" w:eastAsia="Arial" w:hAnsi="Arial"/>
                <w:sz w:val="11"/>
                <w:szCs w:val="11"/>
                <w:color w:val="auto"/>
              </w:rPr>
              <w:t>​ ​</w:t>
            </w:r>
            <w:r>
              <w:rPr>
                <w:rFonts w:ascii="Arial" w:cs="Arial" w:eastAsia="Arial" w:hAnsi="Arial"/>
                <w:sz w:val="21"/>
                <w:szCs w:val="21"/>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424,360</w:t>
            </w:r>
          </w:p>
        </w:tc>
        <w:tc>
          <w:tcPr>
            <w:tcW w:w="40" w:type="dxa"/>
            <w:vAlign w:val="bottom"/>
          </w:tcPr>
          <w:p>
            <w:pPr>
              <w:jc w:val="right"/>
              <w:ind w:right="14"/>
              <w:spacing w:after="0"/>
              <w:rPr>
                <w:sz w:val="20"/>
                <w:szCs w:val="20"/>
                <w:color w:val="auto"/>
              </w:rPr>
            </w:pPr>
            <w:r>
              <w:rPr>
                <w:rFonts w:ascii="Arial" w:cs="Arial" w:eastAsia="Arial" w:hAnsi="Arial"/>
                <w:sz w:val="1"/>
                <w:szCs w:val="1"/>
                <w:color w:val="auto"/>
                <w:w w:val="4294942296"/>
              </w:rPr>
              <w:t>​</w:t>
            </w:r>
          </w:p>
        </w:tc>
        <w:tc>
          <w:tcPr>
            <w:tcW w:w="200" w:type="dxa"/>
            <w:vAlign w:val="bottom"/>
          </w:tcPr>
          <w:p>
            <w:pPr>
              <w:ind w:left="120"/>
              <w:spacing w:after="0" w:line="189" w:lineRule="exact"/>
              <w:rPr>
                <w:sz w:val="20"/>
                <w:szCs w:val="20"/>
                <w:color w:val="auto"/>
              </w:rPr>
            </w:pPr>
            <w:r>
              <w:rPr>
                <w:rFonts w:ascii="Arial" w:cs="Arial" w:eastAsia="Arial" w:hAnsi="Arial"/>
                <w:sz w:val="11"/>
                <w:szCs w:val="11"/>
                <w:color w:val="auto"/>
                <w:w w:val="76"/>
              </w:rPr>
              <w:t>​</w:t>
            </w:r>
            <w:r>
              <w:rPr>
                <w:rFonts w:ascii="Arial" w:cs="Arial" w:eastAsia="Arial" w:hAnsi="Arial"/>
                <w:sz w:val="21"/>
                <w:szCs w:val="21"/>
                <w:color w:val="auto"/>
                <w:w w:val="76"/>
                <w:vertAlign w:val="subscript"/>
              </w:rPr>
              <w:t>$</w:t>
            </w: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2,202,840</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ind w:left="300"/>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200" w:type="dxa"/>
            <w:vAlign w:val="bottom"/>
            <w:gridSpan w:val="2"/>
            <w:vMerge w:val="restart"/>
          </w:tcPr>
          <w:p>
            <w:pPr>
              <w:ind w:left="20"/>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580" w:type="dxa"/>
            <w:vAlign w:val="bottom"/>
          </w:tcPr>
          <w:p>
            <w:pPr>
              <w:spacing w:after="0" w:line="20" w:lineRule="exact"/>
              <w:rPr>
                <w:sz w:val="1"/>
                <w:szCs w:val="1"/>
                <w:color w:val="auto"/>
              </w:rPr>
            </w:pPr>
          </w:p>
        </w:tc>
        <w:tc>
          <w:tcPr>
            <w:tcW w:w="160" w:type="dxa"/>
            <w:vAlign w:val="bottom"/>
            <w:gridSpan w:val="2"/>
            <w:vMerge w:val="restart"/>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restart"/>
          </w:tcPr>
          <w:p>
            <w:pPr>
              <w:ind w:left="4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20" w:type="dxa"/>
            <w:vAlign w:val="bottom"/>
          </w:tcPr>
          <w:p>
            <w:pPr>
              <w:spacing w:after="0" w:line="20" w:lineRule="exact"/>
              <w:rPr>
                <w:sz w:val="1"/>
                <w:szCs w:val="1"/>
                <w:color w:val="auto"/>
              </w:rPr>
            </w:pPr>
          </w:p>
        </w:tc>
        <w:tc>
          <w:tcPr>
            <w:tcW w:w="60" w:type="dxa"/>
            <w:vAlign w:val="bottom"/>
            <w:vMerge w:val="restart"/>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vMerge w:val="restart"/>
          </w:tcPr>
          <w:p>
            <w:pPr>
              <w:jc w:val="center"/>
              <w:spacing w:after="0" w:line="230" w:lineRule="exact"/>
              <w:rPr>
                <w:sz w:val="20"/>
                <w:szCs w:val="20"/>
                <w:color w:val="auto"/>
              </w:rPr>
            </w:pPr>
            <w:r>
              <w:rPr>
                <w:rFonts w:ascii="Arial" w:cs="Arial" w:eastAsia="Arial" w:hAnsi="Arial"/>
                <w:sz w:val="12"/>
                <w:szCs w:val="12"/>
                <w:color w:val="auto"/>
                <w:w w:val="77"/>
              </w:rPr>
              <w:t>​</w:t>
            </w:r>
            <w:r>
              <w:rPr>
                <w:rFonts w:ascii="Arial" w:cs="Arial" w:eastAsia="Arial" w:hAnsi="Arial"/>
                <w:sz w:val="23"/>
                <w:szCs w:val="23"/>
                <w:color w:val="auto"/>
                <w:w w:val="77"/>
                <w:vertAlign w:val="subscript"/>
              </w:rPr>
              <w:t>—</w:t>
            </w:r>
          </w:p>
        </w:tc>
        <w:tc>
          <w:tcPr>
            <w:tcW w:w="140" w:type="dxa"/>
            <w:vAlign w:val="bottom"/>
            <w:gridSpan w:val="2"/>
            <w:vMerge w:val="restart"/>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tcPr>
          <w:p>
            <w:pPr>
              <w:spacing w:after="0" w:line="20" w:lineRule="exact"/>
              <w:rPr>
                <w:sz w:val="1"/>
                <w:szCs w:val="1"/>
                <w:color w:val="auto"/>
              </w:rPr>
            </w:pPr>
          </w:p>
        </w:tc>
        <w:tc>
          <w:tcPr>
            <w:tcW w:w="140" w:type="dxa"/>
            <w:vAlign w:val="bottom"/>
            <w:gridSpan w:val="2"/>
            <w:vMerge w:val="restart"/>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tcPr>
          <w:p>
            <w:pPr>
              <w:spacing w:after="0" w:line="20" w:lineRule="exact"/>
              <w:rPr>
                <w:sz w:val="1"/>
                <w:szCs w:val="1"/>
                <w:color w:val="auto"/>
              </w:rPr>
            </w:pPr>
          </w:p>
        </w:tc>
        <w:tc>
          <w:tcPr>
            <w:tcW w:w="40" w:type="dxa"/>
            <w:vAlign w:val="bottom"/>
            <w:vMerge w:val="restart"/>
          </w:tcPr>
          <w:p>
            <w:pPr>
              <w:jc w:val="right"/>
              <w:ind w:right="14"/>
              <w:spacing w:after="0"/>
              <w:rPr>
                <w:sz w:val="20"/>
                <w:szCs w:val="20"/>
                <w:color w:val="auto"/>
              </w:rPr>
            </w:pPr>
            <w:r>
              <w:rPr>
                <w:rFonts w:ascii="Arial" w:cs="Arial" w:eastAsia="Arial" w:hAnsi="Arial"/>
                <w:sz w:val="1"/>
                <w:szCs w:val="1"/>
                <w:color w:val="auto"/>
                <w:w w:val="4294942296"/>
              </w:rPr>
              <w:t>​</w:t>
            </w:r>
          </w:p>
        </w:tc>
        <w:tc>
          <w:tcPr>
            <w:tcW w:w="200" w:type="dxa"/>
            <w:vAlign w:val="bottom"/>
            <w:vMerge w:val="restart"/>
          </w:tcPr>
          <w:p>
            <w:pPr>
              <w:ind w:left="12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960" w:type="dxa"/>
            <w:vAlign w:val="bottom"/>
            <w:gridSpan w:val="2"/>
            <w:shd w:val="clear" w:color="auto" w:fill="B2B2B2"/>
          </w:tcPr>
          <w:p>
            <w:pPr>
              <w:spacing w:after="0" w:line="208" w:lineRule="exact"/>
              <w:rPr>
                <w:sz w:val="20"/>
                <w:szCs w:val="20"/>
                <w:color w:val="auto"/>
              </w:rPr>
            </w:pPr>
            <w:r>
              <w:rPr>
                <w:rFonts w:ascii="Arial" w:cs="Arial" w:eastAsia="Arial" w:hAnsi="Arial"/>
                <w:sz w:val="23"/>
                <w:szCs w:val="23"/>
                <w:color w:val="auto"/>
                <w:w w:val="90"/>
                <w:vertAlign w:val="superscript"/>
              </w:rPr>
              <w:t>​</w:t>
            </w:r>
            <w:r>
              <w:rPr>
                <w:rFonts w:ascii="Arial" w:cs="Arial" w:eastAsia="Arial" w:hAnsi="Arial"/>
                <w:sz w:val="12"/>
                <w:szCs w:val="12"/>
                <w:color w:val="auto"/>
                <w:w w:val="90"/>
              </w:rPr>
              <w:t xml:space="preserve">Restricted Stock </w:t>
            </w:r>
            <w:r>
              <w:rPr>
                <w:rFonts w:ascii="Arial" w:cs="Arial" w:eastAsia="Arial" w:hAnsi="Arial"/>
                <w:sz w:val="16"/>
                <w:szCs w:val="16"/>
                <w:color w:val="auto"/>
                <w:w w:val="90"/>
                <w:vertAlign w:val="superscript"/>
              </w:rPr>
              <w:t>(1)</w:t>
            </w:r>
          </w:p>
        </w:tc>
        <w:tc>
          <w:tcPr>
            <w:tcW w:w="4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1,922,481</w:t>
            </w:r>
          </w:p>
        </w:tc>
        <w:tc>
          <w:tcPr>
            <w:tcW w:w="160" w:type="dxa"/>
            <w:vAlign w:val="bottom"/>
            <w:gridSpan w:val="2"/>
            <w:vMerge w:val="continue"/>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1,922,481</w:t>
            </w:r>
          </w:p>
        </w:tc>
        <w:tc>
          <w:tcPr>
            <w:tcW w:w="12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1,922,481</w:t>
            </w:r>
          </w:p>
        </w:tc>
        <w:tc>
          <w:tcPr>
            <w:tcW w:w="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1,922,481</w:t>
            </w:r>
          </w:p>
        </w:tc>
        <w:tc>
          <w:tcPr>
            <w:tcW w:w="140" w:type="dxa"/>
            <w:vAlign w:val="bottom"/>
            <w:gridSpan w:val="2"/>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1,922,481</w:t>
            </w:r>
          </w:p>
        </w:tc>
        <w:tc>
          <w:tcPr>
            <w:tcW w:w="4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1,922,481</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vMerge w:val="restart"/>
            <w:shd w:val="clear" w:color="auto" w:fill="B2B2B2"/>
          </w:tcPr>
          <w:p>
            <w:pPr>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PBRSUs</w:t>
            </w:r>
            <w:r>
              <w:rPr>
                <w:rFonts w:ascii="Arial" w:cs="Arial" w:eastAsia="Arial" w:hAnsi="Arial"/>
                <w:sz w:val="12"/>
                <w:szCs w:val="12"/>
                <w:color w:val="auto"/>
              </w:rPr>
              <w:t xml:space="preserve"> </w:t>
            </w:r>
            <w:r>
              <w:rPr>
                <w:rFonts w:ascii="Arial" w:cs="Arial" w:eastAsia="Arial" w:hAnsi="Arial"/>
                <w:sz w:val="8"/>
                <w:szCs w:val="8"/>
                <w:color w:val="auto"/>
              </w:rPr>
              <w:t>(1)(2)</w:t>
            </w:r>
          </w:p>
        </w:tc>
        <w:tc>
          <w:tcPr>
            <w:tcW w:w="20" w:type="dxa"/>
            <w:vAlign w:val="bottom"/>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ind w:left="300"/>
              <w:spacing w:after="0" w:line="23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w:t>
            </w:r>
          </w:p>
        </w:tc>
        <w:tc>
          <w:tcPr>
            <w:tcW w:w="200" w:type="dxa"/>
            <w:vAlign w:val="bottom"/>
            <w:gridSpan w:val="2"/>
            <w:vMerge w:val="restart"/>
          </w:tcPr>
          <w:p>
            <w:pPr>
              <w:ind w:left="20"/>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2,481,490</w:t>
            </w:r>
          </w:p>
        </w:tc>
        <w:tc>
          <w:tcPr>
            <w:tcW w:w="160" w:type="dxa"/>
            <w:vAlign w:val="bottom"/>
            <w:gridSpan w:val="2"/>
            <w:vMerge w:val="restart"/>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1,124,240</w:t>
            </w:r>
          </w:p>
        </w:tc>
        <w:tc>
          <w:tcPr>
            <w:tcW w:w="120" w:type="dxa"/>
            <w:vAlign w:val="bottom"/>
            <w:vMerge w:val="restart"/>
          </w:tcPr>
          <w:p>
            <w:pPr>
              <w:ind w:left="40"/>
              <w:spacing w:after="0" w:line="230" w:lineRule="exact"/>
              <w:rPr>
                <w:sz w:val="20"/>
                <w:szCs w:val="20"/>
                <w:color w:val="auto"/>
              </w:rPr>
            </w:pPr>
            <w:r>
              <w:rPr>
                <w:rFonts w:ascii="Arial" w:cs="Arial" w:eastAsia="Arial" w:hAnsi="Arial"/>
                <w:sz w:val="23"/>
                <w:szCs w:val="23"/>
                <w:color w:val="auto"/>
                <w:w w:val="89"/>
                <w:vertAlign w:val="superscript"/>
              </w:rPr>
              <w:t>​</w:t>
            </w:r>
            <w:r>
              <w:rPr>
                <w:rFonts w:ascii="Arial" w:cs="Arial" w:eastAsia="Arial" w:hAnsi="Arial"/>
                <w:sz w:val="12"/>
                <w:szCs w:val="12"/>
                <w:color w:val="auto"/>
                <w:w w:val="89"/>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415,300</w:t>
            </w:r>
          </w:p>
        </w:tc>
        <w:tc>
          <w:tcPr>
            <w:tcW w:w="60" w:type="dxa"/>
            <w:vAlign w:val="bottom"/>
            <w:vMerge w:val="restart"/>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vMerge w:val="restart"/>
          </w:tcPr>
          <w:p>
            <w:pPr>
              <w:jc w:val="center"/>
              <w:spacing w:after="0" w:line="230" w:lineRule="exact"/>
              <w:rPr>
                <w:sz w:val="20"/>
                <w:szCs w:val="20"/>
                <w:color w:val="auto"/>
              </w:rPr>
            </w:pPr>
            <w:r>
              <w:rPr>
                <w:rFonts w:ascii="Arial" w:cs="Arial" w:eastAsia="Arial" w:hAnsi="Arial"/>
                <w:sz w:val="23"/>
                <w:szCs w:val="23"/>
                <w:color w:val="auto"/>
                <w:w w:val="99"/>
                <w:vertAlign w:val="superscript"/>
              </w:rPr>
              <w:t>​</w:t>
            </w:r>
            <w:r>
              <w:rPr>
                <w:rFonts w:ascii="Arial" w:cs="Arial" w:eastAsia="Arial" w:hAnsi="Arial"/>
                <w:sz w:val="12"/>
                <w:szCs w:val="12"/>
                <w:color w:val="auto"/>
                <w:w w:val="99"/>
              </w:rPr>
              <w:t>—</w:t>
            </w:r>
          </w:p>
        </w:tc>
        <w:tc>
          <w:tcPr>
            <w:tcW w:w="140" w:type="dxa"/>
            <w:vAlign w:val="bottom"/>
            <w:gridSpan w:val="2"/>
            <w:vMerge w:val="restart"/>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2,481,490</w:t>
            </w:r>
          </w:p>
        </w:tc>
        <w:tc>
          <w:tcPr>
            <w:tcW w:w="140" w:type="dxa"/>
            <w:vAlign w:val="bottom"/>
            <w:gridSpan w:val="2"/>
            <w:vMerge w:val="restart"/>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2,481,490</w:t>
            </w:r>
          </w:p>
        </w:tc>
        <w:tc>
          <w:tcPr>
            <w:tcW w:w="40" w:type="dxa"/>
            <w:vAlign w:val="bottom"/>
            <w:vMerge w:val="restart"/>
          </w:tcPr>
          <w:p>
            <w:pPr>
              <w:jc w:val="right"/>
              <w:ind w:right="14"/>
              <w:spacing w:after="0"/>
              <w:rPr>
                <w:sz w:val="20"/>
                <w:szCs w:val="20"/>
                <w:color w:val="auto"/>
              </w:rPr>
            </w:pPr>
            <w:r>
              <w:rPr>
                <w:rFonts w:ascii="Arial" w:cs="Arial" w:eastAsia="Arial" w:hAnsi="Arial"/>
                <w:sz w:val="1"/>
                <w:szCs w:val="1"/>
                <w:color w:val="auto"/>
                <w:w w:val="4294942296"/>
              </w:rPr>
              <w:t>​</w:t>
            </w:r>
          </w:p>
        </w:tc>
        <w:tc>
          <w:tcPr>
            <w:tcW w:w="200" w:type="dxa"/>
            <w:vAlign w:val="bottom"/>
            <w:vMerge w:val="restart"/>
          </w:tcPr>
          <w:p>
            <w:pPr>
              <w:ind w:left="120"/>
              <w:spacing w:after="0" w:line="230" w:lineRule="exact"/>
              <w:rPr>
                <w:sz w:val="20"/>
                <w:szCs w:val="20"/>
                <w:color w:val="auto"/>
              </w:rPr>
            </w:pPr>
            <w:r>
              <w:rPr>
                <w:rFonts w:ascii="Arial" w:cs="Arial" w:eastAsia="Arial" w:hAnsi="Arial"/>
                <w:sz w:val="23"/>
                <w:szCs w:val="23"/>
                <w:color w:val="auto"/>
                <w:w w:val="89"/>
                <w:vertAlign w:val="superscript"/>
              </w:rPr>
              <w:t>​</w:t>
            </w:r>
            <w:r>
              <w:rPr>
                <w:rFonts w:ascii="Arial" w:cs="Arial" w:eastAsia="Arial" w:hAnsi="Arial"/>
                <w:sz w:val="12"/>
                <w:szCs w:val="12"/>
                <w:color w:val="auto"/>
                <w:w w:val="89"/>
              </w:rPr>
              <w:t>$</w:t>
            </w:r>
          </w:p>
        </w:tc>
        <w:tc>
          <w:tcPr>
            <w:tcW w:w="680" w:type="dxa"/>
            <w:vAlign w:val="bottom"/>
            <w:vMerge w:val="restart"/>
          </w:tcPr>
          <w:p>
            <w:pPr>
              <w:jc w:val="right"/>
              <w:ind w:right="21"/>
              <w:spacing w:after="0"/>
              <w:rPr>
                <w:sz w:val="20"/>
                <w:szCs w:val="20"/>
                <w:color w:val="auto"/>
              </w:rPr>
            </w:pPr>
            <w:r>
              <w:rPr>
                <w:rFonts w:ascii="Arial" w:cs="Arial" w:eastAsia="Arial" w:hAnsi="Arial"/>
                <w:sz w:val="12"/>
                <w:szCs w:val="12"/>
                <w:color w:val="auto"/>
              </w:rPr>
              <w:t>2,481,490</w:t>
            </w:r>
          </w:p>
        </w:tc>
        <w:tc>
          <w:tcPr>
            <w:tcW w:w="0" w:type="dxa"/>
            <w:vAlign w:val="bottom"/>
          </w:tcPr>
          <w:p>
            <w:pPr>
              <w:spacing w:after="0" w:line="20" w:lineRule="exact"/>
              <w:rPr>
                <w:sz w:val="1"/>
                <w:szCs w:val="1"/>
                <w:color w:val="auto"/>
              </w:rPr>
            </w:pPr>
          </w:p>
        </w:tc>
      </w:tr>
      <w:tr>
        <w:trPr>
          <w:trHeight w:val="208"/>
        </w:trPr>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vMerge w:val="continue"/>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vMerge w:val="restart"/>
            <w:shd w:val="clear" w:color="auto" w:fill="B2B2B2"/>
          </w:tcPr>
          <w:p>
            <w:pPr>
              <w:spacing w:after="0" w:line="23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Outplacement</w:t>
            </w:r>
          </w:p>
        </w:tc>
        <w:tc>
          <w:tcPr>
            <w:tcW w:w="20" w:type="dxa"/>
            <w:vAlign w:val="bottom"/>
            <w:shd w:val="clear" w:color="auto" w:fill="B2B2B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vMerge w:val="restart"/>
          </w:tcPr>
          <w:p>
            <w:pPr>
              <w:ind w:left="300"/>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200" w:type="dxa"/>
            <w:vAlign w:val="bottom"/>
            <w:gridSpan w:val="2"/>
            <w:vMerge w:val="restart"/>
          </w:tcPr>
          <w:p>
            <w:pPr>
              <w:ind w:left="20"/>
              <w:spacing w:after="0"/>
              <w:rPr>
                <w:sz w:val="20"/>
                <w:szCs w:val="20"/>
                <w:color w:val="auto"/>
              </w:rPr>
            </w:pPr>
            <w:r>
              <w:rPr>
                <w:rFonts w:ascii="Arial" w:cs="Arial" w:eastAsia="Arial" w:hAnsi="Arial"/>
                <w:sz w:val="12"/>
                <w:szCs w:val="12"/>
                <w:color w:val="auto"/>
              </w:rPr>
              <w:t>​ ​</w:t>
            </w:r>
          </w:p>
        </w:tc>
        <w:tc>
          <w:tcPr>
            <w:tcW w:w="580" w:type="dxa"/>
            <w:vAlign w:val="bottom"/>
          </w:tcPr>
          <w:p>
            <w:pPr>
              <w:spacing w:after="0" w:line="20" w:lineRule="exact"/>
              <w:rPr>
                <w:sz w:val="1"/>
                <w:szCs w:val="1"/>
                <w:color w:val="auto"/>
              </w:rPr>
            </w:pPr>
          </w:p>
        </w:tc>
        <w:tc>
          <w:tcPr>
            <w:tcW w:w="160" w:type="dxa"/>
            <w:vAlign w:val="bottom"/>
            <w:gridSpan w:val="2"/>
            <w:vMerge w:val="restart"/>
          </w:tcPr>
          <w:p>
            <w:pPr>
              <w:spacing w:after="0"/>
              <w:rPr>
                <w:sz w:val="20"/>
                <w:szCs w:val="20"/>
                <w:color w:val="auto"/>
              </w:rPr>
            </w:pPr>
            <w:r>
              <w:rPr>
                <w:rFonts w:ascii="Arial" w:cs="Arial" w:eastAsia="Arial" w:hAnsi="Arial"/>
                <w:sz w:val="12"/>
                <w:szCs w:val="12"/>
                <w:color w:val="auto"/>
              </w:rPr>
              <w:t>​ ​</w:t>
            </w: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restart"/>
          </w:tcPr>
          <w:p>
            <w:pPr>
              <w:ind w:left="4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20" w:type="dxa"/>
            <w:vAlign w:val="bottom"/>
          </w:tcPr>
          <w:p>
            <w:pPr>
              <w:spacing w:after="0" w:line="20" w:lineRule="exact"/>
              <w:rPr>
                <w:sz w:val="1"/>
                <w:szCs w:val="1"/>
                <w:color w:val="auto"/>
              </w:rPr>
            </w:pPr>
          </w:p>
        </w:tc>
        <w:tc>
          <w:tcPr>
            <w:tcW w:w="60" w:type="dxa"/>
            <w:vAlign w:val="bottom"/>
            <w:vMerge w:val="restart"/>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vMerge w:val="restart"/>
          </w:tcPr>
          <w:p>
            <w:pPr>
              <w:jc w:val="center"/>
              <w:spacing w:after="0" w:line="230" w:lineRule="exact"/>
              <w:rPr>
                <w:sz w:val="20"/>
                <w:szCs w:val="20"/>
                <w:color w:val="auto"/>
              </w:rPr>
            </w:pPr>
            <w:r>
              <w:rPr>
                <w:rFonts w:ascii="Arial" w:cs="Arial" w:eastAsia="Arial" w:hAnsi="Arial"/>
                <w:sz w:val="12"/>
                <w:szCs w:val="12"/>
                <w:color w:val="auto"/>
                <w:w w:val="77"/>
              </w:rPr>
              <w:t>​</w:t>
            </w:r>
            <w:r>
              <w:rPr>
                <w:rFonts w:ascii="Arial" w:cs="Arial" w:eastAsia="Arial" w:hAnsi="Arial"/>
                <w:sz w:val="23"/>
                <w:szCs w:val="23"/>
                <w:color w:val="auto"/>
                <w:w w:val="77"/>
                <w:vertAlign w:val="subscript"/>
              </w:rPr>
              <w:t>—</w:t>
            </w:r>
          </w:p>
        </w:tc>
        <w:tc>
          <w:tcPr>
            <w:tcW w:w="140" w:type="dxa"/>
            <w:vAlign w:val="bottom"/>
            <w:gridSpan w:val="2"/>
            <w:vMerge w:val="restart"/>
          </w:tcPr>
          <w:p>
            <w:pPr>
              <w:spacing w:after="0"/>
              <w:rPr>
                <w:sz w:val="20"/>
                <w:szCs w:val="20"/>
                <w:color w:val="auto"/>
              </w:rPr>
            </w:pPr>
            <w:r>
              <w:rPr>
                <w:rFonts w:ascii="Arial" w:cs="Arial" w:eastAsia="Arial" w:hAnsi="Arial"/>
                <w:sz w:val="12"/>
                <w:szCs w:val="12"/>
                <w:color w:val="auto"/>
              </w:rPr>
              <w:t>​ ​</w:t>
            </w:r>
          </w:p>
        </w:tc>
        <w:tc>
          <w:tcPr>
            <w:tcW w:w="600" w:type="dxa"/>
            <w:vAlign w:val="bottom"/>
          </w:tcPr>
          <w:p>
            <w:pPr>
              <w:spacing w:after="0" w:line="20" w:lineRule="exact"/>
              <w:rPr>
                <w:sz w:val="1"/>
                <w:szCs w:val="1"/>
                <w:color w:val="auto"/>
              </w:rPr>
            </w:pPr>
          </w:p>
        </w:tc>
        <w:tc>
          <w:tcPr>
            <w:tcW w:w="140" w:type="dxa"/>
            <w:vAlign w:val="bottom"/>
            <w:gridSpan w:val="2"/>
            <w:vMerge w:val="restart"/>
          </w:tcPr>
          <w:p>
            <w:pPr>
              <w:spacing w:after="0"/>
              <w:rPr>
                <w:sz w:val="20"/>
                <w:szCs w:val="20"/>
                <w:color w:val="auto"/>
              </w:rPr>
            </w:pPr>
            <w:r>
              <w:rPr>
                <w:rFonts w:ascii="Arial" w:cs="Arial" w:eastAsia="Arial" w:hAnsi="Arial"/>
                <w:sz w:val="12"/>
                <w:szCs w:val="12"/>
                <w:color w:val="auto"/>
              </w:rPr>
              <w:t>​ ​</w:t>
            </w:r>
          </w:p>
        </w:tc>
        <w:tc>
          <w:tcPr>
            <w:tcW w:w="640" w:type="dxa"/>
            <w:vAlign w:val="bottom"/>
            <w:gridSpan w:val="2"/>
            <w:vMerge w:val="restart"/>
          </w:tcPr>
          <w:p>
            <w:pPr>
              <w:jc w:val="right"/>
              <w:ind w:right="14"/>
              <w:spacing w:after="0" w:line="230"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w:t>
            </w:r>
          </w:p>
        </w:tc>
        <w:tc>
          <w:tcPr>
            <w:tcW w:w="200" w:type="dxa"/>
            <w:vAlign w:val="bottom"/>
            <w:vMerge w:val="restart"/>
          </w:tcPr>
          <w:p>
            <w:pPr>
              <w:ind w:left="12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vMerge w:val="continue"/>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20"/>
                <w:szCs w:val="20"/>
                <w:color w:val="auto"/>
              </w:rPr>
            </w:pPr>
            <w:r>
              <w:rPr>
                <w:rFonts w:ascii="Arial" w:cs="Arial" w:eastAsia="Arial" w:hAnsi="Arial"/>
                <w:sz w:val="12"/>
                <w:szCs w:val="12"/>
                <w:color w:val="auto"/>
              </w:rPr>
              <w:t>​</w:t>
            </w:r>
          </w:p>
        </w:tc>
        <w:tc>
          <w:tcPr>
            <w:tcW w:w="72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vMerge w:val="continue"/>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25,000</w:t>
            </w:r>
          </w:p>
        </w:tc>
        <w:tc>
          <w:tcPr>
            <w:tcW w:w="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25,000</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vMerge w:val="restart"/>
            <w:shd w:val="clear" w:color="auto" w:fill="B2B2B2"/>
          </w:tcPr>
          <w:p>
            <w:pPr>
              <w:spacing w:after="0" w:line="23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Healthcare</w:t>
            </w:r>
          </w:p>
        </w:tc>
        <w:tc>
          <w:tcPr>
            <w:tcW w:w="20" w:type="dxa"/>
            <w:vAlign w:val="bottom"/>
            <w:shd w:val="clear" w:color="auto" w:fill="B2B2B2"/>
          </w:tcPr>
          <w:p>
            <w:pPr>
              <w:spacing w:after="0" w:line="20" w:lineRule="exact"/>
              <w:rPr>
                <w:sz w:val="1"/>
                <w:szCs w:val="1"/>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2"/>
                <w:szCs w:val="12"/>
                <w:color w:val="auto"/>
              </w:rPr>
              <w:t>​</w:t>
            </w:r>
          </w:p>
        </w:tc>
        <w:tc>
          <w:tcPr>
            <w:tcW w:w="300" w:type="dxa"/>
            <w:vAlign w:val="bottom"/>
          </w:tcPr>
          <w:p>
            <w:pPr>
              <w:spacing w:after="0" w:line="20" w:lineRule="exact"/>
              <w:rPr>
                <w:sz w:val="1"/>
                <w:szCs w:val="1"/>
                <w:color w:val="auto"/>
              </w:rPr>
            </w:pPr>
          </w:p>
        </w:tc>
        <w:tc>
          <w:tcPr>
            <w:tcW w:w="420" w:type="dxa"/>
            <w:vAlign w:val="bottom"/>
            <w:vMerge w:val="restart"/>
          </w:tcPr>
          <w:p>
            <w:pPr>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200" w:type="dxa"/>
            <w:vAlign w:val="bottom"/>
            <w:gridSpan w:val="2"/>
            <w:vMerge w:val="restart"/>
          </w:tcPr>
          <w:p>
            <w:pPr>
              <w:ind w:left="20"/>
              <w:spacing w:after="0"/>
              <w:rPr>
                <w:sz w:val="20"/>
                <w:szCs w:val="20"/>
                <w:color w:val="auto"/>
              </w:rPr>
            </w:pPr>
            <w:r>
              <w:rPr>
                <w:rFonts w:ascii="Arial" w:cs="Arial" w:eastAsia="Arial" w:hAnsi="Arial"/>
                <w:sz w:val="12"/>
                <w:szCs w:val="12"/>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vMerge w:val="restart"/>
          </w:tcPr>
          <w:p>
            <w:pPr>
              <w:spacing w:after="0"/>
              <w:rPr>
                <w:sz w:val="20"/>
                <w:szCs w:val="20"/>
                <w:color w:val="auto"/>
              </w:rPr>
            </w:pPr>
            <w:r>
              <w:rPr>
                <w:rFonts w:ascii="Arial" w:cs="Arial" w:eastAsia="Arial" w:hAnsi="Arial"/>
                <w:sz w:val="12"/>
                <w:szCs w:val="12"/>
                <w:color w:val="auto"/>
              </w:rPr>
              <w:t>​ ​</w:t>
            </w: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ind w:left="4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27,109</w:t>
            </w:r>
          </w:p>
        </w:tc>
        <w:tc>
          <w:tcPr>
            <w:tcW w:w="60" w:type="dxa"/>
            <w:vAlign w:val="bottom"/>
            <w:vMerge w:val="restart"/>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vMerge w:val="restart"/>
          </w:tcPr>
          <w:p>
            <w:pPr>
              <w:jc w:val="center"/>
              <w:spacing w:after="0" w:line="230" w:lineRule="exact"/>
              <w:rPr>
                <w:sz w:val="20"/>
                <w:szCs w:val="20"/>
                <w:color w:val="auto"/>
              </w:rPr>
            </w:pPr>
            <w:r>
              <w:rPr>
                <w:rFonts w:ascii="Arial" w:cs="Arial" w:eastAsia="Arial" w:hAnsi="Arial"/>
                <w:sz w:val="12"/>
                <w:szCs w:val="12"/>
                <w:color w:val="auto"/>
                <w:w w:val="77"/>
              </w:rPr>
              <w:t>​</w:t>
            </w:r>
            <w:r>
              <w:rPr>
                <w:rFonts w:ascii="Arial" w:cs="Arial" w:eastAsia="Arial" w:hAnsi="Arial"/>
                <w:sz w:val="23"/>
                <w:szCs w:val="23"/>
                <w:color w:val="auto"/>
                <w:w w:val="77"/>
                <w:vertAlign w:val="subscript"/>
              </w:rPr>
              <w:t>—</w:t>
            </w:r>
          </w:p>
        </w:tc>
        <w:tc>
          <w:tcPr>
            <w:tcW w:w="140" w:type="dxa"/>
            <w:vAlign w:val="bottom"/>
            <w:gridSpan w:val="2"/>
            <w:vMerge w:val="restart"/>
          </w:tcPr>
          <w:p>
            <w:pPr>
              <w:spacing w:after="0"/>
              <w:rPr>
                <w:sz w:val="20"/>
                <w:szCs w:val="20"/>
                <w:color w:val="auto"/>
              </w:rPr>
            </w:pPr>
            <w:r>
              <w:rPr>
                <w:rFonts w:ascii="Arial" w:cs="Arial" w:eastAsia="Arial" w:hAnsi="Arial"/>
                <w:sz w:val="12"/>
                <w:szCs w:val="12"/>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vMerge w:val="restart"/>
          </w:tcPr>
          <w:p>
            <w:pPr>
              <w:spacing w:after="0"/>
              <w:rPr>
                <w:sz w:val="20"/>
                <w:szCs w:val="20"/>
                <w:color w:val="auto"/>
              </w:rPr>
            </w:pPr>
            <w:r>
              <w:rPr>
                <w:rFonts w:ascii="Arial" w:cs="Arial" w:eastAsia="Arial" w:hAnsi="Arial"/>
                <w:sz w:val="12"/>
                <w:szCs w:val="12"/>
                <w:color w:val="auto"/>
              </w:rPr>
              <w:t>​ ​</w:t>
            </w:r>
          </w:p>
        </w:tc>
        <w:tc>
          <w:tcPr>
            <w:tcW w:w="640" w:type="dxa"/>
            <w:vAlign w:val="bottom"/>
            <w:gridSpan w:val="2"/>
            <w:vMerge w:val="restart"/>
          </w:tcPr>
          <w:p>
            <w:pPr>
              <w:jc w:val="right"/>
              <w:ind w:right="14"/>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perscript"/>
              </w:rPr>
              <w:t>​</w:t>
            </w:r>
          </w:p>
        </w:tc>
        <w:tc>
          <w:tcPr>
            <w:tcW w:w="200" w:type="dxa"/>
            <w:vAlign w:val="bottom"/>
            <w:vMerge w:val="restart"/>
          </w:tcPr>
          <w:p>
            <w:pPr>
              <w:ind w:left="12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80" w:type="dxa"/>
            <w:vAlign w:val="bottom"/>
            <w:vMerge w:val="restart"/>
          </w:tcPr>
          <w:p>
            <w:pPr>
              <w:jc w:val="right"/>
              <w:ind w:right="21"/>
              <w:spacing w:after="0"/>
              <w:rPr>
                <w:sz w:val="20"/>
                <w:szCs w:val="20"/>
                <w:color w:val="auto"/>
              </w:rPr>
            </w:pPr>
            <w:r>
              <w:rPr>
                <w:rFonts w:ascii="Arial" w:cs="Arial" w:eastAsia="Arial" w:hAnsi="Arial"/>
                <w:sz w:val="12"/>
                <w:szCs w:val="12"/>
                <w:color w:val="auto"/>
              </w:rPr>
              <w:t>54,218</w:t>
            </w:r>
          </w:p>
        </w:tc>
        <w:tc>
          <w:tcPr>
            <w:tcW w:w="0" w:type="dxa"/>
            <w:vAlign w:val="bottom"/>
          </w:tcPr>
          <w:p>
            <w:pPr>
              <w:spacing w:after="0" w:line="20" w:lineRule="exact"/>
              <w:rPr>
                <w:sz w:val="1"/>
                <w:szCs w:val="1"/>
                <w:color w:val="auto"/>
              </w:rPr>
            </w:pPr>
          </w:p>
        </w:tc>
      </w:tr>
      <w:tr>
        <w:trPr>
          <w:trHeight w:val="208"/>
        </w:trPr>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vMerge w:val="continue"/>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20" w:type="dxa"/>
            <w:vAlign w:val="bottom"/>
            <w:vMerge w:val="continue"/>
            <w:shd w:val="clear" w:color="auto" w:fill="B2B2B2"/>
          </w:tcPr>
          <w:p>
            <w:pPr>
              <w:spacing w:after="0"/>
              <w:rPr>
                <w:sz w:val="18"/>
                <w:szCs w:val="18"/>
                <w:color w:val="auto"/>
              </w:rPr>
            </w:pPr>
          </w:p>
        </w:tc>
        <w:tc>
          <w:tcPr>
            <w:tcW w:w="300" w:type="dxa"/>
            <w:vAlign w:val="bottom"/>
            <w:tcBorders>
              <w:left w:val="single" w:sz="8" w:color="B2B2B2"/>
            </w:tcBorders>
            <w:shd w:val="clear" w:color="auto" w:fill="B2B2B2"/>
          </w:tcPr>
          <w:p>
            <w:pPr>
              <w:spacing w:after="0"/>
              <w:rPr>
                <w:sz w:val="18"/>
                <w:szCs w:val="18"/>
                <w:color w:val="auto"/>
              </w:rPr>
            </w:pPr>
          </w:p>
        </w:tc>
        <w:tc>
          <w:tcPr>
            <w:tcW w:w="42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B2B2B2"/>
            </w:tcBorders>
            <w:shd w:val="clear" w:color="auto" w:fill="B2B2B2"/>
          </w:tcPr>
          <w:p>
            <w:pPr>
              <w:jc w:val="right"/>
              <w:ind w:right="52"/>
              <w:spacing w:after="0"/>
              <w:rPr>
                <w:sz w:val="20"/>
                <w:szCs w:val="20"/>
                <w:color w:val="auto"/>
              </w:rPr>
            </w:pPr>
            <w:r>
              <w:rPr>
                <w:rFonts w:ascii="Arial" w:cs="Arial" w:eastAsia="Arial" w:hAnsi="Arial"/>
                <w:sz w:val="1"/>
                <w:szCs w:val="1"/>
                <w:color w:val="auto"/>
                <w:w w:val="4294942296"/>
              </w:rPr>
              <w:t>​</w:t>
            </w:r>
          </w:p>
        </w:tc>
        <w:tc>
          <w:tcPr>
            <w:tcW w:w="840" w:type="dxa"/>
            <w:vAlign w:val="bottom"/>
            <w:tcBorders>
              <w:bottom w:val="single" w:sz="8" w:color="B2B2B2"/>
            </w:tcBorders>
            <w:shd w:val="clear" w:color="auto" w:fill="B2B2B2"/>
          </w:tcPr>
          <w:p>
            <w:pPr>
              <w:ind w:left="580"/>
              <w:spacing w:after="0"/>
              <w:rPr>
                <w:sz w:val="20"/>
                <w:szCs w:val="20"/>
                <w:color w:val="auto"/>
              </w:rPr>
            </w:pPr>
            <w:r>
              <w:rPr>
                <w:rFonts w:ascii="Arial" w:cs="Arial" w:eastAsia="Arial" w:hAnsi="Arial"/>
                <w:sz w:val="12"/>
                <w:szCs w:val="12"/>
                <w:b w:val="1"/>
                <w:bCs w:val="1"/>
                <w:color w:val="auto"/>
                <w:w w:val="83"/>
              </w:rPr>
              <w:t>Total</w:t>
            </w:r>
          </w:p>
        </w:tc>
        <w:tc>
          <w:tcPr>
            <w:tcW w:w="20" w:type="dxa"/>
            <w:vAlign w:val="bottom"/>
            <w:tcBorders>
              <w:bottom w:val="single" w:sz="8" w:color="B2B2B2"/>
            </w:tcBorders>
            <w:shd w:val="clear" w:color="auto" w:fill="B2B2B2"/>
          </w:tcPr>
          <w:p>
            <w:pPr>
              <w:spacing w:after="0"/>
              <w:rPr>
                <w:sz w:val="20"/>
                <w:szCs w:val="20"/>
                <w:color w:val="auto"/>
              </w:rPr>
            </w:pPr>
          </w:p>
        </w:tc>
        <w:tc>
          <w:tcPr>
            <w:tcW w:w="20" w:type="dxa"/>
            <w:vAlign w:val="bottom"/>
            <w:tcBorders>
              <w:bottom w:val="single" w:sz="8" w:color="B2B2B2"/>
            </w:tcBorders>
            <w:shd w:val="clear" w:color="auto" w:fill="B2B2B2"/>
          </w:tcPr>
          <w:p>
            <w:pPr>
              <w:spacing w:after="0"/>
              <w:rPr>
                <w:sz w:val="20"/>
                <w:szCs w:val="20"/>
                <w:color w:val="auto"/>
              </w:rPr>
            </w:pPr>
            <w:r>
              <w:rPr>
                <w:rFonts w:ascii="Arial" w:cs="Arial" w:eastAsia="Arial" w:hAnsi="Arial"/>
                <w:sz w:val="12"/>
                <w:szCs w:val="12"/>
                <w:color w:val="auto"/>
              </w:rPr>
              <w:t>​</w:t>
            </w:r>
          </w:p>
        </w:tc>
        <w:tc>
          <w:tcPr>
            <w:tcW w:w="300" w:type="dxa"/>
            <w:vAlign w:val="bottom"/>
            <w:tcBorders>
              <w:left w:val="single" w:sz="8" w:color="B2B2B2"/>
              <w:bottom w:val="single" w:sz="8" w:color="B2B2B2"/>
            </w:tcBorders>
            <w:shd w:val="clear" w:color="auto" w:fill="B2B2B2"/>
          </w:tcPr>
          <w:p>
            <w:pPr>
              <w:spacing w:after="0"/>
              <w:rPr>
                <w:sz w:val="20"/>
                <w:szCs w:val="20"/>
                <w:color w:val="auto"/>
              </w:rPr>
            </w:pPr>
          </w:p>
        </w:tc>
        <w:tc>
          <w:tcPr>
            <w:tcW w:w="420" w:type="dxa"/>
            <w:vAlign w:val="bottom"/>
          </w:tcPr>
          <w:p>
            <w:pPr>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200" w:type="dxa"/>
            <w:vAlign w:val="bottom"/>
            <w:gridSpan w:val="2"/>
          </w:tcPr>
          <w:p>
            <w:pPr>
              <w:ind w:left="20"/>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4,403,971</w:t>
            </w:r>
          </w:p>
        </w:tc>
        <w:tc>
          <w:tcPr>
            <w:tcW w:w="160" w:type="dxa"/>
            <w:vAlign w:val="bottom"/>
            <w:gridSpan w:val="2"/>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3,471,081</w:t>
            </w:r>
          </w:p>
        </w:tc>
        <w:tc>
          <w:tcPr>
            <w:tcW w:w="120" w:type="dxa"/>
            <w:vAlign w:val="bottom"/>
          </w:tcPr>
          <w:p>
            <w:pPr>
              <w:ind w:left="4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4,299,354</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tcPr>
          <w:p>
            <w:pPr>
              <w:jc w:val="center"/>
              <w:spacing w:after="0" w:line="230" w:lineRule="exact"/>
              <w:rPr>
                <w:sz w:val="20"/>
                <w:szCs w:val="20"/>
                <w:color w:val="auto"/>
              </w:rPr>
            </w:pPr>
            <w:r>
              <w:rPr>
                <w:rFonts w:ascii="Arial" w:cs="Arial" w:eastAsia="Arial" w:hAnsi="Arial"/>
                <w:sz w:val="12"/>
                <w:szCs w:val="12"/>
                <w:color w:val="auto"/>
                <w:w w:val="77"/>
              </w:rPr>
              <w:t>​</w:t>
            </w:r>
            <w:r>
              <w:rPr>
                <w:rFonts w:ascii="Arial" w:cs="Arial" w:eastAsia="Arial" w:hAnsi="Arial"/>
                <w:sz w:val="23"/>
                <w:szCs w:val="23"/>
                <w:color w:val="auto"/>
                <w:w w:val="77"/>
                <w:vertAlign w:val="subscript"/>
              </w:rPr>
              <w:t>—</w:t>
            </w:r>
          </w:p>
        </w:tc>
        <w:tc>
          <w:tcPr>
            <w:tcW w:w="140" w:type="dxa"/>
            <w:vAlign w:val="bottom"/>
            <w:gridSpan w:val="2"/>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4,403,971</w:t>
            </w:r>
          </w:p>
        </w:tc>
        <w:tc>
          <w:tcPr>
            <w:tcW w:w="140" w:type="dxa"/>
            <w:vAlign w:val="bottom"/>
            <w:gridSpan w:val="2"/>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4,828,331</w:t>
            </w:r>
          </w:p>
        </w:tc>
        <w:tc>
          <w:tcPr>
            <w:tcW w:w="40" w:type="dxa"/>
            <w:vAlign w:val="bottom"/>
          </w:tcPr>
          <w:p>
            <w:pPr>
              <w:jc w:val="right"/>
              <w:ind w:right="14"/>
              <w:spacing w:after="0"/>
              <w:rPr>
                <w:sz w:val="20"/>
                <w:szCs w:val="20"/>
                <w:color w:val="auto"/>
              </w:rPr>
            </w:pPr>
            <w:r>
              <w:rPr>
                <w:rFonts w:ascii="Arial" w:cs="Arial" w:eastAsia="Arial" w:hAnsi="Arial"/>
                <w:sz w:val="1"/>
                <w:szCs w:val="1"/>
                <w:color w:val="auto"/>
                <w:w w:val="4294942296"/>
              </w:rPr>
              <w:t>​</w:t>
            </w:r>
          </w:p>
        </w:tc>
        <w:tc>
          <w:tcPr>
            <w:tcW w:w="200" w:type="dxa"/>
            <w:vAlign w:val="bottom"/>
          </w:tcPr>
          <w:p>
            <w:pPr>
              <w:ind w:left="12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6,686,030</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1780" w:type="dxa"/>
            <w:vAlign w:val="bottom"/>
            <w:gridSpan w:val="4"/>
          </w:tcPr>
          <w:p>
            <w:pPr>
              <w:spacing w:after="0" w:line="168" w:lineRule="exact"/>
              <w:rPr>
                <w:sz w:val="20"/>
                <w:szCs w:val="20"/>
                <w:color w:val="auto"/>
              </w:rPr>
            </w:pPr>
            <w:r>
              <w:rPr>
                <w:rFonts w:ascii="Arial" w:cs="Arial" w:eastAsia="Arial" w:hAnsi="Arial"/>
                <w:sz w:val="10"/>
                <w:szCs w:val="10"/>
                <w:color w:val="auto"/>
              </w:rPr>
              <w:t xml:space="preserve">Michael Friloux </w:t>
            </w:r>
            <w:r>
              <w:rPr>
                <w:rFonts w:ascii="Arial" w:cs="Arial" w:eastAsia="Arial" w:hAnsi="Arial"/>
                <w:sz w:val="19"/>
                <w:szCs w:val="19"/>
                <w:color w:val="auto"/>
                <w:vertAlign w:val="superscript"/>
              </w:rPr>
              <w:t>​​</w:t>
            </w:r>
            <w:r>
              <w:rPr>
                <w:rFonts w:ascii="Arial" w:cs="Arial" w:eastAsia="Arial" w:hAnsi="Arial"/>
                <w:sz w:val="10"/>
                <w:szCs w:val="10"/>
                <w:color w:val="auto"/>
              </w:rPr>
              <w:t>Severance</w:t>
            </w:r>
          </w:p>
        </w:tc>
        <w:tc>
          <w:tcPr>
            <w:tcW w:w="20" w:type="dxa"/>
            <w:vAlign w:val="bottom"/>
          </w:tcPr>
          <w:p>
            <w:pPr>
              <w:spacing w:after="0"/>
              <w:rPr>
                <w:sz w:val="14"/>
                <w:szCs w:val="14"/>
                <w:color w:val="auto"/>
              </w:rPr>
            </w:pPr>
          </w:p>
        </w:tc>
        <w:tc>
          <w:tcPr>
            <w:tcW w:w="20" w:type="dxa"/>
            <w:vAlign w:val="bottom"/>
          </w:tcPr>
          <w:p>
            <w:pPr>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420" w:type="dxa"/>
            <w:vAlign w:val="bottom"/>
          </w:tcPr>
          <w:p>
            <w:pPr>
              <w:spacing w:after="0" w:line="168"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200" w:type="dxa"/>
            <w:vAlign w:val="bottom"/>
            <w:gridSpan w:val="2"/>
          </w:tcPr>
          <w:p>
            <w:pPr>
              <w:ind w:left="20"/>
              <w:spacing w:after="0" w:line="130" w:lineRule="exact"/>
              <w:rPr>
                <w:sz w:val="20"/>
                <w:szCs w:val="20"/>
                <w:color w:val="auto"/>
              </w:rPr>
            </w:pPr>
            <w:r>
              <w:rPr>
                <w:rFonts w:ascii="Arial" w:cs="Arial" w:eastAsia="Arial" w:hAnsi="Arial"/>
                <w:sz w:val="12"/>
                <w:szCs w:val="12"/>
                <w:color w:val="auto"/>
              </w:rPr>
              <w:t>​ ​</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tcPr>
          <w:p>
            <w:pPr>
              <w:spacing w:after="0" w:line="168" w:lineRule="exact"/>
              <w:rPr>
                <w:sz w:val="20"/>
                <w:szCs w:val="20"/>
                <w:color w:val="auto"/>
              </w:rPr>
            </w:pPr>
            <w:r>
              <w:rPr>
                <w:rFonts w:ascii="Arial" w:cs="Arial" w:eastAsia="Arial" w:hAnsi="Arial"/>
                <w:sz w:val="10"/>
                <w:szCs w:val="10"/>
                <w:color w:val="auto"/>
              </w:rPr>
              <w:t>​ ​</w:t>
            </w:r>
            <w:r>
              <w:rPr>
                <w:rFonts w:ascii="Arial" w:cs="Arial" w:eastAsia="Arial" w:hAnsi="Arial"/>
                <w:sz w:val="19"/>
                <w:szCs w:val="19"/>
                <w:color w:val="auto"/>
                <w:vertAlign w:val="subscript"/>
              </w:rPr>
              <w:t>$</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344,793</w:t>
            </w:r>
          </w:p>
        </w:tc>
        <w:tc>
          <w:tcPr>
            <w:tcW w:w="120" w:type="dxa"/>
            <w:vAlign w:val="bottom"/>
          </w:tcPr>
          <w:p>
            <w:pPr>
              <w:ind w:left="40"/>
              <w:spacing w:after="0" w:line="168"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bscript"/>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1,535,001</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tcPr>
          <w:p>
            <w:pPr>
              <w:jc w:val="center"/>
              <w:spacing w:after="0" w:line="168" w:lineRule="exact"/>
              <w:rPr>
                <w:sz w:val="20"/>
                <w:szCs w:val="20"/>
                <w:color w:val="auto"/>
              </w:rPr>
            </w:pPr>
            <w:r>
              <w:rPr>
                <w:rFonts w:ascii="Arial" w:cs="Arial" w:eastAsia="Arial" w:hAnsi="Arial"/>
                <w:sz w:val="10"/>
                <w:szCs w:val="10"/>
                <w:color w:val="auto"/>
                <w:w w:val="94"/>
              </w:rPr>
              <w:t>​</w:t>
            </w:r>
            <w:r>
              <w:rPr>
                <w:rFonts w:ascii="Arial" w:cs="Arial" w:eastAsia="Arial" w:hAnsi="Arial"/>
                <w:sz w:val="19"/>
                <w:szCs w:val="19"/>
                <w:color w:val="auto"/>
                <w:w w:val="94"/>
                <w:vertAlign w:val="subscript"/>
              </w:rPr>
              <w:t>—</w:t>
            </w:r>
          </w:p>
        </w:tc>
        <w:tc>
          <w:tcPr>
            <w:tcW w:w="140" w:type="dxa"/>
            <w:vAlign w:val="bottom"/>
            <w:gridSpan w:val="2"/>
          </w:tcPr>
          <w:p>
            <w:pPr>
              <w:spacing w:after="0" w:line="130" w:lineRule="exact"/>
              <w:rPr>
                <w:sz w:val="20"/>
                <w:szCs w:val="20"/>
                <w:color w:val="auto"/>
              </w:rPr>
            </w:pPr>
            <w:r>
              <w:rPr>
                <w:rFonts w:ascii="Arial" w:cs="Arial" w:eastAsia="Arial" w:hAnsi="Arial"/>
                <w:sz w:val="12"/>
                <w:szCs w:val="12"/>
                <w:color w:val="auto"/>
              </w:rPr>
              <w:t>​ ​</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tcPr>
          <w:p>
            <w:pPr>
              <w:spacing w:after="0" w:line="168" w:lineRule="exact"/>
              <w:rPr>
                <w:sz w:val="20"/>
                <w:szCs w:val="20"/>
                <w:color w:val="auto"/>
              </w:rPr>
            </w:pPr>
            <w:r>
              <w:rPr>
                <w:rFonts w:ascii="Arial" w:cs="Arial" w:eastAsia="Arial" w:hAnsi="Arial"/>
                <w:sz w:val="10"/>
                <w:szCs w:val="10"/>
                <w:color w:val="auto"/>
              </w:rPr>
              <w:t>​ ​</w:t>
            </w:r>
            <w:r>
              <w:rPr>
                <w:rFonts w:ascii="Arial" w:cs="Arial" w:eastAsia="Arial" w:hAnsi="Arial"/>
                <w:sz w:val="19"/>
                <w:szCs w:val="19"/>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344,793</w:t>
            </w:r>
          </w:p>
        </w:tc>
        <w:tc>
          <w:tcPr>
            <w:tcW w:w="40" w:type="dxa"/>
            <w:vAlign w:val="bottom"/>
          </w:tcPr>
          <w:p>
            <w:pPr>
              <w:jc w:val="right"/>
              <w:ind w:right="14"/>
              <w:spacing w:after="0"/>
              <w:rPr>
                <w:sz w:val="20"/>
                <w:szCs w:val="20"/>
                <w:color w:val="auto"/>
              </w:rPr>
            </w:pPr>
            <w:r>
              <w:rPr>
                <w:rFonts w:ascii="Arial" w:cs="Arial" w:eastAsia="Arial" w:hAnsi="Arial"/>
                <w:sz w:val="1"/>
                <w:szCs w:val="1"/>
                <w:color w:val="auto"/>
                <w:w w:val="4294942296"/>
              </w:rPr>
              <w:t>​</w:t>
            </w:r>
          </w:p>
        </w:tc>
        <w:tc>
          <w:tcPr>
            <w:tcW w:w="200" w:type="dxa"/>
            <w:vAlign w:val="bottom"/>
          </w:tcPr>
          <w:p>
            <w:pPr>
              <w:ind w:left="120"/>
              <w:spacing w:after="0" w:line="168"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bscript"/>
              </w:rPr>
              <w:t>$</w:t>
            </w: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1,783,142</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5"/>
          </w:tcPr>
          <w:p>
            <w:pPr>
              <w:ind w:left="20"/>
              <w:spacing w:after="0" w:line="230" w:lineRule="exact"/>
              <w:rPr>
                <w:sz w:val="20"/>
                <w:szCs w:val="20"/>
                <w:color w:val="auto"/>
              </w:rPr>
            </w:pPr>
            <w:r>
              <w:rPr>
                <w:rFonts w:ascii="Arial" w:cs="Arial" w:eastAsia="Arial" w:hAnsi="Arial"/>
                <w:sz w:val="23"/>
                <w:szCs w:val="23"/>
                <w:color w:val="auto"/>
                <w:w w:val="89"/>
                <w:vertAlign w:val="superscript"/>
              </w:rPr>
              <w:t>​</w:t>
            </w:r>
            <w:r>
              <w:rPr>
                <w:rFonts w:ascii="Arial" w:cs="Arial" w:eastAsia="Arial" w:hAnsi="Arial"/>
                <w:sz w:val="12"/>
                <w:szCs w:val="12"/>
                <w:color w:val="auto"/>
                <w:w w:val="89"/>
              </w:rPr>
              <w:t xml:space="preserve">Restricted Stock </w:t>
            </w:r>
            <w:r>
              <w:rPr>
                <w:rFonts w:ascii="Arial" w:cs="Arial" w:eastAsia="Arial" w:hAnsi="Arial"/>
                <w:sz w:val="16"/>
                <w:szCs w:val="16"/>
                <w:color w:val="auto"/>
                <w:w w:val="89"/>
                <w:vertAlign w:val="superscript"/>
              </w:rPr>
              <w:t>(1)</w:t>
            </w:r>
            <w:r>
              <w:rPr>
                <w:rFonts w:ascii="Arial" w:cs="Arial" w:eastAsia="Arial" w:hAnsi="Arial"/>
                <w:sz w:val="12"/>
                <w:szCs w:val="12"/>
                <w:color w:val="auto"/>
                <w:w w:val="89"/>
              </w:rPr>
              <w:t xml:space="preserve"> </w:t>
            </w:r>
            <w:r>
              <w:rPr>
                <w:rFonts w:ascii="Arial" w:cs="Arial" w:eastAsia="Arial" w:hAnsi="Arial"/>
                <w:sz w:val="23"/>
                <w:szCs w:val="23"/>
                <w:color w:val="auto"/>
                <w:w w:val="89"/>
                <w:vertAlign w:val="superscript"/>
              </w:rPr>
              <w:t>​</w:t>
            </w:r>
          </w:p>
        </w:tc>
        <w:tc>
          <w:tcPr>
            <w:tcW w:w="720" w:type="dxa"/>
            <w:vAlign w:val="bottom"/>
            <w:gridSpan w:val="2"/>
          </w:tcPr>
          <w:p>
            <w:pPr>
              <w:ind w:left="300"/>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200" w:type="dxa"/>
            <w:vAlign w:val="bottom"/>
            <w:gridSpan w:val="2"/>
          </w:tcPr>
          <w:p>
            <w:pPr>
              <w:ind w:left="20"/>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2,053,218</w:t>
            </w:r>
          </w:p>
        </w:tc>
        <w:tc>
          <w:tcPr>
            <w:tcW w:w="160" w:type="dxa"/>
            <w:vAlign w:val="bottom"/>
            <w:gridSpan w:val="2"/>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2,053,218</w:t>
            </w:r>
          </w:p>
        </w:tc>
        <w:tc>
          <w:tcPr>
            <w:tcW w:w="120" w:type="dxa"/>
            <w:vAlign w:val="bottom"/>
          </w:tcPr>
          <w:p>
            <w:pPr>
              <w:ind w:left="4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2,053,218</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tcPr>
          <w:p>
            <w:pPr>
              <w:jc w:val="center"/>
              <w:spacing w:after="0" w:line="230" w:lineRule="exact"/>
              <w:rPr>
                <w:sz w:val="20"/>
                <w:szCs w:val="20"/>
                <w:color w:val="auto"/>
              </w:rPr>
            </w:pPr>
            <w:r>
              <w:rPr>
                <w:rFonts w:ascii="Arial" w:cs="Arial" w:eastAsia="Arial" w:hAnsi="Arial"/>
                <w:sz w:val="12"/>
                <w:szCs w:val="12"/>
                <w:color w:val="auto"/>
                <w:w w:val="77"/>
              </w:rPr>
              <w:t>​</w:t>
            </w:r>
            <w:r>
              <w:rPr>
                <w:rFonts w:ascii="Arial" w:cs="Arial" w:eastAsia="Arial" w:hAnsi="Arial"/>
                <w:sz w:val="23"/>
                <w:szCs w:val="23"/>
                <w:color w:val="auto"/>
                <w:w w:val="77"/>
                <w:vertAlign w:val="subscript"/>
              </w:rPr>
              <w:t>—</w:t>
            </w:r>
          </w:p>
        </w:tc>
        <w:tc>
          <w:tcPr>
            <w:tcW w:w="140" w:type="dxa"/>
            <w:vAlign w:val="bottom"/>
            <w:gridSpan w:val="2"/>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2,053,218</w:t>
            </w:r>
          </w:p>
        </w:tc>
        <w:tc>
          <w:tcPr>
            <w:tcW w:w="140" w:type="dxa"/>
            <w:vAlign w:val="bottom"/>
            <w:gridSpan w:val="2"/>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2,053,218</w:t>
            </w:r>
          </w:p>
        </w:tc>
        <w:tc>
          <w:tcPr>
            <w:tcW w:w="40" w:type="dxa"/>
            <w:vAlign w:val="bottom"/>
          </w:tcPr>
          <w:p>
            <w:pPr>
              <w:jc w:val="right"/>
              <w:ind w:right="14"/>
              <w:spacing w:after="0"/>
              <w:rPr>
                <w:sz w:val="20"/>
                <w:szCs w:val="20"/>
                <w:color w:val="auto"/>
              </w:rPr>
            </w:pPr>
            <w:r>
              <w:rPr>
                <w:rFonts w:ascii="Arial" w:cs="Arial" w:eastAsia="Arial" w:hAnsi="Arial"/>
                <w:sz w:val="1"/>
                <w:szCs w:val="1"/>
                <w:color w:val="auto"/>
                <w:w w:val="4294942296"/>
              </w:rPr>
              <w:t>​</w:t>
            </w:r>
          </w:p>
        </w:tc>
        <w:tc>
          <w:tcPr>
            <w:tcW w:w="200" w:type="dxa"/>
            <w:vAlign w:val="bottom"/>
          </w:tcPr>
          <w:p>
            <w:pPr>
              <w:ind w:left="12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2,053,218</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gridSpan w:val="3"/>
          </w:tcPr>
          <w:p>
            <w:pPr>
              <w:ind w:left="20"/>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PBRSUs</w:t>
            </w:r>
            <w:r>
              <w:rPr>
                <w:rFonts w:ascii="Arial" w:cs="Arial" w:eastAsia="Arial" w:hAnsi="Arial"/>
                <w:sz w:val="12"/>
                <w:szCs w:val="12"/>
                <w:color w:val="auto"/>
              </w:rPr>
              <w:t xml:space="preserve"> </w:t>
            </w:r>
            <w:r>
              <w:rPr>
                <w:rFonts w:ascii="Arial" w:cs="Arial" w:eastAsia="Arial" w:hAnsi="Arial"/>
                <w:sz w:val="8"/>
                <w:szCs w:val="8"/>
                <w:color w:val="auto"/>
              </w:rPr>
              <w:t>(1)(2)</w:t>
            </w:r>
          </w:p>
        </w:tc>
        <w:tc>
          <w:tcPr>
            <w:tcW w:w="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300"/>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200" w:type="dxa"/>
            <w:vAlign w:val="bottom"/>
            <w:gridSpan w:val="2"/>
          </w:tcPr>
          <w:p>
            <w:pPr>
              <w:ind w:left="20"/>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2,343,686</w:t>
            </w:r>
          </w:p>
        </w:tc>
        <w:tc>
          <w:tcPr>
            <w:tcW w:w="160" w:type="dxa"/>
            <w:vAlign w:val="bottom"/>
            <w:gridSpan w:val="2"/>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1,077,184</w:t>
            </w:r>
          </w:p>
        </w:tc>
        <w:tc>
          <w:tcPr>
            <w:tcW w:w="120" w:type="dxa"/>
            <w:vAlign w:val="bottom"/>
          </w:tcPr>
          <w:p>
            <w:pPr>
              <w:ind w:left="4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360,143</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tcPr>
          <w:p>
            <w:pPr>
              <w:jc w:val="center"/>
              <w:spacing w:after="0" w:line="230" w:lineRule="exact"/>
              <w:rPr>
                <w:sz w:val="20"/>
                <w:szCs w:val="20"/>
                <w:color w:val="auto"/>
              </w:rPr>
            </w:pPr>
            <w:r>
              <w:rPr>
                <w:rFonts w:ascii="Arial" w:cs="Arial" w:eastAsia="Arial" w:hAnsi="Arial"/>
                <w:sz w:val="12"/>
                <w:szCs w:val="12"/>
                <w:color w:val="auto"/>
                <w:w w:val="77"/>
              </w:rPr>
              <w:t>​</w:t>
            </w:r>
            <w:r>
              <w:rPr>
                <w:rFonts w:ascii="Arial" w:cs="Arial" w:eastAsia="Arial" w:hAnsi="Arial"/>
                <w:sz w:val="23"/>
                <w:szCs w:val="23"/>
                <w:color w:val="auto"/>
                <w:w w:val="77"/>
                <w:vertAlign w:val="subscript"/>
              </w:rPr>
              <w:t>—</w:t>
            </w:r>
          </w:p>
        </w:tc>
        <w:tc>
          <w:tcPr>
            <w:tcW w:w="140" w:type="dxa"/>
            <w:vAlign w:val="bottom"/>
            <w:gridSpan w:val="2"/>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2,343,686</w:t>
            </w:r>
          </w:p>
        </w:tc>
        <w:tc>
          <w:tcPr>
            <w:tcW w:w="140" w:type="dxa"/>
            <w:vAlign w:val="bottom"/>
            <w:gridSpan w:val="2"/>
          </w:tcPr>
          <w:p>
            <w:pPr>
              <w:spacing w:after="0" w:line="230" w:lineRule="exact"/>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2,343,686</w:t>
            </w:r>
          </w:p>
        </w:tc>
        <w:tc>
          <w:tcPr>
            <w:tcW w:w="40" w:type="dxa"/>
            <w:vAlign w:val="bottom"/>
          </w:tcPr>
          <w:p>
            <w:pPr>
              <w:jc w:val="right"/>
              <w:ind w:right="14"/>
              <w:spacing w:after="0"/>
              <w:rPr>
                <w:sz w:val="20"/>
                <w:szCs w:val="20"/>
                <w:color w:val="auto"/>
              </w:rPr>
            </w:pPr>
            <w:r>
              <w:rPr>
                <w:rFonts w:ascii="Arial" w:cs="Arial" w:eastAsia="Arial" w:hAnsi="Arial"/>
                <w:sz w:val="1"/>
                <w:szCs w:val="1"/>
                <w:color w:val="auto"/>
                <w:w w:val="4294942296"/>
              </w:rPr>
              <w:t>​</w:t>
            </w:r>
          </w:p>
        </w:tc>
        <w:tc>
          <w:tcPr>
            <w:tcW w:w="200" w:type="dxa"/>
            <w:vAlign w:val="bottom"/>
          </w:tcPr>
          <w:p>
            <w:pPr>
              <w:ind w:left="12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2,343,686</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gridSpan w:val="3"/>
          </w:tcPr>
          <w:p>
            <w:pPr>
              <w:ind w:left="20"/>
              <w:spacing w:after="0" w:line="23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Outplacement</w:t>
            </w:r>
          </w:p>
        </w:tc>
        <w:tc>
          <w:tcPr>
            <w:tcW w:w="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300"/>
              <w:spacing w:after="0" w:line="23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w:t>
            </w:r>
          </w:p>
        </w:tc>
        <w:tc>
          <w:tcPr>
            <w:tcW w:w="20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tcPr>
          <w:p>
            <w:pPr>
              <w:spacing w:after="0"/>
              <w:rPr>
                <w:sz w:val="20"/>
                <w:szCs w:val="20"/>
                <w:color w:val="auto"/>
              </w:rPr>
            </w:pPr>
            <w:r>
              <w:rPr>
                <w:rFonts w:ascii="Arial" w:cs="Arial" w:eastAsia="Arial" w:hAnsi="Arial"/>
                <w:sz w:val="12"/>
                <w:szCs w:val="12"/>
                <w:color w:val="auto"/>
              </w:rPr>
              <w:t>​ ​</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ind w:left="40"/>
              <w:spacing w:after="0" w:line="230" w:lineRule="exact"/>
              <w:rPr>
                <w:sz w:val="20"/>
                <w:szCs w:val="20"/>
                <w:color w:val="auto"/>
              </w:rPr>
            </w:pPr>
            <w:r>
              <w:rPr>
                <w:rFonts w:ascii="Arial" w:cs="Arial" w:eastAsia="Arial" w:hAnsi="Arial"/>
                <w:sz w:val="23"/>
                <w:szCs w:val="23"/>
                <w:color w:val="auto"/>
                <w:w w:val="89"/>
                <w:vertAlign w:val="superscript"/>
              </w:rPr>
              <w:t>​</w:t>
            </w: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25,000</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tcPr>
          <w:p>
            <w:pPr>
              <w:jc w:val="center"/>
              <w:spacing w:after="0" w:line="230" w:lineRule="exact"/>
              <w:rPr>
                <w:sz w:val="20"/>
                <w:szCs w:val="20"/>
                <w:color w:val="auto"/>
              </w:rPr>
            </w:pPr>
            <w:r>
              <w:rPr>
                <w:rFonts w:ascii="Arial" w:cs="Arial" w:eastAsia="Arial" w:hAnsi="Arial"/>
                <w:sz w:val="23"/>
                <w:szCs w:val="23"/>
                <w:color w:val="auto"/>
                <w:w w:val="99"/>
                <w:vertAlign w:val="superscript"/>
              </w:rPr>
              <w:t>​</w:t>
            </w:r>
            <w:r>
              <w:rPr>
                <w:rFonts w:ascii="Arial" w:cs="Arial" w:eastAsia="Arial" w:hAnsi="Arial"/>
                <w:sz w:val="12"/>
                <w:szCs w:val="12"/>
                <w:color w:val="auto"/>
                <w:w w:val="99"/>
              </w:rPr>
              <w:t>—</w:t>
            </w:r>
          </w:p>
        </w:tc>
        <w:tc>
          <w:tcPr>
            <w:tcW w:w="140" w:type="dxa"/>
            <w:vAlign w:val="bottom"/>
            <w:gridSpan w:val="2"/>
          </w:tcPr>
          <w:p>
            <w:pPr>
              <w:spacing w:after="0"/>
              <w:rPr>
                <w:sz w:val="20"/>
                <w:szCs w:val="20"/>
                <w:color w:val="auto"/>
              </w:rPr>
            </w:pPr>
            <w:r>
              <w:rPr>
                <w:rFonts w:ascii="Arial" w:cs="Arial" w:eastAsia="Arial" w:hAnsi="Arial"/>
                <w:sz w:val="12"/>
                <w:szCs w:val="12"/>
                <w:color w:val="auto"/>
              </w:rPr>
              <w:t>​ ​</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tcPr>
          <w:p>
            <w:pPr>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ind w:right="14"/>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perscript"/>
              </w:rPr>
              <w:t>​</w:t>
            </w:r>
          </w:p>
        </w:tc>
        <w:tc>
          <w:tcPr>
            <w:tcW w:w="200" w:type="dxa"/>
            <w:vAlign w:val="bottom"/>
          </w:tcPr>
          <w:p>
            <w:pPr>
              <w:ind w:left="120"/>
              <w:spacing w:after="0" w:line="230" w:lineRule="exact"/>
              <w:rPr>
                <w:sz w:val="20"/>
                <w:szCs w:val="20"/>
                <w:color w:val="auto"/>
              </w:rPr>
            </w:pPr>
            <w:r>
              <w:rPr>
                <w:rFonts w:ascii="Arial" w:cs="Arial" w:eastAsia="Arial" w:hAnsi="Arial"/>
                <w:sz w:val="23"/>
                <w:szCs w:val="23"/>
                <w:color w:val="auto"/>
                <w:w w:val="89"/>
                <w:vertAlign w:val="superscript"/>
              </w:rPr>
              <w:t>​</w:t>
            </w:r>
            <w:r>
              <w:rPr>
                <w:rFonts w:ascii="Arial" w:cs="Arial" w:eastAsia="Arial" w:hAnsi="Arial"/>
                <w:sz w:val="12"/>
                <w:szCs w:val="12"/>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25,000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gridSpan w:val="3"/>
          </w:tcPr>
          <w:p>
            <w:pPr>
              <w:ind w:left="20"/>
              <w:spacing w:after="0" w:line="23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Healthcare</w:t>
            </w:r>
          </w:p>
        </w:tc>
        <w:tc>
          <w:tcPr>
            <w:tcW w:w="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300"/>
              <w:spacing w:after="0" w:line="230" w:lineRule="exact"/>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20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tcPr>
          <w:p>
            <w:pPr>
              <w:spacing w:after="0"/>
              <w:rPr>
                <w:sz w:val="20"/>
                <w:szCs w:val="20"/>
                <w:color w:val="auto"/>
              </w:rPr>
            </w:pPr>
            <w:r>
              <w:rPr>
                <w:rFonts w:ascii="Arial" w:cs="Arial" w:eastAsia="Arial" w:hAnsi="Arial"/>
                <w:sz w:val="12"/>
                <w:szCs w:val="12"/>
                <w:color w:val="auto"/>
              </w:rPr>
              <w:t>​ ​</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ind w:left="4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27,125</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tcPr>
          <w:p>
            <w:pPr>
              <w:jc w:val="center"/>
              <w:spacing w:after="0" w:line="230" w:lineRule="exact"/>
              <w:rPr>
                <w:sz w:val="20"/>
                <w:szCs w:val="20"/>
                <w:color w:val="auto"/>
              </w:rPr>
            </w:pPr>
            <w:r>
              <w:rPr>
                <w:rFonts w:ascii="Arial" w:cs="Arial" w:eastAsia="Arial" w:hAnsi="Arial"/>
                <w:sz w:val="12"/>
                <w:szCs w:val="12"/>
                <w:color w:val="auto"/>
                <w:w w:val="77"/>
              </w:rPr>
              <w:t>​</w:t>
            </w:r>
            <w:r>
              <w:rPr>
                <w:rFonts w:ascii="Arial" w:cs="Arial" w:eastAsia="Arial" w:hAnsi="Arial"/>
                <w:sz w:val="23"/>
                <w:szCs w:val="23"/>
                <w:color w:val="auto"/>
                <w:w w:val="77"/>
                <w:vertAlign w:val="subscript"/>
              </w:rPr>
              <w:t>—</w:t>
            </w:r>
          </w:p>
        </w:tc>
        <w:tc>
          <w:tcPr>
            <w:tcW w:w="140" w:type="dxa"/>
            <w:vAlign w:val="bottom"/>
            <w:gridSpan w:val="2"/>
          </w:tcPr>
          <w:p>
            <w:pPr>
              <w:spacing w:after="0"/>
              <w:rPr>
                <w:sz w:val="20"/>
                <w:szCs w:val="20"/>
                <w:color w:val="auto"/>
              </w:rPr>
            </w:pPr>
            <w:r>
              <w:rPr>
                <w:rFonts w:ascii="Arial" w:cs="Arial" w:eastAsia="Arial" w:hAnsi="Arial"/>
                <w:sz w:val="12"/>
                <w:szCs w:val="12"/>
                <w:color w:val="auto"/>
              </w:rPr>
              <w:t>​ ​</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tcPr>
          <w:p>
            <w:pPr>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ind w:right="14"/>
              <w:spacing w:after="0" w:line="230"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w:t>
            </w:r>
          </w:p>
        </w:tc>
        <w:tc>
          <w:tcPr>
            <w:tcW w:w="200" w:type="dxa"/>
            <w:vAlign w:val="bottom"/>
          </w:tcPr>
          <w:p>
            <w:pPr>
              <w:ind w:left="120"/>
              <w:spacing w:after="0" w:line="229" w:lineRule="exact"/>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54,251</w:t>
            </w: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gridSpan w:val="2"/>
          </w:tcPr>
          <w:p>
            <w:pPr>
              <w:jc w:val="right"/>
              <w:ind w:right="52"/>
              <w:spacing w:after="0"/>
              <w:rPr>
                <w:sz w:val="20"/>
                <w:szCs w:val="20"/>
                <w:color w:val="auto"/>
              </w:rPr>
            </w:pPr>
            <w:r>
              <w:rPr>
                <w:rFonts w:ascii="Arial" w:cs="Arial" w:eastAsia="Arial" w:hAnsi="Arial"/>
                <w:sz w:val="12"/>
                <w:szCs w:val="12"/>
                <w:color w:val="auto"/>
              </w:rPr>
              <w:t>​</w:t>
            </w:r>
          </w:p>
        </w:tc>
        <w:tc>
          <w:tcPr>
            <w:tcW w:w="880" w:type="dxa"/>
            <w:vAlign w:val="bottom"/>
            <w:gridSpan w:val="3"/>
          </w:tcPr>
          <w:p>
            <w:pPr>
              <w:ind w:left="580"/>
              <w:spacing w:after="0"/>
              <w:rPr>
                <w:sz w:val="20"/>
                <w:szCs w:val="20"/>
                <w:color w:val="auto"/>
              </w:rPr>
            </w:pPr>
            <w:r>
              <w:rPr>
                <w:rFonts w:ascii="Arial" w:cs="Arial" w:eastAsia="Arial" w:hAnsi="Arial"/>
                <w:sz w:val="12"/>
                <w:szCs w:val="12"/>
                <w:b w:val="1"/>
                <w:bCs w:val="1"/>
                <w:color w:val="auto"/>
                <w:w w:val="81"/>
              </w:rPr>
              <w:t xml:space="preserve">Total </w:t>
            </w:r>
            <w:r>
              <w:rPr>
                <w:rFonts w:ascii="Arial" w:cs="Arial" w:eastAsia="Arial" w:hAnsi="Arial"/>
                <w:sz w:val="23"/>
                <w:szCs w:val="23"/>
                <w:color w:val="auto"/>
                <w:w w:val="81"/>
                <w:vertAlign w:val="superscript"/>
              </w:rPr>
              <w:t>​</w:t>
            </w:r>
          </w:p>
        </w:tc>
        <w:tc>
          <w:tcPr>
            <w:tcW w:w="72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200" w:type="dxa"/>
            <w:vAlign w:val="bottom"/>
            <w:gridSpan w:val="2"/>
          </w:tcPr>
          <w:p>
            <w:pPr>
              <w:ind w:left="20"/>
              <w:spacing w:after="0"/>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4,396,904</w:t>
            </w:r>
          </w:p>
        </w:tc>
        <w:tc>
          <w:tcPr>
            <w:tcW w:w="160" w:type="dxa"/>
            <w:vAlign w:val="bottom"/>
            <w:gridSpan w:val="2"/>
          </w:tcPr>
          <w:p>
            <w:pPr>
              <w:spacing w:after="0"/>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3,475,195</w:t>
            </w:r>
          </w:p>
        </w:tc>
        <w:tc>
          <w:tcPr>
            <w:tcW w:w="120" w:type="dxa"/>
            <w:vAlign w:val="bottom"/>
          </w:tcPr>
          <w:p>
            <w:pPr>
              <w:ind w:left="40"/>
              <w:spacing w:after="0"/>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4,000,488</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42296"/>
              </w:rPr>
              <w:t>​</w:t>
            </w:r>
          </w:p>
        </w:tc>
        <w:tc>
          <w:tcPr>
            <w:tcW w:w="760" w:type="dxa"/>
            <w:vAlign w:val="bottom"/>
          </w:tcPr>
          <w:p>
            <w:pPr>
              <w:jc w:val="center"/>
              <w:spacing w:after="0"/>
              <w:rPr>
                <w:sz w:val="20"/>
                <w:szCs w:val="20"/>
                <w:color w:val="auto"/>
              </w:rPr>
            </w:pPr>
            <w:r>
              <w:rPr>
                <w:rFonts w:ascii="Arial" w:cs="Arial" w:eastAsia="Arial" w:hAnsi="Arial"/>
                <w:sz w:val="12"/>
                <w:szCs w:val="12"/>
                <w:color w:val="auto"/>
                <w:w w:val="77"/>
              </w:rPr>
              <w:t>​</w:t>
            </w:r>
            <w:r>
              <w:rPr>
                <w:rFonts w:ascii="Arial" w:cs="Arial" w:eastAsia="Arial" w:hAnsi="Arial"/>
                <w:sz w:val="23"/>
                <w:szCs w:val="23"/>
                <w:color w:val="auto"/>
                <w:w w:val="77"/>
                <w:vertAlign w:val="subscript"/>
              </w:rPr>
              <w:t>—</w:t>
            </w:r>
          </w:p>
        </w:tc>
        <w:tc>
          <w:tcPr>
            <w:tcW w:w="140" w:type="dxa"/>
            <w:vAlign w:val="bottom"/>
            <w:gridSpan w:val="2"/>
          </w:tcPr>
          <w:p>
            <w:pPr>
              <w:spacing w:after="0"/>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4,396,904</w:t>
            </w:r>
          </w:p>
        </w:tc>
        <w:tc>
          <w:tcPr>
            <w:tcW w:w="140" w:type="dxa"/>
            <w:vAlign w:val="bottom"/>
            <w:gridSpan w:val="2"/>
          </w:tcPr>
          <w:p>
            <w:pPr>
              <w:spacing w:after="0"/>
              <w:rPr>
                <w:sz w:val="20"/>
                <w:szCs w:val="20"/>
                <w:color w:val="auto"/>
              </w:rPr>
            </w:pPr>
            <w:r>
              <w:rPr>
                <w:rFonts w:ascii="Arial" w:cs="Arial" w:eastAsia="Arial" w:hAnsi="Arial"/>
                <w:sz w:val="12"/>
                <w:szCs w:val="12"/>
                <w:color w:val="auto"/>
              </w:rPr>
              <w:t>​ ​</w:t>
            </w:r>
            <w:r>
              <w:rPr>
                <w:rFonts w:ascii="Arial" w:cs="Arial" w:eastAsia="Arial" w:hAnsi="Arial"/>
                <w:sz w:val="23"/>
                <w:szCs w:val="23"/>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4,741,697</w:t>
            </w:r>
          </w:p>
        </w:tc>
        <w:tc>
          <w:tcPr>
            <w:tcW w:w="40" w:type="dxa"/>
            <w:vAlign w:val="bottom"/>
          </w:tcPr>
          <w:p>
            <w:pPr>
              <w:jc w:val="right"/>
              <w:ind w:right="14"/>
              <w:spacing w:after="0"/>
              <w:rPr>
                <w:sz w:val="20"/>
                <w:szCs w:val="20"/>
                <w:color w:val="auto"/>
              </w:rPr>
            </w:pPr>
            <w:r>
              <w:rPr>
                <w:rFonts w:ascii="Arial" w:cs="Arial" w:eastAsia="Arial" w:hAnsi="Arial"/>
                <w:sz w:val="1"/>
                <w:szCs w:val="1"/>
                <w:color w:val="auto"/>
                <w:w w:val="4294942296"/>
              </w:rPr>
              <w:t>​</w:t>
            </w:r>
          </w:p>
        </w:tc>
        <w:tc>
          <w:tcPr>
            <w:tcW w:w="200" w:type="dxa"/>
            <w:vAlign w:val="bottom"/>
          </w:tcPr>
          <w:p>
            <w:pPr>
              <w:ind w:left="120"/>
              <w:spacing w:after="0"/>
              <w:rPr>
                <w:sz w:val="20"/>
                <w:szCs w:val="20"/>
                <w:color w:val="auto"/>
              </w:rPr>
            </w:pPr>
            <w:r>
              <w:rPr>
                <w:rFonts w:ascii="Arial" w:cs="Arial" w:eastAsia="Arial" w:hAnsi="Arial"/>
                <w:sz w:val="11"/>
                <w:szCs w:val="11"/>
                <w:color w:val="auto"/>
                <w:w w:val="72"/>
              </w:rPr>
              <w:t>​</w:t>
            </w:r>
            <w:r>
              <w:rPr>
                <w:rFonts w:ascii="Arial" w:cs="Arial" w:eastAsia="Arial" w:hAnsi="Arial"/>
                <w:sz w:val="22"/>
                <w:szCs w:val="22"/>
                <w:color w:val="auto"/>
                <w:w w:val="72"/>
                <w:vertAlign w:val="subscript"/>
              </w:rPr>
              <w:t>$</w:t>
            </w: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6,259,297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-3432175</wp:posOffset>
            </wp:positionV>
            <wp:extent cx="5212080" cy="8489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12080" cy="8489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-1734820</wp:posOffset>
            </wp:positionV>
            <wp:extent cx="5212080" cy="8483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212080" cy="848360"/>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-4314825</wp:posOffset>
            </wp:positionV>
            <wp:extent cx="5746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46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73660</wp:posOffset>
            </wp:positionV>
            <wp:extent cx="12344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350" w:lineRule="exact"/>
        <w:rPr>
          <w:sz w:val="20"/>
          <w:szCs w:val="20"/>
          <w:color w:val="auto"/>
        </w:rPr>
      </w:pPr>
    </w:p>
    <w:p>
      <w:pPr>
        <w:sectPr>
          <w:pgSz w:w="11900" w:h="16838" w:orient="portrait"/>
          <w:cols w:equalWidth="0" w:num="2">
            <w:col w:w="9380" w:space="20"/>
            <w:col w:w="479"/>
          </w:cols>
          <w:pgMar w:left="580" w:top="97" w:right="1440" w:bottom="1440" w:gutter="0" w:footer="0" w:header="0"/>
          <w:type w:val="continuous"/>
        </w:sectPr>
      </w:pPr>
    </w:p>
    <w:p>
      <w:pPr>
        <w:jc w:val="both"/>
        <w:ind w:left="1900" w:right="779" w:hanging="640"/>
        <w:spacing w:after="0" w:line="318" w:lineRule="auto"/>
        <w:tabs>
          <w:tab w:leader="none" w:pos="1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value of the accelerated vesting of restricted stock and PBRSUs is based on the closing price of our common stock as reported on Nasdaq on December 31, 2025, which was $7.01.</w:t>
      </w:r>
    </w:p>
    <w:p>
      <w:pPr>
        <w:spacing w:after="0" w:line="129" w:lineRule="exact"/>
        <w:rPr>
          <w:rFonts w:ascii="Arial" w:cs="Arial" w:eastAsia="Arial" w:hAnsi="Arial"/>
          <w:sz w:val="17"/>
          <w:szCs w:val="17"/>
          <w:color w:val="auto"/>
        </w:rPr>
      </w:pPr>
    </w:p>
    <w:p>
      <w:pPr>
        <w:ind w:left="1900" w:right="439" w:hanging="640"/>
        <w:spacing w:after="0" w:line="253" w:lineRule="auto"/>
        <w:tabs>
          <w:tab w:leader="none" w:pos="1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connection with a qualifying termination due to death or disability, the actual amount of PBRSUs would remain eligible to vest subject to achievement of the relevant performance criteria. On the first vesting date following such termination, holders would vest in the actual portion of the PBRSUs which they would have been entitled had such qualifying termination not occurred. In connection with a qualifying termination outside of change in control, PBRSUs will remain eligible to vest subject to achievement of the relevant performance criteria. On the first vesting date following such termination, holders would vest in a pro-rated portion of the PBRSUs which they would have been entitled had such termination not occurred, based on the number of days they were employed between the grant date and vesting date. In connection with a qualifying termination following a change in control, the PBRSUs will become immediately vested in an amount equal to 200% of the target number of PBRSUs granted. Holders of PBRSUs also accrue a dividend equivalent for dividends declared on the Company’s common stock during the life of the award that is paid in cash when the underlying PBRSUs vest, and this amount includes a cash amount</w:t>
      </w:r>
    </w:p>
    <w:p>
      <w:pPr>
        <w:sectPr>
          <w:pgSz w:w="11900" w:h="16838" w:orient="portrait"/>
          <w:cols w:equalWidth="0" w:num="1">
            <w:col w:w="9879"/>
          </w:cols>
          <w:pgMar w:left="580" w:top="97" w:right="1440" w:bottom="1440" w:gutter="0" w:footer="0" w:header="0"/>
          <w:type w:val="continuous"/>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00" w:right="419"/>
        <w:spacing w:after="0" w:line="259" w:lineRule="auto"/>
        <w:rPr>
          <w:sz w:val="20"/>
          <w:szCs w:val="20"/>
          <w:color w:val="auto"/>
        </w:rPr>
      </w:pPr>
      <w:r>
        <w:rPr>
          <w:rFonts w:ascii="Arial" w:cs="Arial" w:eastAsia="Arial" w:hAnsi="Arial"/>
          <w:sz w:val="18"/>
          <w:szCs w:val="18"/>
          <w:color w:val="auto"/>
        </w:rPr>
        <w:t>equal to the accrued dividends payable upon the vesting of the underlying PBRSUs. Where applicable for purposes of these calculations, the respective outstanding PBRSUs are presumed to vest based on the current performance as of December 31, 2025, respectively, as discussed in the footnotes to the Outstanding Equity Awards Table above, prorated based on a hypothetical termination as of December 31, 2025.</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3" w:lineRule="exact"/>
        <w:rPr>
          <w:sz w:val="20"/>
          <w:szCs w:val="20"/>
          <w:color w:val="auto"/>
        </w:rPr>
      </w:pPr>
    </w:p>
    <w:p>
      <w:pPr>
        <w:ind w:left="1260" w:right="479" w:firstLine="648"/>
        <w:spacing w:after="0" w:line="254" w:lineRule="auto"/>
        <w:rPr>
          <w:sz w:val="20"/>
          <w:szCs w:val="20"/>
          <w:color w:val="auto"/>
        </w:rPr>
      </w:pPr>
      <w:r>
        <w:rPr>
          <w:rFonts w:ascii="Arial" w:cs="Arial" w:eastAsia="Arial" w:hAnsi="Arial"/>
          <w:sz w:val="18"/>
          <w:szCs w:val="18"/>
          <w:color w:val="auto"/>
        </w:rPr>
        <w:t>The following table sets forth the compensation for our CEO and the average compensation for our or Old Uniti’s other NEOs both as reported in the Summary Compensation Table (in this proxy statement or in Old Uniti’s proxy statement for earlier years) and with certain adjustments to reflect the “compensation actually paid” to such individuals, as required by Section 953(a) of the Dodd-Frank Wall Street Reform and Consumer Protection Act and Item 402(v) of Regulation S-K, for each of 2025, 2024, 2023, 2022 and 2021. Neither Old Uniti’s compensation committee nor the Compensation Committee considered the pay versus performance disclosure below in making its pay decisions for any of the years shown. For further information concerning our pay-for-performance philosophy and how we align executive compensation with the performance of the Company, see the Compensation Discussion &amp; Analysis section of this Proxy Statement.</w:t>
      </w:r>
    </w:p>
    <w:p>
      <w:pPr>
        <w:spacing w:after="0" w:line="212" w:lineRule="exact"/>
        <w:rPr>
          <w:sz w:val="20"/>
          <w:szCs w:val="20"/>
          <w:color w:val="auto"/>
        </w:rPr>
      </w:pPr>
    </w:p>
    <w:tbl>
      <w:tblPr>
        <w:tblLayout w:type="fixed"/>
        <w:tblInd w:w="1270" w:type="dxa"/>
        <w:tblCellMar>
          <w:top w:w="0" w:type="dxa"/>
          <w:left w:w="0" w:type="dxa"/>
          <w:bottom w:w="0" w:type="dxa"/>
          <w:right w:w="0" w:type="dxa"/>
        </w:tblCellMar>
      </w:tblPr>
      <w:tr>
        <w:trPr>
          <w:trHeight w:val="149"/>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Average</w:t>
            </w:r>
          </w:p>
        </w:tc>
        <w:tc>
          <w:tcPr>
            <w:tcW w:w="14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Average</w:t>
            </w:r>
          </w:p>
        </w:tc>
        <w:tc>
          <w:tcPr>
            <w:tcW w:w="160" w:type="dxa"/>
            <w:vAlign w:val="bottom"/>
          </w:tcPr>
          <w:p>
            <w:pPr>
              <w:spacing w:after="0"/>
              <w:rPr>
                <w:sz w:val="13"/>
                <w:szCs w:val="13"/>
                <w:color w:val="auto"/>
              </w:rPr>
            </w:pPr>
          </w:p>
        </w:tc>
        <w:tc>
          <w:tcPr>
            <w:tcW w:w="1620" w:type="dxa"/>
            <w:vAlign w:val="bottom"/>
            <w:gridSpan w:val="5"/>
          </w:tcPr>
          <w:p>
            <w:pPr>
              <w:jc w:val="center"/>
              <w:spacing w:after="0"/>
              <w:rPr>
                <w:sz w:val="20"/>
                <w:szCs w:val="20"/>
                <w:color w:val="auto"/>
              </w:rPr>
            </w:pPr>
            <w:r>
              <w:rPr>
                <w:rFonts w:ascii="Arial" w:cs="Arial" w:eastAsia="Arial" w:hAnsi="Arial"/>
                <w:sz w:val="13"/>
                <w:szCs w:val="13"/>
                <w:b w:val="1"/>
                <w:bCs w:val="1"/>
                <w:color w:val="auto"/>
                <w:w w:val="93"/>
              </w:rPr>
              <w:t>Value of Initial Fixed $100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62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94"/>
              </w:rPr>
              <w:t>Investment Based On:</w:t>
            </w:r>
          </w:p>
        </w:tc>
        <w:tc>
          <w:tcPr>
            <w:tcW w:w="3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7"/>
              </w:rPr>
              <w:t>Summary</w:t>
            </w:r>
          </w:p>
        </w:tc>
        <w:tc>
          <w:tcPr>
            <w:tcW w:w="140" w:type="dxa"/>
            <w:vAlign w:val="bottom"/>
          </w:tcPr>
          <w:p>
            <w:pPr>
              <w:spacing w:after="0"/>
              <w:rPr>
                <w:sz w:val="10"/>
                <w:szCs w:val="10"/>
                <w:color w:val="auto"/>
              </w:rPr>
            </w:pPr>
          </w:p>
        </w:tc>
        <w:tc>
          <w:tcPr>
            <w:tcW w:w="90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5"/>
              </w:rPr>
              <w:t>Compensation</w:t>
            </w:r>
          </w:p>
        </w:tc>
        <w:tc>
          <w:tcPr>
            <w:tcW w:w="160" w:type="dxa"/>
            <w:vAlign w:val="bottom"/>
            <w:vMerge w:val="continue"/>
          </w:tcPr>
          <w:p>
            <w:pPr>
              <w:spacing w:after="0"/>
              <w:rPr>
                <w:sz w:val="10"/>
                <w:szCs w:val="10"/>
                <w:color w:val="auto"/>
              </w:rPr>
            </w:pPr>
          </w:p>
        </w:tc>
        <w:tc>
          <w:tcPr>
            <w:tcW w:w="1620" w:type="dxa"/>
            <w:vAlign w:val="bottom"/>
            <w:tcBorders>
              <w:bottom w:val="single" w:sz="8" w:color="auto"/>
            </w:tcBorders>
            <w:gridSpan w:val="5"/>
            <w:vMerge w:val="continue"/>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112"/>
              <w:spacing w:after="0"/>
              <w:rPr>
                <w:sz w:val="20"/>
                <w:szCs w:val="20"/>
                <w:color w:val="auto"/>
              </w:rPr>
            </w:pPr>
            <w:r>
              <w:rPr>
                <w:rFonts w:ascii="Arial" w:cs="Arial" w:eastAsia="Arial" w:hAnsi="Arial"/>
                <w:sz w:val="13"/>
                <w:szCs w:val="13"/>
                <w:b w:val="1"/>
                <w:bCs w:val="1"/>
                <w:color w:val="auto"/>
                <w:w w:val="97"/>
              </w:rPr>
              <w:t>Summary</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Compensation</w:t>
            </w:r>
          </w:p>
        </w:tc>
        <w:tc>
          <w:tcPr>
            <w:tcW w:w="1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4"/>
              </w:rPr>
              <w:t>Actually</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Peer Group</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68"/>
              <w:spacing w:after="0" w:line="139" w:lineRule="exact"/>
              <w:rPr>
                <w:sz w:val="20"/>
                <w:szCs w:val="20"/>
                <w:color w:val="auto"/>
              </w:rPr>
            </w:pPr>
            <w:r>
              <w:rPr>
                <w:rFonts w:ascii="Arial" w:cs="Arial" w:eastAsia="Arial" w:hAnsi="Arial"/>
                <w:sz w:val="13"/>
                <w:szCs w:val="13"/>
                <w:b w:val="1"/>
                <w:bCs w:val="1"/>
                <w:color w:val="auto"/>
                <w:w w:val="95"/>
              </w:rPr>
              <w:t>Compensation</w:t>
            </w:r>
          </w:p>
        </w:tc>
        <w:tc>
          <w:tcPr>
            <w:tcW w:w="92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5"/>
              </w:rPr>
              <w:t>Compensation</w:t>
            </w:r>
          </w:p>
        </w:tc>
        <w:tc>
          <w:tcPr>
            <w:tcW w:w="12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1"/>
              </w:rPr>
              <w:t>Table Total for</w:t>
            </w:r>
          </w:p>
        </w:tc>
        <w:tc>
          <w:tcPr>
            <w:tcW w:w="14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6"/>
              </w:rPr>
              <w:t>Paid to</w:t>
            </w:r>
          </w:p>
        </w:tc>
        <w:tc>
          <w:tcPr>
            <w:tcW w:w="160" w:type="dxa"/>
            <w:vAlign w:val="bottom"/>
          </w:tcPr>
          <w:p>
            <w:pPr>
              <w:spacing w:after="0"/>
              <w:rPr>
                <w:sz w:val="12"/>
                <w:szCs w:val="12"/>
                <w:color w:val="auto"/>
              </w:rPr>
            </w:pPr>
          </w:p>
        </w:tc>
        <w:tc>
          <w:tcPr>
            <w:tcW w:w="720" w:type="dxa"/>
            <w:vAlign w:val="bottom"/>
            <w:gridSpan w:val="2"/>
          </w:tcPr>
          <w:p>
            <w:pPr>
              <w:ind w:left="200"/>
              <w:spacing w:after="0" w:line="139"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74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2"/>
                <w:szCs w:val="12"/>
                <w:color w:val="auto"/>
              </w:rPr>
            </w:pPr>
          </w:p>
        </w:tc>
        <w:tc>
          <w:tcPr>
            <w:tcW w:w="74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4"/>
              </w:rPr>
              <w:t>Net Income</w:t>
            </w:r>
          </w:p>
        </w:tc>
        <w:tc>
          <w:tcPr>
            <w:tcW w:w="140" w:type="dxa"/>
            <w:vAlign w:val="bottom"/>
          </w:tcPr>
          <w:p>
            <w:pPr>
              <w:spacing w:after="0"/>
              <w:rPr>
                <w:sz w:val="12"/>
                <w:szCs w:val="12"/>
                <w:color w:val="auto"/>
              </w:rPr>
            </w:pPr>
          </w:p>
        </w:tc>
        <w:tc>
          <w:tcPr>
            <w:tcW w:w="74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7"/>
              </w:rPr>
              <w:t>Adjusted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w w:val="93"/>
              </w:rPr>
              <w:t>Table Total for</w:t>
            </w:r>
          </w:p>
        </w:tc>
        <w:tc>
          <w:tcPr>
            <w:tcW w:w="10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Actually Paid</w:t>
            </w:r>
          </w:p>
        </w:tc>
        <w:tc>
          <w:tcPr>
            <w:tcW w:w="120" w:type="dxa"/>
            <w:vAlign w:val="bottom"/>
          </w:tcPr>
          <w:p>
            <w:pPr>
              <w:spacing w:after="0"/>
              <w:rPr>
                <w:sz w:val="12"/>
                <w:szCs w:val="12"/>
                <w:color w:val="auto"/>
              </w:rPr>
            </w:pPr>
          </w:p>
        </w:tc>
        <w:tc>
          <w:tcPr>
            <w:tcW w:w="9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Non-CEO</w:t>
            </w:r>
          </w:p>
        </w:tc>
        <w:tc>
          <w:tcPr>
            <w:tcW w:w="140" w:type="dxa"/>
            <w:vAlign w:val="bottom"/>
          </w:tcPr>
          <w:p>
            <w:pPr>
              <w:spacing w:after="0"/>
              <w:rPr>
                <w:sz w:val="12"/>
                <w:szCs w:val="12"/>
                <w:color w:val="auto"/>
              </w:rPr>
            </w:pPr>
          </w:p>
        </w:tc>
        <w:tc>
          <w:tcPr>
            <w:tcW w:w="9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Non-CEO</w:t>
            </w:r>
          </w:p>
        </w:tc>
        <w:tc>
          <w:tcPr>
            <w:tcW w:w="160" w:type="dxa"/>
            <w:vAlign w:val="bottom"/>
          </w:tcPr>
          <w:p>
            <w:pPr>
              <w:spacing w:after="0"/>
              <w:rPr>
                <w:sz w:val="12"/>
                <w:szCs w:val="12"/>
                <w:color w:val="auto"/>
              </w:rPr>
            </w:pPr>
          </w:p>
        </w:tc>
        <w:tc>
          <w:tcPr>
            <w:tcW w:w="7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Shareholder</w:t>
            </w:r>
          </w:p>
        </w:tc>
        <w:tc>
          <w:tcPr>
            <w:tcW w:w="160" w:type="dxa"/>
            <w:vAlign w:val="bottom"/>
          </w:tcPr>
          <w:p>
            <w:pPr>
              <w:spacing w:after="0"/>
              <w:rPr>
                <w:sz w:val="12"/>
                <w:szCs w:val="12"/>
                <w:color w:val="auto"/>
              </w:rPr>
            </w:pPr>
          </w:p>
        </w:tc>
        <w:tc>
          <w:tcPr>
            <w:tcW w:w="7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Shareholder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center"/>
              <w:ind w:right="131"/>
              <w:spacing w:after="0" w:line="144" w:lineRule="exact"/>
              <w:rPr>
                <w:sz w:val="20"/>
                <w:szCs w:val="20"/>
                <w:color w:val="auto"/>
              </w:rPr>
            </w:pPr>
            <w:r>
              <w:rPr>
                <w:rFonts w:ascii="Arial" w:cs="Arial" w:eastAsia="Arial" w:hAnsi="Arial"/>
                <w:sz w:val="13"/>
                <w:szCs w:val="13"/>
                <w:b w:val="1"/>
                <w:bCs w:val="1"/>
                <w:color w:val="auto"/>
                <w:w w:val="97"/>
              </w:rPr>
              <w:t>(Loss)</w:t>
            </w:r>
          </w:p>
        </w:tc>
        <w:tc>
          <w:tcPr>
            <w:tcW w:w="140" w:type="dxa"/>
            <w:vAlign w:val="bottom"/>
          </w:tcPr>
          <w:p>
            <w:pPr>
              <w:spacing w:after="0"/>
              <w:rPr>
                <w:sz w:val="12"/>
                <w:szCs w:val="12"/>
                <w:color w:val="auto"/>
              </w:rPr>
            </w:pPr>
          </w:p>
        </w:tc>
        <w:tc>
          <w:tcPr>
            <w:tcW w:w="7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EBITDA</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 w:type="dxa"/>
            <w:vAlign w:val="bottom"/>
            <w:gridSpan w:val="2"/>
          </w:tcPr>
          <w:p>
            <w:pPr>
              <w:ind w:left="140"/>
              <w:spacing w:after="0" w:line="139" w:lineRule="exact"/>
              <w:rPr>
                <w:sz w:val="20"/>
                <w:szCs w:val="20"/>
                <w:color w:val="auto"/>
              </w:rPr>
            </w:pPr>
            <w:r>
              <w:rPr>
                <w:rFonts w:ascii="Arial" w:cs="Arial" w:eastAsia="Arial" w:hAnsi="Arial"/>
                <w:sz w:val="13"/>
                <w:szCs w:val="13"/>
                <w:b w:val="1"/>
                <w:bCs w:val="1"/>
                <w:color w:val="auto"/>
              </w:rPr>
              <w:t>Year</w:t>
            </w:r>
          </w:p>
        </w:tc>
        <w:tc>
          <w:tcPr>
            <w:tcW w:w="140" w:type="dxa"/>
            <w:vAlign w:val="bottom"/>
          </w:tcPr>
          <w:p>
            <w:pPr>
              <w:spacing w:after="0"/>
              <w:rPr>
                <w:sz w:val="12"/>
                <w:szCs w:val="12"/>
                <w:color w:val="auto"/>
              </w:rPr>
            </w:pPr>
          </w:p>
        </w:tc>
        <w:tc>
          <w:tcPr>
            <w:tcW w:w="760" w:type="dxa"/>
            <w:vAlign w:val="bottom"/>
          </w:tcPr>
          <w:p>
            <w:pPr>
              <w:jc w:val="center"/>
              <w:ind w:right="112"/>
              <w:spacing w:after="0" w:line="139" w:lineRule="exact"/>
              <w:rPr>
                <w:sz w:val="20"/>
                <w:szCs w:val="20"/>
                <w:color w:val="auto"/>
              </w:rPr>
            </w:pPr>
            <w:r>
              <w:rPr>
                <w:rFonts w:ascii="Arial" w:cs="Arial" w:eastAsia="Arial" w:hAnsi="Arial"/>
                <w:sz w:val="13"/>
                <w:szCs w:val="13"/>
                <w:b w:val="1"/>
                <w:bCs w:val="1"/>
                <w:color w:val="auto"/>
                <w:w w:val="92"/>
              </w:rPr>
              <w:t>CEO</w:t>
            </w:r>
          </w:p>
        </w:tc>
        <w:tc>
          <w:tcPr>
            <w:tcW w:w="100" w:type="dxa"/>
            <w:vAlign w:val="bottom"/>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3"/>
              </w:rPr>
              <w:t>to CEO(1)</w:t>
            </w:r>
          </w:p>
        </w:tc>
        <w:tc>
          <w:tcPr>
            <w:tcW w:w="12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5"/>
              </w:rPr>
              <w:t>NEOs</w:t>
            </w:r>
          </w:p>
        </w:tc>
        <w:tc>
          <w:tcPr>
            <w:tcW w:w="14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7"/>
              </w:rPr>
              <w:t>NEOs(1)</w:t>
            </w:r>
          </w:p>
        </w:tc>
        <w:tc>
          <w:tcPr>
            <w:tcW w:w="160" w:type="dxa"/>
            <w:vAlign w:val="bottom"/>
          </w:tcPr>
          <w:p>
            <w:pPr>
              <w:spacing w:after="0"/>
              <w:rPr>
                <w:sz w:val="12"/>
                <w:szCs w:val="12"/>
                <w:color w:val="auto"/>
              </w:rPr>
            </w:pPr>
          </w:p>
        </w:tc>
        <w:tc>
          <w:tcPr>
            <w:tcW w:w="7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3"/>
              </w:rPr>
              <w:t>Return(2)</w:t>
            </w:r>
          </w:p>
        </w:tc>
        <w:tc>
          <w:tcPr>
            <w:tcW w:w="160" w:type="dxa"/>
            <w:vAlign w:val="bottom"/>
          </w:tcPr>
          <w:p>
            <w:pPr>
              <w:spacing w:after="0"/>
              <w:rPr>
                <w:sz w:val="12"/>
                <w:szCs w:val="12"/>
                <w:color w:val="auto"/>
              </w:rPr>
            </w:pPr>
          </w:p>
        </w:tc>
        <w:tc>
          <w:tcPr>
            <w:tcW w:w="74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3"/>
              </w:rPr>
              <w:t>Return(3)</w:t>
            </w:r>
          </w:p>
        </w:tc>
        <w:tc>
          <w:tcPr>
            <w:tcW w:w="140" w:type="dxa"/>
            <w:vAlign w:val="bottom"/>
          </w:tcPr>
          <w:p>
            <w:pPr>
              <w:spacing w:after="0"/>
              <w:rPr>
                <w:sz w:val="12"/>
                <w:szCs w:val="12"/>
                <w:color w:val="auto"/>
              </w:rPr>
            </w:pPr>
          </w:p>
        </w:tc>
        <w:tc>
          <w:tcPr>
            <w:tcW w:w="74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4"/>
              </w:rPr>
              <w:t>(millions)(4)</w:t>
            </w:r>
          </w:p>
        </w:tc>
        <w:tc>
          <w:tcPr>
            <w:tcW w:w="140" w:type="dxa"/>
            <w:vAlign w:val="bottom"/>
          </w:tcPr>
          <w:p>
            <w:pPr>
              <w:spacing w:after="0"/>
              <w:rPr>
                <w:sz w:val="12"/>
                <w:szCs w:val="12"/>
                <w:color w:val="auto"/>
              </w:rPr>
            </w:pPr>
          </w:p>
        </w:tc>
        <w:tc>
          <w:tcPr>
            <w:tcW w:w="74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4"/>
              </w:rPr>
              <w:t>(millions)(5)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20" w:type="dxa"/>
            <w:vAlign w:val="bottom"/>
          </w:tcPr>
          <w:p>
            <w:pPr>
              <w:ind w:left="220"/>
              <w:spacing w:after="0"/>
              <w:rPr>
                <w:sz w:val="20"/>
                <w:szCs w:val="20"/>
                <w:color w:val="auto"/>
              </w:rPr>
            </w:pPr>
            <w:r>
              <w:rPr>
                <w:rFonts w:ascii="Arial" w:cs="Arial" w:eastAsia="Arial" w:hAnsi="Arial"/>
                <w:sz w:val="13"/>
                <w:szCs w:val="13"/>
                <w:b w:val="1"/>
                <w:bCs w:val="1"/>
                <w:color w:val="auto"/>
              </w:rPr>
              <w:t>(a)</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ind w:right="92"/>
              <w:spacing w:after="0"/>
              <w:rPr>
                <w:sz w:val="20"/>
                <w:szCs w:val="20"/>
                <w:color w:val="auto"/>
              </w:rPr>
            </w:pPr>
            <w:r>
              <w:rPr>
                <w:rFonts w:ascii="Arial" w:cs="Arial" w:eastAsia="Arial" w:hAnsi="Arial"/>
                <w:sz w:val="13"/>
                <w:szCs w:val="13"/>
                <w:b w:val="1"/>
                <w:bCs w:val="1"/>
                <w:color w:val="auto"/>
                <w:w w:val="96"/>
              </w:rPr>
              <w:t>(b)</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(c)</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(d)</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 ​</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(e)</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 ​</w:t>
            </w:r>
          </w:p>
        </w:tc>
        <w:tc>
          <w:tcPr>
            <w:tcW w:w="280" w:type="dxa"/>
            <w:vAlign w:val="bottom"/>
          </w:tcPr>
          <w:p>
            <w:pPr>
              <w:spacing w:after="0"/>
              <w:rPr>
                <w:sz w:val="17"/>
                <w:szCs w:val="17"/>
                <w:color w:val="auto"/>
              </w:rPr>
            </w:pPr>
          </w:p>
        </w:tc>
        <w:tc>
          <w:tcPr>
            <w:tcW w:w="440" w:type="dxa"/>
            <w:vAlign w:val="bottom"/>
          </w:tcPr>
          <w:p>
            <w:pPr>
              <w:jc w:val="center"/>
              <w:ind w:right="230"/>
              <w:spacing w:after="0"/>
              <w:rPr>
                <w:sz w:val="20"/>
                <w:szCs w:val="20"/>
                <w:color w:val="auto"/>
              </w:rPr>
            </w:pPr>
            <w:r>
              <w:rPr>
                <w:rFonts w:ascii="Arial" w:cs="Arial" w:eastAsia="Arial" w:hAnsi="Arial"/>
                <w:sz w:val="13"/>
                <w:szCs w:val="13"/>
                <w:b w:val="1"/>
                <w:bCs w:val="1"/>
                <w:color w:val="auto"/>
              </w:rPr>
              <w:t>(f)</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 ​</w:t>
            </w:r>
          </w:p>
        </w:tc>
        <w:tc>
          <w:tcPr>
            <w:tcW w:w="280" w:type="dxa"/>
            <w:vAlign w:val="bottom"/>
          </w:tcPr>
          <w:p>
            <w:pPr>
              <w:spacing w:after="0"/>
              <w:rPr>
                <w:sz w:val="17"/>
                <w:szCs w:val="17"/>
                <w:color w:val="auto"/>
              </w:rPr>
            </w:pPr>
          </w:p>
        </w:tc>
        <w:tc>
          <w:tcPr>
            <w:tcW w:w="460" w:type="dxa"/>
            <w:vAlign w:val="bottom"/>
          </w:tcPr>
          <w:p>
            <w:pPr>
              <w:jc w:val="center"/>
              <w:ind w:right="230"/>
              <w:spacing w:after="0"/>
              <w:rPr>
                <w:sz w:val="20"/>
                <w:szCs w:val="20"/>
                <w:color w:val="auto"/>
              </w:rPr>
            </w:pPr>
            <w:r>
              <w:rPr>
                <w:rFonts w:ascii="Arial" w:cs="Arial" w:eastAsia="Arial" w:hAnsi="Arial"/>
                <w:sz w:val="13"/>
                <w:szCs w:val="13"/>
                <w:b w:val="1"/>
                <w:bCs w:val="1"/>
                <w:color w:val="auto"/>
                <w:w w:val="96"/>
              </w:rPr>
              <w:t>(g)</w:t>
            </w:r>
          </w:p>
        </w:tc>
        <w:tc>
          <w:tcPr>
            <w:tcW w:w="300" w:type="dxa"/>
            <w:vAlign w:val="bottom"/>
            <w:gridSpan w:val="2"/>
          </w:tcPr>
          <w:p>
            <w:pPr>
              <w:ind w:left="40"/>
              <w:spacing w:after="0"/>
              <w:rPr>
                <w:sz w:val="20"/>
                <w:szCs w:val="20"/>
                <w:color w:val="auto"/>
              </w:rPr>
            </w:pPr>
            <w:r>
              <w:rPr>
                <w:rFonts w:ascii="Arial" w:cs="Arial" w:eastAsia="Arial" w:hAnsi="Arial"/>
                <w:sz w:val="13"/>
                <w:szCs w:val="13"/>
                <w:b w:val="1"/>
                <w:bCs w:val="1"/>
                <w:color w:val="auto"/>
              </w:rPr>
              <w:t>​ ​</w:t>
            </w:r>
          </w:p>
        </w:tc>
        <w:tc>
          <w:tcPr>
            <w:tcW w:w="580" w:type="dxa"/>
            <w:vAlign w:val="bottom"/>
          </w:tcPr>
          <w:p>
            <w:pPr>
              <w:jc w:val="center"/>
              <w:ind w:right="111"/>
              <w:spacing w:after="0"/>
              <w:rPr>
                <w:sz w:val="20"/>
                <w:szCs w:val="20"/>
                <w:color w:val="auto"/>
              </w:rPr>
            </w:pPr>
            <w:r>
              <w:rPr>
                <w:rFonts w:ascii="Arial" w:cs="Arial" w:eastAsia="Arial" w:hAnsi="Arial"/>
                <w:sz w:val="13"/>
                <w:szCs w:val="13"/>
                <w:b w:val="1"/>
                <w:bCs w:val="1"/>
                <w:color w:val="auto"/>
                <w:w w:val="96"/>
              </w:rPr>
              <w:t>(h)</w:t>
            </w:r>
          </w:p>
        </w:tc>
        <w:tc>
          <w:tcPr>
            <w:tcW w:w="360" w:type="dxa"/>
            <w:vAlign w:val="bottom"/>
            <w:gridSpan w:val="2"/>
          </w:tcPr>
          <w:p>
            <w:pPr>
              <w:ind w:left="40"/>
              <w:spacing w:after="0"/>
              <w:rPr>
                <w:sz w:val="20"/>
                <w:szCs w:val="20"/>
                <w:color w:val="auto"/>
              </w:rPr>
            </w:pPr>
            <w:r>
              <w:rPr>
                <w:rFonts w:ascii="Arial" w:cs="Arial" w:eastAsia="Arial" w:hAnsi="Arial"/>
                <w:sz w:val="13"/>
                <w:szCs w:val="13"/>
                <w:b w:val="1"/>
                <w:bCs w:val="1"/>
                <w:color w:val="auto"/>
              </w:rPr>
              <w:t>​ ​</w:t>
            </w:r>
          </w:p>
        </w:tc>
        <w:tc>
          <w:tcPr>
            <w:tcW w:w="520" w:type="dxa"/>
            <w:vAlign w:val="bottom"/>
          </w:tcPr>
          <w:p>
            <w:pPr>
              <w:jc w:val="center"/>
              <w:ind w:right="170"/>
              <w:spacing w:after="0"/>
              <w:rPr>
                <w:sz w:val="20"/>
                <w:szCs w:val="20"/>
                <w:color w:val="auto"/>
              </w:rPr>
            </w:pPr>
            <w:r>
              <w:rPr>
                <w:rFonts w:ascii="Arial" w:cs="Arial" w:eastAsia="Arial" w:hAnsi="Arial"/>
                <w:sz w:val="13"/>
                <w:szCs w:val="13"/>
                <w:b w:val="1"/>
                <w:bCs w:val="1"/>
                <w:color w:val="auto"/>
                <w:w w:val="97"/>
              </w:rPr>
              <w:t>(i)</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left w:val="single" w:sz="8" w:color="B2B2B2"/>
            </w:tcBorders>
            <w:shd w:val="clear" w:color="auto" w:fill="000000"/>
          </w:tcPr>
          <w:p>
            <w:pPr>
              <w:spacing w:after="0" w:line="20" w:lineRule="exact"/>
              <w:rPr>
                <w:sz w:val="1"/>
                <w:szCs w:val="1"/>
                <w:color w:val="auto"/>
              </w:rPr>
            </w:pPr>
          </w:p>
        </w:tc>
        <w:tc>
          <w:tcPr>
            <w:tcW w:w="120" w:type="dxa"/>
            <w:vAlign w:val="bottom"/>
            <w:shd w:val="clear" w:color="auto" w:fill="B2B2B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B2B2B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B2B2B2"/>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B2B2B2"/>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B2B2B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B2B2B2"/>
          </w:tcPr>
          <w:p>
            <w:pPr>
              <w:spacing w:after="0" w:line="20" w:lineRule="exact"/>
              <w:rPr>
                <w:sz w:val="1"/>
                <w:szCs w:val="1"/>
                <w:color w:val="auto"/>
              </w:rPr>
            </w:pPr>
          </w:p>
        </w:tc>
        <w:tc>
          <w:tcPr>
            <w:tcW w:w="7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B2B2B2"/>
          </w:tcPr>
          <w:p>
            <w:pPr>
              <w:spacing w:after="0" w:line="20" w:lineRule="exact"/>
              <w:rPr>
                <w:sz w:val="1"/>
                <w:szCs w:val="1"/>
                <w:color w:val="auto"/>
              </w:rPr>
            </w:pPr>
          </w:p>
        </w:tc>
        <w:tc>
          <w:tcPr>
            <w:tcW w:w="7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B2B2B2"/>
          </w:tcPr>
          <w:p>
            <w:pPr>
              <w:spacing w:after="0" w:line="20" w:lineRule="exact"/>
              <w:rPr>
                <w:sz w:val="1"/>
                <w:szCs w:val="1"/>
                <w:color w:val="auto"/>
              </w:rPr>
            </w:pPr>
          </w:p>
        </w:tc>
        <w:tc>
          <w:tcPr>
            <w:tcW w:w="74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B2B2B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Borders>
              <w:left w:val="single" w:sz="8" w:color="B2B2B2"/>
            </w:tcBorders>
            <w:shd w:val="clear" w:color="auto" w:fill="B2B2B2"/>
          </w:tcPr>
          <w:p>
            <w:pPr>
              <w:ind w:left="140"/>
              <w:spacing w:after="0"/>
              <w:rPr>
                <w:sz w:val="20"/>
                <w:szCs w:val="20"/>
                <w:color w:val="auto"/>
              </w:rPr>
            </w:pPr>
            <w:r>
              <w:rPr>
                <w:rFonts w:ascii="Arial" w:cs="Arial" w:eastAsia="Arial" w:hAnsi="Arial"/>
                <w:sz w:val="14"/>
                <w:szCs w:val="14"/>
                <w:color w:val="auto"/>
              </w:rPr>
              <w:t>2025</w:t>
            </w:r>
          </w:p>
        </w:tc>
        <w:tc>
          <w:tcPr>
            <w:tcW w:w="120" w:type="dxa"/>
            <w:vAlign w:val="bottom"/>
            <w:shd w:val="clear" w:color="auto" w:fill="B2B2B2"/>
          </w:tcPr>
          <w:p>
            <w:pPr>
              <w:spacing w:after="0"/>
              <w:rPr>
                <w:sz w:val="19"/>
                <w:szCs w:val="19"/>
                <w:color w:val="auto"/>
              </w:rPr>
            </w:pPr>
          </w:p>
        </w:tc>
        <w:tc>
          <w:tcPr>
            <w:tcW w:w="140" w:type="dxa"/>
            <w:vAlign w:val="bottom"/>
            <w:shd w:val="clear" w:color="auto" w:fill="B2B2B2"/>
          </w:tcPr>
          <w:p>
            <w:pPr>
              <w:ind w:left="40"/>
              <w:spacing w:after="0" w:line="223" w:lineRule="exact"/>
              <w:rPr>
                <w:sz w:val="20"/>
                <w:szCs w:val="20"/>
                <w:color w:val="auto"/>
              </w:rPr>
            </w:pPr>
            <w:r>
              <w:rPr>
                <w:rFonts w:ascii="Arial" w:cs="Arial" w:eastAsia="Arial" w:hAnsi="Arial"/>
                <w:sz w:val="13"/>
                <w:szCs w:val="13"/>
                <w:color w:val="auto"/>
                <w:w w:val="85"/>
              </w:rPr>
              <w:t>​</w:t>
            </w:r>
            <w:r>
              <w:rPr>
                <w:rFonts w:ascii="Arial" w:cs="Arial" w:eastAsia="Arial" w:hAnsi="Arial"/>
                <w:sz w:val="25"/>
                <w:szCs w:val="25"/>
                <w:color w:val="auto"/>
                <w:w w:val="85"/>
                <w:vertAlign w:val="superscript"/>
              </w:rPr>
              <w:t>$</w:t>
            </w:r>
          </w:p>
        </w:tc>
        <w:tc>
          <w:tcPr>
            <w:tcW w:w="76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4"/>
                <w:szCs w:val="14"/>
                <w:color w:val="auto"/>
              </w:rPr>
              <w:t>9,194,673</w:t>
            </w:r>
          </w:p>
        </w:tc>
        <w:tc>
          <w:tcPr>
            <w:tcW w:w="100" w:type="dxa"/>
            <w:vAlign w:val="bottom"/>
            <w:shd w:val="clear" w:color="auto" w:fill="B2B2B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B2B2B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$ 3,642,215 </w:t>
            </w:r>
            <w:r>
              <w:rPr>
                <w:rFonts w:ascii="Arial" w:cs="Arial" w:eastAsia="Arial" w:hAnsi="Arial"/>
                <w:sz w:val="25"/>
                <w:szCs w:val="25"/>
                <w:color w:val="auto"/>
                <w:vertAlign w:val="subscript"/>
              </w:rPr>
              <w:t>​ ​</w:t>
            </w:r>
          </w:p>
        </w:tc>
        <w:tc>
          <w:tcPr>
            <w:tcW w:w="900" w:type="dxa"/>
            <w:vAlign w:val="bottom"/>
            <w:tcBorders>
              <w:right w:val="single" w:sz="8" w:color="B2B2B2"/>
            </w:tcBorders>
            <w:shd w:val="clear" w:color="auto" w:fill="B2B2B2"/>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$5,369,859</w:t>
            </w:r>
          </w:p>
        </w:tc>
        <w:tc>
          <w:tcPr>
            <w:tcW w:w="140" w:type="dxa"/>
            <w:vAlign w:val="bottom"/>
            <w:shd w:val="clear" w:color="auto" w:fill="B2B2B2"/>
          </w:tcPr>
          <w:p>
            <w:pPr>
              <w:jc w:val="right"/>
              <w:spacing w:after="0"/>
              <w:rPr>
                <w:sz w:val="20"/>
                <w:szCs w:val="20"/>
                <w:color w:val="auto"/>
              </w:rPr>
            </w:pPr>
            <w:r>
              <w:rPr>
                <w:rFonts w:ascii="Arial" w:cs="Arial" w:eastAsia="Arial" w:hAnsi="Arial"/>
                <w:sz w:val="14"/>
                <w:szCs w:val="14"/>
                <w:color w:val="auto"/>
              </w:rPr>
              <w:t>​​ ​</w:t>
            </w:r>
          </w:p>
        </w:tc>
        <w:tc>
          <w:tcPr>
            <w:tcW w:w="900" w:type="dxa"/>
            <w:vAlign w:val="bottom"/>
            <w:tcBorders>
              <w:right w:val="single" w:sz="8" w:color="B2B2B2"/>
            </w:tcBorders>
            <w:shd w:val="clear" w:color="auto" w:fill="B2B2B2"/>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$4,246,659</w:t>
            </w:r>
          </w:p>
        </w:tc>
        <w:tc>
          <w:tcPr>
            <w:tcW w:w="16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4"/>
                <w:szCs w:val="14"/>
                <w:color w:val="auto"/>
              </w:rPr>
              <w:t>​​ ​</w:t>
            </w:r>
          </w:p>
        </w:tc>
        <w:tc>
          <w:tcPr>
            <w:tcW w:w="280" w:type="dxa"/>
            <w:vAlign w:val="bottom"/>
            <w:shd w:val="clear" w:color="auto" w:fill="B2B2B2"/>
          </w:tcPr>
          <w:p>
            <w:pPr>
              <w:ind w:left="180"/>
              <w:spacing w:after="0" w:line="223" w:lineRule="exact"/>
              <w:rPr>
                <w:sz w:val="20"/>
                <w:szCs w:val="20"/>
                <w:color w:val="auto"/>
              </w:rPr>
            </w:pPr>
            <w:r>
              <w:rPr>
                <w:rFonts w:ascii="Arial" w:cs="Arial" w:eastAsia="Arial" w:hAnsi="Arial"/>
                <w:sz w:val="13"/>
                <w:szCs w:val="13"/>
                <w:color w:val="auto"/>
                <w:w w:val="85"/>
              </w:rPr>
              <w:t>​</w:t>
            </w:r>
            <w:r>
              <w:rPr>
                <w:rFonts w:ascii="Arial" w:cs="Arial" w:eastAsia="Arial" w:hAnsi="Arial"/>
                <w:sz w:val="25"/>
                <w:szCs w:val="25"/>
                <w:color w:val="auto"/>
                <w:w w:val="85"/>
                <w:vertAlign w:val="superscript"/>
              </w:rPr>
              <w:t>$</w:t>
            </w:r>
          </w:p>
        </w:tc>
        <w:tc>
          <w:tcPr>
            <w:tcW w:w="440" w:type="dxa"/>
            <w:vAlign w:val="bottom"/>
            <w:tcBorders>
              <w:right w:val="single" w:sz="8" w:color="B2B2B2"/>
            </w:tcBorders>
            <w:shd w:val="clear" w:color="auto" w:fill="B2B2B2"/>
          </w:tcPr>
          <w:p>
            <w:pPr>
              <w:jc w:val="right"/>
              <w:ind w:right="130"/>
              <w:spacing w:after="0"/>
              <w:rPr>
                <w:sz w:val="20"/>
                <w:szCs w:val="20"/>
                <w:color w:val="auto"/>
              </w:rPr>
            </w:pPr>
            <w:r>
              <w:rPr>
                <w:rFonts w:ascii="Arial" w:cs="Arial" w:eastAsia="Arial" w:hAnsi="Arial"/>
                <w:sz w:val="14"/>
                <w:szCs w:val="14"/>
                <w:color w:val="auto"/>
              </w:rPr>
              <w:t>50</w:t>
            </w:r>
          </w:p>
        </w:tc>
        <w:tc>
          <w:tcPr>
            <w:tcW w:w="16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right w:val="single" w:sz="8" w:color="B2B2B2"/>
            </w:tcBorders>
            <w:gridSpan w:val="2"/>
            <w:shd w:val="clear" w:color="auto" w:fill="B2B2B2"/>
          </w:tcPr>
          <w:p>
            <w:pPr>
              <w:jc w:val="right"/>
              <w:ind w:right="15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$107</w:t>
            </w:r>
          </w:p>
        </w:tc>
        <w:tc>
          <w:tcPr>
            <w:tcW w:w="880" w:type="dxa"/>
            <w:vAlign w:val="bottom"/>
            <w:tcBorders>
              <w:right w:val="single" w:sz="8" w:color="B2B2B2"/>
            </w:tcBorders>
            <w:gridSpan w:val="3"/>
            <w:shd w:val="clear" w:color="auto" w:fill="B2B2B2"/>
          </w:tcPr>
          <w:p>
            <w:pPr>
              <w:jc w:val="right"/>
              <w:ind w:right="11"/>
              <w:spacing w:after="0" w:line="223" w:lineRule="exact"/>
              <w:rPr>
                <w:sz w:val="20"/>
                <w:szCs w:val="20"/>
                <w:color w:val="auto"/>
              </w:rPr>
            </w:pPr>
            <w:r>
              <w:rPr>
                <w:rFonts w:ascii="Arial" w:cs="Arial" w:eastAsia="Arial" w:hAnsi="Arial"/>
                <w:sz w:val="25"/>
                <w:szCs w:val="25"/>
                <w:color w:val="auto"/>
                <w:vertAlign w:val="subscript"/>
              </w:rPr>
              <w:t>​​ ​ ​</w:t>
            </w:r>
            <w:r>
              <w:rPr>
                <w:rFonts w:ascii="Arial" w:cs="Arial" w:eastAsia="Arial" w:hAnsi="Arial"/>
                <w:sz w:val="13"/>
                <w:szCs w:val="13"/>
                <w:color w:val="auto"/>
              </w:rPr>
              <w:t>$ 1,304.7</w:t>
            </w:r>
          </w:p>
        </w:tc>
        <w:tc>
          <w:tcPr>
            <w:tcW w:w="880" w:type="dxa"/>
            <w:vAlign w:val="bottom"/>
            <w:tcBorders>
              <w:right w:val="single" w:sz="8" w:color="B2B2B2"/>
            </w:tcBorders>
            <w:gridSpan w:val="3"/>
            <w:shd w:val="clear" w:color="auto" w:fill="B2B2B2"/>
          </w:tcPr>
          <w:p>
            <w:pPr>
              <w:jc w:val="right"/>
              <w:ind w:right="10"/>
              <w:spacing w:after="0" w:line="223" w:lineRule="exact"/>
              <w:rPr>
                <w:sz w:val="20"/>
                <w:szCs w:val="20"/>
                <w:color w:val="auto"/>
              </w:rPr>
            </w:pPr>
            <w:r>
              <w:rPr>
                <w:rFonts w:ascii="Arial" w:cs="Arial" w:eastAsia="Arial" w:hAnsi="Arial"/>
                <w:sz w:val="25"/>
                <w:szCs w:val="25"/>
                <w:color w:val="auto"/>
                <w:vertAlign w:val="subscript"/>
              </w:rPr>
              <w:t>​​ ​ ​</w:t>
            </w:r>
            <w:r>
              <w:rPr>
                <w:rFonts w:ascii="Arial" w:cs="Arial" w:eastAsia="Arial" w:hAnsi="Arial"/>
                <w:sz w:val="13"/>
                <w:szCs w:val="13"/>
                <w:color w:val="auto"/>
              </w:rPr>
              <w:t>$ 1,173.8</w:t>
            </w:r>
          </w:p>
        </w:tc>
        <w:tc>
          <w:tcPr>
            <w:tcW w:w="40" w:type="dxa"/>
            <w:vAlign w:val="bottom"/>
            <w:shd w:val="clear" w:color="auto" w:fill="B2B2B2"/>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520" w:type="dxa"/>
            <w:vAlign w:val="bottom"/>
          </w:tcPr>
          <w:p>
            <w:pPr>
              <w:ind w:left="140"/>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9"/>
                <w:szCs w:val="19"/>
                <w:color w:val="auto"/>
              </w:rPr>
            </w:pPr>
          </w:p>
        </w:tc>
        <w:tc>
          <w:tcPr>
            <w:tcW w:w="1000" w:type="dxa"/>
            <w:vAlign w:val="bottom"/>
            <w:gridSpan w:val="3"/>
          </w:tcPr>
          <w:p>
            <w:pPr>
              <w:jc w:val="right"/>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$ 11,274,640 </w:t>
            </w:r>
            <w:r>
              <w:rPr>
                <w:rFonts w:ascii="Arial" w:cs="Arial" w:eastAsia="Arial" w:hAnsi="Arial"/>
                <w:sz w:val="26"/>
                <w:szCs w:val="26"/>
                <w:color w:val="auto"/>
                <w:vertAlign w:val="subscript"/>
              </w:rPr>
              <w:t>​</w:t>
            </w:r>
          </w:p>
        </w:tc>
        <w:tc>
          <w:tcPr>
            <w:tcW w:w="104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$13,261,690 </w:t>
            </w:r>
            <w:r>
              <w:rPr>
                <w:rFonts w:ascii="Arial" w:cs="Arial" w:eastAsia="Arial" w:hAnsi="Arial"/>
                <w:sz w:val="26"/>
                <w:szCs w:val="26"/>
                <w:color w:val="auto"/>
                <w:vertAlign w:val="subscript"/>
              </w:rPr>
              <w:t>​ ​</w:t>
            </w:r>
          </w:p>
        </w:tc>
        <w:tc>
          <w:tcPr>
            <w:tcW w:w="900" w:type="dxa"/>
            <w:vAlign w:val="bottom"/>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$3,009,006</w:t>
            </w:r>
          </w:p>
        </w:tc>
        <w:tc>
          <w:tcPr>
            <w:tcW w:w="140" w:type="dxa"/>
            <w:vAlign w:val="bottom"/>
          </w:tcPr>
          <w:p>
            <w:pPr>
              <w:jc w:val="right"/>
              <w:spacing w:after="0"/>
              <w:rPr>
                <w:sz w:val="20"/>
                <w:szCs w:val="20"/>
                <w:color w:val="auto"/>
              </w:rPr>
            </w:pPr>
            <w:r>
              <w:rPr>
                <w:rFonts w:ascii="Arial" w:cs="Arial" w:eastAsia="Arial" w:hAnsi="Arial"/>
                <w:sz w:val="14"/>
                <w:szCs w:val="14"/>
                <w:color w:val="auto"/>
              </w:rPr>
              <w:t>​​ ​</w:t>
            </w:r>
          </w:p>
        </w:tc>
        <w:tc>
          <w:tcPr>
            <w:tcW w:w="900" w:type="dxa"/>
            <w:vAlign w:val="bottom"/>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$3,501,742</w:t>
            </w:r>
          </w:p>
        </w:tc>
        <w:tc>
          <w:tcPr>
            <w:tcW w:w="160" w:type="dxa"/>
            <w:vAlign w:val="bottom"/>
          </w:tcPr>
          <w:p>
            <w:pPr>
              <w:jc w:val="right"/>
              <w:spacing w:after="0"/>
              <w:rPr>
                <w:sz w:val="20"/>
                <w:szCs w:val="20"/>
                <w:color w:val="auto"/>
              </w:rPr>
            </w:pPr>
            <w:r>
              <w:rPr>
                <w:rFonts w:ascii="Arial" w:cs="Arial" w:eastAsia="Arial" w:hAnsi="Arial"/>
                <w:sz w:val="14"/>
                <w:szCs w:val="14"/>
                <w:color w:val="auto"/>
              </w:rPr>
              <w:t>​​ ​</w:t>
            </w:r>
          </w:p>
        </w:tc>
        <w:tc>
          <w:tcPr>
            <w:tcW w:w="280" w:type="dxa"/>
            <w:vAlign w:val="bottom"/>
          </w:tcPr>
          <w:p>
            <w:pPr>
              <w:ind w:left="18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w:t>
            </w:r>
          </w:p>
        </w:tc>
        <w:tc>
          <w:tcPr>
            <w:tcW w:w="440" w:type="dxa"/>
            <w:vAlign w:val="bottom"/>
          </w:tcPr>
          <w:p>
            <w:pPr>
              <w:jc w:val="right"/>
              <w:ind w:right="130"/>
              <w:spacing w:after="0"/>
              <w:rPr>
                <w:sz w:val="20"/>
                <w:szCs w:val="20"/>
                <w:color w:val="auto"/>
              </w:rPr>
            </w:pPr>
            <w:r>
              <w:rPr>
                <w:rFonts w:ascii="Arial" w:cs="Arial" w:eastAsia="Arial" w:hAnsi="Arial"/>
                <w:sz w:val="14"/>
                <w:szCs w:val="14"/>
                <w:color w:val="auto"/>
              </w:rPr>
              <w:t>65</w:t>
            </w:r>
          </w:p>
        </w:tc>
        <w:tc>
          <w:tcPr>
            <w:tcW w:w="160" w:type="dxa"/>
            <w:vAlign w:val="bottom"/>
          </w:tcPr>
          <w:p>
            <w:pPr>
              <w:jc w:val="right"/>
              <w:spacing w:after="0"/>
              <w:rPr>
                <w:sz w:val="20"/>
                <w:szCs w:val="20"/>
                <w:color w:val="auto"/>
              </w:rPr>
            </w:pPr>
            <w:r>
              <w:rPr>
                <w:rFonts w:ascii="Arial" w:cs="Arial" w:eastAsia="Arial" w:hAnsi="Arial"/>
                <w:sz w:val="14"/>
                <w:szCs w:val="14"/>
                <w:color w:val="auto"/>
              </w:rPr>
              <w:t>​​ ​</w:t>
            </w:r>
          </w:p>
        </w:tc>
        <w:tc>
          <w:tcPr>
            <w:tcW w:w="280" w:type="dxa"/>
            <w:vAlign w:val="bottom"/>
          </w:tcPr>
          <w:p>
            <w:pPr>
              <w:ind w:left="200"/>
              <w:spacing w:after="0" w:line="230" w:lineRule="exact"/>
              <w:rPr>
                <w:sz w:val="20"/>
                <w:szCs w:val="20"/>
                <w:color w:val="auto"/>
              </w:rPr>
            </w:pPr>
            <w:r>
              <w:rPr>
                <w:rFonts w:ascii="Arial" w:cs="Arial" w:eastAsia="Arial" w:hAnsi="Arial"/>
                <w:sz w:val="26"/>
                <w:szCs w:val="26"/>
                <w:color w:val="auto"/>
                <w:w w:val="76"/>
                <w:vertAlign w:val="subscript"/>
              </w:rPr>
              <w:t>​</w:t>
            </w:r>
            <w:r>
              <w:rPr>
                <w:rFonts w:ascii="Arial" w:cs="Arial" w:eastAsia="Arial" w:hAnsi="Arial"/>
                <w:sz w:val="14"/>
                <w:szCs w:val="14"/>
                <w:color w:val="auto"/>
                <w:w w:val="76"/>
              </w:rPr>
              <w:t>$</w:t>
            </w:r>
          </w:p>
        </w:tc>
        <w:tc>
          <w:tcPr>
            <w:tcW w:w="460" w:type="dxa"/>
            <w:vAlign w:val="bottom"/>
          </w:tcPr>
          <w:p>
            <w:pPr>
              <w:jc w:val="right"/>
              <w:ind w:right="150"/>
              <w:spacing w:after="0"/>
              <w:rPr>
                <w:sz w:val="20"/>
                <w:szCs w:val="20"/>
                <w:color w:val="auto"/>
              </w:rPr>
            </w:pPr>
            <w:r>
              <w:rPr>
                <w:rFonts w:ascii="Arial" w:cs="Arial" w:eastAsia="Arial" w:hAnsi="Arial"/>
                <w:sz w:val="14"/>
                <w:szCs w:val="14"/>
                <w:color w:val="auto"/>
              </w:rPr>
              <w:t>98</w:t>
            </w:r>
          </w:p>
        </w:tc>
        <w:tc>
          <w:tcPr>
            <w:tcW w:w="300" w:type="dxa"/>
            <w:vAlign w:val="bottom"/>
            <w:gridSpan w:val="2"/>
          </w:tcPr>
          <w:p>
            <w:pPr>
              <w:spacing w:after="0" w:line="230" w:lineRule="exact"/>
              <w:rPr>
                <w:sz w:val="20"/>
                <w:szCs w:val="20"/>
                <w:color w:val="auto"/>
              </w:rPr>
            </w:pPr>
            <w:r>
              <w:rPr>
                <w:rFonts w:ascii="Arial" w:cs="Arial" w:eastAsia="Arial" w:hAnsi="Arial"/>
                <w:sz w:val="14"/>
                <w:szCs w:val="14"/>
                <w:color w:val="auto"/>
              </w:rPr>
              <w:t>​​ ​ ​</w:t>
            </w:r>
            <w:r>
              <w:rPr>
                <w:rFonts w:ascii="Arial" w:cs="Arial" w:eastAsia="Arial" w:hAnsi="Arial"/>
                <w:sz w:val="26"/>
                <w:szCs w:val="26"/>
                <w:color w:val="auto"/>
                <w:vertAlign w:val="superscript"/>
              </w:rPr>
              <w:t>$</w:t>
            </w:r>
          </w:p>
        </w:tc>
        <w:tc>
          <w:tcPr>
            <w:tcW w:w="580" w:type="dxa"/>
            <w:vAlign w:val="bottom"/>
          </w:tcPr>
          <w:p>
            <w:pPr>
              <w:jc w:val="right"/>
              <w:ind w:right="11"/>
              <w:spacing w:after="0"/>
              <w:rPr>
                <w:sz w:val="20"/>
                <w:szCs w:val="20"/>
                <w:color w:val="auto"/>
              </w:rPr>
            </w:pPr>
            <w:r>
              <w:rPr>
                <w:rFonts w:ascii="Arial" w:cs="Arial" w:eastAsia="Arial" w:hAnsi="Arial"/>
                <w:sz w:val="14"/>
                <w:szCs w:val="14"/>
                <w:color w:val="auto"/>
              </w:rPr>
              <w:t>93.4</w:t>
            </w:r>
          </w:p>
        </w:tc>
        <w:tc>
          <w:tcPr>
            <w:tcW w:w="360" w:type="dxa"/>
            <w:vAlign w:val="bottom"/>
            <w:gridSpan w:val="2"/>
          </w:tcPr>
          <w:p>
            <w:pPr>
              <w:spacing w:after="0" w:line="230" w:lineRule="exact"/>
              <w:rPr>
                <w:sz w:val="20"/>
                <w:szCs w:val="20"/>
                <w:color w:val="auto"/>
              </w:rPr>
            </w:pPr>
            <w:r>
              <w:rPr>
                <w:rFonts w:ascii="Arial" w:cs="Arial" w:eastAsia="Arial" w:hAnsi="Arial"/>
                <w:sz w:val="14"/>
                <w:szCs w:val="14"/>
                <w:color w:val="auto"/>
              </w:rPr>
              <w:t>​​ ​ ​</w:t>
            </w:r>
            <w:r>
              <w:rPr>
                <w:rFonts w:ascii="Arial" w:cs="Arial" w:eastAsia="Arial" w:hAnsi="Arial"/>
                <w:sz w:val="26"/>
                <w:szCs w:val="26"/>
                <w:color w:val="auto"/>
                <w:vertAlign w:val="superscript"/>
              </w:rPr>
              <w:t>$</w:t>
            </w: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940.1</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20" w:type="dxa"/>
            <w:vAlign w:val="bottom"/>
            <w:tcBorders>
              <w:left w:val="single" w:sz="8" w:color="B2B2B2"/>
            </w:tcBorders>
            <w:shd w:val="clear" w:color="auto" w:fill="B2B2B2"/>
          </w:tcPr>
          <w:p>
            <w:pPr>
              <w:ind w:left="140"/>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B2B2B2"/>
          </w:tcPr>
          <w:p>
            <w:pPr>
              <w:spacing w:after="0"/>
              <w:rPr>
                <w:sz w:val="21"/>
                <w:szCs w:val="21"/>
                <w:color w:val="auto"/>
              </w:rPr>
            </w:pPr>
          </w:p>
        </w:tc>
        <w:tc>
          <w:tcPr>
            <w:tcW w:w="140" w:type="dxa"/>
            <w:vAlign w:val="bottom"/>
            <w:shd w:val="clear" w:color="auto" w:fill="B2B2B2"/>
          </w:tcPr>
          <w:p>
            <w:pPr>
              <w:ind w:left="40"/>
              <w:spacing w:after="0" w:line="243" w:lineRule="exact"/>
              <w:rPr>
                <w:sz w:val="20"/>
                <w:szCs w:val="20"/>
                <w:color w:val="auto"/>
              </w:rPr>
            </w:pPr>
            <w:r>
              <w:rPr>
                <w:rFonts w:ascii="Arial" w:cs="Arial" w:eastAsia="Arial" w:hAnsi="Arial"/>
                <w:sz w:val="14"/>
                <w:szCs w:val="14"/>
                <w:color w:val="auto"/>
                <w:w w:val="76"/>
              </w:rPr>
              <w:t>​</w:t>
            </w:r>
            <w:r>
              <w:rPr>
                <w:rFonts w:ascii="Arial" w:cs="Arial" w:eastAsia="Arial" w:hAnsi="Arial"/>
                <w:sz w:val="28"/>
                <w:szCs w:val="28"/>
                <w:color w:val="auto"/>
                <w:w w:val="76"/>
                <w:vertAlign w:val="superscript"/>
              </w:rPr>
              <w:t>$</w:t>
            </w:r>
          </w:p>
        </w:tc>
        <w:tc>
          <w:tcPr>
            <w:tcW w:w="76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4"/>
                <w:szCs w:val="14"/>
                <w:color w:val="auto"/>
              </w:rPr>
              <w:t>4,857,820</w:t>
            </w:r>
          </w:p>
        </w:tc>
        <w:tc>
          <w:tcPr>
            <w:tcW w:w="100" w:type="dxa"/>
            <w:vAlign w:val="bottom"/>
            <w:shd w:val="clear" w:color="auto" w:fill="B2B2B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B2B2B2"/>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$ 4,917,699 </w:t>
            </w:r>
            <w:r>
              <w:rPr>
                <w:rFonts w:ascii="Arial" w:cs="Arial" w:eastAsia="Arial" w:hAnsi="Arial"/>
                <w:sz w:val="28"/>
                <w:szCs w:val="28"/>
                <w:color w:val="auto"/>
                <w:vertAlign w:val="subscript"/>
              </w:rPr>
              <w:t>​ ​</w:t>
            </w:r>
          </w:p>
        </w:tc>
        <w:tc>
          <w:tcPr>
            <w:tcW w:w="900" w:type="dxa"/>
            <w:vAlign w:val="bottom"/>
            <w:tcBorders>
              <w:right w:val="single" w:sz="8" w:color="B2B2B2"/>
            </w:tcBorders>
            <w:shd w:val="clear" w:color="auto" w:fill="B2B2B2"/>
          </w:tcPr>
          <w:p>
            <w:pPr>
              <w:jc w:val="cente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$1,390,429</w:t>
            </w:r>
          </w:p>
        </w:tc>
        <w:tc>
          <w:tcPr>
            <w:tcW w:w="140" w:type="dxa"/>
            <w:vAlign w:val="bottom"/>
            <w:shd w:val="clear" w:color="auto" w:fill="B2B2B2"/>
          </w:tcPr>
          <w:p>
            <w:pPr>
              <w:jc w:val="right"/>
              <w:spacing w:after="0"/>
              <w:rPr>
                <w:sz w:val="20"/>
                <w:szCs w:val="20"/>
                <w:color w:val="auto"/>
              </w:rPr>
            </w:pPr>
            <w:r>
              <w:rPr>
                <w:rFonts w:ascii="Arial" w:cs="Arial" w:eastAsia="Arial" w:hAnsi="Arial"/>
                <w:sz w:val="14"/>
                <w:szCs w:val="14"/>
                <w:color w:val="auto"/>
              </w:rPr>
              <w:t>​​ ​</w:t>
            </w:r>
          </w:p>
        </w:tc>
        <w:tc>
          <w:tcPr>
            <w:tcW w:w="900" w:type="dxa"/>
            <w:vAlign w:val="bottom"/>
            <w:tcBorders>
              <w:right w:val="single" w:sz="8" w:color="B2B2B2"/>
            </w:tcBorders>
            <w:shd w:val="clear" w:color="auto" w:fill="B2B2B2"/>
          </w:tcPr>
          <w:p>
            <w:pPr>
              <w:jc w:val="cente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$1,402,202</w:t>
            </w:r>
          </w:p>
        </w:tc>
        <w:tc>
          <w:tcPr>
            <w:tcW w:w="16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4"/>
                <w:szCs w:val="14"/>
                <w:color w:val="auto"/>
              </w:rPr>
              <w:t>​​ ​</w:t>
            </w:r>
          </w:p>
        </w:tc>
        <w:tc>
          <w:tcPr>
            <w:tcW w:w="280" w:type="dxa"/>
            <w:vAlign w:val="bottom"/>
            <w:shd w:val="clear" w:color="auto" w:fill="B2B2B2"/>
          </w:tcPr>
          <w:p>
            <w:pPr>
              <w:ind w:left="180"/>
              <w:spacing w:after="0" w:line="243" w:lineRule="exact"/>
              <w:rPr>
                <w:sz w:val="20"/>
                <w:szCs w:val="20"/>
                <w:color w:val="auto"/>
              </w:rPr>
            </w:pPr>
            <w:r>
              <w:rPr>
                <w:rFonts w:ascii="Arial" w:cs="Arial" w:eastAsia="Arial" w:hAnsi="Arial"/>
                <w:sz w:val="14"/>
                <w:szCs w:val="14"/>
                <w:color w:val="auto"/>
                <w:w w:val="76"/>
              </w:rPr>
              <w:t>​</w:t>
            </w:r>
            <w:r>
              <w:rPr>
                <w:rFonts w:ascii="Arial" w:cs="Arial" w:eastAsia="Arial" w:hAnsi="Arial"/>
                <w:sz w:val="28"/>
                <w:szCs w:val="28"/>
                <w:color w:val="auto"/>
                <w:w w:val="76"/>
                <w:vertAlign w:val="superscript"/>
              </w:rPr>
              <w:t>$</w:t>
            </w:r>
          </w:p>
        </w:tc>
        <w:tc>
          <w:tcPr>
            <w:tcW w:w="440" w:type="dxa"/>
            <w:vAlign w:val="bottom"/>
            <w:tcBorders>
              <w:right w:val="single" w:sz="8" w:color="B2B2B2"/>
            </w:tcBorders>
            <w:shd w:val="clear" w:color="auto" w:fill="B2B2B2"/>
          </w:tcPr>
          <w:p>
            <w:pPr>
              <w:jc w:val="right"/>
              <w:ind w:right="130"/>
              <w:spacing w:after="0"/>
              <w:rPr>
                <w:sz w:val="20"/>
                <w:szCs w:val="20"/>
                <w:color w:val="auto"/>
              </w:rPr>
            </w:pPr>
            <w:r>
              <w:rPr>
                <w:rFonts w:ascii="Arial" w:cs="Arial" w:eastAsia="Arial" w:hAnsi="Arial"/>
                <w:sz w:val="14"/>
                <w:szCs w:val="14"/>
                <w:color w:val="auto"/>
              </w:rPr>
              <w:t>63</w:t>
            </w:r>
          </w:p>
        </w:tc>
        <w:tc>
          <w:tcPr>
            <w:tcW w:w="16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4"/>
                <w:szCs w:val="14"/>
                <w:color w:val="auto"/>
              </w:rPr>
              <w:t>​​ ​</w:t>
            </w:r>
          </w:p>
        </w:tc>
        <w:tc>
          <w:tcPr>
            <w:tcW w:w="280" w:type="dxa"/>
            <w:vAlign w:val="bottom"/>
            <w:shd w:val="clear" w:color="auto" w:fill="B2B2B2"/>
          </w:tcPr>
          <w:p>
            <w:pPr>
              <w:ind w:left="200"/>
              <w:spacing w:after="0" w:line="243" w:lineRule="exact"/>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perscript"/>
              </w:rPr>
              <w:t>$</w:t>
            </w:r>
          </w:p>
        </w:tc>
        <w:tc>
          <w:tcPr>
            <w:tcW w:w="460" w:type="dxa"/>
            <w:vAlign w:val="bottom"/>
            <w:tcBorders>
              <w:right w:val="single" w:sz="8" w:color="B2B2B2"/>
            </w:tcBorders>
            <w:shd w:val="clear" w:color="auto" w:fill="B2B2B2"/>
          </w:tcPr>
          <w:p>
            <w:pPr>
              <w:jc w:val="right"/>
              <w:ind w:right="150"/>
              <w:spacing w:after="0"/>
              <w:rPr>
                <w:sz w:val="20"/>
                <w:szCs w:val="20"/>
                <w:color w:val="auto"/>
              </w:rPr>
            </w:pPr>
            <w:r>
              <w:rPr>
                <w:rFonts w:ascii="Arial" w:cs="Arial" w:eastAsia="Arial" w:hAnsi="Arial"/>
                <w:sz w:val="14"/>
                <w:szCs w:val="14"/>
                <w:color w:val="auto"/>
              </w:rPr>
              <w:t>88</w:t>
            </w:r>
          </w:p>
        </w:tc>
        <w:tc>
          <w:tcPr>
            <w:tcW w:w="300" w:type="dxa"/>
            <w:vAlign w:val="bottom"/>
            <w:gridSpan w:val="2"/>
            <w:shd w:val="clear" w:color="auto" w:fill="B2B2B2"/>
          </w:tcPr>
          <w:p>
            <w:pPr>
              <w:spacing w:after="0" w:line="243"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58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4"/>
                <w:szCs w:val="14"/>
                <w:color w:val="auto"/>
              </w:rPr>
              <w:t>(81.7)</w:t>
            </w:r>
          </w:p>
        </w:tc>
        <w:tc>
          <w:tcPr>
            <w:tcW w:w="360" w:type="dxa"/>
            <w:vAlign w:val="bottom"/>
            <w:gridSpan w:val="2"/>
            <w:shd w:val="clear" w:color="auto" w:fill="B2B2B2"/>
          </w:tcPr>
          <w:p>
            <w:pPr>
              <w:spacing w:after="0" w:line="243"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520" w:type="dxa"/>
            <w:vAlign w:val="bottom"/>
            <w:tcBorders>
              <w:right w:val="single" w:sz="8" w:color="B2B2B2"/>
            </w:tcBorders>
            <w:shd w:val="clear" w:color="auto" w:fill="B2B2B2"/>
          </w:tcPr>
          <w:p>
            <w:pPr>
              <w:jc w:val="right"/>
              <w:ind w:right="10"/>
              <w:spacing w:after="0"/>
              <w:rPr>
                <w:sz w:val="20"/>
                <w:szCs w:val="20"/>
                <w:color w:val="auto"/>
              </w:rPr>
            </w:pPr>
            <w:r>
              <w:rPr>
                <w:rFonts w:ascii="Arial" w:cs="Arial" w:eastAsia="Arial" w:hAnsi="Arial"/>
                <w:sz w:val="14"/>
                <w:szCs w:val="14"/>
                <w:color w:val="auto"/>
              </w:rPr>
              <w:t>923.5</w:t>
            </w:r>
          </w:p>
        </w:tc>
        <w:tc>
          <w:tcPr>
            <w:tcW w:w="40" w:type="dxa"/>
            <w:vAlign w:val="bottom"/>
            <w:shd w:val="clear" w:color="auto" w:fill="B2B2B2"/>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20" w:type="dxa"/>
            <w:vAlign w:val="bottom"/>
          </w:tcPr>
          <w:p>
            <w:pPr>
              <w:ind w:left="14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21"/>
                <w:szCs w:val="21"/>
                <w:color w:val="auto"/>
              </w:rPr>
            </w:pPr>
          </w:p>
        </w:tc>
        <w:tc>
          <w:tcPr>
            <w:tcW w:w="140" w:type="dxa"/>
            <w:vAlign w:val="bottom"/>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5,011,198</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(2,837,826)</w:t>
            </w:r>
            <w:r>
              <w:rPr>
                <w:rFonts w:ascii="Arial" w:cs="Arial" w:eastAsia="Arial" w:hAnsi="Arial"/>
                <w:sz w:val="28"/>
                <w:szCs w:val="28"/>
                <w:color w:val="auto"/>
                <w:vertAlign w:val="subscript"/>
              </w:rPr>
              <w:t>​ ​</w:t>
            </w:r>
          </w:p>
        </w:tc>
        <w:tc>
          <w:tcPr>
            <w:tcW w:w="900" w:type="dxa"/>
            <w:vAlign w:val="bottom"/>
          </w:tcPr>
          <w:p>
            <w:pPr>
              <w:jc w:val="cente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$1,503,743</w:t>
            </w:r>
          </w:p>
        </w:tc>
        <w:tc>
          <w:tcPr>
            <w:tcW w:w="140" w:type="dxa"/>
            <w:vAlign w:val="bottom"/>
          </w:tcPr>
          <w:p>
            <w:pPr>
              <w:jc w:val="right"/>
              <w:spacing w:after="0"/>
              <w:rPr>
                <w:sz w:val="20"/>
                <w:szCs w:val="20"/>
                <w:color w:val="auto"/>
              </w:rPr>
            </w:pPr>
            <w:r>
              <w:rPr>
                <w:rFonts w:ascii="Arial" w:cs="Arial" w:eastAsia="Arial" w:hAnsi="Arial"/>
                <w:sz w:val="14"/>
                <w:szCs w:val="14"/>
                <w:color w:val="auto"/>
              </w:rPr>
              <w:t>​​ ​</w:t>
            </w:r>
          </w:p>
        </w:tc>
        <w:tc>
          <w:tcPr>
            <w:tcW w:w="900" w:type="dxa"/>
            <w:vAlign w:val="bottom"/>
          </w:tcPr>
          <w:p>
            <w:pPr>
              <w:jc w:val="cente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330,113</w:t>
            </w:r>
          </w:p>
        </w:tc>
        <w:tc>
          <w:tcPr>
            <w:tcW w:w="160" w:type="dxa"/>
            <w:vAlign w:val="bottom"/>
          </w:tcPr>
          <w:p>
            <w:pPr>
              <w:jc w:val="right"/>
              <w:spacing w:after="0"/>
              <w:rPr>
                <w:sz w:val="20"/>
                <w:szCs w:val="20"/>
                <w:color w:val="auto"/>
              </w:rPr>
            </w:pPr>
            <w:r>
              <w:rPr>
                <w:rFonts w:ascii="Arial" w:cs="Arial" w:eastAsia="Arial" w:hAnsi="Arial"/>
                <w:sz w:val="14"/>
                <w:szCs w:val="14"/>
                <w:color w:val="auto"/>
              </w:rPr>
              <w:t>​​ ​</w:t>
            </w:r>
          </w:p>
        </w:tc>
        <w:tc>
          <w:tcPr>
            <w:tcW w:w="280" w:type="dxa"/>
            <w:vAlign w:val="bottom"/>
          </w:tcPr>
          <w:p>
            <w:pPr>
              <w:ind w:left="1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440" w:type="dxa"/>
            <w:vAlign w:val="bottom"/>
          </w:tcPr>
          <w:p>
            <w:pPr>
              <w:jc w:val="right"/>
              <w:ind w:right="130"/>
              <w:spacing w:after="0"/>
              <w:rPr>
                <w:sz w:val="20"/>
                <w:szCs w:val="20"/>
                <w:color w:val="auto"/>
              </w:rPr>
            </w:pPr>
            <w:r>
              <w:rPr>
                <w:rFonts w:ascii="Arial" w:cs="Arial" w:eastAsia="Arial" w:hAnsi="Arial"/>
                <w:sz w:val="14"/>
                <w:szCs w:val="14"/>
                <w:color w:val="auto"/>
              </w:rPr>
              <w:t>53</w:t>
            </w:r>
          </w:p>
        </w:tc>
        <w:tc>
          <w:tcPr>
            <w:tcW w:w="160" w:type="dxa"/>
            <w:vAlign w:val="bottom"/>
          </w:tcPr>
          <w:p>
            <w:pPr>
              <w:jc w:val="right"/>
              <w:spacing w:after="0"/>
              <w:rPr>
                <w:sz w:val="20"/>
                <w:szCs w:val="20"/>
                <w:color w:val="auto"/>
              </w:rPr>
            </w:pPr>
            <w:r>
              <w:rPr>
                <w:rFonts w:ascii="Arial" w:cs="Arial" w:eastAsia="Arial" w:hAnsi="Arial"/>
                <w:sz w:val="14"/>
                <w:szCs w:val="14"/>
                <w:color w:val="auto"/>
              </w:rPr>
              <w:t>​​ ​</w:t>
            </w:r>
          </w:p>
        </w:tc>
        <w:tc>
          <w:tcPr>
            <w:tcW w:w="280" w:type="dxa"/>
            <w:vAlign w:val="bottom"/>
          </w:tcPr>
          <w:p>
            <w:pPr>
              <w:ind w:left="200"/>
              <w:spacing w:after="0" w:line="243" w:lineRule="exact"/>
              <w:rPr>
                <w:sz w:val="20"/>
                <w:szCs w:val="20"/>
                <w:color w:val="auto"/>
              </w:rPr>
            </w:pPr>
            <w:r>
              <w:rPr>
                <w:rFonts w:ascii="Arial" w:cs="Arial" w:eastAsia="Arial" w:hAnsi="Arial"/>
                <w:sz w:val="28"/>
                <w:szCs w:val="28"/>
                <w:color w:val="auto"/>
                <w:w w:val="76"/>
                <w:vertAlign w:val="subscript"/>
              </w:rPr>
              <w:t>​</w:t>
            </w:r>
            <w:r>
              <w:rPr>
                <w:rFonts w:ascii="Arial" w:cs="Arial" w:eastAsia="Arial" w:hAnsi="Arial"/>
                <w:sz w:val="14"/>
                <w:szCs w:val="14"/>
                <w:color w:val="auto"/>
                <w:w w:val="76"/>
              </w:rPr>
              <w:t>$</w:t>
            </w:r>
          </w:p>
        </w:tc>
        <w:tc>
          <w:tcPr>
            <w:tcW w:w="460" w:type="dxa"/>
            <w:vAlign w:val="bottom"/>
          </w:tcPr>
          <w:p>
            <w:pPr>
              <w:jc w:val="right"/>
              <w:ind w:right="150"/>
              <w:spacing w:after="0"/>
              <w:rPr>
                <w:sz w:val="20"/>
                <w:szCs w:val="20"/>
                <w:color w:val="auto"/>
              </w:rPr>
            </w:pPr>
            <w:r>
              <w:rPr>
                <w:rFonts w:ascii="Arial" w:cs="Arial" w:eastAsia="Arial" w:hAnsi="Arial"/>
                <w:sz w:val="14"/>
                <w:szCs w:val="14"/>
                <w:color w:val="auto"/>
              </w:rPr>
              <w:t>78</w:t>
            </w:r>
          </w:p>
        </w:tc>
        <w:tc>
          <w:tcPr>
            <w:tcW w:w="300" w:type="dxa"/>
            <w:vAlign w:val="bottom"/>
            <w:gridSpan w:val="2"/>
          </w:tcPr>
          <w:p>
            <w:pPr>
              <w:spacing w:after="0" w:line="243"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(8.1)</w:t>
            </w:r>
          </w:p>
        </w:tc>
        <w:tc>
          <w:tcPr>
            <w:tcW w:w="360" w:type="dxa"/>
            <w:vAlign w:val="bottom"/>
            <w:gridSpan w:val="2"/>
          </w:tcPr>
          <w:p>
            <w:pPr>
              <w:spacing w:after="0" w:line="243"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905.9</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20" w:type="dxa"/>
            <w:vAlign w:val="bottom"/>
            <w:tcBorders>
              <w:left w:val="single" w:sz="8" w:color="B2B2B2"/>
            </w:tcBorders>
            <w:shd w:val="clear" w:color="auto" w:fill="B2B2B2"/>
          </w:tcPr>
          <w:p>
            <w:pPr>
              <w:ind w:left="140"/>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B2B2B2"/>
          </w:tcPr>
          <w:p>
            <w:pPr>
              <w:spacing w:after="0"/>
              <w:rPr>
                <w:sz w:val="21"/>
                <w:szCs w:val="21"/>
                <w:color w:val="auto"/>
              </w:rPr>
            </w:pPr>
          </w:p>
        </w:tc>
        <w:tc>
          <w:tcPr>
            <w:tcW w:w="140" w:type="dxa"/>
            <w:vAlign w:val="bottom"/>
            <w:shd w:val="clear" w:color="auto" w:fill="B2B2B2"/>
          </w:tcPr>
          <w:p>
            <w:pPr>
              <w:ind w:left="40"/>
              <w:spacing w:after="0" w:line="243" w:lineRule="exact"/>
              <w:rPr>
                <w:sz w:val="20"/>
                <w:szCs w:val="20"/>
                <w:color w:val="auto"/>
              </w:rPr>
            </w:pPr>
            <w:r>
              <w:rPr>
                <w:rFonts w:ascii="Arial" w:cs="Arial" w:eastAsia="Arial" w:hAnsi="Arial"/>
                <w:sz w:val="14"/>
                <w:szCs w:val="14"/>
                <w:color w:val="auto"/>
                <w:w w:val="76"/>
              </w:rPr>
              <w:t>​</w:t>
            </w:r>
            <w:r>
              <w:rPr>
                <w:rFonts w:ascii="Arial" w:cs="Arial" w:eastAsia="Arial" w:hAnsi="Arial"/>
                <w:sz w:val="28"/>
                <w:szCs w:val="28"/>
                <w:color w:val="auto"/>
                <w:w w:val="76"/>
                <w:vertAlign w:val="superscript"/>
              </w:rPr>
              <w:t>$</w:t>
            </w:r>
          </w:p>
        </w:tc>
        <w:tc>
          <w:tcPr>
            <w:tcW w:w="76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4"/>
                <w:szCs w:val="14"/>
                <w:color w:val="auto"/>
              </w:rPr>
              <w:t>5,018,444</w:t>
            </w:r>
          </w:p>
        </w:tc>
        <w:tc>
          <w:tcPr>
            <w:tcW w:w="100" w:type="dxa"/>
            <w:vAlign w:val="bottom"/>
            <w:shd w:val="clear" w:color="auto" w:fill="B2B2B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B2B2B2"/>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$ 6,289,079 </w:t>
            </w:r>
            <w:r>
              <w:rPr>
                <w:rFonts w:ascii="Arial" w:cs="Arial" w:eastAsia="Arial" w:hAnsi="Arial"/>
                <w:sz w:val="28"/>
                <w:szCs w:val="28"/>
                <w:color w:val="auto"/>
                <w:vertAlign w:val="subscript"/>
              </w:rPr>
              <w:t>​ ​</w:t>
            </w:r>
          </w:p>
        </w:tc>
        <w:tc>
          <w:tcPr>
            <w:tcW w:w="900" w:type="dxa"/>
            <w:vAlign w:val="bottom"/>
            <w:tcBorders>
              <w:right w:val="single" w:sz="8" w:color="B2B2B2"/>
            </w:tcBorders>
            <w:shd w:val="clear" w:color="auto" w:fill="B2B2B2"/>
          </w:tcPr>
          <w:p>
            <w:pPr>
              <w:jc w:val="cente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$2,396,584</w:t>
            </w:r>
          </w:p>
        </w:tc>
        <w:tc>
          <w:tcPr>
            <w:tcW w:w="140" w:type="dxa"/>
            <w:vAlign w:val="bottom"/>
            <w:shd w:val="clear" w:color="auto" w:fill="B2B2B2"/>
          </w:tcPr>
          <w:p>
            <w:pPr>
              <w:jc w:val="right"/>
              <w:spacing w:after="0"/>
              <w:rPr>
                <w:sz w:val="20"/>
                <w:szCs w:val="20"/>
                <w:color w:val="auto"/>
              </w:rPr>
            </w:pPr>
            <w:r>
              <w:rPr>
                <w:rFonts w:ascii="Arial" w:cs="Arial" w:eastAsia="Arial" w:hAnsi="Arial"/>
                <w:sz w:val="14"/>
                <w:szCs w:val="14"/>
                <w:color w:val="auto"/>
              </w:rPr>
              <w:t>​​ ​</w:t>
            </w:r>
          </w:p>
        </w:tc>
        <w:tc>
          <w:tcPr>
            <w:tcW w:w="900" w:type="dxa"/>
            <w:vAlign w:val="bottom"/>
            <w:tcBorders>
              <w:right w:val="single" w:sz="8" w:color="B2B2B2"/>
            </w:tcBorders>
            <w:shd w:val="clear" w:color="auto" w:fill="B2B2B2"/>
          </w:tcPr>
          <w:p>
            <w:pPr>
              <w:jc w:val="cente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$2,078,726</w:t>
            </w:r>
          </w:p>
        </w:tc>
        <w:tc>
          <w:tcPr>
            <w:tcW w:w="16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4"/>
                <w:szCs w:val="14"/>
                <w:color w:val="auto"/>
              </w:rPr>
              <w:t>​​ ​</w:t>
            </w:r>
          </w:p>
        </w:tc>
        <w:tc>
          <w:tcPr>
            <w:tcW w:w="720" w:type="dxa"/>
            <w:vAlign w:val="bottom"/>
            <w:tcBorders>
              <w:right w:val="single" w:sz="8" w:color="B2B2B2"/>
            </w:tcBorders>
            <w:gridSpan w:val="2"/>
            <w:shd w:val="clear" w:color="auto" w:fill="B2B2B2"/>
          </w:tcPr>
          <w:p>
            <w:pPr>
              <w:jc w:val="right"/>
              <w:ind w:right="13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$126</w:t>
            </w:r>
          </w:p>
        </w:tc>
        <w:tc>
          <w:tcPr>
            <w:tcW w:w="16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right w:val="single" w:sz="8" w:color="B2B2B2"/>
            </w:tcBorders>
            <w:gridSpan w:val="2"/>
            <w:shd w:val="clear" w:color="auto" w:fill="B2B2B2"/>
          </w:tcPr>
          <w:p>
            <w:pPr>
              <w:jc w:val="right"/>
              <w:ind w:right="15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$105</w:t>
            </w:r>
          </w:p>
        </w:tc>
        <w:tc>
          <w:tcPr>
            <w:tcW w:w="300" w:type="dxa"/>
            <w:vAlign w:val="bottom"/>
            <w:gridSpan w:val="2"/>
            <w:shd w:val="clear" w:color="auto" w:fill="B2B2B2"/>
          </w:tcPr>
          <w:p>
            <w:pPr>
              <w:spacing w:after="0" w:line="243"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580" w:type="dxa"/>
            <w:vAlign w:val="bottom"/>
            <w:tcBorders>
              <w:right w:val="single" w:sz="8" w:color="B2B2B2"/>
            </w:tcBorders>
            <w:shd w:val="clear" w:color="auto" w:fill="B2B2B2"/>
          </w:tcPr>
          <w:p>
            <w:pPr>
              <w:jc w:val="right"/>
              <w:ind w:right="11"/>
              <w:spacing w:after="0"/>
              <w:rPr>
                <w:sz w:val="20"/>
                <w:szCs w:val="20"/>
                <w:color w:val="auto"/>
              </w:rPr>
            </w:pPr>
            <w:r>
              <w:rPr>
                <w:rFonts w:ascii="Arial" w:cs="Arial" w:eastAsia="Arial" w:hAnsi="Arial"/>
                <w:sz w:val="14"/>
                <w:szCs w:val="14"/>
                <w:color w:val="auto"/>
              </w:rPr>
              <w:t>124.7</w:t>
            </w:r>
          </w:p>
        </w:tc>
        <w:tc>
          <w:tcPr>
            <w:tcW w:w="360" w:type="dxa"/>
            <w:vAlign w:val="bottom"/>
            <w:gridSpan w:val="2"/>
            <w:shd w:val="clear" w:color="auto" w:fill="B2B2B2"/>
          </w:tcPr>
          <w:p>
            <w:pPr>
              <w:spacing w:after="0" w:line="243"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520" w:type="dxa"/>
            <w:vAlign w:val="bottom"/>
            <w:tcBorders>
              <w:right w:val="single" w:sz="8" w:color="B2B2B2"/>
            </w:tcBorders>
            <w:shd w:val="clear" w:color="auto" w:fill="B2B2B2"/>
          </w:tcPr>
          <w:p>
            <w:pPr>
              <w:jc w:val="right"/>
              <w:ind w:right="10"/>
              <w:spacing w:after="0"/>
              <w:rPr>
                <w:sz w:val="20"/>
                <w:szCs w:val="20"/>
                <w:color w:val="auto"/>
              </w:rPr>
            </w:pPr>
            <w:r>
              <w:rPr>
                <w:rFonts w:ascii="Arial" w:cs="Arial" w:eastAsia="Arial" w:hAnsi="Arial"/>
                <w:sz w:val="14"/>
                <w:szCs w:val="14"/>
                <w:color w:val="auto"/>
              </w:rPr>
              <w:t>878.3</w:t>
            </w:r>
          </w:p>
        </w:tc>
        <w:tc>
          <w:tcPr>
            <w:tcW w:w="40" w:type="dxa"/>
            <w:vAlign w:val="bottom"/>
            <w:shd w:val="clear" w:color="auto" w:fill="B2B2B2"/>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4297680</wp:posOffset>
            </wp:positionH>
            <wp:positionV relativeFrom="paragraph">
              <wp:posOffset>-762000</wp:posOffset>
            </wp:positionV>
            <wp:extent cx="85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-762000</wp:posOffset>
            </wp:positionV>
            <wp:extent cx="342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-762000</wp:posOffset>
            </wp:positionV>
            <wp:extent cx="85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-762000</wp:posOffset>
            </wp:positionV>
            <wp:extent cx="857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-762000</wp:posOffset>
            </wp:positionV>
            <wp:extent cx="85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-762000</wp:posOffset>
            </wp:positionV>
            <wp:extent cx="857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-762000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-762000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-762000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-762000</wp:posOffset>
            </wp:positionV>
            <wp:extent cx="342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111125</wp:posOffset>
            </wp:positionV>
            <wp:extent cx="123444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8" w:lineRule="exact"/>
        <w:rPr>
          <w:sz w:val="20"/>
          <w:szCs w:val="20"/>
          <w:color w:val="auto"/>
        </w:rPr>
      </w:pPr>
    </w:p>
    <w:p>
      <w:pPr>
        <w:ind w:left="1900" w:right="459" w:hanging="640"/>
        <w:spacing w:after="0" w:line="268" w:lineRule="auto"/>
        <w:tabs>
          <w:tab w:leader="none" w:pos="1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dollar amounts reported in column (c) and (e) represent the amount of “compensation actually paid” to Mr. Gunderman, our CEO, for all applicable years and the average of the “compensation actually paid” to our Non-CEO NEOs. The dollar amounts reported as “compensation actually paid” do not reflect the actual amount of compensation earned by or paid to our CEO or our Non-CEO NEOs during the applicable years. The Non-CEO NEOs included for purposes of calculating the average amounts in each applicable year are as follows: (i) for 2025, Messrs. Bullington, Harrobin, Heard and Friloux (ii) for 2024, Messrs. Bullington, Heard,</w:t>
      </w:r>
    </w:p>
    <w:p>
      <w:pPr>
        <w:spacing w:after="0" w:line="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Friloux and Mr. Ronald J. Mudry; (iii) for 2023, Messrs. Bullington, Heard, Friloux and Mudry;</w:t>
      </w:r>
    </w:p>
    <w:p>
      <w:pPr>
        <w:spacing w:after="0" w:line="9" w:lineRule="exact"/>
        <w:rPr>
          <w:sz w:val="20"/>
          <w:szCs w:val="20"/>
          <w:color w:val="auto"/>
        </w:rPr>
      </w:pPr>
    </w:p>
    <w:p>
      <w:pPr>
        <w:ind w:left="1900" w:right="1079" w:firstLine="8"/>
        <w:spacing w:after="0" w:line="265" w:lineRule="auto"/>
        <w:tabs>
          <w:tab w:leader="none" w:pos="2191" w:val="left"/>
        </w:tabs>
        <w:numPr>
          <w:ilvl w:val="0"/>
          <w:numId w:val="86"/>
        </w:numPr>
        <w:rPr>
          <w:rFonts w:ascii="Arial" w:cs="Arial" w:eastAsia="Arial" w:hAnsi="Arial"/>
          <w:sz w:val="17"/>
          <w:szCs w:val="17"/>
          <w:color w:val="auto"/>
        </w:rPr>
      </w:pPr>
      <w:r>
        <w:rPr>
          <w:rFonts w:ascii="Arial" w:cs="Arial" w:eastAsia="Arial" w:hAnsi="Arial"/>
          <w:sz w:val="17"/>
          <w:szCs w:val="17"/>
          <w:color w:val="auto"/>
        </w:rPr>
        <w:t>for 2022, Messrs. Bullington, Heard and Friloux; and (v) for 2021, Messrs. Heard and Mr. Mark A. Wallace (Old Uniti’s former CFO). In accordance with the requirements of</w:t>
      </w:r>
    </w:p>
    <w:p>
      <w:pPr>
        <w:ind w:left="1900" w:right="679"/>
        <w:spacing w:after="0" w:line="266" w:lineRule="auto"/>
        <w:rPr>
          <w:rFonts w:ascii="Arial" w:cs="Arial" w:eastAsia="Arial" w:hAnsi="Arial"/>
          <w:sz w:val="17"/>
          <w:szCs w:val="17"/>
          <w:color w:val="auto"/>
        </w:rPr>
      </w:pPr>
      <w:r>
        <w:rPr>
          <w:rFonts w:ascii="Arial" w:cs="Arial" w:eastAsia="Arial" w:hAnsi="Arial"/>
          <w:sz w:val="18"/>
          <w:szCs w:val="18"/>
          <w:color w:val="auto"/>
        </w:rPr>
        <w:t>Item 402(v) of Regulation S-K, the following adjustments were made to total compensation for each year to determine the compensation actually paid: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7"/>
              </w:rPr>
              <w:t>Reported Summary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Compensation Table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Reported Value of</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Equity Award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Compensation</w:t>
            </w:r>
          </w:p>
        </w:tc>
      </w:tr>
      <w:tr>
        <w:trPr>
          <w:trHeight w:val="229"/>
        </w:trPr>
        <w:tc>
          <w:tcPr>
            <w:tcW w:w="12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(SCT) Total</w:t>
            </w:r>
            <w:r>
              <w:rPr>
                <w:rFonts w:ascii="Arial" w:cs="Arial" w:eastAsia="Arial" w:hAnsi="Arial"/>
                <w:sz w:val="17"/>
                <w:szCs w:val="17"/>
                <w:b w:val="1"/>
                <w:bCs w:val="1"/>
                <w:color w:val="auto"/>
                <w:w w:val="93"/>
                <w:vertAlign w:val="superscript"/>
              </w:rPr>
              <w:t>(i)</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Equity Awards</w:t>
            </w:r>
            <w:r>
              <w:rPr>
                <w:rFonts w:ascii="Arial" w:cs="Arial" w:eastAsia="Arial" w:hAnsi="Arial"/>
                <w:sz w:val="17"/>
                <w:szCs w:val="17"/>
                <w:b w:val="1"/>
                <w:bCs w:val="1"/>
                <w:color w:val="auto"/>
                <w:w w:val="93"/>
                <w:vertAlign w:val="superscript"/>
              </w:rPr>
              <w:t>(ii)</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Adjustments</w:t>
            </w:r>
            <w:r>
              <w:rPr>
                <w:rFonts w:ascii="Arial" w:cs="Arial" w:eastAsia="Arial" w:hAnsi="Arial"/>
                <w:sz w:val="17"/>
                <w:szCs w:val="17"/>
                <w:b w:val="1"/>
                <w:bCs w:val="1"/>
                <w:color w:val="auto"/>
                <w:w w:val="94"/>
                <w:vertAlign w:val="superscript"/>
              </w:rPr>
              <w:t>(iii)</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7"/>
              </w:rPr>
              <w:t>Actually Paid</w:t>
            </w: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223"/>
        </w:trPr>
        <w:tc>
          <w:tcPr>
            <w:tcW w:w="12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9"/>
                <w:szCs w:val="19"/>
                <w:color w:val="auto"/>
              </w:rPr>
            </w:pP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B</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A-B+C</w:t>
            </w:r>
          </w:p>
        </w:tc>
      </w:tr>
      <w:tr>
        <w:trPr>
          <w:trHeight w:val="242"/>
        </w:trPr>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3"/>
          </w:tcPr>
          <w:p>
            <w:pPr>
              <w:jc w:val="center"/>
              <w:ind w:left="469"/>
              <w:spacing w:after="0"/>
              <w:rPr>
                <w:sz w:val="20"/>
                <w:szCs w:val="20"/>
                <w:color w:val="auto"/>
              </w:rPr>
            </w:pPr>
            <w:r>
              <w:rPr>
                <w:rFonts w:ascii="Arial" w:cs="Arial" w:eastAsia="Arial" w:hAnsi="Arial"/>
                <w:sz w:val="14"/>
                <w:szCs w:val="14"/>
                <w:color w:val="auto"/>
                <w:w w:val="99"/>
              </w:rPr>
              <w:t>Company’s CEO</w:t>
            </w: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9"/>
        </w:trPr>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520" w:type="dxa"/>
            <w:vAlign w:val="bottom"/>
          </w:tcPr>
          <w:p>
            <w:pPr>
              <w:ind w:left="60"/>
              <w:spacing w:after="0"/>
              <w:rPr>
                <w:sz w:val="20"/>
                <w:szCs w:val="20"/>
                <w:color w:val="auto"/>
              </w:rPr>
            </w:pPr>
            <w:r>
              <w:rPr>
                <w:rFonts w:ascii="Arial" w:cs="Arial" w:eastAsia="Arial" w:hAnsi="Arial"/>
                <w:sz w:val="14"/>
                <w:szCs w:val="14"/>
                <w:color w:val="auto"/>
              </w:rPr>
              <w:t>2025</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1420" w:type="dxa"/>
            <w:vAlign w:val="bottom"/>
          </w:tcPr>
          <w:p>
            <w:pPr>
              <w:jc w:val="center"/>
              <w:spacing w:after="0"/>
              <w:rPr>
                <w:sz w:val="20"/>
                <w:szCs w:val="20"/>
                <w:color w:val="auto"/>
              </w:rPr>
            </w:pPr>
            <w:r>
              <w:rPr>
                <w:rFonts w:ascii="Arial" w:cs="Arial" w:eastAsia="Arial" w:hAnsi="Arial"/>
                <w:sz w:val="14"/>
                <w:szCs w:val="14"/>
                <w:color w:val="auto"/>
              </w:rPr>
              <w:t>​9,194,673</w:t>
            </w:r>
          </w:p>
        </w:tc>
        <w:tc>
          <w:tcPr>
            <w:tcW w:w="16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1400" w:type="dxa"/>
            <w:vAlign w:val="bottom"/>
          </w:tcPr>
          <w:p>
            <w:pPr>
              <w:jc w:val="center"/>
              <w:spacing w:after="0"/>
              <w:rPr>
                <w:sz w:val="20"/>
                <w:szCs w:val="20"/>
                <w:color w:val="auto"/>
              </w:rPr>
            </w:pPr>
            <w:r>
              <w:rPr>
                <w:rFonts w:ascii="Arial" w:cs="Arial" w:eastAsia="Arial" w:hAnsi="Arial"/>
                <w:sz w:val="14"/>
                <w:szCs w:val="14"/>
                <w:color w:val="auto"/>
              </w:rPr>
              <w:t>​6,294,837</w:t>
            </w:r>
          </w:p>
        </w:tc>
        <w:tc>
          <w:tcPr>
            <w:tcW w:w="18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1400" w:type="dxa"/>
            <w:vAlign w:val="bottom"/>
          </w:tcPr>
          <w:p>
            <w:pPr>
              <w:jc w:val="center"/>
              <w:spacing w:after="0"/>
              <w:rPr>
                <w:sz w:val="20"/>
                <w:szCs w:val="20"/>
                <w:color w:val="auto"/>
              </w:rPr>
            </w:pPr>
            <w:r>
              <w:rPr>
                <w:rFonts w:ascii="Arial" w:cs="Arial" w:eastAsia="Arial" w:hAnsi="Arial"/>
                <w:sz w:val="14"/>
                <w:szCs w:val="14"/>
                <w:color w:val="auto"/>
              </w:rPr>
              <w:t>​ 742,379</w:t>
            </w:r>
          </w:p>
        </w:tc>
        <w:tc>
          <w:tcPr>
            <w:tcW w:w="18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1400" w:type="dxa"/>
            <w:vAlign w:val="bottom"/>
          </w:tcPr>
          <w:p>
            <w:pPr>
              <w:jc w:val="center"/>
              <w:spacing w:after="0"/>
              <w:rPr>
                <w:sz w:val="20"/>
                <w:szCs w:val="20"/>
                <w:color w:val="auto"/>
              </w:rPr>
            </w:pPr>
            <w:r>
              <w:rPr>
                <w:rFonts w:ascii="Arial" w:cs="Arial" w:eastAsia="Arial" w:hAnsi="Arial"/>
                <w:sz w:val="14"/>
                <w:szCs w:val="14"/>
                <w:color w:val="auto"/>
              </w:rPr>
              <w:t>​3,642,215</w:t>
            </w:r>
          </w:p>
        </w:tc>
      </w:tr>
      <w:tr>
        <w:trPr>
          <w:trHeight w:val="243"/>
        </w:trPr>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4"/>
          </w:tcPr>
          <w:p>
            <w:pPr>
              <w:jc w:val="center"/>
              <w:ind w:right="790"/>
              <w:spacing w:after="0"/>
              <w:rPr>
                <w:sz w:val="20"/>
                <w:szCs w:val="20"/>
                <w:color w:val="auto"/>
              </w:rPr>
            </w:pPr>
            <w:r>
              <w:rPr>
                <w:rFonts w:ascii="Arial" w:cs="Arial" w:eastAsia="Arial" w:hAnsi="Arial"/>
                <w:sz w:val="14"/>
                <w:szCs w:val="14"/>
                <w:color w:val="auto"/>
              </w:rPr>
              <w:t>Average of Non-CEO NEOs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3"/>
        </w:trPr>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520" w:type="dxa"/>
            <w:vAlign w:val="bottom"/>
          </w:tcPr>
          <w:p>
            <w:pPr>
              <w:ind w:left="60"/>
              <w:spacing w:after="0"/>
              <w:rPr>
                <w:sz w:val="20"/>
                <w:szCs w:val="20"/>
                <w:color w:val="auto"/>
              </w:rPr>
            </w:pPr>
            <w:r>
              <w:rPr>
                <w:rFonts w:ascii="Arial" w:cs="Arial" w:eastAsia="Arial" w:hAnsi="Arial"/>
                <w:sz w:val="14"/>
                <w:szCs w:val="14"/>
                <w:color w:val="auto"/>
              </w:rPr>
              <w:t>2025</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1420" w:type="dxa"/>
            <w:vAlign w:val="bottom"/>
          </w:tcPr>
          <w:p>
            <w:pPr>
              <w:jc w:val="center"/>
              <w:spacing w:after="0"/>
              <w:rPr>
                <w:sz w:val="20"/>
                <w:szCs w:val="20"/>
                <w:color w:val="auto"/>
              </w:rPr>
            </w:pPr>
            <w:r>
              <w:rPr>
                <w:rFonts w:ascii="Arial" w:cs="Arial" w:eastAsia="Arial" w:hAnsi="Arial"/>
                <w:sz w:val="14"/>
                <w:szCs w:val="14"/>
                <w:color w:val="auto"/>
              </w:rPr>
              <w:t>​5,369,859</w:t>
            </w:r>
          </w:p>
        </w:tc>
        <w:tc>
          <w:tcPr>
            <w:tcW w:w="16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1400" w:type="dxa"/>
            <w:vAlign w:val="bottom"/>
          </w:tcPr>
          <w:p>
            <w:pPr>
              <w:jc w:val="center"/>
              <w:spacing w:after="0"/>
              <w:rPr>
                <w:sz w:val="20"/>
                <w:szCs w:val="20"/>
                <w:color w:val="auto"/>
              </w:rPr>
            </w:pPr>
            <w:r>
              <w:rPr>
                <w:rFonts w:ascii="Arial" w:cs="Arial" w:eastAsia="Arial" w:hAnsi="Arial"/>
                <w:sz w:val="14"/>
                <w:szCs w:val="14"/>
                <w:color w:val="auto"/>
              </w:rPr>
              <w:t>​2,618,275</w:t>
            </w:r>
          </w:p>
        </w:tc>
        <w:tc>
          <w:tcPr>
            <w:tcW w:w="18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1400" w:type="dxa"/>
            <w:vAlign w:val="bottom"/>
          </w:tcPr>
          <w:p>
            <w:pPr>
              <w:jc w:val="center"/>
              <w:spacing w:after="0"/>
              <w:rPr>
                <w:sz w:val="20"/>
                <w:szCs w:val="20"/>
                <w:color w:val="auto"/>
              </w:rPr>
            </w:pPr>
            <w:r>
              <w:rPr>
                <w:rFonts w:ascii="Arial" w:cs="Arial" w:eastAsia="Arial" w:hAnsi="Arial"/>
                <w:sz w:val="14"/>
                <w:szCs w:val="14"/>
                <w:color w:val="auto"/>
              </w:rPr>
              <w:t>​1,495,075</w:t>
            </w:r>
          </w:p>
        </w:tc>
        <w:tc>
          <w:tcPr>
            <w:tcW w:w="18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1400" w:type="dxa"/>
            <w:vAlign w:val="bottom"/>
          </w:tcPr>
          <w:p>
            <w:pPr>
              <w:jc w:val="center"/>
              <w:spacing w:after="0"/>
              <w:rPr>
                <w:sz w:val="20"/>
                <w:szCs w:val="20"/>
                <w:color w:val="auto"/>
              </w:rPr>
            </w:pPr>
            <w:r>
              <w:rPr>
                <w:rFonts w:ascii="Arial" w:cs="Arial" w:eastAsia="Arial" w:hAnsi="Arial"/>
                <w:sz w:val="14"/>
                <w:szCs w:val="14"/>
                <w:color w:val="auto"/>
              </w:rPr>
              <w:t>​4,246,659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-466090</wp:posOffset>
            </wp:positionV>
            <wp:extent cx="4749165" cy="146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49165" cy="14605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-165735</wp:posOffset>
            </wp:positionV>
            <wp:extent cx="4749165"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749165" cy="154305"/>
                    </a:xfrm>
                    <a:prstGeom prst="rect">
                      <a:avLst/>
                    </a:prstGeom>
                    <a:noFill/>
                  </pic:spPr>
                </pic:pic>
              </a:graphicData>
            </a:graphic>
          </wp:anchor>
        </w:drawing>
        <w:drawing>
          <wp:anchor simplePos="0" relativeHeight="251657728" behindDoc="1" locked="0" layoutInCell="0" allowOverlap="1">
            <wp:simplePos x="0" y="0"/>
            <wp:positionH relativeFrom="column">
              <wp:posOffset>1211580</wp:posOffset>
            </wp:positionH>
            <wp:positionV relativeFrom="paragraph">
              <wp:posOffset>90805</wp:posOffset>
            </wp:positionV>
            <wp:extent cx="123444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99" w:lineRule="exact"/>
        <w:rPr>
          <w:sz w:val="20"/>
          <w:szCs w:val="20"/>
          <w:color w:val="auto"/>
        </w:rPr>
      </w:pPr>
    </w:p>
    <w:p>
      <w:pPr>
        <w:ind w:left="2560" w:right="500" w:hanging="652"/>
        <w:spacing w:after="0" w:line="287" w:lineRule="auto"/>
        <w:tabs>
          <w:tab w:leader="none" w:pos="25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Reflects the amounts (or the average amounts in regards to the Non-CEO NEOs) represented in the “Total” column of the Summary Compensation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w:t>
      </w:r>
    </w:p>
    <w:p>
      <w:pPr>
        <w:spacing w:after="0" w:line="77"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82" w:lineRule="exact"/>
        <w:rPr>
          <w:sz w:val="20"/>
          <w:szCs w:val="20"/>
          <w:color w:val="auto"/>
        </w:rPr>
      </w:pPr>
    </w:p>
    <w:p>
      <w:pPr>
        <w:jc w:val="right"/>
        <w:ind w:right="399"/>
        <w:spacing w:after="0"/>
        <w:rPr>
          <w:sz w:val="20"/>
          <w:szCs w:val="20"/>
          <w:color w:val="auto"/>
        </w:rPr>
      </w:pPr>
      <w:r>
        <w:rPr>
          <w:rFonts w:ascii="Arial" w:cs="Arial" w:eastAsia="Arial" w:hAnsi="Arial"/>
          <w:sz w:val="14"/>
          <w:szCs w:val="14"/>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942" w:lineRule="exact"/>
        <w:rPr>
          <w:sz w:val="20"/>
          <w:szCs w:val="20"/>
          <w:color w:val="auto"/>
        </w:rPr>
      </w:pPr>
    </w:p>
    <w:p>
      <w:pPr>
        <w:sectPr>
          <w:pgSz w:w="11900" w:h="16838" w:orient="portrait"/>
          <w:cols w:equalWidth="0" w:num="2">
            <w:col w:w="9400" w:space="0"/>
            <w:col w:w="479"/>
          </w:cols>
          <w:pgMar w:left="580" w:top="97" w:right="1440" w:bottom="1440" w:gutter="0" w:footer="0" w:header="0"/>
          <w:type w:val="continuous"/>
        </w:sectPr>
      </w:pPr>
    </w:p>
    <w:p>
      <w:pPr>
        <w:spacing w:after="0" w:line="12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560" w:right="579" w:hanging="652"/>
        <w:spacing w:after="0" w:line="257" w:lineRule="auto"/>
        <w:tabs>
          <w:tab w:leader="none" w:pos="25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Reflects the grant date fair value of equity awards granted to the CEO (or the average amounts with regard to the Non-CEO NEOs) as reported in the “Stock Awards” column in the Summary Compensation Table.</w:t>
      </w:r>
    </w:p>
    <w:p>
      <w:pPr>
        <w:spacing w:after="0" w:line="1" w:lineRule="exact"/>
        <w:rPr>
          <w:rFonts w:ascii="Arial" w:cs="Arial" w:eastAsia="Arial" w:hAnsi="Arial"/>
          <w:sz w:val="18"/>
          <w:szCs w:val="18"/>
          <w:color w:val="auto"/>
        </w:rPr>
      </w:pPr>
    </w:p>
    <w:p>
      <w:pPr>
        <w:ind w:left="2560" w:right="539" w:hanging="652"/>
        <w:spacing w:after="0" w:line="266" w:lineRule="auto"/>
        <w:tabs>
          <w:tab w:leader="none" w:pos="25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equity award adjustments include the addition (or subtraction, as applicable) as set forth in the chart below:</w:t>
      </w:r>
    </w:p>
    <w:p>
      <w:pPr>
        <w:spacing w:after="0" w:line="198" w:lineRule="exact"/>
        <w:rPr>
          <w:sz w:val="20"/>
          <w:szCs w:val="20"/>
          <w:color w:val="auto"/>
        </w:rPr>
      </w:pPr>
    </w:p>
    <w:tbl>
      <w:tblPr>
        <w:tblLayout w:type="fixed"/>
        <w:tblInd w:w="240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jc w:val="center"/>
              <w:ind w:left="137"/>
              <w:spacing w:after="0"/>
              <w:rPr>
                <w:sz w:val="20"/>
                <w:szCs w:val="20"/>
                <w:color w:val="auto"/>
              </w:rPr>
            </w:pPr>
            <w:r>
              <w:rPr>
                <w:rFonts w:ascii="Arial" w:cs="Arial" w:eastAsia="Arial" w:hAnsi="Arial"/>
                <w:sz w:val="13"/>
                <w:szCs w:val="13"/>
                <w:b w:val="1"/>
                <w:bCs w:val="1"/>
                <w:color w:val="auto"/>
                <w:w w:val="94"/>
              </w:rPr>
              <w:t>Year over</w:t>
            </w:r>
          </w:p>
        </w:tc>
        <w:tc>
          <w:tcPr>
            <w:tcW w:w="114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Less</w:t>
            </w: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Plus</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auto"/>
                <w:w w:val="95"/>
              </w:rPr>
              <w:t>Year Change</w:t>
            </w:r>
          </w:p>
        </w:tc>
        <w:tc>
          <w:tcPr>
            <w:tcW w:w="1140" w:type="dxa"/>
            <w:vAlign w:val="bottom"/>
            <w:vMerge w:val="restart"/>
          </w:tcPr>
          <w:p>
            <w:pPr>
              <w:jc w:val="center"/>
              <w:ind w:left="37"/>
              <w:spacing w:after="0"/>
              <w:rPr>
                <w:sz w:val="20"/>
                <w:szCs w:val="20"/>
                <w:color w:val="auto"/>
              </w:rPr>
            </w:pPr>
            <w:r>
              <w:rPr>
                <w:rFonts w:ascii="Arial" w:cs="Arial" w:eastAsia="Arial" w:hAnsi="Arial"/>
                <w:sz w:val="13"/>
                <w:szCs w:val="13"/>
                <w:b w:val="1"/>
                <w:bCs w:val="1"/>
                <w:color w:val="auto"/>
                <w:w w:val="94"/>
              </w:rPr>
              <w:t>Year over</w:t>
            </w:r>
          </w:p>
        </w:tc>
        <w:tc>
          <w:tcPr>
            <w:tcW w:w="11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auto"/>
                <w:w w:val="95"/>
              </w:rPr>
              <w:t>(Positive or</w:t>
            </w:r>
          </w:p>
        </w:tc>
        <w:tc>
          <w:tcPr>
            <w:tcW w:w="1140" w:type="dxa"/>
            <w:vAlign w:val="bottom"/>
            <w:vMerge w:val="continue"/>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Year End</w:t>
            </w: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Value of</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080" w:type="dxa"/>
            <w:vAlign w:val="bottom"/>
            <w:vMerge w:val="restart"/>
          </w:tcPr>
          <w:p>
            <w:pPr>
              <w:jc w:val="center"/>
              <w:ind w:left="198"/>
              <w:spacing w:after="0"/>
              <w:rPr>
                <w:sz w:val="20"/>
                <w:szCs w:val="20"/>
                <w:color w:val="auto"/>
              </w:rPr>
            </w:pPr>
            <w:r>
              <w:rPr>
                <w:rFonts w:ascii="Arial" w:cs="Arial" w:eastAsia="Arial" w:hAnsi="Arial"/>
                <w:sz w:val="13"/>
                <w:szCs w:val="13"/>
                <w:b w:val="1"/>
                <w:bCs w:val="1"/>
                <w:color w:val="auto"/>
                <w:w w:val="94"/>
              </w:rPr>
              <w:t>Plus</w:t>
            </w:r>
          </w:p>
        </w:tc>
        <w:tc>
          <w:tcPr>
            <w:tcW w:w="1040" w:type="dxa"/>
            <w:vAlign w:val="bottom"/>
          </w:tcPr>
          <w:p>
            <w:pPr>
              <w:jc w:val="center"/>
              <w:ind w:left="117"/>
              <w:spacing w:after="0"/>
              <w:rPr>
                <w:sz w:val="20"/>
                <w:szCs w:val="20"/>
                <w:color w:val="auto"/>
              </w:rPr>
            </w:pPr>
            <w:r>
              <w:rPr>
                <w:rFonts w:ascii="Arial" w:cs="Arial" w:eastAsia="Arial" w:hAnsi="Arial"/>
                <w:sz w:val="13"/>
                <w:szCs w:val="13"/>
                <w:b w:val="1"/>
                <w:bCs w:val="1"/>
                <w:color w:val="auto"/>
                <w:w w:val="94"/>
              </w:rPr>
              <w:t>Negative) in</w:t>
            </w:r>
          </w:p>
        </w:tc>
        <w:tc>
          <w:tcPr>
            <w:tcW w:w="1140" w:type="dxa"/>
            <w:vAlign w:val="bottom"/>
          </w:tcPr>
          <w:p>
            <w:pPr>
              <w:jc w:val="center"/>
              <w:ind w:left="37"/>
              <w:spacing w:after="0"/>
              <w:rPr>
                <w:sz w:val="20"/>
                <w:szCs w:val="20"/>
                <w:color w:val="auto"/>
              </w:rPr>
            </w:pPr>
            <w:r>
              <w:rPr>
                <w:rFonts w:ascii="Arial" w:cs="Arial" w:eastAsia="Arial" w:hAnsi="Arial"/>
                <w:sz w:val="13"/>
                <w:szCs w:val="13"/>
                <w:b w:val="1"/>
                <w:bCs w:val="1"/>
                <w:color w:val="auto"/>
                <w:w w:val="95"/>
              </w:rPr>
              <w:t>Year Change</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2"/>
              </w:rPr>
              <w:t>Fair Value of</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3"/>
              </w:rPr>
              <w:t>Dividends or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auto"/>
                <w:w w:val="93"/>
              </w:rPr>
              <w:t>Fair Value at</w:t>
            </w:r>
          </w:p>
        </w:tc>
        <w:tc>
          <w:tcPr>
            <w:tcW w:w="114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95"/>
              </w:rPr>
              <w:t>(Positive or</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Awards</w:t>
            </w: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080" w:type="dxa"/>
            <w:vAlign w:val="bottom"/>
          </w:tcPr>
          <w:p>
            <w:pPr>
              <w:jc w:val="center"/>
              <w:ind w:left="198"/>
              <w:spacing w:after="0"/>
              <w:rPr>
                <w:sz w:val="20"/>
                <w:szCs w:val="20"/>
                <w:color w:val="auto"/>
              </w:rPr>
            </w:pPr>
            <w:r>
              <w:rPr>
                <w:rFonts w:ascii="Arial" w:cs="Arial" w:eastAsia="Arial" w:hAnsi="Arial"/>
                <w:sz w:val="13"/>
                <w:szCs w:val="13"/>
                <w:b w:val="1"/>
                <w:bCs w:val="1"/>
                <w:color w:val="auto"/>
                <w:w w:val="95"/>
              </w:rPr>
              <w:t>Year End</w:t>
            </w:r>
          </w:p>
        </w:tc>
        <w:tc>
          <w:tcPr>
            <w:tcW w:w="1040" w:type="dxa"/>
            <w:vAlign w:val="bottom"/>
          </w:tcPr>
          <w:p>
            <w:pPr>
              <w:jc w:val="center"/>
              <w:ind w:left="137"/>
              <w:spacing w:after="0"/>
              <w:rPr>
                <w:sz w:val="20"/>
                <w:szCs w:val="20"/>
                <w:color w:val="auto"/>
              </w:rPr>
            </w:pPr>
            <w:r>
              <w:rPr>
                <w:rFonts w:ascii="Arial" w:cs="Arial" w:eastAsia="Arial" w:hAnsi="Arial"/>
                <w:sz w:val="13"/>
                <w:szCs w:val="13"/>
                <w:b w:val="1"/>
                <w:bCs w:val="1"/>
                <w:color w:val="auto"/>
                <w:w w:val="94"/>
              </w:rPr>
              <w:t>Year End of</w:t>
            </w:r>
          </w:p>
        </w:tc>
        <w:tc>
          <w:tcPr>
            <w:tcW w:w="1140" w:type="dxa"/>
            <w:vAlign w:val="bottom"/>
          </w:tcPr>
          <w:p>
            <w:pPr>
              <w:jc w:val="center"/>
              <w:ind w:left="17"/>
              <w:spacing w:after="0"/>
              <w:rPr>
                <w:sz w:val="20"/>
                <w:szCs w:val="20"/>
                <w:color w:val="auto"/>
              </w:rPr>
            </w:pPr>
            <w:r>
              <w:rPr>
                <w:rFonts w:ascii="Arial" w:cs="Arial" w:eastAsia="Arial" w:hAnsi="Arial"/>
                <w:sz w:val="13"/>
                <w:szCs w:val="13"/>
                <w:b w:val="1"/>
                <w:bCs w:val="1"/>
                <w:color w:val="auto"/>
                <w:w w:val="94"/>
              </w:rPr>
              <w:t>Negative) in</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5"/>
              </w:rPr>
              <w:t>Granted in</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4"/>
              </w:rPr>
              <w:t>Earnings Paid</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080" w:type="dxa"/>
            <w:vAlign w:val="bottom"/>
          </w:tcPr>
          <w:p>
            <w:pPr>
              <w:jc w:val="center"/>
              <w:ind w:left="198"/>
              <w:spacing w:after="0" w:line="135" w:lineRule="exact"/>
              <w:rPr>
                <w:sz w:val="20"/>
                <w:szCs w:val="20"/>
                <w:color w:val="auto"/>
              </w:rPr>
            </w:pPr>
            <w:r>
              <w:rPr>
                <w:rFonts w:ascii="Arial" w:cs="Arial" w:eastAsia="Arial" w:hAnsi="Arial"/>
                <w:sz w:val="13"/>
                <w:szCs w:val="13"/>
                <w:b w:val="1"/>
                <w:bCs w:val="1"/>
                <w:color w:val="auto"/>
                <w:w w:val="94"/>
              </w:rPr>
              <w:t>Fair Value of</w:t>
            </w:r>
          </w:p>
        </w:tc>
        <w:tc>
          <w:tcPr>
            <w:tcW w:w="104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auto"/>
                <w:w w:val="93"/>
              </w:rPr>
              <w:t>Outstanding</w:t>
            </w:r>
          </w:p>
        </w:tc>
        <w:tc>
          <w:tcPr>
            <w:tcW w:w="114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92"/>
              </w:rPr>
              <w:t>Fair Value of</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Prior Years</w:t>
            </w: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on Stock</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080" w:type="dxa"/>
            <w:vAlign w:val="bottom"/>
          </w:tcPr>
          <w:p>
            <w:pPr>
              <w:jc w:val="center"/>
              <w:ind w:left="198"/>
              <w:spacing w:after="0"/>
              <w:rPr>
                <w:sz w:val="20"/>
                <w:szCs w:val="20"/>
                <w:color w:val="auto"/>
              </w:rPr>
            </w:pPr>
            <w:r>
              <w:rPr>
                <w:rFonts w:ascii="Arial" w:cs="Arial" w:eastAsia="Arial" w:hAnsi="Arial"/>
                <w:sz w:val="13"/>
                <w:szCs w:val="13"/>
                <w:b w:val="1"/>
                <w:bCs w:val="1"/>
                <w:color w:val="auto"/>
                <w:w w:val="96"/>
              </w:rPr>
              <w:t>Outstanding</w:t>
            </w:r>
          </w:p>
        </w:tc>
        <w:tc>
          <w:tcPr>
            <w:tcW w:w="1040" w:type="dxa"/>
            <w:vAlign w:val="bottom"/>
          </w:tcPr>
          <w:p>
            <w:pPr>
              <w:jc w:val="center"/>
              <w:ind w:left="117"/>
              <w:spacing w:after="0"/>
              <w:rPr>
                <w:sz w:val="20"/>
                <w:szCs w:val="20"/>
                <w:color w:val="auto"/>
              </w:rPr>
            </w:pPr>
            <w:r>
              <w:rPr>
                <w:rFonts w:ascii="Arial" w:cs="Arial" w:eastAsia="Arial" w:hAnsi="Arial"/>
                <w:sz w:val="13"/>
                <w:szCs w:val="13"/>
                <w:b w:val="1"/>
                <w:bCs w:val="1"/>
                <w:color w:val="auto"/>
                <w:w w:val="94"/>
              </w:rPr>
              <w:t>and</w:t>
            </w:r>
          </w:p>
        </w:tc>
        <w:tc>
          <w:tcPr>
            <w:tcW w:w="1140" w:type="dxa"/>
            <w:vAlign w:val="bottom"/>
          </w:tcPr>
          <w:p>
            <w:pPr>
              <w:jc w:val="center"/>
              <w:ind w:left="17"/>
              <w:spacing w:after="0"/>
              <w:rPr>
                <w:sz w:val="20"/>
                <w:szCs w:val="20"/>
                <w:color w:val="auto"/>
              </w:rPr>
            </w:pPr>
            <w:r>
              <w:rPr>
                <w:rFonts w:ascii="Arial" w:cs="Arial" w:eastAsia="Arial" w:hAnsi="Arial"/>
                <w:sz w:val="13"/>
                <w:szCs w:val="13"/>
                <w:b w:val="1"/>
                <w:bCs w:val="1"/>
                <w:color w:val="auto"/>
                <w:w w:val="95"/>
              </w:rPr>
              <w:t>Stock</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3"/>
              </w:rPr>
              <w:t>that Failed to</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3"/>
              </w:rPr>
              <w:t>Awards not</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080" w:type="dxa"/>
            <w:vAlign w:val="bottom"/>
          </w:tcPr>
          <w:p>
            <w:pPr>
              <w:jc w:val="center"/>
              <w:ind w:left="218"/>
              <w:spacing w:after="0" w:line="135" w:lineRule="exact"/>
              <w:rPr>
                <w:sz w:val="20"/>
                <w:szCs w:val="20"/>
                <w:color w:val="auto"/>
              </w:rPr>
            </w:pPr>
            <w:r>
              <w:rPr>
                <w:rFonts w:ascii="Arial" w:cs="Arial" w:eastAsia="Arial" w:hAnsi="Arial"/>
                <w:sz w:val="13"/>
                <w:szCs w:val="13"/>
                <w:b w:val="1"/>
                <w:bCs w:val="1"/>
                <w:color w:val="auto"/>
                <w:w w:val="95"/>
              </w:rPr>
              <w:t>Unvested</w:t>
            </w:r>
          </w:p>
        </w:tc>
        <w:tc>
          <w:tcPr>
            <w:tcW w:w="104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auto"/>
                <w:w w:val="95"/>
              </w:rPr>
              <w:t>Unvested</w:t>
            </w:r>
          </w:p>
        </w:tc>
        <w:tc>
          <w:tcPr>
            <w:tcW w:w="114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93"/>
              </w:rPr>
              <w:t>Awards</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Meet the</w:t>
            </w: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Otherwise</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080" w:type="dxa"/>
            <w:vAlign w:val="bottom"/>
          </w:tcPr>
          <w:p>
            <w:pPr>
              <w:jc w:val="center"/>
              <w:ind w:left="198"/>
              <w:spacing w:after="0"/>
              <w:rPr>
                <w:sz w:val="20"/>
                <w:szCs w:val="20"/>
                <w:color w:val="auto"/>
              </w:rPr>
            </w:pPr>
            <w:r>
              <w:rPr>
                <w:rFonts w:ascii="Arial" w:cs="Arial" w:eastAsia="Arial" w:hAnsi="Arial"/>
                <w:sz w:val="13"/>
                <w:szCs w:val="13"/>
                <w:b w:val="1"/>
                <w:bCs w:val="1"/>
                <w:color w:val="auto"/>
                <w:w w:val="95"/>
              </w:rPr>
              <w:t>Stock</w:t>
            </w:r>
          </w:p>
        </w:tc>
        <w:tc>
          <w:tcPr>
            <w:tcW w:w="1040" w:type="dxa"/>
            <w:vAlign w:val="bottom"/>
          </w:tcPr>
          <w:p>
            <w:pPr>
              <w:jc w:val="center"/>
              <w:ind w:left="137"/>
              <w:spacing w:after="0"/>
              <w:rPr>
                <w:sz w:val="20"/>
                <w:szCs w:val="20"/>
                <w:color w:val="auto"/>
              </w:rPr>
            </w:pPr>
            <w:r>
              <w:rPr>
                <w:rFonts w:ascii="Arial" w:cs="Arial" w:eastAsia="Arial" w:hAnsi="Arial"/>
                <w:sz w:val="13"/>
                <w:szCs w:val="13"/>
                <w:b w:val="1"/>
                <w:bCs w:val="1"/>
                <w:color w:val="auto"/>
                <w:w w:val="90"/>
              </w:rPr>
              <w:t>Stock</w:t>
            </w:r>
          </w:p>
        </w:tc>
        <w:tc>
          <w:tcPr>
            <w:tcW w:w="1140" w:type="dxa"/>
            <w:vAlign w:val="bottom"/>
          </w:tcPr>
          <w:p>
            <w:pPr>
              <w:jc w:val="center"/>
              <w:ind w:left="17"/>
              <w:spacing w:after="0"/>
              <w:rPr>
                <w:sz w:val="20"/>
                <w:szCs w:val="20"/>
                <w:color w:val="auto"/>
              </w:rPr>
            </w:pPr>
            <w:r>
              <w:rPr>
                <w:rFonts w:ascii="Arial" w:cs="Arial" w:eastAsia="Arial" w:hAnsi="Arial"/>
                <w:sz w:val="13"/>
                <w:szCs w:val="13"/>
                <w:b w:val="1"/>
                <w:bCs w:val="1"/>
                <w:color w:val="auto"/>
                <w:w w:val="95"/>
              </w:rPr>
              <w:t>Granted in</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7"/>
              </w:rPr>
              <w:t>Applicable</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4"/>
              </w:rPr>
              <w:t>Reflected in</w:t>
            </w:r>
          </w:p>
        </w:tc>
        <w:tc>
          <w:tcPr>
            <w:tcW w:w="920" w:type="dxa"/>
            <w:vAlign w:val="bottom"/>
            <w:vMerge w:val="restart"/>
          </w:tcPr>
          <w:p>
            <w:pPr>
              <w:jc w:val="center"/>
              <w:ind w:left="37"/>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080" w:type="dxa"/>
            <w:vAlign w:val="bottom"/>
          </w:tcPr>
          <w:p>
            <w:pPr>
              <w:jc w:val="center"/>
              <w:ind w:left="198"/>
              <w:spacing w:after="0" w:line="135" w:lineRule="exact"/>
              <w:rPr>
                <w:sz w:val="20"/>
                <w:szCs w:val="20"/>
                <w:color w:val="auto"/>
              </w:rPr>
            </w:pPr>
            <w:r>
              <w:rPr>
                <w:rFonts w:ascii="Arial" w:cs="Arial" w:eastAsia="Arial" w:hAnsi="Arial"/>
                <w:sz w:val="13"/>
                <w:szCs w:val="13"/>
                <w:b w:val="1"/>
                <w:bCs w:val="1"/>
                <w:color w:val="auto"/>
                <w:w w:val="97"/>
              </w:rPr>
              <w:t>Awards</w:t>
            </w:r>
          </w:p>
        </w:tc>
        <w:tc>
          <w:tcPr>
            <w:tcW w:w="104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auto"/>
                <w:w w:val="93"/>
              </w:rPr>
              <w:t>Awards</w:t>
            </w:r>
          </w:p>
        </w:tc>
        <w:tc>
          <w:tcPr>
            <w:tcW w:w="114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92"/>
              </w:rPr>
              <w:t>Prior Years</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Vesting</w:t>
            </w: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Fair Value or</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080" w:type="dxa"/>
            <w:vAlign w:val="bottom"/>
          </w:tcPr>
          <w:p>
            <w:pPr>
              <w:jc w:val="center"/>
              <w:ind w:left="198"/>
              <w:spacing w:after="0"/>
              <w:rPr>
                <w:sz w:val="20"/>
                <w:szCs w:val="20"/>
                <w:color w:val="auto"/>
              </w:rPr>
            </w:pPr>
            <w:r>
              <w:rPr>
                <w:rFonts w:ascii="Arial" w:cs="Arial" w:eastAsia="Arial" w:hAnsi="Arial"/>
                <w:sz w:val="13"/>
                <w:szCs w:val="13"/>
                <w:b w:val="1"/>
                <w:bCs w:val="1"/>
                <w:color w:val="auto"/>
                <w:w w:val="95"/>
              </w:rPr>
              <w:t>Granted in</w:t>
            </w:r>
          </w:p>
        </w:tc>
        <w:tc>
          <w:tcPr>
            <w:tcW w:w="1040" w:type="dxa"/>
            <w:vAlign w:val="bottom"/>
          </w:tcPr>
          <w:p>
            <w:pPr>
              <w:jc w:val="center"/>
              <w:ind w:left="117"/>
              <w:spacing w:after="0"/>
              <w:rPr>
                <w:sz w:val="20"/>
                <w:szCs w:val="20"/>
                <w:color w:val="auto"/>
              </w:rPr>
            </w:pPr>
            <w:r>
              <w:rPr>
                <w:rFonts w:ascii="Arial" w:cs="Arial" w:eastAsia="Arial" w:hAnsi="Arial"/>
                <w:sz w:val="13"/>
                <w:szCs w:val="13"/>
                <w:b w:val="1"/>
                <w:bCs w:val="1"/>
                <w:color w:val="auto"/>
                <w:w w:val="95"/>
              </w:rPr>
              <w:t>Granted in</w:t>
            </w:r>
          </w:p>
        </w:tc>
        <w:tc>
          <w:tcPr>
            <w:tcW w:w="1140" w:type="dxa"/>
            <w:vAlign w:val="bottom"/>
          </w:tcPr>
          <w:p>
            <w:pPr>
              <w:jc w:val="center"/>
              <w:ind w:left="17"/>
              <w:spacing w:after="0"/>
              <w:rPr>
                <w:sz w:val="20"/>
                <w:szCs w:val="20"/>
                <w:color w:val="auto"/>
              </w:rPr>
            </w:pPr>
            <w:r>
              <w:rPr>
                <w:rFonts w:ascii="Arial" w:cs="Arial" w:eastAsia="Arial" w:hAnsi="Arial"/>
                <w:sz w:val="13"/>
                <w:szCs w:val="13"/>
                <w:b w:val="1"/>
                <w:bCs w:val="1"/>
                <w:color w:val="auto"/>
                <w:w w:val="94"/>
              </w:rPr>
              <w:t>that Vested</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6"/>
              </w:rPr>
              <w:t>Conditions in</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920" w:type="dxa"/>
            <w:vAlign w:val="bottom"/>
          </w:tcPr>
          <w:p>
            <w:pPr>
              <w:jc w:val="center"/>
              <w:ind w:left="37"/>
              <w:spacing w:after="0"/>
              <w:rPr>
                <w:sz w:val="20"/>
                <w:szCs w:val="20"/>
                <w:color w:val="auto"/>
              </w:rPr>
            </w:pPr>
            <w:r>
              <w:rPr>
                <w:rFonts w:ascii="Arial" w:cs="Arial" w:eastAsia="Arial" w:hAnsi="Arial"/>
                <w:sz w:val="13"/>
                <w:szCs w:val="13"/>
                <w:b w:val="1"/>
                <w:bCs w:val="1"/>
                <w:color w:val="auto"/>
                <w:w w:val="95"/>
              </w:rPr>
              <w:t>Award</w:t>
            </w:r>
          </w:p>
        </w:tc>
        <w:tc>
          <w:tcPr>
            <w:tcW w:w="0" w:type="dxa"/>
            <w:vAlign w:val="bottom"/>
          </w:tcPr>
          <w:p>
            <w:pPr>
              <w:spacing w:after="0"/>
              <w:rPr>
                <w:sz w:val="1"/>
                <w:szCs w:val="1"/>
                <w:color w:val="auto"/>
              </w:rPr>
            </w:pPr>
          </w:p>
        </w:tc>
      </w:tr>
      <w:tr>
        <w:trPr>
          <w:trHeight w:val="193"/>
        </w:trPr>
        <w:tc>
          <w:tcPr>
            <w:tcW w:w="5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Year</w:t>
            </w:r>
          </w:p>
        </w:tc>
        <w:tc>
          <w:tcPr>
            <w:tcW w:w="1080" w:type="dxa"/>
            <w:vAlign w:val="bottom"/>
            <w:tcBorders>
              <w:bottom w:val="single" w:sz="8" w:color="auto"/>
            </w:tcBorders>
          </w:tcPr>
          <w:p>
            <w:pPr>
              <w:ind w:left="120"/>
              <w:spacing w:after="0" w:line="193"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the Year</w:t>
            </w:r>
          </w:p>
        </w:tc>
        <w:tc>
          <w:tcPr>
            <w:tcW w:w="1040" w:type="dxa"/>
            <w:vAlign w:val="bottom"/>
            <w:tcBorders>
              <w:bottom w:val="single" w:sz="8" w:color="auto"/>
            </w:tcBorders>
          </w:tcPr>
          <w:p>
            <w:pPr>
              <w:ind w:left="60"/>
              <w:spacing w:after="0" w:line="193"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Prior Years</w:t>
            </w:r>
          </w:p>
        </w:tc>
        <w:tc>
          <w:tcPr>
            <w:tcW w:w="1140" w:type="dxa"/>
            <w:vAlign w:val="bottom"/>
            <w:tcBorders>
              <w:bottom w:val="single" w:sz="8" w:color="auto"/>
            </w:tcBorders>
          </w:tcPr>
          <w:p>
            <w:pPr>
              <w:ind w:left="60"/>
              <w:spacing w:after="0" w:line="193"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in the Year</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the Year</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Compensation</w:t>
            </w:r>
          </w:p>
        </w:tc>
        <w:tc>
          <w:tcPr>
            <w:tcW w:w="920" w:type="dxa"/>
            <w:vAlign w:val="bottom"/>
            <w:tcBorders>
              <w:bottom w:val="single" w:sz="8" w:color="auto"/>
            </w:tcBorders>
          </w:tcPr>
          <w:p>
            <w:pPr>
              <w:jc w:val="center"/>
              <w:ind w:left="57"/>
              <w:spacing w:after="0"/>
              <w:rPr>
                <w:sz w:val="20"/>
                <w:szCs w:val="20"/>
                <w:color w:val="auto"/>
              </w:rPr>
            </w:pPr>
            <w:r>
              <w:rPr>
                <w:rFonts w:ascii="Arial" w:cs="Arial" w:eastAsia="Arial" w:hAnsi="Arial"/>
                <w:sz w:val="13"/>
                <w:szCs w:val="13"/>
                <w:b w:val="1"/>
                <w:bCs w:val="1"/>
                <w:color w:val="auto"/>
                <w:w w:val="96"/>
              </w:rPr>
              <w:t>Adjustments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5309235</wp:posOffset>
            </wp:positionH>
            <wp:positionV relativeFrom="paragraph">
              <wp:posOffset>-7620</wp:posOffset>
            </wp:positionV>
            <wp:extent cx="1714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-7620</wp:posOffset>
            </wp:positionV>
            <wp:extent cx="1714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-7620</wp:posOffset>
            </wp:positionV>
            <wp:extent cx="1714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-7620</wp:posOffset>
            </wp:positionV>
            <wp:extent cx="15430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2548890</wp:posOffset>
            </wp:positionH>
            <wp:positionV relativeFrom="paragraph">
              <wp:posOffset>-7620</wp:posOffset>
            </wp:positionV>
            <wp:extent cx="1543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1905635</wp:posOffset>
            </wp:positionH>
            <wp:positionV relativeFrom="paragraph">
              <wp:posOffset>-7620</wp:posOffset>
            </wp:positionV>
            <wp:extent cx="15430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61" w:lineRule="exact"/>
        <w:rPr>
          <w:sz w:val="20"/>
          <w:szCs w:val="20"/>
          <w:color w:val="auto"/>
        </w:rPr>
      </w:pPr>
    </w:p>
    <w:p>
      <w:pPr>
        <w:ind w:left="2540"/>
        <w:spacing w:after="0"/>
        <w:rPr>
          <w:sz w:val="20"/>
          <w:szCs w:val="20"/>
          <w:color w:val="auto"/>
        </w:rPr>
      </w:pPr>
      <w:r>
        <w:rPr>
          <w:rFonts w:ascii="Arial" w:cs="Arial" w:eastAsia="Arial" w:hAnsi="Arial"/>
          <w:sz w:val="14"/>
          <w:szCs w:val="14"/>
          <w:color w:val="auto"/>
        </w:rPr>
        <w:t>2025</w:t>
      </w:r>
    </w:p>
    <w:p>
      <w:pPr>
        <w:spacing w:after="0" w:line="325" w:lineRule="exact"/>
        <w:rPr>
          <w:sz w:val="20"/>
          <w:szCs w:val="20"/>
          <w:color w:val="auto"/>
        </w:rPr>
      </w:pPr>
    </w:p>
    <w:p>
      <w:pPr>
        <w:ind w:left="2540"/>
        <w:spacing w:after="0"/>
        <w:rPr>
          <w:sz w:val="20"/>
          <w:szCs w:val="20"/>
          <w:color w:val="auto"/>
        </w:rPr>
      </w:pPr>
      <w:r>
        <w:rPr>
          <w:rFonts w:ascii="Arial" w:cs="Arial" w:eastAsia="Arial" w:hAnsi="Arial"/>
          <w:sz w:val="14"/>
          <w:szCs w:val="14"/>
          <w:color w:val="auto"/>
        </w:rPr>
        <w:t>2025</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rPr>
              <w:t>Company’s CEO</w:t>
            </w: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82"/>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ind w:left="40"/>
              <w:spacing w:after="0" w:line="282"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5,253,670</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920" w:type="dxa"/>
            <w:vAlign w:val="bottom"/>
          </w:tcPr>
          <w:p>
            <w:pPr>
              <w:ind w:left="20"/>
              <w:spacing w:after="0" w:line="282"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(4,464,206)</w:t>
            </w:r>
            <w:r>
              <w:rPr>
                <w:rFonts w:ascii="Arial" w:cs="Arial" w:eastAsia="Arial" w:hAnsi="Arial"/>
                <w:sz w:val="28"/>
                <w:szCs w:val="28"/>
                <w:color w:val="auto"/>
                <w:vertAlign w:val="subscript"/>
              </w:rPr>
              <w:t>​ ​</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680" w:type="dxa"/>
            <w:vAlign w:val="bottom"/>
          </w:tcPr>
          <w:p>
            <w:pPr>
              <w:ind w:left="140"/>
              <w:spacing w:after="0" w:line="282"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29,860</w:t>
            </w:r>
          </w:p>
        </w:tc>
        <w:tc>
          <w:tcPr>
            <w:tcW w:w="480" w:type="dxa"/>
            <w:vAlign w:val="bottom"/>
          </w:tcPr>
          <w:p>
            <w:pPr>
              <w:ind w:left="80"/>
              <w:spacing w:after="0"/>
              <w:rPr>
                <w:sz w:val="20"/>
                <w:szCs w:val="20"/>
                <w:color w:val="auto"/>
              </w:rPr>
            </w:pPr>
            <w:r>
              <w:rPr>
                <w:rFonts w:ascii="Arial" w:cs="Arial" w:eastAsia="Arial" w:hAnsi="Arial"/>
                <w:sz w:val="14"/>
                <w:szCs w:val="14"/>
                <w:color w:val="auto"/>
              </w:rPr>
              <w:t>​</w:t>
            </w:r>
          </w:p>
        </w:tc>
        <w:tc>
          <w:tcPr>
            <w:tcW w:w="600" w:type="dxa"/>
            <w:vAlign w:val="bottom"/>
          </w:tcPr>
          <w:p>
            <w:pPr>
              <w:ind w:left="60"/>
              <w:spacing w:after="0" w:line="282"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76,945</w:t>
            </w:r>
          </w:p>
        </w:tc>
        <w:tc>
          <w:tcPr>
            <w:tcW w:w="440" w:type="dxa"/>
            <w:vAlign w:val="bottom"/>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ind w:left="300"/>
              <w:spacing w:after="0" w:line="282"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380" w:type="dxa"/>
            <w:vAlign w:val="bottom"/>
          </w:tcPr>
          <w:p>
            <w:pPr>
              <w:ind w:left="200"/>
              <w:spacing w:after="0"/>
              <w:rPr>
                <w:sz w:val="20"/>
                <w:szCs w:val="20"/>
                <w:color w:val="auto"/>
              </w:rPr>
            </w:pPr>
            <w:r>
              <w:rPr>
                <w:rFonts w:ascii="Arial" w:cs="Arial" w:eastAsia="Arial" w:hAnsi="Arial"/>
                <w:sz w:val="14"/>
                <w:szCs w:val="14"/>
                <w:color w:val="auto"/>
              </w:rPr>
              <w:t>​</w:t>
            </w:r>
          </w:p>
        </w:tc>
        <w:tc>
          <w:tcPr>
            <w:tcW w:w="840" w:type="dxa"/>
            <w:vAlign w:val="bottom"/>
          </w:tcPr>
          <w:p>
            <w:pPr>
              <w:ind w:left="160"/>
              <w:spacing w:after="0" w:line="282"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742,379</w:t>
            </w:r>
          </w:p>
        </w:tc>
        <w:tc>
          <w:tcPr>
            <w:tcW w:w="60" w:type="dxa"/>
            <w:vAlign w:val="bottom"/>
          </w:tcPr>
          <w:p>
            <w:pPr>
              <w:ind w:left="20"/>
              <w:spacing w:after="0"/>
              <w:rPr>
                <w:sz w:val="20"/>
                <w:szCs w:val="20"/>
                <w:color w:val="auto"/>
              </w:rPr>
            </w:pPr>
            <w:r>
              <w:rPr>
                <w:rFonts w:ascii="Arial" w:cs="Arial" w:eastAsia="Arial" w:hAnsi="Arial"/>
                <w:sz w:val="14"/>
                <w:szCs w:val="14"/>
                <w:color w:val="auto"/>
              </w:rPr>
              <w:t>​</w:t>
            </w:r>
          </w:p>
        </w:tc>
      </w:tr>
      <w:tr>
        <w:trPr>
          <w:trHeight w:val="190"/>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5"/>
          </w:tcPr>
          <w:p>
            <w:pPr>
              <w:jc w:val="center"/>
              <w:ind w:left="388"/>
              <w:spacing w:after="0"/>
              <w:rPr>
                <w:sz w:val="20"/>
                <w:szCs w:val="20"/>
                <w:color w:val="auto"/>
              </w:rPr>
            </w:pPr>
            <w:r>
              <w:rPr>
                <w:rFonts w:ascii="Arial" w:cs="Arial" w:eastAsia="Arial" w:hAnsi="Arial"/>
                <w:sz w:val="14"/>
                <w:szCs w:val="14"/>
                <w:color w:val="auto"/>
              </w:rPr>
              <w:t>Average of Non-CEO NEOs</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438"/>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ind w:left="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2,337,144</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920" w:type="dxa"/>
            <w:vAlign w:val="bottom"/>
          </w:tcPr>
          <w:p>
            <w:pPr>
              <w:ind w:left="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(834,811)</w:t>
            </w:r>
            <w:r>
              <w:rPr>
                <w:rFonts w:ascii="Arial" w:cs="Arial" w:eastAsia="Arial" w:hAnsi="Arial"/>
                <w:sz w:val="28"/>
                <w:szCs w:val="28"/>
                <w:color w:val="auto"/>
                <w:vertAlign w:val="subscript"/>
              </w:rPr>
              <w:t>​ ​</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680" w:type="dxa"/>
            <w:vAlign w:val="bottom"/>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5,106</w:t>
            </w:r>
          </w:p>
        </w:tc>
        <w:tc>
          <w:tcPr>
            <w:tcW w:w="480" w:type="dxa"/>
            <w:vAlign w:val="bottom"/>
          </w:tcPr>
          <w:p>
            <w:pPr>
              <w:ind w:left="80"/>
              <w:spacing w:after="0"/>
              <w:rPr>
                <w:sz w:val="20"/>
                <w:szCs w:val="20"/>
                <w:color w:val="auto"/>
              </w:rPr>
            </w:pPr>
            <w:r>
              <w:rPr>
                <w:rFonts w:ascii="Arial" w:cs="Arial" w:eastAsia="Arial" w:hAnsi="Arial"/>
                <w:sz w:val="14"/>
                <w:szCs w:val="14"/>
                <w:color w:val="auto"/>
              </w:rPr>
              <w:t>​</w:t>
            </w:r>
          </w:p>
        </w:tc>
        <w:tc>
          <w:tcPr>
            <w:tcW w:w="600" w:type="dxa"/>
            <w:vAlign w:val="bottom"/>
          </w:tcPr>
          <w:p>
            <w:pPr>
              <w:ind w:left="6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12,364</w:t>
            </w:r>
          </w:p>
        </w:tc>
        <w:tc>
          <w:tcPr>
            <w:tcW w:w="440" w:type="dxa"/>
            <w:vAlign w:val="bottom"/>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ind w:left="3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380" w:type="dxa"/>
            <w:vAlign w:val="bottom"/>
          </w:tcPr>
          <w:p>
            <w:pPr>
              <w:ind w:left="200"/>
              <w:spacing w:after="0"/>
              <w:rPr>
                <w:sz w:val="20"/>
                <w:szCs w:val="20"/>
                <w:color w:val="auto"/>
              </w:rPr>
            </w:pPr>
            <w:r>
              <w:rPr>
                <w:rFonts w:ascii="Arial" w:cs="Arial" w:eastAsia="Arial" w:hAnsi="Arial"/>
                <w:sz w:val="14"/>
                <w:szCs w:val="14"/>
                <w:color w:val="auto"/>
              </w:rPr>
              <w:t>​</w:t>
            </w:r>
          </w:p>
        </w:tc>
        <w:tc>
          <w:tcPr>
            <w:tcW w:w="840" w:type="dxa"/>
            <w:vAlign w:val="bottom"/>
          </w:tcPr>
          <w:p>
            <w:pPr>
              <w:ind w:left="16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1,495,075</w:t>
            </w:r>
          </w:p>
        </w:tc>
        <w:tc>
          <w:tcPr>
            <w:tcW w:w="60" w:type="dxa"/>
            <w:vAlign w:val="bottom"/>
          </w:tcPr>
          <w:p>
            <w:pPr>
              <w:ind w:left="2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-572770</wp:posOffset>
            </wp:positionV>
            <wp:extent cx="4526280" cy="146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526280" cy="146050"/>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-272415</wp:posOffset>
            </wp:positionV>
            <wp:extent cx="452628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52628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860" w:space="200"/>
            <w:col w:w="6819"/>
          </w:cols>
          <w:pgMar w:left="580" w:top="97" w:right="1440" w:bottom="1440" w:gutter="0" w:footer="0" w:header="0"/>
          <w:type w:val="continuous"/>
        </w:sectPr>
      </w:pPr>
    </w:p>
    <w:p>
      <w:pPr>
        <w:jc w:val="both"/>
        <w:ind w:left="1900" w:right="559" w:hanging="640"/>
        <w:spacing w:after="0" w:line="256" w:lineRule="auto"/>
        <w:tabs>
          <w:tab w:leader="none" w:pos="1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Cumulative TSR is calculated by dividing the sum of the cumulative amount of dividends for the measurement period, assuming dividend reinvestment, and the difference between the price of our common stock at the end and the beginning of the measurement period by the price of our common stock at the beginning of the measurement period.</w:t>
      </w:r>
    </w:p>
    <w:p>
      <w:pPr>
        <w:spacing w:after="0" w:line="166" w:lineRule="exact"/>
        <w:rPr>
          <w:rFonts w:ascii="Arial" w:cs="Arial" w:eastAsia="Arial" w:hAnsi="Arial"/>
          <w:sz w:val="18"/>
          <w:szCs w:val="18"/>
          <w:color w:val="auto"/>
        </w:rPr>
      </w:pPr>
    </w:p>
    <w:p>
      <w:pPr>
        <w:ind w:left="1900" w:right="479" w:hanging="640"/>
        <w:spacing w:after="0" w:line="256" w:lineRule="auto"/>
        <w:tabs>
          <w:tab w:leader="none" w:pos="1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peer group used for this purpose is the Nasdaq Telecommunications Index which we also utilize in the stock performance graph required by Item 201(e) of Regulation S-K included in our Annual Report for the year ended December 31, 2025. Old Uniti’s peer group used for this purpose in 2024 was the MSCI US REIT Index. The peer group was changed in 2025 to better reflect the Company’s business after the Merger. The TSR for the MSCI REIT Index for each of the five years reported is as follows: 2021: $143, 2022: $108, 2023: $123, 2024: $134 and 2025: $138.</w:t>
      </w:r>
    </w:p>
    <w:p>
      <w:pPr>
        <w:spacing w:after="0" w:line="155" w:lineRule="exact"/>
        <w:rPr>
          <w:rFonts w:ascii="Arial" w:cs="Arial" w:eastAsia="Arial" w:hAnsi="Arial"/>
          <w:sz w:val="18"/>
          <w:szCs w:val="18"/>
          <w:color w:val="auto"/>
        </w:rPr>
      </w:pPr>
    </w:p>
    <w:p>
      <w:pPr>
        <w:ind w:left="1900" w:right="519" w:hanging="640"/>
        <w:spacing w:after="0" w:line="257" w:lineRule="auto"/>
        <w:tabs>
          <w:tab w:leader="none" w:pos="1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dollar amounts reported represent the amount of net income reflected as required in our audited consolidated financial statements for the applicable year. Old Uniti has been determined to be the accounting acquirer for financial statement purposes. Accordingly, net income (loss) reflects combined operations for only August 1, 2025 through December 31, 2025, and include only Old Uniti’s results (before giving effect to the Merger) for 2021 through 2024 and the first seven months of 2025.</w:t>
      </w:r>
    </w:p>
    <w:p>
      <w:pPr>
        <w:spacing w:after="0" w:line="182" w:lineRule="exact"/>
        <w:rPr>
          <w:rFonts w:ascii="Arial" w:cs="Arial" w:eastAsia="Arial" w:hAnsi="Arial"/>
          <w:sz w:val="18"/>
          <w:szCs w:val="18"/>
          <w:color w:val="auto"/>
        </w:rPr>
      </w:pPr>
    </w:p>
    <w:p>
      <w:pPr>
        <w:ind w:left="1900" w:right="459" w:hanging="640"/>
        <w:spacing w:after="0" w:line="252" w:lineRule="auto"/>
        <w:tabs>
          <w:tab w:leader="none" w:pos="1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Adjusted EBITDA is defined as EBITDA before stock-based compensation expense and the impact, which may be recurring in nature, of incremental acquisition, pursuit, transaction and integration costs (including unsuccessful acquisition pursuit costs), and costs associated with litigation claims made against us, and costs associated with the implementation of our enterprise resource planning system, goodwill impairment charges, gains or losses on retirements and dispositions of assets, gain on settlement of preexisting relationships in connection with the Merger, severance costs, amortization of non-cash rights-of-use assets, costs associated with the termination of related hedging activities, changes in the fair value of financial instruments, and other similar or infrequent items (although we may not have had such charges in the periods presented). EBITDA is defined as net income before interest expense, provision for income taxes, depreciation and amortization, and costs incurred as a result of the early repayment of debt, including early tender and redemption premiums and the write off of unamortized deferred financing costs. Our computations of Adjusted EBITDA are consistent with that which was previously disclosed in public filings for the years indicated. Old Uniti has been determined to be the accounting acquirer for financial statement purposes. Accordingly, Adjusted EBITDA reflects combined operations for only August 1, 2025 through December 31, 2025, and include only Old Uniti’s results (before giving effect to the Merger) for 2021 through 2024 and the first seven months of 2025.</w:t>
      </w:r>
    </w:p>
    <w:p>
      <w:pPr>
        <w:sectPr>
          <w:pgSz w:w="11900" w:h="16838" w:orient="portrait"/>
          <w:cols w:equalWidth="0" w:num="1">
            <w:col w:w="9879"/>
          </w:cols>
          <w:pgMar w:left="580" w:top="97" w:right="1440" w:bottom="1440" w:gutter="0" w:footer="0" w:header="0"/>
          <w:type w:val="continuous"/>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00ABD1"/>
        </w:rPr>
        <w:t>Financial Performance Measures</w:t>
      </w:r>
    </w:p>
    <w:p>
      <w:pPr>
        <w:spacing w:after="0" w:line="223" w:lineRule="exact"/>
        <w:rPr>
          <w:sz w:val="20"/>
          <w:szCs w:val="20"/>
          <w:color w:val="auto"/>
        </w:rPr>
      </w:pPr>
    </w:p>
    <w:p>
      <w:pPr>
        <w:ind w:left="1260" w:right="579" w:firstLine="648"/>
        <w:spacing w:after="0" w:line="257" w:lineRule="auto"/>
        <w:rPr>
          <w:sz w:val="20"/>
          <w:szCs w:val="20"/>
          <w:color w:val="auto"/>
        </w:rPr>
      </w:pPr>
      <w:r>
        <w:rPr>
          <w:rFonts w:ascii="Arial" w:cs="Arial" w:eastAsia="Arial" w:hAnsi="Arial"/>
          <w:sz w:val="18"/>
          <w:szCs w:val="18"/>
          <w:color w:val="auto"/>
        </w:rPr>
        <w:t>As described in greater detail in the Compensation Discussion &amp; Analysis, our executive compensation program reflects a variable pay-for-performance philosophy. The metrics that Old Uniti used for both the short- and long-term compensation programs were selected based on the objective of incentivizing the NEOs to increase the value of our enterprise for shareholders. The most important financial performance measures used by Old Uniti to link executive compensation actually paid to the NEOs, for the most recently completed fiscal year, to performance are as follows:</w:t>
      </w:r>
    </w:p>
    <w:p>
      <w:pPr>
        <w:spacing w:after="0" w:line="182" w:lineRule="exact"/>
        <w:rPr>
          <w:sz w:val="20"/>
          <w:szCs w:val="20"/>
          <w:color w:val="auto"/>
        </w:rPr>
      </w:pPr>
    </w:p>
    <w:p>
      <w:pPr>
        <w:ind w:left="2080" w:hanging="172"/>
        <w:spacing w:after="0"/>
        <w:tabs>
          <w:tab w:leader="none" w:pos="2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Adjusted EBITDA</w:t>
      </w:r>
    </w:p>
    <w:p>
      <w:pPr>
        <w:spacing w:after="0" w:line="225" w:lineRule="exact"/>
        <w:rPr>
          <w:rFonts w:ascii="Arial" w:cs="Arial" w:eastAsia="Arial" w:hAnsi="Arial"/>
          <w:sz w:val="18"/>
          <w:szCs w:val="18"/>
          <w:color w:val="auto"/>
        </w:rPr>
      </w:pPr>
    </w:p>
    <w:p>
      <w:pPr>
        <w:ind w:left="2080" w:hanging="172"/>
        <w:spacing w:after="0"/>
        <w:tabs>
          <w:tab w:leader="none" w:pos="2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Consolidated AFFO</w:t>
      </w:r>
    </w:p>
    <w:p>
      <w:pPr>
        <w:spacing w:after="0" w:line="225" w:lineRule="exact"/>
        <w:rPr>
          <w:rFonts w:ascii="Arial" w:cs="Arial" w:eastAsia="Arial" w:hAnsi="Arial"/>
          <w:sz w:val="18"/>
          <w:szCs w:val="18"/>
          <w:color w:val="auto"/>
        </w:rPr>
      </w:pPr>
    </w:p>
    <w:p>
      <w:pPr>
        <w:ind w:left="2080" w:hanging="172"/>
        <w:spacing w:after="0"/>
        <w:tabs>
          <w:tab w:leader="none" w:pos="2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Consolidated Bookings</w:t>
      </w:r>
    </w:p>
    <w:p>
      <w:pPr>
        <w:spacing w:after="0" w:line="225" w:lineRule="exact"/>
        <w:rPr>
          <w:rFonts w:ascii="Arial" w:cs="Arial" w:eastAsia="Arial" w:hAnsi="Arial"/>
          <w:sz w:val="18"/>
          <w:szCs w:val="18"/>
          <w:color w:val="auto"/>
        </w:rPr>
      </w:pPr>
    </w:p>
    <w:p>
      <w:pPr>
        <w:ind w:left="2080" w:hanging="172"/>
        <w:spacing w:after="0"/>
        <w:tabs>
          <w:tab w:leader="none" w:pos="2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On-Time Delivery</w:t>
      </w:r>
    </w:p>
    <w:p>
      <w:pPr>
        <w:spacing w:after="0" w:line="225" w:lineRule="exact"/>
        <w:rPr>
          <w:rFonts w:ascii="Arial" w:cs="Arial" w:eastAsia="Arial" w:hAnsi="Arial"/>
          <w:sz w:val="18"/>
          <w:szCs w:val="18"/>
          <w:color w:val="auto"/>
        </w:rPr>
      </w:pPr>
    </w:p>
    <w:p>
      <w:pPr>
        <w:ind w:left="2080" w:right="1019" w:hanging="172"/>
        <w:spacing w:after="0" w:line="287" w:lineRule="auto"/>
        <w:tabs>
          <w:tab w:leader="none" w:pos="2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Relative TSR (our TSR as compared to a peer group established by the Compensation Committee)</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00ABD1"/>
        </w:rPr>
        <w:t>Cumulative TSR of the Company and Cumulative TSR of the Peer Group</w:t>
      </w:r>
    </w:p>
    <w:p>
      <w:pPr>
        <w:spacing w:after="0" w:line="223" w:lineRule="exact"/>
        <w:rPr>
          <w:sz w:val="20"/>
          <w:szCs w:val="20"/>
          <w:color w:val="auto"/>
        </w:rPr>
      </w:pPr>
    </w:p>
    <w:p>
      <w:pPr>
        <w:ind w:left="1260" w:right="479" w:firstLine="648"/>
        <w:spacing w:after="0" w:line="268" w:lineRule="auto"/>
        <w:rPr>
          <w:sz w:val="20"/>
          <w:szCs w:val="20"/>
          <w:color w:val="auto"/>
        </w:rPr>
      </w:pPr>
      <w:r>
        <w:rPr>
          <w:rFonts w:ascii="Arial" w:cs="Arial" w:eastAsia="Arial" w:hAnsi="Arial"/>
          <w:sz w:val="18"/>
          <w:szCs w:val="18"/>
          <w:color w:val="auto"/>
        </w:rPr>
        <w:t>The following graph compares the amount of compensation actually paid to our CEO and the average compensation actually paid to our Non-CEO NEOs with our cumulative TSR and the TSR of our peer group over the five years presented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146050</wp:posOffset>
            </wp:positionV>
            <wp:extent cx="4903470" cy="25717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90347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00ABD1"/>
        </w:rPr>
        <w:t>Compensation Actually Paid and Adjusted EBITDA</w:t>
      </w:r>
    </w:p>
    <w:p>
      <w:pPr>
        <w:spacing w:after="0" w:line="223" w:lineRule="exact"/>
        <w:rPr>
          <w:sz w:val="20"/>
          <w:szCs w:val="20"/>
          <w:color w:val="auto"/>
        </w:rPr>
      </w:pPr>
    </w:p>
    <w:p>
      <w:pPr>
        <w:ind w:left="1260" w:right="419" w:firstLine="648"/>
        <w:spacing w:after="0" w:line="254" w:lineRule="auto"/>
        <w:rPr>
          <w:sz w:val="20"/>
          <w:szCs w:val="20"/>
          <w:color w:val="auto"/>
        </w:rPr>
      </w:pPr>
      <w:r>
        <w:rPr>
          <w:rFonts w:ascii="Arial" w:cs="Arial" w:eastAsia="Arial" w:hAnsi="Arial"/>
          <w:sz w:val="18"/>
          <w:szCs w:val="18"/>
          <w:color w:val="auto"/>
        </w:rPr>
        <w:t>Because a significant portion of our NEOs’ compensation is comprised of equity grants, stock price and TSR likely represent the most important performance measures used by us to link compensation actually paid to the NEOs, for the most recently completed fiscal year, to our performance. Other than stock price and TSR, however, Adjusted EBITDA is the financial performance measure that, in our assessment, represents the next most important performance measure (that is not otherwise required to be disclosed in the Pay Versus Performance Table) used by us to link compensation actually paid to the NEOs, for the most recently completed fiscal year, to our performance. This is because we use Adjusted EBITDA to assess and evaluate our performance on an unleveraged basis. Moreover, it is one of the most important and closely followed measures of our performance by the investing community and our stockholders.</w:t>
      </w:r>
    </w:p>
    <w:p>
      <w:pPr>
        <w:spacing w:after="0" w:line="185" w:lineRule="exact"/>
        <w:rPr>
          <w:sz w:val="20"/>
          <w:szCs w:val="20"/>
          <w:color w:val="auto"/>
        </w:rPr>
      </w:pPr>
    </w:p>
    <w:p>
      <w:pPr>
        <w:ind w:left="1260" w:right="419" w:firstLine="648"/>
        <w:spacing w:after="0" w:line="253" w:lineRule="auto"/>
        <w:rPr>
          <w:sz w:val="20"/>
          <w:szCs w:val="20"/>
          <w:color w:val="auto"/>
        </w:rPr>
      </w:pPr>
      <w:r>
        <w:rPr>
          <w:rFonts w:ascii="Arial" w:cs="Arial" w:eastAsia="Arial" w:hAnsi="Arial"/>
          <w:sz w:val="18"/>
          <w:szCs w:val="18"/>
          <w:color w:val="auto"/>
        </w:rPr>
        <w:t>While we do not utilize Adjusted EBITDA as a performance measure in our overall executive compensation program, we believe it is helpful in assessing our NEOs’ compensation relative to our Company’s performance because (i) Adjusted EBITDA generally correlates to Consolidated AFFO (one of the performance measures used in our 2025 STIP) and (ii) the other measures we used in the 2025 STIP are key drivers of Adjusted EBITDA and the measures that can be most directly influenced by our management team. As discussed in the Compensation Discussion &amp; Analysis, 30% or less of our NEOs’ total target direct compensation consists of amounts determined under the 2025 STIP, which is consistent with the STIP in 2024, 2023, 2022 and 2021. Accordingly, while there is a closer correlation between Adjusted EBITDA and our NEOs’ payouts under our annual STIPs, our NEOs’ total compensation actually paid is much more heavily impacted by variations in our stock price than variations in those factors that can be directly influenced by our NEOs, such as Adjusted EBITDA or any measure used in our annual STIP.</w:t>
      </w:r>
    </w:p>
    <w:p>
      <w:pPr>
        <w:spacing w:after="0" w:line="190" w:lineRule="exact"/>
        <w:rPr>
          <w:sz w:val="20"/>
          <w:szCs w:val="20"/>
          <w:color w:val="auto"/>
        </w:rPr>
      </w:pPr>
    </w:p>
    <w:p>
      <w:pPr>
        <w:ind w:left="1260" w:right="619" w:firstLine="648"/>
        <w:spacing w:after="0" w:line="262" w:lineRule="auto"/>
        <w:rPr>
          <w:sz w:val="20"/>
          <w:szCs w:val="20"/>
          <w:color w:val="auto"/>
        </w:rPr>
      </w:pPr>
      <w:r>
        <w:rPr>
          <w:rFonts w:ascii="Arial" w:cs="Arial" w:eastAsia="Arial" w:hAnsi="Arial"/>
          <w:sz w:val="18"/>
          <w:szCs w:val="18"/>
          <w:color w:val="auto"/>
        </w:rPr>
        <w:t>While the table below shows growth in Adjusted EBITDA over the five years presented in the table, the amount of compensation actually paid to our CEO and the average compensation paid to our Non-CEO NEOs has not increased over the same period due in large part to stock price performance over the same period rather than variations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149860</wp:posOffset>
            </wp:positionV>
            <wp:extent cx="4903470" cy="25717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0347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00ABD1"/>
        </w:rPr>
        <w:t>Compensation Actually Paid and Net Income</w:t>
      </w:r>
    </w:p>
    <w:p>
      <w:pPr>
        <w:spacing w:after="0" w:line="223" w:lineRule="exact"/>
        <w:rPr>
          <w:sz w:val="20"/>
          <w:szCs w:val="20"/>
          <w:color w:val="auto"/>
        </w:rPr>
      </w:pPr>
    </w:p>
    <w:p>
      <w:pPr>
        <w:ind w:left="1260" w:right="419" w:firstLine="648"/>
        <w:spacing w:after="0" w:line="259" w:lineRule="auto"/>
        <w:rPr>
          <w:sz w:val="20"/>
          <w:szCs w:val="20"/>
          <w:color w:val="auto"/>
        </w:rPr>
      </w:pPr>
      <w:r>
        <w:rPr>
          <w:rFonts w:ascii="Arial" w:cs="Arial" w:eastAsia="Arial" w:hAnsi="Arial"/>
          <w:sz w:val="18"/>
          <w:szCs w:val="18"/>
          <w:color w:val="auto"/>
        </w:rPr>
        <w:t>The following graph compares the amount of compensation actually paid to our CEO and the average compensation paid to our Non-CEO NEOs to our net income over the five years presented in the table. We do not use net income as a performance measure in the overall executive compensation program because net income is impacted by non-cash items that may not be reflective of our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151765</wp:posOffset>
            </wp:positionV>
            <wp:extent cx="4903470" cy="25717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90347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00ABD1"/>
        </w:rPr>
        <w:t>PROPOSAL NO. 3</w:t>
      </w:r>
    </w:p>
    <w:p>
      <w:pPr>
        <w:spacing w:after="0" w:line="220" w:lineRule="exact"/>
        <w:rPr>
          <w:sz w:val="20"/>
          <w:szCs w:val="20"/>
          <w:color w:val="auto"/>
        </w:rPr>
      </w:pPr>
    </w:p>
    <w:p>
      <w:pPr>
        <w:ind w:left="1260" w:right="859"/>
        <w:spacing w:after="0" w:line="285" w:lineRule="auto"/>
        <w:rPr>
          <w:sz w:val="20"/>
          <w:szCs w:val="20"/>
          <w:color w:val="auto"/>
        </w:rPr>
      </w:pPr>
      <w:r>
        <w:rPr>
          <w:rFonts w:ascii="Arial" w:cs="Arial" w:eastAsia="Arial" w:hAnsi="Arial"/>
          <w:sz w:val="22"/>
          <w:szCs w:val="22"/>
          <w:b w:val="1"/>
          <w:bCs w:val="1"/>
          <w:color w:val="00ABD1"/>
        </w:rPr>
        <w:t>Advisory Vote to Approve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12" w:lineRule="exact"/>
        <w:rPr>
          <w:sz w:val="20"/>
          <w:szCs w:val="20"/>
          <w:color w:val="auto"/>
        </w:rPr>
      </w:pPr>
    </w:p>
    <w:p>
      <w:pPr>
        <w:ind w:left="1260" w:right="419" w:firstLine="648"/>
        <w:spacing w:after="0" w:line="257" w:lineRule="auto"/>
        <w:rPr>
          <w:sz w:val="20"/>
          <w:szCs w:val="20"/>
          <w:color w:val="auto"/>
        </w:rPr>
      </w:pPr>
      <w:r>
        <w:rPr>
          <w:rFonts w:ascii="Arial" w:cs="Arial" w:eastAsia="Arial" w:hAnsi="Arial"/>
          <w:sz w:val="18"/>
          <w:szCs w:val="18"/>
          <w:color w:val="auto"/>
        </w:rPr>
        <w:t>In accordance with Section 14A of the Securities Exchange Act of 1934 (the “Exchange Act”), the Company requests that our stockholders cast a non-binding, advisory vote to approve the compensation of the Company’s NEOs identified in the section titled “Executive Compensation” set forth above in this Proxy Statement. This proposal, commonly known as a “say-on-pay” proposal, gives our stockholders the opportunity to express their views on our NEOs’ compensation. This vote is not intended to address any specific item of compensation, but rather the overall compensation of our NEOs and the philosophy, policies and practices described in this Proxy Statement. Accordingly, we ask our stockholders to vote “</w:t>
      </w:r>
      <w:r>
        <w:rPr>
          <w:rFonts w:ascii="Arial" w:cs="Arial" w:eastAsia="Arial" w:hAnsi="Arial"/>
          <w:sz w:val="18"/>
          <w:szCs w:val="18"/>
          <w:b w:val="1"/>
          <w:bCs w:val="1"/>
          <w:color w:val="auto"/>
        </w:rPr>
        <w:t>FOR</w:t>
      </w:r>
      <w:r>
        <w:rPr>
          <w:rFonts w:ascii="Arial" w:cs="Arial" w:eastAsia="Arial" w:hAnsi="Arial"/>
          <w:sz w:val="18"/>
          <w:szCs w:val="18"/>
          <w:color w:val="auto"/>
        </w:rPr>
        <w:t>” the following resolution at the Annual Meeting:</w:t>
      </w:r>
    </w:p>
    <w:p>
      <w:pPr>
        <w:spacing w:after="0" w:line="171" w:lineRule="exact"/>
        <w:rPr>
          <w:sz w:val="20"/>
          <w:szCs w:val="20"/>
          <w:color w:val="auto"/>
        </w:rPr>
      </w:pPr>
    </w:p>
    <w:p>
      <w:pPr>
        <w:ind w:left="1900" w:right="43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Company’s stockholders hereby approve the compensation of the Company’s NEOs, as disclosed in this Proxy Statement pursuant to the compensation disclosure rules of the SEC, including the Compensation Discussion &amp; Analysis, the Summary Compensation Table and the other related tables and disclosures.”</w:t>
      </w:r>
    </w:p>
    <w:p>
      <w:pPr>
        <w:spacing w:after="0" w:line="176" w:lineRule="exact"/>
        <w:rPr>
          <w:sz w:val="20"/>
          <w:szCs w:val="20"/>
          <w:color w:val="auto"/>
        </w:rPr>
      </w:pPr>
    </w:p>
    <w:p>
      <w:pPr>
        <w:ind w:left="1260" w:right="499" w:firstLine="648"/>
        <w:spacing w:after="0" w:line="278" w:lineRule="auto"/>
        <w:rPr>
          <w:sz w:val="20"/>
          <w:szCs w:val="20"/>
          <w:color w:val="auto"/>
        </w:rPr>
      </w:pPr>
      <w:r>
        <w:rPr>
          <w:rFonts w:ascii="Arial" w:cs="Arial" w:eastAsia="Arial" w:hAnsi="Arial"/>
          <w:sz w:val="17"/>
          <w:szCs w:val="17"/>
          <w:color w:val="auto"/>
        </w:rPr>
        <w:t>Details concerning how we implement our compensation philosophy and structure our compensation programs to meet the objectives of our compensation program are provided in the section titled “Compensation Discussion &amp; Analysis” set forth above in this Proxy Statement. In particular, we discuss how we design performance-based compensation programs and set compensation targets and other objectives to maintain a close correlation between executive pay and Company performance.</w:t>
      </w:r>
    </w:p>
    <w:p>
      <w:pPr>
        <w:spacing w:after="0" w:line="164" w:lineRule="exact"/>
        <w:rPr>
          <w:sz w:val="20"/>
          <w:szCs w:val="20"/>
          <w:color w:val="auto"/>
        </w:rPr>
      </w:pPr>
    </w:p>
    <w:p>
      <w:pPr>
        <w:ind w:left="1260" w:right="439" w:firstLine="648"/>
        <w:spacing w:after="0" w:line="257" w:lineRule="auto"/>
        <w:rPr>
          <w:sz w:val="20"/>
          <w:szCs w:val="20"/>
          <w:color w:val="auto"/>
        </w:rPr>
      </w:pPr>
      <w:r>
        <w:rPr>
          <w:rFonts w:ascii="Arial" w:cs="Arial" w:eastAsia="Arial" w:hAnsi="Arial"/>
          <w:sz w:val="18"/>
          <w:szCs w:val="18"/>
          <w:color w:val="auto"/>
        </w:rPr>
        <w:t>This vote is merely advisory and will not be binding upon the Company, the Board or the Compensation Committee, nor will it create or imply any change in the fiduciary duties of the Board or the Compensation Committee. The Compensation Committee will, however, take into account the outcome of the vote when considering future executive compensation decisions. The Board values constructive dialogue on executive compensation and other significant governance topics with the Company’s stockholders and encourages all stockholders to vote their shares on this important matter.</w:t>
      </w:r>
    </w:p>
    <w:p>
      <w:pPr>
        <w:spacing w:after="0" w:line="182" w:lineRule="exact"/>
        <w:rPr>
          <w:sz w:val="20"/>
          <w:szCs w:val="20"/>
          <w:color w:val="auto"/>
        </w:rPr>
      </w:pPr>
    </w:p>
    <w:p>
      <w:pPr>
        <w:ind w:left="1260" w:right="519" w:firstLine="648"/>
        <w:spacing w:after="0" w:line="262" w:lineRule="auto"/>
        <w:rPr>
          <w:sz w:val="20"/>
          <w:szCs w:val="20"/>
          <w:color w:val="auto"/>
        </w:rPr>
      </w:pPr>
      <w:r>
        <w:rPr>
          <w:rFonts w:ascii="Arial" w:cs="Arial" w:eastAsia="Arial" w:hAnsi="Arial"/>
          <w:sz w:val="18"/>
          <w:szCs w:val="18"/>
          <w:color w:val="auto"/>
        </w:rPr>
        <w:t>The Company’s current policy is to provide stockholders with an opportunity to approve the compensation of the Company’s NEOs each year at the annual meeting of stockholders. Subject to the outcome of Proposal No. 4 below, the next such vote is expected to occur at the 2027 annual meeting of stockholders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149860</wp:posOffset>
            </wp:positionV>
            <wp:extent cx="5212080" cy="11576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12080" cy="1157605"/>
                    </a:xfrm>
                    <a:prstGeom prst="rect">
                      <a:avLst/>
                    </a:prstGeom>
                    <a:noFill/>
                  </pic:spPr>
                </pic:pic>
              </a:graphicData>
            </a:graphic>
          </wp:anchor>
        </w:drawing>
      </w:r>
    </w:p>
    <w:p>
      <w:pPr>
        <w:spacing w:after="0" w:line="29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FFFFFF"/>
        </w:rPr>
        <w:t>BOARD RECOMMENDATION</w:t>
      </w:r>
    </w:p>
    <w:p>
      <w:pPr>
        <w:spacing w:after="0" w:line="266" w:lineRule="exact"/>
        <w:rPr>
          <w:sz w:val="20"/>
          <w:szCs w:val="20"/>
          <w:color w:val="auto"/>
        </w:rPr>
      </w:pPr>
    </w:p>
    <w:p>
      <w:pPr>
        <w:ind w:left="1380" w:right="859"/>
        <w:spacing w:after="0" w:line="296" w:lineRule="auto"/>
        <w:rPr>
          <w:sz w:val="20"/>
          <w:szCs w:val="20"/>
          <w:color w:val="auto"/>
        </w:rPr>
      </w:pPr>
      <w:r>
        <w:rPr>
          <w:rFonts w:ascii="Arial" w:cs="Arial" w:eastAsia="Arial" w:hAnsi="Arial"/>
          <w:sz w:val="18"/>
          <w:szCs w:val="18"/>
          <w:color w:val="FFFFFF"/>
        </w:rPr>
        <w:t>THE BOARD OF DIRECTORS UNANIMOUSLY RECOMMENDS THAT STOCKHOLDERS VOTE “</w:t>
      </w:r>
      <w:r>
        <w:rPr>
          <w:rFonts w:ascii="Arial" w:cs="Arial" w:eastAsia="Arial" w:hAnsi="Arial"/>
          <w:sz w:val="18"/>
          <w:szCs w:val="18"/>
          <w:b w:val="1"/>
          <w:bCs w:val="1"/>
          <w:color w:val="FFFFFF"/>
        </w:rPr>
        <w:t>FOR</w:t>
      </w:r>
      <w:r>
        <w:rPr>
          <w:rFonts w:ascii="Arial" w:cs="Arial" w:eastAsia="Arial" w:hAnsi="Arial"/>
          <w:sz w:val="18"/>
          <w:szCs w:val="18"/>
          <w:color w:val="FFFFFF"/>
        </w:rPr>
        <w:t>” PROPOSAL NO. 3.</w:t>
      </w:r>
    </w:p>
    <w:p>
      <w:pPr>
        <w:spacing w:after="0" w:line="191" w:lineRule="exact"/>
        <w:rPr>
          <w:sz w:val="20"/>
          <w:szCs w:val="20"/>
          <w:color w:val="auto"/>
        </w:rPr>
      </w:pPr>
    </w:p>
    <w:p>
      <w:pPr>
        <w:ind w:left="1380"/>
        <w:spacing w:after="0"/>
        <w:rPr>
          <w:sz w:val="20"/>
          <w:szCs w:val="20"/>
          <w:color w:val="auto"/>
        </w:rPr>
      </w:pPr>
      <w:r>
        <w:rPr>
          <w:rFonts w:ascii="Arial" w:cs="Arial" w:eastAsia="Arial" w:hAnsi="Arial"/>
          <w:sz w:val="18"/>
          <w:szCs w:val="18"/>
          <w:color w:val="FFFFFF"/>
        </w:rPr>
        <w:t>PROXIES SOLICITED BY THE BOARD OF DIRECTORS WILL BE VOTED “</w:t>
      </w:r>
      <w:r>
        <w:rPr>
          <w:rFonts w:ascii="Arial" w:cs="Arial" w:eastAsia="Arial" w:hAnsi="Arial"/>
          <w:sz w:val="18"/>
          <w:szCs w:val="18"/>
          <w:b w:val="1"/>
          <w:bCs w:val="1"/>
          <w:color w:val="FFFFFF"/>
        </w:rPr>
        <w:t>FOR</w:t>
      </w:r>
      <w:r>
        <w:rPr>
          <w:rFonts w:ascii="Arial" w:cs="Arial" w:eastAsia="Arial" w:hAnsi="Arial"/>
          <w:sz w:val="18"/>
          <w:szCs w:val="18"/>
          <w:color w:val="FFFFFF"/>
        </w:rPr>
        <w:t>” PROPOSAL NO.</w:t>
      </w:r>
    </w:p>
    <w:p>
      <w:pPr>
        <w:spacing w:after="0" w:line="27" w:lineRule="exact"/>
        <w:rPr>
          <w:sz w:val="20"/>
          <w:szCs w:val="20"/>
          <w:color w:val="auto"/>
        </w:rPr>
      </w:pPr>
    </w:p>
    <w:p>
      <w:pPr>
        <w:ind w:left="1380"/>
        <w:spacing w:after="0"/>
        <w:rPr>
          <w:sz w:val="20"/>
          <w:szCs w:val="20"/>
          <w:color w:val="auto"/>
        </w:rPr>
      </w:pPr>
      <w:r>
        <w:rPr>
          <w:rFonts w:ascii="Arial" w:cs="Arial" w:eastAsia="Arial" w:hAnsi="Arial"/>
          <w:sz w:val="18"/>
          <w:szCs w:val="18"/>
          <w:color w:val="FFFFFF"/>
        </w:rPr>
        <w:t>3 UNLESS STOCKHOLDERS SPECIFY A CONTRARY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00ABD1"/>
        </w:rPr>
        <w:t>PROPOSAL NO. 4</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ABD1"/>
        </w:rPr>
        <w:t>Advisory Vote on Frequency of Future Advisory Votes on Executive</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ABD1"/>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82" w:lineRule="exact"/>
        <w:rPr>
          <w:sz w:val="20"/>
          <w:szCs w:val="20"/>
          <w:color w:val="auto"/>
        </w:rPr>
      </w:pPr>
    </w:p>
    <w:p>
      <w:pPr>
        <w:ind w:left="1260" w:right="619" w:firstLine="648"/>
        <w:spacing w:after="0" w:line="257" w:lineRule="auto"/>
        <w:rPr>
          <w:sz w:val="20"/>
          <w:szCs w:val="20"/>
          <w:color w:val="auto"/>
        </w:rPr>
      </w:pPr>
      <w:r>
        <w:rPr>
          <w:rFonts w:ascii="Arial" w:cs="Arial" w:eastAsia="Arial" w:hAnsi="Arial"/>
          <w:sz w:val="18"/>
          <w:szCs w:val="18"/>
          <w:color w:val="auto"/>
        </w:rPr>
        <w:t>In accordance with Section 14A of the Exchange Act, the Company requests that our stockholders cast a non-binding, advisory vote regarding the frequency with which we should include in future annual proxy statements a stockholder advisory vote to approve the compensation of our NEOs, similar to Proposal No. 3 above. By voting on this proposal, stockholders may indicate whether they would prefer that the Company provide for such a stockholder advisory vote at future annual meetings every year (“1 year”), every two years (“2 years”) or every three years (“3 years”).</w:t>
      </w:r>
    </w:p>
    <w:p>
      <w:pPr>
        <w:spacing w:after="0" w:line="182" w:lineRule="exact"/>
        <w:rPr>
          <w:sz w:val="20"/>
          <w:szCs w:val="20"/>
          <w:color w:val="auto"/>
        </w:rPr>
      </w:pPr>
    </w:p>
    <w:p>
      <w:pPr>
        <w:ind w:left="1260" w:right="419" w:firstLine="648"/>
        <w:spacing w:after="0" w:line="255" w:lineRule="auto"/>
        <w:rPr>
          <w:sz w:val="20"/>
          <w:szCs w:val="20"/>
          <w:color w:val="auto"/>
        </w:rPr>
      </w:pPr>
      <w:r>
        <w:rPr>
          <w:rFonts w:ascii="Arial" w:cs="Arial" w:eastAsia="Arial" w:hAnsi="Arial"/>
          <w:sz w:val="18"/>
          <w:szCs w:val="18"/>
          <w:color w:val="auto"/>
        </w:rPr>
        <w:t>After careful consideration, the Board determined that providing a stockholder advisory vote to approve the compensation of our NEOs every year is the most appropriate alternative for the Company at this time. In formulating its recommendation, the Board determined that an annual advisory vote on NEO compensation will allow stockholders to provide their direct input on our compensation philosophy, policies and practices as disclosed in the proxy statement on a more timely and consistent basis than if the vote were held less frequently. Additionally, an annual advisory vote on executive compensation is consistent with our policy of seeking regular dialogue with our stockholders on corporate governance matters and our executive compensation philosophy, policies and practices.</w:t>
      </w:r>
    </w:p>
    <w:p>
      <w:pPr>
        <w:spacing w:after="0" w:line="185" w:lineRule="exact"/>
        <w:rPr>
          <w:sz w:val="20"/>
          <w:szCs w:val="20"/>
          <w:color w:val="auto"/>
        </w:rPr>
      </w:pPr>
    </w:p>
    <w:p>
      <w:pPr>
        <w:ind w:left="1260" w:right="439" w:firstLine="648"/>
        <w:spacing w:after="0" w:line="274" w:lineRule="auto"/>
        <w:rPr>
          <w:sz w:val="20"/>
          <w:szCs w:val="20"/>
          <w:color w:val="auto"/>
        </w:rPr>
      </w:pPr>
      <w:r>
        <w:rPr>
          <w:rFonts w:ascii="Arial" w:cs="Arial" w:eastAsia="Arial" w:hAnsi="Arial"/>
          <w:sz w:val="17"/>
          <w:szCs w:val="17"/>
          <w:color w:val="auto"/>
        </w:rPr>
        <w:t>Stockholders of the Company will have the opportunity to specify one of four choices for this proposal: “1 year” for an annual vote (once per year), “2 years” for a biennial vote (once every two years), “3 years” for a triennial vote (once every three years) or abstain. Stockholders are not voting to approve or disapprove of the Board of Directors’ recommendation. Rather, stockholders are being asked to express their preference regarding the frequency of future advisory votes on executive compensation. If none of the frequency options receives majority support, the option receiving the greatest number of votes cast will be considered the frequency recommended by the Company’s stockholders.</w:t>
      </w:r>
    </w:p>
    <w:p>
      <w:pPr>
        <w:spacing w:after="0" w:line="166" w:lineRule="exact"/>
        <w:rPr>
          <w:sz w:val="20"/>
          <w:szCs w:val="20"/>
          <w:color w:val="auto"/>
        </w:rPr>
      </w:pPr>
    </w:p>
    <w:p>
      <w:pPr>
        <w:ind w:left="1260" w:right="519" w:firstLine="648"/>
        <w:spacing w:after="0" w:line="287" w:lineRule="auto"/>
        <w:rPr>
          <w:sz w:val="20"/>
          <w:szCs w:val="20"/>
          <w:color w:val="auto"/>
        </w:rPr>
      </w:pPr>
      <w:r>
        <w:rPr>
          <w:rFonts w:ascii="Arial" w:cs="Arial" w:eastAsia="Arial" w:hAnsi="Arial"/>
          <w:sz w:val="18"/>
          <w:szCs w:val="18"/>
          <w:color w:val="auto"/>
        </w:rPr>
        <w:t>While we intend to carefully consider the voting results of this proposal, this vote is advisory and therefore not binding on the Company, the Compensation Committee or the Board of Directors.</w:t>
      </w:r>
    </w:p>
    <w:p>
      <w:pPr>
        <w:spacing w:after="0" w:line="153" w:lineRule="exact"/>
        <w:rPr>
          <w:sz w:val="20"/>
          <w:szCs w:val="20"/>
          <w:color w:val="auto"/>
        </w:rPr>
      </w:pPr>
    </w:p>
    <w:p>
      <w:pPr>
        <w:ind w:left="1260" w:right="439" w:firstLine="648"/>
        <w:spacing w:after="0" w:line="268" w:lineRule="auto"/>
        <w:rPr>
          <w:sz w:val="20"/>
          <w:szCs w:val="20"/>
          <w:color w:val="auto"/>
        </w:rPr>
      </w:pPr>
      <w:r>
        <w:rPr>
          <w:rFonts w:ascii="Arial" w:cs="Arial" w:eastAsia="Arial" w:hAnsi="Arial"/>
          <w:sz w:val="18"/>
          <w:szCs w:val="18"/>
          <w:color w:val="auto"/>
        </w:rPr>
        <w:t>The next required advisory vote on the frequency of future advisory votes to approve the compensation of our Named Executive Officers (like this Proposal No. 4) will occur no later than our 2032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146050</wp:posOffset>
            </wp:positionV>
            <wp:extent cx="5212080" cy="12941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12080" cy="1294130"/>
                    </a:xfrm>
                    <a:prstGeom prst="rect">
                      <a:avLst/>
                    </a:prstGeom>
                    <a:noFill/>
                  </pic:spPr>
                </pic:pic>
              </a:graphicData>
            </a:graphic>
          </wp:anchor>
        </w:drawing>
      </w:r>
    </w:p>
    <w:p>
      <w:pPr>
        <w:spacing w:after="0" w:line="28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FFFFFF"/>
        </w:rPr>
        <w:t>BOARD RECOMMENDATION</w:t>
      </w:r>
    </w:p>
    <w:p>
      <w:pPr>
        <w:spacing w:after="0" w:line="266" w:lineRule="exact"/>
        <w:rPr>
          <w:sz w:val="20"/>
          <w:szCs w:val="20"/>
          <w:color w:val="auto"/>
        </w:rPr>
      </w:pPr>
    </w:p>
    <w:p>
      <w:pPr>
        <w:ind w:left="1380" w:right="859"/>
        <w:spacing w:after="0" w:line="268" w:lineRule="auto"/>
        <w:rPr>
          <w:sz w:val="20"/>
          <w:szCs w:val="20"/>
          <w:color w:val="auto"/>
        </w:rPr>
      </w:pPr>
      <w:r>
        <w:rPr>
          <w:rFonts w:ascii="Arial" w:cs="Arial" w:eastAsia="Arial" w:hAnsi="Arial"/>
          <w:sz w:val="18"/>
          <w:szCs w:val="18"/>
          <w:color w:val="FFFFFF"/>
        </w:rPr>
        <w:t>THE BOARD OF DIRECTORS UNANIMOUSLY RECOMMENDS THAT STOCKHOLDERS VOTE FOR THE OPTION OF “</w:t>
      </w:r>
      <w:r>
        <w:rPr>
          <w:rFonts w:ascii="Arial" w:cs="Arial" w:eastAsia="Arial" w:hAnsi="Arial"/>
          <w:sz w:val="18"/>
          <w:szCs w:val="18"/>
          <w:b w:val="1"/>
          <w:bCs w:val="1"/>
          <w:color w:val="FFFFFF"/>
        </w:rPr>
        <w:t>1 YEAR”</w:t>
      </w:r>
      <w:r>
        <w:rPr>
          <w:rFonts w:ascii="Arial" w:cs="Arial" w:eastAsia="Arial" w:hAnsi="Arial"/>
          <w:sz w:val="18"/>
          <w:szCs w:val="18"/>
          <w:color w:val="FFFFFF"/>
        </w:rPr>
        <w:t xml:space="preserve"> AS THE FREQUENCY OF FUTURE ADVISORY VOTES ON EXECUTIVE COMPENSATION WITH RESPECT TO PROPOSAL NO. 4.</w:t>
      </w:r>
    </w:p>
    <w:p>
      <w:pPr>
        <w:spacing w:after="0" w:line="225" w:lineRule="exact"/>
        <w:rPr>
          <w:sz w:val="20"/>
          <w:szCs w:val="20"/>
          <w:color w:val="auto"/>
        </w:rPr>
      </w:pPr>
    </w:p>
    <w:p>
      <w:pPr>
        <w:ind w:left="1380" w:right="719"/>
        <w:spacing w:after="0" w:line="328" w:lineRule="auto"/>
        <w:rPr>
          <w:sz w:val="20"/>
          <w:szCs w:val="20"/>
          <w:color w:val="auto"/>
        </w:rPr>
      </w:pPr>
      <w:r>
        <w:rPr>
          <w:rFonts w:ascii="Arial" w:cs="Arial" w:eastAsia="Arial" w:hAnsi="Arial"/>
          <w:sz w:val="17"/>
          <w:szCs w:val="17"/>
          <w:color w:val="FFFFFF"/>
        </w:rPr>
        <w:t>PROXIES SOLICITED BY THE BOARD OF DIRECTORS WILL BE VOTED FOR THE OPTION OF “</w:t>
      </w:r>
      <w:r>
        <w:rPr>
          <w:rFonts w:ascii="Arial" w:cs="Arial" w:eastAsia="Arial" w:hAnsi="Arial"/>
          <w:sz w:val="17"/>
          <w:szCs w:val="17"/>
          <w:b w:val="1"/>
          <w:bCs w:val="1"/>
          <w:color w:val="FFFFFF"/>
        </w:rPr>
        <w:t>1 YEAR”</w:t>
      </w:r>
      <w:r>
        <w:rPr>
          <w:rFonts w:ascii="Arial" w:cs="Arial" w:eastAsia="Arial" w:hAnsi="Arial"/>
          <w:sz w:val="17"/>
          <w:szCs w:val="17"/>
          <w:color w:val="FFFFFF"/>
        </w:rPr>
        <w:t xml:space="preserve"> ON PROPOSAL NO. 4 UNLESS STOCKHOLDERS SPECIFY A CONTRARY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00ABD1"/>
        </w:rPr>
        <w:t>PROPOSAL NO. 5</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ABD1"/>
        </w:rPr>
        <w:t>Ratification of Selection of Independent Registered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4" w:lineRule="exact"/>
        <w:rPr>
          <w:sz w:val="20"/>
          <w:szCs w:val="20"/>
          <w:color w:val="auto"/>
        </w:rPr>
      </w:pPr>
    </w:p>
    <w:p>
      <w:pPr>
        <w:ind w:left="1260" w:right="459" w:firstLine="648"/>
        <w:spacing w:after="0" w:line="246" w:lineRule="auto"/>
        <w:rPr>
          <w:sz w:val="20"/>
          <w:szCs w:val="20"/>
          <w:color w:val="auto"/>
        </w:rPr>
      </w:pPr>
      <w:r>
        <w:rPr>
          <w:rFonts w:ascii="Arial" w:cs="Arial" w:eastAsia="Arial" w:hAnsi="Arial"/>
          <w:sz w:val="18"/>
          <w:szCs w:val="18"/>
          <w:color w:val="auto"/>
        </w:rPr>
        <w:t>The Audit Committee is directly responsible for the appointment, compensation, retention, oversight and replacement of Uniti’s independent registered public accountant. The Audit Committee has selected PricewaterhouseCoopers LLP (“PwC”) to serve as Uniti’s independent registered public accountant for the fiscal year ending December 31, 2026. Stockholders are being asked to ratify the selection of PwC at the Annual Meeting. Representatives of PwC are expected to attend the Annual Meeting and will have an opportunity to make a statement, if they desire to do so, and are expected to be available to respond to appropriate questions.</w:t>
      </w:r>
    </w:p>
    <w:p>
      <w:pPr>
        <w:spacing w:after="0" w:line="175" w:lineRule="exact"/>
        <w:rPr>
          <w:sz w:val="20"/>
          <w:szCs w:val="20"/>
          <w:color w:val="auto"/>
        </w:rPr>
      </w:pPr>
    </w:p>
    <w:p>
      <w:pPr>
        <w:ind w:left="1260" w:right="419" w:firstLine="648"/>
        <w:spacing w:after="0" w:line="256" w:lineRule="auto"/>
        <w:rPr>
          <w:sz w:val="20"/>
          <w:szCs w:val="20"/>
          <w:color w:val="auto"/>
        </w:rPr>
      </w:pPr>
      <w:r>
        <w:rPr>
          <w:rFonts w:ascii="Arial" w:cs="Arial" w:eastAsia="Arial" w:hAnsi="Arial"/>
          <w:sz w:val="18"/>
          <w:szCs w:val="18"/>
          <w:color w:val="auto"/>
        </w:rPr>
        <w:t>In connection with its responsibility for the appointment and oversight of Uniti’s independent registered public accountant, the Audit Committee annually reviews the qualifications, performance and independence of the independent registered public accountant and determines whether to re-engage it or consider other audit firms. The Audit Committee also reviews the performance of the independent registered public accountant’s lead engagement partner and engagement team and confirms compliance with all applicable lead engagement partner rotation requirements. The Audit Committee intends to be involved in the selection process of each new lead engagement partner.</w:t>
      </w:r>
    </w:p>
    <w:p>
      <w:pPr>
        <w:spacing w:after="0" w:line="183" w:lineRule="exact"/>
        <w:rPr>
          <w:sz w:val="20"/>
          <w:szCs w:val="20"/>
          <w:color w:val="auto"/>
        </w:rPr>
      </w:pPr>
    </w:p>
    <w:p>
      <w:pPr>
        <w:ind w:left="1260" w:right="459" w:firstLine="648"/>
        <w:spacing w:after="0" w:line="254" w:lineRule="auto"/>
        <w:rPr>
          <w:sz w:val="20"/>
          <w:szCs w:val="20"/>
          <w:color w:val="auto"/>
        </w:rPr>
      </w:pPr>
      <w:r>
        <w:rPr>
          <w:rFonts w:ascii="Arial" w:cs="Arial" w:eastAsia="Arial" w:hAnsi="Arial"/>
          <w:sz w:val="18"/>
          <w:szCs w:val="18"/>
          <w:color w:val="auto"/>
        </w:rPr>
        <w:t>In performing its annual review of Uniti’s independent registered public accountant, the Audit Committee considers, among other things, the quality and efficiency of the independent registered public accountant’s performance on Uniti’s audit, its familiarity with our operations, businesses, accounting policies and practices, and internal control over financial reporting, its capability and expertise, the quality and candor of communications and discussions with the independent registered public accountant, its ability to remain independent (including engaging in dialogue with the auditor with respect to any disclosed relationships or services that may impact the objectivity and independence of the auditor), external data relating to audit quality and performance (including its most recent PCAOB Inspection Report and its internal and peer review reports of its adherence to quality practices and procedures), and the appropriateness of fees charged.</w:t>
      </w:r>
    </w:p>
    <w:p>
      <w:pPr>
        <w:spacing w:after="0" w:line="185" w:lineRule="exact"/>
        <w:rPr>
          <w:sz w:val="20"/>
          <w:szCs w:val="20"/>
          <w:color w:val="auto"/>
        </w:rPr>
      </w:pPr>
    </w:p>
    <w:p>
      <w:pPr>
        <w:ind w:left="1260" w:right="459" w:firstLine="648"/>
        <w:spacing w:after="0" w:line="259" w:lineRule="auto"/>
        <w:rPr>
          <w:sz w:val="20"/>
          <w:szCs w:val="20"/>
          <w:color w:val="auto"/>
        </w:rPr>
      </w:pPr>
      <w:r>
        <w:rPr>
          <w:rFonts w:ascii="Arial" w:cs="Arial" w:eastAsia="Arial" w:hAnsi="Arial"/>
          <w:sz w:val="18"/>
          <w:szCs w:val="18"/>
          <w:b w:val="1"/>
          <w:bCs w:val="1"/>
          <w:color w:val="auto"/>
        </w:rPr>
        <w:t xml:space="preserve">Effect of Merger. </w:t>
      </w:r>
      <w:r>
        <w:rPr>
          <w:rFonts w:ascii="Arial" w:cs="Arial" w:eastAsia="Arial" w:hAnsi="Arial"/>
          <w:sz w:val="18"/>
          <w:szCs w:val="18"/>
          <w:color w:val="auto"/>
        </w:rPr>
        <w:t>The Merger was accounted for as a reverse merger using the acquisition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method of accounting with Old Uniti treated as the accounting acquirer. Because Old Uniti was treated as the accounting acquirer in the Merger, the disclosure below reflects information about Old Uniti for the periods prior to the Merger (including its change of auditor in 2025 and fees paid to its former auditor in 2024) and the Company for periods after the Merger.</w:t>
      </w:r>
    </w:p>
    <w:p>
      <w:pPr>
        <w:spacing w:after="0" w:line="179" w:lineRule="exact"/>
        <w:rPr>
          <w:sz w:val="20"/>
          <w:szCs w:val="20"/>
          <w:color w:val="auto"/>
        </w:rPr>
      </w:pPr>
    </w:p>
    <w:p>
      <w:pPr>
        <w:ind w:left="1260" w:right="419" w:firstLine="648"/>
        <w:spacing w:after="0" w:line="254" w:lineRule="auto"/>
        <w:rPr>
          <w:sz w:val="20"/>
          <w:szCs w:val="20"/>
          <w:color w:val="auto"/>
        </w:rPr>
      </w:pPr>
      <w:r>
        <w:rPr>
          <w:rFonts w:ascii="Arial" w:cs="Arial" w:eastAsia="Arial" w:hAnsi="Arial"/>
          <w:sz w:val="18"/>
          <w:szCs w:val="18"/>
          <w:b w:val="1"/>
          <w:bCs w:val="1"/>
          <w:color w:val="auto"/>
        </w:rPr>
        <w:t xml:space="preserve">Change in Independent Registered Public Accountant. </w:t>
      </w:r>
      <w:r>
        <w:rPr>
          <w:rFonts w:ascii="Arial" w:cs="Arial" w:eastAsia="Arial" w:hAnsi="Arial"/>
          <w:sz w:val="18"/>
          <w:szCs w:val="18"/>
          <w:color w:val="auto"/>
        </w:rPr>
        <w:t>KPMG LLP (“KPMG”) served as Old</w:t>
      </w:r>
      <w:r>
        <w:rPr>
          <w:rFonts w:ascii="Arial" w:cs="Arial" w:eastAsia="Arial" w:hAnsi="Arial"/>
          <w:sz w:val="18"/>
          <w:szCs w:val="18"/>
          <w:b w:val="1"/>
          <w:bCs w:val="1"/>
          <w:color w:val="auto"/>
        </w:rPr>
        <w:t xml:space="preserve"> </w:t>
      </w:r>
      <w:r>
        <w:rPr>
          <w:rFonts w:ascii="Arial" w:cs="Arial" w:eastAsia="Arial" w:hAnsi="Arial"/>
          <w:sz w:val="18"/>
          <w:szCs w:val="18"/>
          <w:color w:val="auto"/>
        </w:rPr>
        <w:t>Uniti’s independent registered public accounting firm for the fiscal year ended December 31, 2024. On April 21, 2025, Old Uniti’s audit committee (i) approved the dismissal of KPMG as Old Uniti’s independent registered public accounting firm and (ii) approved the appointment of PwC as Old Uniti’s independent registered public accounting firm beginning with the year ending December 31, 2025. PwC continued as the Company’s independent registered public accounting firm after the closing of the Merger. The dismissal of KPMG and appointment of PwC were effective upon filing of Old Uniti’s Quarterly Report on Form 10-Q for the quarter ended March 31, 2025. Upon completion of KPMG’s services, Old Uniti filed an amendment to its Current Report on Form 8-K filed on April 24, 2025 with the specific date of dismissal and an update to the disclosures required by Item 304(a) of Regulation S-K through that date. Representatives of KPMG are not expected to attend the Annual Meeting.</w:t>
      </w:r>
    </w:p>
    <w:p>
      <w:pPr>
        <w:spacing w:after="0" w:line="182" w:lineRule="exact"/>
        <w:rPr>
          <w:sz w:val="20"/>
          <w:szCs w:val="20"/>
          <w:color w:val="auto"/>
        </w:rPr>
      </w:pPr>
    </w:p>
    <w:p>
      <w:pPr>
        <w:ind w:left="1260" w:right="479" w:firstLine="648"/>
        <w:spacing w:after="0" w:line="256" w:lineRule="auto"/>
        <w:rPr>
          <w:sz w:val="20"/>
          <w:szCs w:val="20"/>
          <w:color w:val="auto"/>
        </w:rPr>
      </w:pPr>
      <w:r>
        <w:rPr>
          <w:rFonts w:ascii="Arial" w:cs="Arial" w:eastAsia="Arial" w:hAnsi="Arial"/>
          <w:sz w:val="18"/>
          <w:szCs w:val="18"/>
          <w:color w:val="auto"/>
        </w:rPr>
        <w:t>KPMG’s audit reports as of and for the years ended December 31, 2024 and 2023, contained no adverse opinion or a disclaimer of opinion and were not qualified or modified as to uncertainty, audit scope, or accounting principles. During the years ended December 31, 2024 and 2023 and the subsequent interim period through April 21, 2025, there were (i) no “disagreements” (as​ that term is defined in Item 304(a)(1)(iv) of Regulation S-K) between Old Uniti and KPMG on any matter of accounting principles or practices, financial statement disclosure, or auditing scope or procedure that, if not resolved to the</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79"/>
        <w:spacing w:after="0" w:line="256" w:lineRule="auto"/>
        <w:rPr>
          <w:sz w:val="20"/>
          <w:szCs w:val="20"/>
          <w:color w:val="auto"/>
        </w:rPr>
      </w:pPr>
      <w:r>
        <w:rPr>
          <w:rFonts w:ascii="Arial" w:cs="Arial" w:eastAsia="Arial" w:hAnsi="Arial"/>
          <w:sz w:val="18"/>
          <w:szCs w:val="18"/>
          <w:color w:val="auto"/>
        </w:rPr>
        <w:t>satisfaction of KPMG, would have caused KPMG to make reference to the subject matter of the disagreement in its reports on the financial statements for such years, and (ii) no “reportable events” (as​ that term is defined in Item 304(a)(1)(v) of Regulation S-K), except as disclosed in Old Uniti’s Annual Report on Form 10-K for the fiscal year ended December 31, 2023, Old Uniti identified a material weakness in its internal control over financial reporting related to an insufficient complement of personnel with appropriate technical expertise to perform effective risk assessment related to determining the income tax impact of goodwill impairments.</w:t>
      </w:r>
    </w:p>
    <w:p>
      <w:pPr>
        <w:spacing w:after="0" w:line="183" w:lineRule="exact"/>
        <w:rPr>
          <w:sz w:val="20"/>
          <w:szCs w:val="20"/>
          <w:color w:val="auto"/>
        </w:rPr>
      </w:pPr>
    </w:p>
    <w:p>
      <w:pPr>
        <w:ind w:left="1260" w:right="419" w:firstLine="648"/>
        <w:spacing w:after="0" w:line="253" w:lineRule="auto"/>
        <w:rPr>
          <w:sz w:val="20"/>
          <w:szCs w:val="20"/>
          <w:color w:val="auto"/>
        </w:rPr>
      </w:pPr>
      <w:r>
        <w:rPr>
          <w:rFonts w:ascii="Arial" w:cs="Arial" w:eastAsia="Arial" w:hAnsi="Arial"/>
          <w:sz w:val="18"/>
          <w:szCs w:val="18"/>
          <w:color w:val="auto"/>
        </w:rPr>
        <w:t>During the years ending December 31, 2024 and 2023 and through April 21, 2025, neither Old Uniti, nor anyone on its behalf, consulted PwC regarding either: (i) the application of accounting principles to a specified transaction, either completed or proposed; or the type of audit opinion that might be rendered on the Company’s financial statements; or (ii) any matter that was the subject of a “disagreement” ​(as that term is defined in Item 304(a)(1)(iv) of Regulation S-K) or “reportable event” ​(as that term is defined in Item 304(a)(1)(v) of Regulation S-K). In accordance with Instruction 2 to Item 304 of Regulation S-K, the Company furnished KPMG and PwC a copy of the disclosures required by</w:t>
      </w:r>
    </w:p>
    <w:p>
      <w:pPr>
        <w:spacing w:after="0" w:line="3" w:lineRule="exact"/>
        <w:rPr>
          <w:sz w:val="20"/>
          <w:szCs w:val="20"/>
          <w:color w:val="auto"/>
        </w:rPr>
      </w:pPr>
    </w:p>
    <w:p>
      <w:pPr>
        <w:ind w:left="1260" w:right="459"/>
        <w:spacing w:after="0" w:line="280" w:lineRule="auto"/>
        <w:rPr>
          <w:sz w:val="20"/>
          <w:szCs w:val="20"/>
          <w:color w:val="auto"/>
        </w:rPr>
      </w:pPr>
      <w:r>
        <w:rPr>
          <w:rFonts w:ascii="Arial" w:cs="Arial" w:eastAsia="Arial" w:hAnsi="Arial"/>
          <w:sz w:val="17"/>
          <w:szCs w:val="17"/>
          <w:color w:val="auto"/>
        </w:rPr>
        <w:t>Item 304(a) of Regulation S-K prior to the time this Proxy Statement was filed with the SEC. In the event that KPMG or PwC believed the disclosures were incorrect or incomplete, each was permitted to express its views in a brief statement to be included in this Proxy Statement. Neither submitted such a statement.</w:t>
      </w:r>
    </w:p>
    <w:p>
      <w:pPr>
        <w:spacing w:after="0" w:line="162" w:lineRule="exact"/>
        <w:rPr>
          <w:sz w:val="20"/>
          <w:szCs w:val="20"/>
          <w:color w:val="auto"/>
        </w:rPr>
      </w:pPr>
    </w:p>
    <w:p>
      <w:pPr>
        <w:ind w:left="1260" w:right="479" w:firstLine="648"/>
        <w:spacing w:after="0" w:line="256" w:lineRule="auto"/>
        <w:rPr>
          <w:sz w:val="20"/>
          <w:szCs w:val="20"/>
          <w:color w:val="auto"/>
        </w:rPr>
      </w:pPr>
      <w:r>
        <w:rPr>
          <w:rFonts w:ascii="Arial" w:cs="Arial" w:eastAsia="Arial" w:hAnsi="Arial"/>
          <w:sz w:val="18"/>
          <w:szCs w:val="18"/>
          <w:color w:val="auto"/>
        </w:rPr>
        <w:t>Based on the reviews and considerations referred to above, the Board of Directors and the Audit Committee believe that the retention of PwC to serve as Uniti’s independent registered public accountant for 2026 is in the best interests of Uniti and its stockholders. If the stockholders fail to ratify the appointment of PwC as Uniti’s independent registered public accountant, the Board of Directors will reconsider the appointment. However, even if the selection is ratified, the Audit Committee, in its sole discretion, may change the appointment at any time during the year if it determines that such a change would be in the best interests of Uniti and its stockholders.</w:t>
      </w:r>
    </w:p>
    <w:p>
      <w:pPr>
        <w:spacing w:after="0" w:line="183" w:lineRule="exact"/>
        <w:rPr>
          <w:sz w:val="20"/>
          <w:szCs w:val="20"/>
          <w:color w:val="auto"/>
        </w:rPr>
      </w:pPr>
    </w:p>
    <w:p>
      <w:pPr>
        <w:ind w:left="1260" w:right="779" w:firstLine="648"/>
        <w:spacing w:after="0" w:line="268" w:lineRule="auto"/>
        <w:rPr>
          <w:sz w:val="20"/>
          <w:szCs w:val="20"/>
          <w:color w:val="auto"/>
        </w:rPr>
      </w:pPr>
      <w:r>
        <w:rPr>
          <w:rFonts w:ascii="Arial" w:cs="Arial" w:eastAsia="Arial" w:hAnsi="Arial"/>
          <w:sz w:val="18"/>
          <w:szCs w:val="18"/>
          <w:b w:val="1"/>
          <w:bCs w:val="1"/>
          <w:color w:val="auto"/>
        </w:rPr>
        <w:t xml:space="preserve">Accounting Fees and Services. </w:t>
      </w:r>
      <w:r>
        <w:rPr>
          <w:rFonts w:ascii="Arial" w:cs="Arial" w:eastAsia="Arial" w:hAnsi="Arial"/>
          <w:sz w:val="18"/>
          <w:szCs w:val="18"/>
          <w:color w:val="auto"/>
        </w:rPr>
        <w:t>Aggregate fees paid to PwC and KPMG for professional</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rendered during the years ended December 31, 2025 and December 31, 2024, respectively, were:</w:t>
      </w:r>
    </w:p>
    <w:p>
      <w:pPr>
        <w:spacing w:after="0" w:line="198" w:lineRule="exact"/>
        <w:rPr>
          <w:sz w:val="20"/>
          <w:szCs w:val="20"/>
          <w:color w:val="auto"/>
        </w:rPr>
      </w:pPr>
    </w:p>
    <w:tbl>
      <w:tblPr>
        <w:tblLayout w:type="fixed"/>
        <w:tblInd w:w="1900" w:type="dxa"/>
        <w:tblCellMar>
          <w:top w:w="0" w:type="dxa"/>
          <w:left w:w="0" w:type="dxa"/>
          <w:bottom w:w="0" w:type="dxa"/>
          <w:right w:w="0" w:type="dxa"/>
        </w:tblCellMar>
      </w:tblPr>
      <w:tr>
        <w:trPr>
          <w:trHeight w:val="248"/>
        </w:trPr>
        <w:tc>
          <w:tcPr>
            <w:tcW w:w="47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1"/>
                <w:szCs w:val="21"/>
                <w:color w:val="auto"/>
              </w:rPr>
            </w:pPr>
          </w:p>
        </w:tc>
      </w:tr>
      <w:tr>
        <w:trPr>
          <w:trHeight w:val="251"/>
        </w:trPr>
        <w:tc>
          <w:tcPr>
            <w:tcW w:w="4780" w:type="dxa"/>
            <w:vAlign w:val="bottom"/>
          </w:tcPr>
          <w:p>
            <w:pPr>
              <w:ind w:left="60"/>
              <w:spacing w:after="0"/>
              <w:rPr>
                <w:sz w:val="20"/>
                <w:szCs w:val="20"/>
                <w:color w:val="auto"/>
              </w:rPr>
            </w:pPr>
            <w:r>
              <w:rPr>
                <w:rFonts w:ascii="Arial" w:cs="Arial" w:eastAsia="Arial" w:hAnsi="Arial"/>
                <w:sz w:val="18"/>
                <w:szCs w:val="18"/>
                <w:color w:val="auto"/>
              </w:rPr>
              <w:t>Audit Fees (a)</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​$5,710,000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​$3,152,859</w:t>
            </w:r>
          </w:p>
        </w:tc>
      </w:tr>
      <w:tr>
        <w:trPr>
          <w:trHeight w:val="257"/>
        </w:trPr>
        <w:tc>
          <w:tcPr>
            <w:tcW w:w="4780" w:type="dxa"/>
            <w:vAlign w:val="bottom"/>
            <w:shd w:val="clear" w:color="auto" w:fill="B2B2B2"/>
          </w:tcPr>
          <w:p>
            <w:pPr>
              <w:ind w:left="60"/>
              <w:spacing w:after="0"/>
              <w:rPr>
                <w:sz w:val="20"/>
                <w:szCs w:val="20"/>
                <w:color w:val="auto"/>
              </w:rPr>
            </w:pPr>
            <w:r>
              <w:rPr>
                <w:rFonts w:ascii="Arial" w:cs="Arial" w:eastAsia="Arial" w:hAnsi="Arial"/>
                <w:sz w:val="18"/>
                <w:szCs w:val="18"/>
                <w:color w:val="auto"/>
              </w:rPr>
              <w:t>Audit-Related Fees (b)</w:t>
            </w:r>
          </w:p>
        </w:tc>
        <w:tc>
          <w:tcPr>
            <w:tcW w:w="200" w:type="dxa"/>
            <w:vAlign w:val="bottom"/>
            <w:shd w:val="clear" w:color="auto" w:fill="B2B2B2"/>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B2B2B2"/>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585,472</w:t>
            </w:r>
          </w:p>
        </w:tc>
      </w:tr>
      <w:tr>
        <w:trPr>
          <w:trHeight w:val="257"/>
        </w:trPr>
        <w:tc>
          <w:tcPr>
            <w:tcW w:w="4780" w:type="dxa"/>
            <w:vAlign w:val="bottom"/>
          </w:tcPr>
          <w:p>
            <w:pPr>
              <w:ind w:left="60"/>
              <w:spacing w:after="0"/>
              <w:rPr>
                <w:sz w:val="20"/>
                <w:szCs w:val="20"/>
                <w:color w:val="auto"/>
              </w:rPr>
            </w:pPr>
            <w:r>
              <w:rPr>
                <w:rFonts w:ascii="Arial" w:cs="Arial" w:eastAsia="Arial" w:hAnsi="Arial"/>
                <w:sz w:val="18"/>
                <w:szCs w:val="18"/>
                <w:color w:val="auto"/>
              </w:rPr>
              <w:t>Tax Fees (c)</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780" w:type="dxa"/>
            <w:vAlign w:val="bottom"/>
            <w:shd w:val="clear" w:color="auto" w:fill="B2B2B2"/>
          </w:tcPr>
          <w:p>
            <w:pPr>
              <w:ind w:left="60"/>
              <w:spacing w:after="0"/>
              <w:rPr>
                <w:sz w:val="20"/>
                <w:szCs w:val="20"/>
                <w:color w:val="auto"/>
              </w:rPr>
            </w:pPr>
            <w:r>
              <w:rPr>
                <w:rFonts w:ascii="Arial" w:cs="Arial" w:eastAsia="Arial" w:hAnsi="Arial"/>
                <w:sz w:val="18"/>
                <w:szCs w:val="18"/>
                <w:color w:val="auto"/>
              </w:rPr>
              <w:t>All Other Fees (d)</w:t>
            </w:r>
          </w:p>
        </w:tc>
        <w:tc>
          <w:tcPr>
            <w:tcW w:w="200" w:type="dxa"/>
            <w:vAlign w:val="bottom"/>
            <w:shd w:val="clear" w:color="auto" w:fill="B2B2B2"/>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B2B2B2"/>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201,800</w:t>
            </w:r>
          </w:p>
        </w:tc>
      </w:tr>
      <w:tr>
        <w:trPr>
          <w:trHeight w:val="301"/>
        </w:trPr>
        <w:tc>
          <w:tcPr>
            <w:tcW w:w="4780" w:type="dxa"/>
            <w:vAlign w:val="bottom"/>
          </w:tcPr>
          <w:p>
            <w:pPr>
              <w:ind w:left="60"/>
              <w:spacing w:after="0"/>
              <w:rPr>
                <w:sz w:val="20"/>
                <w:szCs w:val="20"/>
                <w:color w:val="auto"/>
              </w:rPr>
            </w:pPr>
            <w:r>
              <w:rPr>
                <w:rFonts w:ascii="Arial" w:cs="Arial" w:eastAsia="Arial" w:hAnsi="Arial"/>
                <w:sz w:val="18"/>
                <w:szCs w:val="18"/>
                <w:color w:val="auto"/>
              </w:rPr>
              <w:t>Total</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​$5,816,000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​$3,940,131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1211580</wp:posOffset>
            </wp:positionH>
            <wp:positionV relativeFrom="paragraph">
              <wp:posOffset>125730</wp:posOffset>
            </wp:positionV>
            <wp:extent cx="123444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41" w:lineRule="exact"/>
        <w:rPr>
          <w:sz w:val="20"/>
          <w:szCs w:val="20"/>
          <w:color w:val="auto"/>
        </w:rPr>
      </w:pPr>
    </w:p>
    <w:p>
      <w:pPr>
        <w:jc w:val="both"/>
        <w:ind w:left="2560" w:right="719" w:hanging="652"/>
        <w:spacing w:after="0" w:line="268" w:lineRule="auto"/>
        <w:tabs>
          <w:tab w:leader="none" w:pos="25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Audit fees include fees for the annual audit and quarterly reviews of the consolidated financial statements, as well as consents in respect to SEC filings and comfort letters associated with the Company.</w:t>
      </w:r>
    </w:p>
    <w:p>
      <w:pPr>
        <w:spacing w:after="0" w:line="170" w:lineRule="exact"/>
        <w:rPr>
          <w:rFonts w:ascii="Arial" w:cs="Arial" w:eastAsia="Arial" w:hAnsi="Arial"/>
          <w:sz w:val="18"/>
          <w:szCs w:val="18"/>
          <w:color w:val="auto"/>
        </w:rPr>
      </w:pPr>
    </w:p>
    <w:p>
      <w:pPr>
        <w:ind w:left="2560" w:right="539" w:hanging="652"/>
        <w:spacing w:after="0" w:line="262" w:lineRule="auto"/>
        <w:tabs>
          <w:tab w:leader="none" w:pos="25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Audit-related fees include fees for assurance and related services that are reasonably related to the performance of the audit or review of the registrant’s financial statements, accounting and financial reporting consultations and comfort letters associated with Windstream for periods following the Merger.</w:t>
      </w:r>
    </w:p>
    <w:p>
      <w:pPr>
        <w:spacing w:after="0" w:line="176" w:lineRule="exact"/>
        <w:rPr>
          <w:rFonts w:ascii="Arial" w:cs="Arial" w:eastAsia="Arial" w:hAnsi="Arial"/>
          <w:sz w:val="18"/>
          <w:szCs w:val="18"/>
          <w:color w:val="auto"/>
        </w:rPr>
      </w:pPr>
    </w:p>
    <w:p>
      <w:pPr>
        <w:ind w:left="2560" w:right="1159" w:hanging="652"/>
        <w:spacing w:after="0" w:line="287" w:lineRule="auto"/>
        <w:tabs>
          <w:tab w:leader="none" w:pos="25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Tax fees include professional services rendered in connection with international compliance matters.</w:t>
      </w:r>
    </w:p>
    <w:p>
      <w:pPr>
        <w:spacing w:after="0" w:line="152" w:lineRule="exact"/>
        <w:rPr>
          <w:rFonts w:ascii="Arial" w:cs="Arial" w:eastAsia="Arial" w:hAnsi="Arial"/>
          <w:sz w:val="18"/>
          <w:szCs w:val="18"/>
          <w:color w:val="auto"/>
        </w:rPr>
      </w:pPr>
    </w:p>
    <w:p>
      <w:pPr>
        <w:ind w:left="2560" w:right="639" w:hanging="652"/>
        <w:spacing w:after="0" w:line="287" w:lineRule="auto"/>
        <w:tabs>
          <w:tab w:leader="none" w:pos="25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other fees include, for 2025, certain licensing fees for PwC software programs and, for 2024, agreed upon procedures related to the 2025 ABS transaction.</w:t>
      </w:r>
    </w:p>
    <w:p>
      <w:pPr>
        <w:spacing w:after="0" w:line="34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59" w:firstLine="648"/>
        <w:spacing w:after="0" w:line="271" w:lineRule="auto"/>
        <w:rPr>
          <w:sz w:val="20"/>
          <w:szCs w:val="20"/>
          <w:color w:val="auto"/>
        </w:rPr>
      </w:pPr>
      <w:r>
        <w:rPr>
          <w:rFonts w:ascii="Arial" w:cs="Arial" w:eastAsia="Arial" w:hAnsi="Arial"/>
          <w:sz w:val="17"/>
          <w:szCs w:val="17"/>
          <w:color w:val="auto"/>
        </w:rPr>
        <w:t xml:space="preserve">The Audit Committee has the sole authority to pre-approve all audit engagement fees and terms as well as all non-audit engagements with the Company’s independent registered public accountant. In 2025, for periods following the closing of the Merger, all of the above services (provided by PwC) were pre-approved by the Audit Committee of the Company in accordance with this pre-approval policy and none were approved pursuant to the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exception provided in Rule 2-01(c)(7)(i)(C) of Regulation S-X promulgated by the SEC. In 2025, for periods before the closing of the Merger, and 2024, all of the above services (provided by PwC and KPMG) were pre-approved by Old Uniti’s Audit Committee in accordance with its pre-approval policy and none were approved pursuant to the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minimis </w:t>
      </w:r>
      <w:r>
        <w:rPr>
          <w:rFonts w:ascii="Arial" w:cs="Arial" w:eastAsia="Arial" w:hAnsi="Arial"/>
          <w:sz w:val="17"/>
          <w:szCs w:val="17"/>
          <w:color w:val="auto"/>
        </w:rPr>
        <w:t>exception provided in Rule 2-01(c)(7)(i)(C) of Regulation S-X promulgated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147955</wp:posOffset>
            </wp:positionV>
            <wp:extent cx="5212080" cy="11576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212080" cy="1157605"/>
                    </a:xfrm>
                    <a:prstGeom prst="rect">
                      <a:avLst/>
                    </a:prstGeom>
                    <a:noFill/>
                  </pic:spPr>
                </pic:pic>
              </a:graphicData>
            </a:graphic>
          </wp:anchor>
        </w:drawing>
      </w:r>
    </w:p>
    <w:p>
      <w:pPr>
        <w:spacing w:after="0" w:line="28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FFFFFF"/>
        </w:rPr>
        <w:t>BOARD RECOMMENDATION</w:t>
      </w:r>
    </w:p>
    <w:p>
      <w:pPr>
        <w:spacing w:after="0" w:line="266" w:lineRule="exact"/>
        <w:rPr>
          <w:sz w:val="20"/>
          <w:szCs w:val="20"/>
          <w:color w:val="auto"/>
        </w:rPr>
      </w:pPr>
    </w:p>
    <w:p>
      <w:pPr>
        <w:ind w:left="1380" w:right="859"/>
        <w:spacing w:after="0" w:line="296" w:lineRule="auto"/>
        <w:rPr>
          <w:sz w:val="20"/>
          <w:szCs w:val="20"/>
          <w:color w:val="auto"/>
        </w:rPr>
      </w:pPr>
      <w:r>
        <w:rPr>
          <w:rFonts w:ascii="Arial" w:cs="Arial" w:eastAsia="Arial" w:hAnsi="Arial"/>
          <w:sz w:val="18"/>
          <w:szCs w:val="18"/>
          <w:color w:val="FFFFFF"/>
        </w:rPr>
        <w:t>THE BOARD OF DIRECTORS UNANIMOUSLY RECOMMENDS THAT STOCKHOLDERS VOTE “</w:t>
      </w:r>
      <w:r>
        <w:rPr>
          <w:rFonts w:ascii="Arial" w:cs="Arial" w:eastAsia="Arial" w:hAnsi="Arial"/>
          <w:sz w:val="18"/>
          <w:szCs w:val="18"/>
          <w:b w:val="1"/>
          <w:bCs w:val="1"/>
          <w:color w:val="FFFFFF"/>
        </w:rPr>
        <w:t>FOR</w:t>
      </w:r>
      <w:r>
        <w:rPr>
          <w:rFonts w:ascii="Arial" w:cs="Arial" w:eastAsia="Arial" w:hAnsi="Arial"/>
          <w:sz w:val="18"/>
          <w:szCs w:val="18"/>
          <w:color w:val="FFFFFF"/>
        </w:rPr>
        <w:t>” PROPOSAL NO. 5.</w:t>
      </w:r>
    </w:p>
    <w:p>
      <w:pPr>
        <w:spacing w:after="0" w:line="191" w:lineRule="exact"/>
        <w:rPr>
          <w:sz w:val="20"/>
          <w:szCs w:val="20"/>
          <w:color w:val="auto"/>
        </w:rPr>
      </w:pPr>
    </w:p>
    <w:p>
      <w:pPr>
        <w:ind w:left="1380"/>
        <w:spacing w:after="0"/>
        <w:rPr>
          <w:sz w:val="20"/>
          <w:szCs w:val="20"/>
          <w:color w:val="auto"/>
        </w:rPr>
      </w:pPr>
      <w:r>
        <w:rPr>
          <w:rFonts w:ascii="Arial" w:cs="Arial" w:eastAsia="Arial" w:hAnsi="Arial"/>
          <w:sz w:val="18"/>
          <w:szCs w:val="18"/>
          <w:color w:val="FFFFFF"/>
        </w:rPr>
        <w:t>PROXIES SOLICITED BY THE BOARD OF DIRECTORS WILL BE VOTED “</w:t>
      </w:r>
      <w:r>
        <w:rPr>
          <w:rFonts w:ascii="Arial" w:cs="Arial" w:eastAsia="Arial" w:hAnsi="Arial"/>
          <w:sz w:val="18"/>
          <w:szCs w:val="18"/>
          <w:b w:val="1"/>
          <w:bCs w:val="1"/>
          <w:color w:val="FFFFFF"/>
        </w:rPr>
        <w:t>FOR</w:t>
      </w:r>
      <w:r>
        <w:rPr>
          <w:rFonts w:ascii="Arial" w:cs="Arial" w:eastAsia="Arial" w:hAnsi="Arial"/>
          <w:sz w:val="18"/>
          <w:szCs w:val="18"/>
          <w:color w:val="FFFFFF"/>
        </w:rPr>
        <w:t>” PROPOSAL NO.</w:t>
      </w:r>
    </w:p>
    <w:p>
      <w:pPr>
        <w:spacing w:after="0" w:line="27" w:lineRule="exact"/>
        <w:rPr>
          <w:sz w:val="20"/>
          <w:szCs w:val="20"/>
          <w:color w:val="auto"/>
        </w:rPr>
      </w:pPr>
    </w:p>
    <w:p>
      <w:pPr>
        <w:ind w:left="1380"/>
        <w:spacing w:after="0"/>
        <w:rPr>
          <w:sz w:val="20"/>
          <w:szCs w:val="20"/>
          <w:color w:val="auto"/>
        </w:rPr>
      </w:pPr>
      <w:r>
        <w:rPr>
          <w:rFonts w:ascii="Arial" w:cs="Arial" w:eastAsia="Arial" w:hAnsi="Arial"/>
          <w:sz w:val="18"/>
          <w:szCs w:val="18"/>
          <w:color w:val="FFFFFF"/>
        </w:rPr>
        <w:t>5 UNLESS STOCKHOLDERS SPECIFY A CONTRARY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00ABD1"/>
        </w:rPr>
        <w:t>ADDITIONAL INFORMATION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Stockholder Proposals for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52120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0" w:lineRule="exact"/>
        <w:rPr>
          <w:sz w:val="20"/>
          <w:szCs w:val="20"/>
          <w:color w:val="auto"/>
        </w:rPr>
      </w:pPr>
    </w:p>
    <w:p>
      <w:pPr>
        <w:ind w:left="1260" w:right="479" w:firstLine="648"/>
        <w:spacing w:after="0" w:line="244" w:lineRule="auto"/>
        <w:rPr>
          <w:sz w:val="20"/>
          <w:szCs w:val="20"/>
          <w:color w:val="auto"/>
        </w:rPr>
      </w:pPr>
      <w:r>
        <w:rPr>
          <w:rFonts w:ascii="Arial" w:cs="Arial" w:eastAsia="Arial" w:hAnsi="Arial"/>
          <w:sz w:val="18"/>
          <w:szCs w:val="18"/>
          <w:color w:val="auto"/>
        </w:rPr>
        <w:t>Stockholders who intend to present a proposal regarding a director nomination or other matter of business at the 2027 Annual Meeting must ensure that those proposals are received at Uniti’s principal executive office located at 2101 Riverfront Drive, Suite A, Little Rock, Arkansas 72202, Attention: Daniel L. Heard, Senior Executive Vice President, General Counsel &amp; Secretary, no earlier than December 22, 2026 and no later than 5:00 p.m., Central Time, on January 21, 2027. Such proposals must comply with the information and other requirements set forth in Uniti’s bylaws and, if intended to be included in the proxy statement for the 2027 Annual Meeting, must also meet the requirements set forth in the rules and regulations of the SEC.</w:t>
      </w:r>
    </w:p>
    <w:p>
      <w:pPr>
        <w:spacing w:after="0" w:line="193" w:lineRule="exact"/>
        <w:rPr>
          <w:sz w:val="20"/>
          <w:szCs w:val="20"/>
          <w:color w:val="auto"/>
        </w:rPr>
      </w:pPr>
    </w:p>
    <w:p>
      <w:pPr>
        <w:jc w:val="both"/>
        <w:ind w:left="1260" w:right="819" w:firstLine="648"/>
        <w:spacing w:after="0" w:line="252" w:lineRule="auto"/>
        <w:rPr>
          <w:sz w:val="20"/>
          <w:szCs w:val="20"/>
          <w:color w:val="auto"/>
        </w:rPr>
      </w:pPr>
      <w:r>
        <w:rPr>
          <w:rFonts w:ascii="Arial" w:cs="Arial" w:eastAsia="Arial" w:hAnsi="Arial"/>
          <w:sz w:val="18"/>
          <w:szCs w:val="18"/>
          <w:color w:val="auto"/>
        </w:rPr>
        <w:t>Stockholder proposals submitted pursuant to Exchange Act Rule 14a-8 to be included in the proxy statement and presented at the 2027 Annual Meeting must be received by Uniti at its principal executive office on or before December 22, 2026 in order to be considered for inclusion in the proxy materials.</w:t>
      </w:r>
    </w:p>
    <w:p>
      <w:pPr>
        <w:spacing w:after="0" w:line="170" w:lineRule="exact"/>
        <w:rPr>
          <w:sz w:val="20"/>
          <w:szCs w:val="20"/>
          <w:color w:val="auto"/>
        </w:rPr>
      </w:pPr>
    </w:p>
    <w:p>
      <w:pPr>
        <w:ind w:left="1260" w:right="559" w:firstLine="648"/>
        <w:spacing w:after="0" w:line="252" w:lineRule="auto"/>
        <w:rPr>
          <w:sz w:val="20"/>
          <w:szCs w:val="20"/>
          <w:color w:val="auto"/>
        </w:rPr>
      </w:pPr>
      <w:r>
        <w:rPr>
          <w:rFonts w:ascii="Arial" w:cs="Arial" w:eastAsia="Arial" w:hAnsi="Arial"/>
          <w:sz w:val="18"/>
          <w:szCs w:val="18"/>
          <w:color w:val="auto"/>
        </w:rPr>
        <w:t>In addition to satisfying the requirements in the Company’s bylaws, to comply with the universal proxy rules, stockholders who intend to solicit proxies in support of director nominees other than the Company’s nominees must provide notice that sets forth the information required by Exchange Act Rule 14a-19 no later than March 22, 2027.</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Stockholder Communications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0" w:lineRule="exact"/>
        <w:rPr>
          <w:sz w:val="20"/>
          <w:szCs w:val="20"/>
          <w:color w:val="auto"/>
        </w:rPr>
      </w:pPr>
    </w:p>
    <w:p>
      <w:pPr>
        <w:ind w:left="1260" w:right="479" w:firstLine="648"/>
        <w:spacing w:after="0" w:line="263" w:lineRule="auto"/>
        <w:rPr>
          <w:sz w:val="20"/>
          <w:szCs w:val="20"/>
          <w:color w:val="auto"/>
        </w:rPr>
      </w:pPr>
      <w:r>
        <w:rPr>
          <w:rFonts w:ascii="Arial" w:cs="Arial" w:eastAsia="Arial" w:hAnsi="Arial"/>
          <w:sz w:val="17"/>
          <w:szCs w:val="17"/>
          <w:color w:val="auto"/>
        </w:rPr>
        <w:t>Stockholders and other interested parties may contact the Board of Directors, a Board Committee, a particular group of directors (e.g., our independent directors), or individual members of the board, including our Chairman, by mail addressed to the named individual, the committee, the group or the Board as a whole c/o Daniel L. Heard, Senior Executive Vice President, General Counsel &amp; Secretary, at 2101 Riverfront Drive, Suite A, Little Rock, Arkansas 72202. In general, any communication delivered to the Company for forwarding to the Board, a Board committee, a particular group of directors or specified Board members will be forwarded in accordance with the stockholder’s instruction, except that we reserve the right not to forward any abusive, threatening or otherwise inappropriate materials.</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52120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0" w:lineRule="exact"/>
        <w:rPr>
          <w:sz w:val="20"/>
          <w:szCs w:val="20"/>
          <w:color w:val="auto"/>
        </w:rPr>
      </w:pPr>
    </w:p>
    <w:p>
      <w:pPr>
        <w:ind w:left="1260"/>
        <w:spacing w:after="0"/>
        <w:rPr>
          <w:sz w:val="20"/>
          <w:szCs w:val="20"/>
          <w:color w:val="auto"/>
        </w:rPr>
      </w:pPr>
      <w:r>
        <w:rPr>
          <w:rFonts w:ascii="Arial" w:cs="Arial" w:eastAsia="Arial" w:hAnsi="Arial"/>
          <w:sz w:val="18"/>
          <w:szCs w:val="18"/>
          <w:color w:val="00ABD1"/>
        </w:rPr>
        <w:t>Stockholder Agreements</w:t>
      </w:r>
    </w:p>
    <w:p>
      <w:pPr>
        <w:spacing w:after="0" w:line="225" w:lineRule="exact"/>
        <w:rPr>
          <w:sz w:val="20"/>
          <w:szCs w:val="20"/>
          <w:color w:val="auto"/>
        </w:rPr>
      </w:pPr>
    </w:p>
    <w:p>
      <w:pPr>
        <w:jc w:val="both"/>
        <w:ind w:left="1260" w:right="1039" w:firstLine="648"/>
        <w:spacing w:after="0" w:line="276" w:lineRule="auto"/>
        <w:rPr>
          <w:sz w:val="20"/>
          <w:szCs w:val="20"/>
          <w:color w:val="auto"/>
        </w:rPr>
      </w:pPr>
      <w:r>
        <w:rPr>
          <w:rFonts w:ascii="Arial" w:cs="Arial" w:eastAsia="Arial" w:hAnsi="Arial"/>
          <w:sz w:val="17"/>
          <w:szCs w:val="17"/>
          <w:color w:val="auto"/>
        </w:rPr>
        <w:t>At the closing of the Merger, the Elliott Stockholders and certain Other Stockholders each entered into the Stockholder Agreements with the Company. Under the Stockholder Agreements,</w:t>
      </w:r>
    </w:p>
    <w:p>
      <w:pPr>
        <w:ind w:left="1520" w:hanging="260"/>
        <w:spacing w:after="0"/>
        <w:tabs>
          <w:tab w:leader="none" w:pos="15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Elliott has the right, subject to certain requirements to select a number of director designees equal to</w:t>
      </w:r>
    </w:p>
    <w:p>
      <w:pPr>
        <w:spacing w:after="0" w:line="20" w:lineRule="exact"/>
        <w:rPr>
          <w:rFonts w:ascii="Arial" w:cs="Arial" w:eastAsia="Arial" w:hAnsi="Arial"/>
          <w:sz w:val="17"/>
          <w:szCs w:val="17"/>
          <w:color w:val="auto"/>
        </w:rPr>
      </w:pPr>
    </w:p>
    <w:p>
      <w:pPr>
        <w:ind w:left="1260" w:right="439"/>
        <w:spacing w:after="0" w:line="251" w:lineRule="auto"/>
        <w:rPr>
          <w:rFonts w:ascii="Arial" w:cs="Arial" w:eastAsia="Arial" w:hAnsi="Arial"/>
          <w:sz w:val="17"/>
          <w:szCs w:val="17"/>
          <w:color w:val="auto"/>
        </w:rPr>
      </w:pPr>
      <w:r>
        <w:rPr>
          <w:rFonts w:ascii="Arial" w:cs="Arial" w:eastAsia="Arial" w:hAnsi="Arial"/>
          <w:sz w:val="18"/>
          <w:szCs w:val="18"/>
          <w:color w:val="auto"/>
        </w:rPr>
        <w:t>(1) two (or, in the event the number of directors on the Board of Directors of the Company is greater than nine, a number that would result in the number of designees representing 20% of the directors then comprising the Board of Directors), for so long as Elliott and its controlled affiliates collectively beneficially own at least 50% of the shares the Company’s common stock that they held as of the date of the Stockholder Agreements (inclusive of shares of common stock issued or issuable in connection with the exercise of Company warrants and shares of common stock issued in connection with the redemption, repurchase or conversion of any shares of Company preferred stock) and (2) one (or, in the event the number of directors on the Board of Directors is greater than nine, a number that would result in the number of designees representing 10% of the directors then comprising the Board of Directors), for so long as Elliott and its controlled affiliates collectively beneficially own at least 25% but less than 50% of such shares of the Company common stock they held as of the date of the Stockholder Agreements (inclusive of shares of common stock issued or issuable in connection with the exercise of Company warrants and shares of common stock issued in connection with the redemption, repurchase or conversion of any shares of Company preferred stock) and (b) the Other Stockholders have the right to select a non-voting observer to attend and participate in meetings of</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91" w:lineRule="auto"/>
        <w:rPr>
          <w:sz w:val="20"/>
          <w:szCs w:val="20"/>
          <w:color w:val="auto"/>
        </w:rPr>
      </w:pPr>
      <w:r>
        <w:rPr>
          <w:rFonts w:ascii="Arial" w:cs="Arial" w:eastAsia="Arial" w:hAnsi="Arial"/>
          <w:sz w:val="17"/>
          <w:szCs w:val="17"/>
          <w:color w:val="auto"/>
        </w:rPr>
        <w:t>Board of Directors, subject to certain of the Other Stockholders’ affiliates holding at least 5% of the issued and outstanding common stock on a fully-diluted basis (including treating Company warrants on an as-exercised basis) at the closing of the Merger and continuing to hold a certain amount of Company equity.</w:t>
      </w:r>
    </w:p>
    <w:p>
      <w:pPr>
        <w:spacing w:after="0" w:line="153" w:lineRule="exact"/>
        <w:rPr>
          <w:sz w:val="20"/>
          <w:szCs w:val="20"/>
          <w:color w:val="auto"/>
        </w:rPr>
      </w:pPr>
    </w:p>
    <w:p>
      <w:pPr>
        <w:ind w:left="1260" w:right="439" w:firstLine="648"/>
        <w:spacing w:after="0" w:line="255" w:lineRule="auto"/>
        <w:rPr>
          <w:sz w:val="20"/>
          <w:szCs w:val="20"/>
          <w:color w:val="auto"/>
        </w:rPr>
      </w:pPr>
      <w:r>
        <w:rPr>
          <w:rFonts w:ascii="Arial" w:cs="Arial" w:eastAsia="Arial" w:hAnsi="Arial"/>
          <w:sz w:val="18"/>
          <w:szCs w:val="18"/>
          <w:color w:val="auto"/>
        </w:rPr>
        <w:t>In addition, the Elliott Stockholders and Other Stockholders have each entered into customary standstill and confidentiality arrangements. The standstill will terminate on the later of (i) one year after the date of the Stockholder Agreement and (ii) 30 days following the date that (a) in the case of the Elliott Stockholders, Elliott has neither one of its designees serving on the New Uniti Board nor a right to select a director designee and (b) in the case of the Other Stockholders, the Other Stockholders are no longer entitled to select a board observer. The Elliott Stockholders and Other Stockholders also agreed to customary lock-ups, pursuant to which the Elliott Stockholders and Other Stockholders would not, subject to certain exceptions, transfer any equity securities of New Uniti for six months after the date of the closing of the Merger.</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color w:val="00ABD1"/>
        </w:rPr>
        <w:t>Registration Rights Agreement</w:t>
      </w:r>
    </w:p>
    <w:p>
      <w:pPr>
        <w:spacing w:after="0" w:line="225" w:lineRule="exact"/>
        <w:rPr>
          <w:sz w:val="20"/>
          <w:szCs w:val="20"/>
          <w:color w:val="auto"/>
        </w:rPr>
      </w:pPr>
    </w:p>
    <w:p>
      <w:pPr>
        <w:ind w:left="1260" w:right="659" w:firstLine="648"/>
        <w:spacing w:after="0" w:line="274" w:lineRule="auto"/>
        <w:rPr>
          <w:sz w:val="20"/>
          <w:szCs w:val="20"/>
          <w:color w:val="auto"/>
        </w:rPr>
      </w:pPr>
      <w:r>
        <w:rPr>
          <w:rFonts w:ascii="Arial" w:cs="Arial" w:eastAsia="Arial" w:hAnsi="Arial"/>
          <w:sz w:val="17"/>
          <w:szCs w:val="17"/>
          <w:color w:val="auto"/>
        </w:rPr>
        <w:t>In connection with closing of the Merger, the Company entered into a registration rights agreement with the Elliott Stockholders and Other Stockholders (the “Registration Rights Agreement”). Pursuant to the Registration Rights Agreement, the Elliott Stockholders and Other Stockholders have customary piggyback and demand rights, with demands limited to two per entity and an additional four per holder as shelf takedowns, subject to increases in connection with certain redemptions or repurchases of the Company preferred stock settled in shares of Company common stock. The Registration Rights Agreement includes customary cooperation and indemnification provisions.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color w:val="00ABD1"/>
        </w:rPr>
        <w:t>Procedures for Approval of Related-Party Transactions</w:t>
      </w:r>
    </w:p>
    <w:p>
      <w:pPr>
        <w:spacing w:after="0" w:line="225" w:lineRule="exact"/>
        <w:rPr>
          <w:sz w:val="20"/>
          <w:szCs w:val="20"/>
          <w:color w:val="auto"/>
        </w:rPr>
      </w:pPr>
    </w:p>
    <w:p>
      <w:pPr>
        <w:ind w:left="1260" w:right="419" w:firstLine="648"/>
        <w:spacing w:after="0" w:line="256" w:lineRule="auto"/>
        <w:rPr>
          <w:sz w:val="20"/>
          <w:szCs w:val="20"/>
          <w:color w:val="auto"/>
        </w:rPr>
      </w:pPr>
      <w:r>
        <w:rPr>
          <w:rFonts w:ascii="Arial" w:cs="Arial" w:eastAsia="Arial" w:hAnsi="Arial"/>
          <w:sz w:val="18"/>
          <w:szCs w:val="18"/>
          <w:color w:val="auto"/>
        </w:rPr>
        <w:t>The Board of Directors adopted a written policy regarding the review and approval of any related-party transaction required to be disclosed under SEC rules. The Audit Committee of the Board of Directors is responsible for the review and approval of transactions covered by the policy. As provided in the policy, no related-party transaction will be approved unless the transaction is determined to have terms comparable to those that could be obtained in an arm’s length transaction with an unrelated third party or is otherwise determined to be fair and in the best interests of the Company to enter into such transaction.</w:t>
      </w:r>
    </w:p>
    <w:p>
      <w:pPr>
        <w:spacing w:after="0" w:line="183" w:lineRule="exact"/>
        <w:rPr>
          <w:sz w:val="20"/>
          <w:szCs w:val="20"/>
          <w:color w:val="auto"/>
        </w:rPr>
      </w:pPr>
    </w:p>
    <w:p>
      <w:pPr>
        <w:ind w:left="1260" w:right="439" w:firstLine="648"/>
        <w:spacing w:after="0" w:line="287" w:lineRule="auto"/>
        <w:rPr>
          <w:sz w:val="20"/>
          <w:szCs w:val="20"/>
          <w:color w:val="auto"/>
        </w:rPr>
      </w:pPr>
      <w:r>
        <w:rPr>
          <w:rFonts w:ascii="Arial" w:cs="Arial" w:eastAsia="Arial" w:hAnsi="Arial"/>
          <w:sz w:val="18"/>
          <w:szCs w:val="18"/>
          <w:color w:val="auto"/>
        </w:rPr>
        <w:t>Except as noted above, there were no commercial transactions between related parties and Uniti that required disclosure in this Proxy Statement.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13" w:lineRule="exact"/>
        <w:rPr>
          <w:sz w:val="20"/>
          <w:szCs w:val="20"/>
          <w:color w:val="auto"/>
        </w:rPr>
      </w:pPr>
    </w:p>
    <w:p>
      <w:pPr>
        <w:jc w:val="both"/>
        <w:ind w:left="1260" w:right="419" w:firstLine="648"/>
        <w:spacing w:after="0" w:line="259" w:lineRule="auto"/>
        <w:rPr>
          <w:sz w:val="20"/>
          <w:szCs w:val="20"/>
          <w:color w:val="auto"/>
        </w:rPr>
      </w:pPr>
      <w:r>
        <w:rPr>
          <w:rFonts w:ascii="Arial" w:cs="Arial" w:eastAsia="Arial" w:hAnsi="Arial"/>
          <w:sz w:val="18"/>
          <w:szCs w:val="18"/>
          <w:color w:val="auto"/>
        </w:rPr>
        <w:t>Section 16(a) of the Exchange Act requires Uniti’s directors and executive officers, and persons who own more than 10% of Uniti’s common stock, to file reports of ownership and changes in ownership with the SEC. Except as set forth in “Security Ownership of Certain Beneficial Owners and Management” above, the Company currently knows of no person who owns 10% or more of our common stock that was required to file Section 16 reports.</w:t>
      </w:r>
    </w:p>
    <w:p>
      <w:pPr>
        <w:spacing w:after="0" w:line="179" w:lineRule="exact"/>
        <w:rPr>
          <w:sz w:val="20"/>
          <w:szCs w:val="20"/>
          <w:color w:val="auto"/>
        </w:rPr>
      </w:pPr>
    </w:p>
    <w:p>
      <w:pPr>
        <w:ind w:left="1260" w:right="639" w:firstLine="648"/>
        <w:spacing w:after="0" w:line="282" w:lineRule="auto"/>
        <w:rPr>
          <w:sz w:val="20"/>
          <w:szCs w:val="20"/>
          <w:color w:val="auto"/>
        </w:rPr>
      </w:pPr>
      <w:r>
        <w:rPr>
          <w:rFonts w:ascii="Arial" w:cs="Arial" w:eastAsia="Arial" w:hAnsi="Arial"/>
          <w:sz w:val="17"/>
          <w:szCs w:val="17"/>
          <w:color w:val="auto"/>
        </w:rPr>
        <w:t>Based solely upon a review of copies of reports filed electronically with the Commission during 2025 and written representations from our directors and executive officers that no other reports were required with respect to the year ended December 31, 2025, we believe that all Section 16(a) filing requirements applicable to our directors and executive officers were met during the last fiscal year.</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Annual Report/Householding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52120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00" w:lineRule="exact"/>
        <w:rPr>
          <w:sz w:val="20"/>
          <w:szCs w:val="20"/>
          <w:color w:val="auto"/>
        </w:rPr>
      </w:pPr>
    </w:p>
    <w:p>
      <w:pPr>
        <w:jc w:val="both"/>
        <w:ind w:left="1260" w:right="419" w:firstLine="648"/>
        <w:spacing w:after="0" w:line="262" w:lineRule="auto"/>
        <w:rPr>
          <w:sz w:val="20"/>
          <w:szCs w:val="20"/>
          <w:color w:val="auto"/>
        </w:rPr>
      </w:pPr>
      <w:r>
        <w:rPr>
          <w:rFonts w:ascii="Arial" w:cs="Arial" w:eastAsia="Arial" w:hAnsi="Arial"/>
          <w:sz w:val="18"/>
          <w:szCs w:val="18"/>
          <w:color w:val="auto"/>
        </w:rPr>
        <w:t>Some banks, brokers and other nominee record stockholders may be participating in the practice of “householding” proxy statements and annual reports. This means that only one set of these documents may have been sent to multiple stockholders at a shared address unless contrary instructions have been received by the Company from one or more of the stockholders.</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firstLine="648"/>
        <w:spacing w:after="0" w:line="254" w:lineRule="auto"/>
        <w:rPr>
          <w:sz w:val="20"/>
          <w:szCs w:val="20"/>
          <w:color w:val="auto"/>
        </w:rPr>
      </w:pPr>
      <w:r>
        <w:rPr>
          <w:rFonts w:ascii="Arial" w:cs="Arial" w:eastAsia="Arial" w:hAnsi="Arial"/>
          <w:sz w:val="18"/>
          <w:szCs w:val="18"/>
          <w:color w:val="auto"/>
        </w:rPr>
        <w:t>If you would like to revoke your consent to householding and in the future receive your own set of proxy materials, you may be able to do so by contacting Broadridge Householding Department by mail at 51 Mercedes Way, Edgewood, NY 11717, or by calling 1-866-540-7095, and providing your name, the name of each of your brokerage firms or banks where your shares are held, and your account numbers. If this option is not available to you, please contact your custodian bank or broker directly. The revocation of a consent to householding will be effective 30 days following its receipt. You may also have an opportunity to opt in or opt out of householding by following the instructions on your voting instruction form or by contacting your bank or broker. Any stockholder who wants to receive separate copies of our proxy statement and annual report in the future, or any stockholder who is receiving multiple copies and would like to receive only one copy per household, should contact his, her or its bank, broker or other nominee record stockholder.</w:t>
      </w:r>
    </w:p>
    <w:p>
      <w:pPr>
        <w:spacing w:after="0" w:line="182" w:lineRule="exact"/>
        <w:rPr>
          <w:sz w:val="20"/>
          <w:szCs w:val="20"/>
          <w:color w:val="auto"/>
        </w:rPr>
      </w:pPr>
    </w:p>
    <w:p>
      <w:pPr>
        <w:ind w:left="1260" w:right="519" w:firstLine="648"/>
        <w:spacing w:after="0" w:line="262" w:lineRule="auto"/>
        <w:rPr>
          <w:sz w:val="20"/>
          <w:szCs w:val="20"/>
          <w:color w:val="auto"/>
        </w:rPr>
      </w:pPr>
      <w:r>
        <w:rPr>
          <w:rFonts w:ascii="Arial" w:cs="Arial" w:eastAsia="Arial" w:hAnsi="Arial"/>
          <w:sz w:val="18"/>
          <w:szCs w:val="18"/>
          <w:color w:val="auto"/>
        </w:rPr>
        <w:t xml:space="preserve">If you would like to receive an extra copy of the Annual Report or this Proxy Statement, we will send a copy to you by mail upon request to Uniti Investor Relations, 2101 Riverfront Drive, Suite A, Little Rock, Arkansas 72202 or by calling (501) 850-0820. Each document is also available in digital form for download or review in the “Investors Relations — Financials — Annual Reports” section of our website at </w:t>
      </w:r>
      <w:r>
        <w:rPr>
          <w:rFonts w:ascii="Arial" w:cs="Arial" w:eastAsia="Arial" w:hAnsi="Arial"/>
          <w:sz w:val="18"/>
          <w:szCs w:val="18"/>
          <w:b w:val="1"/>
          <w:bCs w:val="1"/>
          <w:color w:val="00ABD1"/>
        </w:rPr>
        <w:t>www.uniti.com</w:t>
      </w:r>
      <w:r>
        <w:rPr>
          <w:rFonts w:ascii="Arial" w:cs="Arial" w:eastAsia="Arial" w:hAnsi="Arial"/>
          <w:sz w:val="18"/>
          <w:szCs w:val="18"/>
          <w:color w:val="000000"/>
        </w:rPr>
        <w: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BD1"/>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3" w:lineRule="exact"/>
        <w:rPr>
          <w:sz w:val="20"/>
          <w:szCs w:val="20"/>
          <w:color w:val="auto"/>
        </w:rPr>
      </w:pPr>
    </w:p>
    <w:p>
      <w:pPr>
        <w:ind w:left="1260" w:right="519" w:firstLine="648"/>
        <w:spacing w:after="0" w:line="282" w:lineRule="auto"/>
        <w:rPr>
          <w:sz w:val="20"/>
          <w:szCs w:val="20"/>
          <w:color w:val="auto"/>
        </w:rPr>
      </w:pPr>
      <w:r>
        <w:rPr>
          <w:rFonts w:ascii="Arial" w:cs="Arial" w:eastAsia="Arial" w:hAnsi="Arial"/>
          <w:sz w:val="17"/>
          <w:szCs w:val="17"/>
          <w:color w:val="auto"/>
        </w:rPr>
        <w:t>The management and the Board of Directors of Uniti do not know of any other matters that may come before the meeting. If any other matters properly come before the meeting, however, it is the intention of the persons named in the accompanying form of proxy to vote the proxy in accordance with their judgment on those matters. Discretionary authority to vote on other matters is included in the proxy.</w:t>
      </w:r>
    </w:p>
    <w:p>
      <w:pPr>
        <w:spacing w:after="0" w:line="161" w:lineRule="exact"/>
        <w:rPr>
          <w:sz w:val="20"/>
          <w:szCs w:val="20"/>
          <w:color w:val="auto"/>
        </w:rPr>
      </w:pPr>
    </w:p>
    <w:p>
      <w:pPr>
        <w:jc w:val="both"/>
        <w:ind w:left="1260" w:right="499" w:firstLine="648"/>
        <w:spacing w:after="0" w:line="262" w:lineRule="auto"/>
        <w:rPr>
          <w:sz w:val="20"/>
          <w:szCs w:val="20"/>
          <w:color w:val="auto"/>
        </w:rPr>
      </w:pPr>
      <w:r>
        <w:rPr>
          <w:rFonts w:ascii="Arial" w:cs="Arial" w:eastAsia="Arial" w:hAnsi="Arial"/>
          <w:sz w:val="18"/>
          <w:szCs w:val="18"/>
          <w:color w:val="auto"/>
        </w:rPr>
        <w:t>Uniti will bear the cost of solicitation of proxies. In addition to the use of the mail, proxies may be solicited by officers, directors and employees of Uniti, personally or by telephone or electronic means. In the event the management of Uniti deems it advisable, Uniti may engage the services of an independent proxy solicitation firm to aid in the solicitation of proxies.</w:t>
      </w:r>
    </w:p>
    <w:p>
      <w:pPr>
        <w:spacing w:after="0" w:line="176" w:lineRule="exact"/>
        <w:rPr>
          <w:sz w:val="20"/>
          <w:szCs w:val="20"/>
          <w:color w:val="auto"/>
        </w:rPr>
      </w:pPr>
    </w:p>
    <w:p>
      <w:pPr>
        <w:ind w:left="1260" w:right="599" w:firstLine="648"/>
        <w:spacing w:after="0" w:line="259" w:lineRule="auto"/>
        <w:rPr>
          <w:sz w:val="20"/>
          <w:szCs w:val="20"/>
          <w:color w:val="auto"/>
        </w:rPr>
      </w:pPr>
      <w:r>
        <w:rPr>
          <w:rFonts w:ascii="Arial" w:cs="Arial" w:eastAsia="Arial" w:hAnsi="Arial"/>
          <w:sz w:val="18"/>
          <w:szCs w:val="18"/>
          <w:color w:val="auto"/>
        </w:rPr>
        <w:t>The relevant material referred to in this Proxy Statement under the captions “Hedging Policy,” “Audit Committee Report,” “Compensation Committee Report on Executive Compensation” and “Pay versus Performance” shall not be deemed soliciting material or otherwise deemed filed and shall not be deemed to be incorporated by any general statement of incorporation by reference in any filings made under the Securities Act of 1933 or the Exchange Act.</w:t>
      </w:r>
    </w:p>
    <w:p>
      <w:pPr>
        <w:spacing w:after="0" w:line="7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3406140</wp:posOffset>
            </wp:positionH>
            <wp:positionV relativeFrom="paragraph">
              <wp:posOffset>154940</wp:posOffset>
            </wp:positionV>
            <wp:extent cx="1791335" cy="5829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9133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360"/>
        <w:spacing w:after="0"/>
        <w:rPr>
          <w:sz w:val="20"/>
          <w:szCs w:val="20"/>
          <w:color w:val="auto"/>
        </w:rPr>
      </w:pPr>
      <w:r>
        <w:rPr>
          <w:rFonts w:ascii="Arial" w:cs="Arial" w:eastAsia="Arial" w:hAnsi="Arial"/>
          <w:sz w:val="18"/>
          <w:szCs w:val="18"/>
          <w:color w:val="00ABD1"/>
        </w:rPr>
        <w:t>Daniel L. Heard</w:t>
      </w:r>
    </w:p>
    <w:p>
      <w:pPr>
        <w:spacing w:after="0" w:line="27"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Senior Executive Vice President, General Counsel &amp;</w:t>
      </w:r>
    </w:p>
    <w:p>
      <w:pPr>
        <w:spacing w:after="0" w:line="2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Secretary</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color w:val="00ABD1"/>
        </w:rPr>
        <w:t>Little Rock, Arkansas</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00ABD1"/>
        </w:rPr>
        <w:t>April 21,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399"/>
        <w:spacing w:after="0"/>
        <w:rPr>
          <w:sz w:val="20"/>
          <w:szCs w:val="20"/>
          <w:color w:val="auto"/>
        </w:rPr>
      </w:pPr>
      <w:r>
        <w:rPr>
          <w:rFonts w:ascii="Arial" w:cs="Arial" w:eastAsia="Arial" w:hAnsi="Arial"/>
          <w:sz w:val="22"/>
          <w:szCs w:val="22"/>
          <w:b w:val="1"/>
          <w:bCs w:val="1"/>
          <w:color w:val="00ABD1"/>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2025 EQUITY INCENTIVE PLAN</w:t>
      </w:r>
    </w:p>
    <w:p>
      <w:pPr>
        <w:spacing w:after="0" w:line="207" w:lineRule="exact"/>
        <w:rPr>
          <w:sz w:val="20"/>
          <w:szCs w:val="20"/>
          <w:color w:val="auto"/>
        </w:rPr>
      </w:pPr>
    </w:p>
    <w:p>
      <w:pPr>
        <w:ind w:left="1260" w:right="659" w:firstLine="648"/>
        <w:spacing w:after="0" w:line="262" w:lineRule="auto"/>
        <w:tabs>
          <w:tab w:leader="none" w:pos="2199"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Plan</w:t>
      </w:r>
      <w:r>
        <w:rPr>
          <w:rFonts w:ascii="Arial" w:cs="Arial" w:eastAsia="Arial" w:hAnsi="Arial"/>
          <w:sz w:val="18"/>
          <w:szCs w:val="18"/>
          <w:color w:val="auto"/>
        </w:rPr>
        <w:t>. The purpose of this 2025 Equity Incentive Plan (this “</w:t>
      </w:r>
      <w:r>
        <w:rPr>
          <w:rFonts w:ascii="Arial" w:cs="Arial" w:eastAsia="Arial" w:hAnsi="Arial"/>
          <w:sz w:val="18"/>
          <w:szCs w:val="18"/>
          <w:u w:val="single" w:color="auto"/>
          <w:color w:val="auto"/>
        </w:rPr>
        <w:t>Plan</w:t>
      </w:r>
      <w:r>
        <w:rPr>
          <w:rFonts w:ascii="Arial" w:cs="Arial" w:eastAsia="Arial" w:hAnsi="Arial"/>
          <w:sz w:val="18"/>
          <w:szCs w:val="18"/>
          <w:color w:val="auto"/>
        </w:rPr>
        <w:t>”) is to</w:t>
      </w:r>
      <w:r>
        <w:rPr>
          <w:rFonts w:ascii="Arial" w:cs="Arial" w:eastAsia="Arial" w:hAnsi="Arial"/>
          <w:sz w:val="18"/>
          <w:szCs w:val="18"/>
          <w:b w:val="1"/>
          <w:bCs w:val="1"/>
          <w:color w:val="auto"/>
        </w:rPr>
        <w:t xml:space="preserve"> </w:t>
      </w:r>
      <w:r>
        <w:rPr>
          <w:rFonts w:ascii="Arial" w:cs="Arial" w:eastAsia="Arial" w:hAnsi="Arial"/>
          <w:sz w:val="18"/>
          <w:szCs w:val="18"/>
          <w:color w:val="auto"/>
        </w:rPr>
        <w:t>attract, retain and motivate the officers, key employees, consultants and directors of Uniti Group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its Affiliates, and to provide to such persons incentives and rewards for superior performance and contribution.</w:t>
      </w:r>
    </w:p>
    <w:p>
      <w:pPr>
        <w:spacing w:after="0" w:line="17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Plan is hereby amended and restated as of February 26, 2026.</w:t>
      </w:r>
    </w:p>
    <w:p>
      <w:pPr>
        <w:spacing w:after="0" w:line="225" w:lineRule="exact"/>
        <w:rPr>
          <w:sz w:val="20"/>
          <w:szCs w:val="20"/>
          <w:color w:val="auto"/>
        </w:rPr>
      </w:pPr>
    </w:p>
    <w:p>
      <w:pPr>
        <w:ind w:left="1260" w:right="659" w:firstLine="648"/>
        <w:spacing w:after="0" w:line="287" w:lineRule="auto"/>
        <w:tabs>
          <w:tab w:leader="none" w:pos="2199"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Capitalized terms used herein have the meanings assigned to such terms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Section 2.</w:t>
      </w:r>
    </w:p>
    <w:p>
      <w:pPr>
        <w:spacing w:after="0" w:line="153" w:lineRule="exact"/>
        <w:rPr>
          <w:sz w:val="20"/>
          <w:szCs w:val="20"/>
          <w:color w:val="auto"/>
        </w:rPr>
      </w:pPr>
    </w:p>
    <w:p>
      <w:pPr>
        <w:jc w:val="both"/>
        <w:ind w:left="1260" w:right="739" w:firstLine="648"/>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any corporation that is a Subsidiary of the Company and, for purposes other than the grant of Incentive Stock Options, any limited liability company, partnership, corporation, joint venture, or any other entity in which the Company or any such Subsidiary owns an equity interest.</w:t>
      </w:r>
    </w:p>
    <w:p>
      <w:pPr>
        <w:spacing w:after="0" w:line="153" w:lineRule="exact"/>
        <w:rPr>
          <w:sz w:val="20"/>
          <w:szCs w:val="20"/>
          <w:color w:val="auto"/>
        </w:rPr>
      </w:pPr>
    </w:p>
    <w:p>
      <w:pPr>
        <w:ind w:left="1260" w:right="679"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equity-based compensation plans under U.S. state corporate laws, U.S. federal and state securities laws, the Code, any stock exchange or quotation system on which the Common Shares are listed or quoted and the applicable laws of any other country or jurisdiction where Awards are granted under this Plan, in each case as applicable to an Award made hereunder.</w:t>
      </w:r>
    </w:p>
    <w:p>
      <w:pPr>
        <w:spacing w:after="0" w:line="179" w:lineRule="exact"/>
        <w:rPr>
          <w:sz w:val="20"/>
          <w:szCs w:val="20"/>
          <w:color w:val="auto"/>
        </w:rPr>
      </w:pPr>
    </w:p>
    <w:p>
      <w:pPr>
        <w:ind w:left="1260" w:right="619"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Appreciation Right</w:t>
      </w:r>
      <w:r>
        <w:rPr>
          <w:rFonts w:ascii="Arial" w:cs="Arial" w:eastAsia="Arial" w:hAnsi="Arial"/>
          <w:sz w:val="18"/>
          <w:szCs w:val="18"/>
          <w:color w:val="auto"/>
        </w:rPr>
        <w:t>” means a right granted pursuant to Section 5 of this Plan, and shall include both Tandem Appreciation Rights and Free-Standing Appreciation Rights.</w:t>
      </w:r>
    </w:p>
    <w:p>
      <w:pPr>
        <w:spacing w:after="0" w:line="153" w:lineRule="exact"/>
        <w:rPr>
          <w:sz w:val="20"/>
          <w:szCs w:val="20"/>
          <w:color w:val="auto"/>
        </w:rPr>
      </w:pPr>
    </w:p>
    <w:p>
      <w:pPr>
        <w:ind w:left="1260" w:right="1219"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Option Rights, Appreciation Rights, Performance Units, Performance Shares, Restricted Shares, Restricted Stock Units, or other awards granted under Section 10 of this Plan.</w:t>
      </w:r>
    </w:p>
    <w:p>
      <w:pPr>
        <w:spacing w:after="0" w:line="171" w:lineRule="exact"/>
        <w:rPr>
          <w:sz w:val="20"/>
          <w:szCs w:val="20"/>
          <w:color w:val="auto"/>
        </w:rPr>
      </w:pPr>
    </w:p>
    <w:p>
      <w:pPr>
        <w:ind w:left="1260" w:right="979"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Price</w:t>
      </w:r>
      <w:r>
        <w:rPr>
          <w:rFonts w:ascii="Arial" w:cs="Arial" w:eastAsia="Arial" w:hAnsi="Arial"/>
          <w:sz w:val="18"/>
          <w:szCs w:val="18"/>
          <w:color w:val="auto"/>
        </w:rPr>
        <w:t>” means the price to be used as the basis for determining the Spread upon the exercise of a Free-Standing Appreciation Right or a Tandem Appreciation Right.</w:t>
      </w:r>
    </w:p>
    <w:p>
      <w:pPr>
        <w:spacing w:after="0" w:line="15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1260" w:right="499"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means, except as otherwise provided in an Evidence of Award: (a) the Participant’s willful failure to substantially perform his or her duties (other than any such failure due to the Participant’s Disability) or Participant’s insubordination with respect to a specific lawful directive of his/her direct report (if the Participant reports directly to an officer) or the Board (if Participant reports directly to the Board) to which the Participant reports directly or indirectly that continues after written notice from the Company;</w:t>
      </w:r>
    </w:p>
    <w:p>
      <w:pPr>
        <w:spacing w:after="0" w:line="3" w:lineRule="exact"/>
        <w:rPr>
          <w:sz w:val="20"/>
          <w:szCs w:val="20"/>
          <w:color w:val="auto"/>
        </w:rPr>
      </w:pPr>
    </w:p>
    <w:p>
      <w:pPr>
        <w:ind w:left="1260" w:right="499"/>
        <w:spacing w:after="0" w:line="265" w:lineRule="auto"/>
        <w:tabs>
          <w:tab w:leader="none" w:pos="1523" w:val="left"/>
        </w:tabs>
        <w:numPr>
          <w:ilvl w:val="0"/>
          <w:numId w:val="95"/>
        </w:numPr>
        <w:rPr>
          <w:rFonts w:ascii="Arial" w:cs="Arial" w:eastAsia="Arial" w:hAnsi="Arial"/>
          <w:sz w:val="17"/>
          <w:szCs w:val="17"/>
          <w:color w:val="auto"/>
        </w:rPr>
      </w:pPr>
      <w:r>
        <w:rPr>
          <w:rFonts w:ascii="Arial" w:cs="Arial" w:eastAsia="Arial" w:hAnsi="Arial"/>
          <w:sz w:val="17"/>
          <w:szCs w:val="17"/>
          <w:color w:val="auto"/>
        </w:rPr>
        <w:t>Participant’s gross negligence or willful misconduct in the performance of his or her duties hereunder, or engaging in willful misconduct, which in the case of any such gross negligence, has caused or is reasonably expected to result in direct or indirect material injury to the Company or any Affiliate;</w:t>
      </w:r>
    </w:p>
    <w:p>
      <w:pPr>
        <w:ind w:left="1260" w:right="479"/>
        <w:spacing w:after="0" w:line="252" w:lineRule="auto"/>
        <w:tabs>
          <w:tab w:leader="none" w:pos="1513" w:val="left"/>
        </w:tabs>
        <w:numPr>
          <w:ilvl w:val="0"/>
          <w:numId w:val="95"/>
        </w:numPr>
        <w:rPr>
          <w:rFonts w:ascii="Arial" w:cs="Arial" w:eastAsia="Arial" w:hAnsi="Arial"/>
          <w:sz w:val="18"/>
          <w:szCs w:val="18"/>
          <w:color w:val="auto"/>
        </w:rPr>
      </w:pPr>
      <w:r>
        <w:rPr>
          <w:rFonts w:ascii="Arial" w:cs="Arial" w:eastAsia="Arial" w:hAnsi="Arial"/>
          <w:sz w:val="18"/>
          <w:szCs w:val="18"/>
          <w:color w:val="auto"/>
        </w:rPr>
        <w:t>breach by Participant of any material provision of any written agreement, including, without limitation, this Plan, with the Company or any Affiliate that is not cured (if capable of cure) within fifteen (15) days of written notice from the Company (provided that any breach of a breach of any non-competition or non-solicitation obligation shall not be capable of cure), or violation of any Company policy applicable to Participant that caused or is reasonably expected to result in direct or indirect material injury to the Company; or (d) Participant’s commission of a crime that constitutes a felony. No act or omission on the Participant’s part shall be considered “willful” unless it is done or omitted in bad faith or without the Participant’s reasonable belief that the action or omission was in the best interests of the Company. If, within sixty (60) days following the Participant’s termination of employment hereunder for other than Cause, the Company in good faith determines that the Participant’s employment could have been terminated for Cause hereunder, Participant’s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1039"/>
        <w:spacing w:after="0" w:line="287" w:lineRule="auto"/>
        <w:rPr>
          <w:sz w:val="20"/>
          <w:szCs w:val="20"/>
          <w:color w:val="auto"/>
        </w:rPr>
      </w:pPr>
      <w:r>
        <w:rPr>
          <w:rFonts w:ascii="Arial" w:cs="Arial" w:eastAsia="Arial" w:hAnsi="Arial"/>
          <w:sz w:val="18"/>
          <w:szCs w:val="18"/>
          <w:color w:val="auto"/>
        </w:rPr>
        <w:t>employment shall, at the election of the Company, be deemed to have been terminated for Cause retroactively to the date the events giving rise to Cause occurred.</w:t>
      </w:r>
    </w:p>
    <w:p>
      <w:pPr>
        <w:spacing w:after="0" w:line="139" w:lineRule="exact"/>
        <w:rPr>
          <w:sz w:val="20"/>
          <w:szCs w:val="20"/>
          <w:color w:val="auto"/>
        </w:rPr>
      </w:pPr>
    </w:p>
    <w:p>
      <w:pPr>
        <w:ind w:left="1260" w:right="1199"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except as otherwise provided in an Evidence of Award, the occurrence after the Effective Date (as defined below) of any of the following:</w:t>
      </w:r>
    </w:p>
    <w:p>
      <w:pPr>
        <w:spacing w:after="0" w:line="167" w:lineRule="exact"/>
        <w:rPr>
          <w:sz w:val="20"/>
          <w:szCs w:val="20"/>
          <w:color w:val="auto"/>
        </w:rPr>
      </w:pPr>
    </w:p>
    <w:p>
      <w:pPr>
        <w:ind w:left="1260" w:right="799" w:firstLine="648"/>
        <w:spacing w:after="0" w:line="252" w:lineRule="auto"/>
        <w:tabs>
          <w:tab w:leader="none" w:pos="2199"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sale, lease, exchange or other transfer (in one transaction or a series of related transactions) of all or substantially all of the assets of the Company to any Person or group of related Persons for purposes of Section 13(d) of the Exchange Act (a “Group”), together with any affiliates thereof;</w:t>
      </w:r>
    </w:p>
    <w:p>
      <w:pPr>
        <w:spacing w:after="0" w:line="170" w:lineRule="exact"/>
        <w:rPr>
          <w:rFonts w:ascii="Arial" w:cs="Arial" w:eastAsia="Arial" w:hAnsi="Arial"/>
          <w:sz w:val="18"/>
          <w:szCs w:val="18"/>
          <w:color w:val="auto"/>
        </w:rPr>
      </w:pPr>
    </w:p>
    <w:p>
      <w:pPr>
        <w:ind w:left="1260" w:right="499" w:firstLine="648"/>
        <w:spacing w:after="0" w:line="261" w:lineRule="auto"/>
        <w:tabs>
          <w:tab w:leader="none" w:pos="2199"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commencement of the liquidation or dissolution of the Company that occurs following the approval by the holders of capital stock of the Company of any plan or proposal for such liquidation or dissolution of the Company;</w:t>
      </w:r>
    </w:p>
    <w:p>
      <w:pPr>
        <w:spacing w:after="0" w:line="161" w:lineRule="exact"/>
        <w:rPr>
          <w:rFonts w:ascii="Arial" w:cs="Arial" w:eastAsia="Arial" w:hAnsi="Arial"/>
          <w:sz w:val="18"/>
          <w:szCs w:val="18"/>
          <w:color w:val="auto"/>
        </w:rPr>
      </w:pPr>
    </w:p>
    <w:p>
      <w:pPr>
        <w:ind w:left="1260" w:right="619" w:firstLine="648"/>
        <w:spacing w:after="0" w:line="247" w:lineRule="auto"/>
        <w:tabs>
          <w:tab w:leader="none" w:pos="2189"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Person or Group becomes the beneficial owner (within the meaning of Section 13(d) of the Exchange Act), directly or indirectly, of shares representing more than 50% of the aggregate voting power of the issued and outstanding stock entitled to vote in the election of directors, managers or trustees of the Company and such Person or Group actually has the power to vote such shares in any such election;</w:t>
      </w:r>
    </w:p>
    <w:p>
      <w:pPr>
        <w:spacing w:after="0" w:line="190" w:lineRule="exact"/>
        <w:rPr>
          <w:rFonts w:ascii="Arial" w:cs="Arial" w:eastAsia="Arial" w:hAnsi="Arial"/>
          <w:sz w:val="18"/>
          <w:szCs w:val="18"/>
          <w:color w:val="auto"/>
        </w:rPr>
      </w:pPr>
    </w:p>
    <w:p>
      <w:pPr>
        <w:ind w:left="1260" w:right="459" w:firstLine="648"/>
        <w:spacing w:after="0" w:line="247" w:lineRule="auto"/>
        <w:tabs>
          <w:tab w:leader="none" w:pos="2199"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replacement of a majority of the Board over a two-year period from the directors who constituted the Board at the beginning of such period, and such replacement shall not have been approved by a vote of at least a majority of the Board then still in office who either were members of such Board at the beginning of such period or were nominated for election by a majority of the directors who were members of such Board at the beginning of such period; or</w:t>
      </w:r>
    </w:p>
    <w:p>
      <w:pPr>
        <w:spacing w:after="0" w:line="176" w:lineRule="exact"/>
        <w:rPr>
          <w:rFonts w:ascii="Arial" w:cs="Arial" w:eastAsia="Arial" w:hAnsi="Arial"/>
          <w:sz w:val="18"/>
          <w:szCs w:val="18"/>
          <w:color w:val="auto"/>
        </w:rPr>
      </w:pPr>
    </w:p>
    <w:p>
      <w:pPr>
        <w:ind w:left="1260" w:right="499" w:firstLine="648"/>
        <w:spacing w:after="0" w:line="252" w:lineRule="auto"/>
        <w:tabs>
          <w:tab w:leader="none" w:pos="2199"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merger or consolidation of the Company with another entity in which holders of the Common Shares immediately prior to the consummation of the transaction hold, directly or indirectly, immediately following the consummation of the transaction, 50% or less of the common equity interest in the surviving corporation in such transaction.</w:t>
      </w:r>
    </w:p>
    <w:p>
      <w:pPr>
        <w:spacing w:after="0" w:line="184" w:lineRule="exact"/>
        <w:rPr>
          <w:sz w:val="20"/>
          <w:szCs w:val="20"/>
          <w:color w:val="auto"/>
        </w:rPr>
      </w:pPr>
    </w:p>
    <w:p>
      <w:pPr>
        <w:jc w:val="both"/>
        <w:ind w:left="1260" w:right="459" w:firstLine="648"/>
        <w:spacing w:after="0" w:line="252" w:lineRule="auto"/>
        <w:rPr>
          <w:sz w:val="20"/>
          <w:szCs w:val="20"/>
          <w:color w:val="auto"/>
        </w:rPr>
      </w:pPr>
      <w:r>
        <w:rPr>
          <w:rFonts w:ascii="Arial" w:cs="Arial" w:eastAsia="Arial" w:hAnsi="Arial"/>
          <w:sz w:val="18"/>
          <w:szCs w:val="18"/>
          <w:color w:val="auto"/>
        </w:rPr>
        <w:t>Notwithstanding anything herein to the contrary, an event described above shall be considered a Change in Control hereunder only if it also constitutes a “change in control event” under Section 409A of the Code, to the extent necessary to avoid the adverse tax consequences thereunder with respect to any Award subject to Section 409A of the Code.</w:t>
      </w:r>
    </w:p>
    <w:p>
      <w:pPr>
        <w:spacing w:after="0" w:line="170" w:lineRule="exact"/>
        <w:rPr>
          <w:sz w:val="20"/>
          <w:szCs w:val="20"/>
          <w:color w:val="auto"/>
        </w:rPr>
      </w:pPr>
    </w:p>
    <w:p>
      <w:pPr>
        <w:ind w:left="1260" w:right="519"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and the rules and regulations promulgated thereunder, as such law, rules and regulations may be amended, supplemented or replaced from time to time.</w:t>
      </w:r>
    </w:p>
    <w:p>
      <w:pPr>
        <w:spacing w:after="0" w:line="182" w:lineRule="exact"/>
        <w:rPr>
          <w:sz w:val="20"/>
          <w:szCs w:val="20"/>
          <w:color w:val="auto"/>
        </w:rPr>
      </w:pPr>
    </w:p>
    <w:p>
      <w:pPr>
        <w:ind w:left="1260" w:right="459" w:firstLine="648"/>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the committee of directors appointed by the Board to administer this Plan. In the absence of a specific appointment, “Committee” means the Compensation Committee of the Board.</w:t>
      </w:r>
    </w:p>
    <w:p>
      <w:pPr>
        <w:spacing w:after="0" w:line="131" w:lineRule="exact"/>
        <w:rPr>
          <w:sz w:val="20"/>
          <w:szCs w:val="20"/>
          <w:color w:val="auto"/>
        </w:rPr>
      </w:pPr>
    </w:p>
    <w:p>
      <w:pPr>
        <w:jc w:val="both"/>
        <w:ind w:left="1260" w:right="599"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Shares</w:t>
      </w:r>
      <w:r>
        <w:rPr>
          <w:rFonts w:ascii="Arial" w:cs="Arial" w:eastAsia="Arial" w:hAnsi="Arial"/>
          <w:sz w:val="18"/>
          <w:szCs w:val="18"/>
          <w:color w:val="auto"/>
        </w:rPr>
        <w:t>” means shares of common stock, par value $0.0001, of the Company or any security into which such Common Shares may be changed by reason of any transaction or event of the type referred to in Section 13 of this Plan.</w:t>
      </w:r>
    </w:p>
    <w:p>
      <w:pPr>
        <w:spacing w:after="0" w:line="162" w:lineRule="exact"/>
        <w:rPr>
          <w:sz w:val="20"/>
          <w:szCs w:val="20"/>
          <w:color w:val="auto"/>
        </w:rPr>
      </w:pPr>
    </w:p>
    <w:p>
      <w:pPr>
        <w:jc w:val="both"/>
        <w:ind w:left="1260" w:right="619"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w:t>
      </w:r>
      <w:r>
        <w:rPr>
          <w:rFonts w:ascii="Arial" w:cs="Arial" w:eastAsia="Arial" w:hAnsi="Arial"/>
          <w:sz w:val="18"/>
          <w:szCs w:val="18"/>
          <w:color w:val="auto"/>
        </w:rPr>
        <w:t>t” means the date specified by the Committee on which a grant of an Award shall become effective (which date will not be earlier than the date on which the Committee takes action with respect thereto).</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ind w:left="1260" w:right="519" w:firstLine="648"/>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except as otherwise provided in an Evidence of Award, that the Participant is unable to engage in any substantial gainful activity by reason of any medically determinable physical or mental impairment which can be expected to result in death or which has lasted or can be expected to last</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45" w:lineRule="auto"/>
        <w:rPr>
          <w:sz w:val="20"/>
          <w:szCs w:val="20"/>
          <w:color w:val="auto"/>
        </w:rPr>
      </w:pPr>
      <w:r>
        <w:rPr>
          <w:rFonts w:ascii="Arial" w:cs="Arial" w:eastAsia="Arial" w:hAnsi="Arial"/>
          <w:sz w:val="18"/>
          <w:szCs w:val="18"/>
          <w:color w:val="auto"/>
        </w:rPr>
        <w:t>for a continuous period of not less than 12 months, provided, however, for purposes of determining the term of an Incentive Stock Option, the term Disability shall have the meaning ascribed to it under Section 22(e)(3) of the Code. The determination of whether an individual has a Disability shall be determined under procedures established by the Committee. Except in situations where the Committee is determining Disability for purposes of the term of an Incentive Stock Option within the meaning of Section 22(e)(3) of the Code, the Committee may rely on any determination that a Participant is disabled for purposes of benefits under any long-term disability plan maintained by the Company or any Affiliate in which a Participant participates, provided that the definition of disability applied under such disability plan meets the requirements of a Disability in the first sentence hereof.</w:t>
      </w:r>
    </w:p>
    <w:p>
      <w:pPr>
        <w:spacing w:after="0" w:line="177" w:lineRule="exact"/>
        <w:rPr>
          <w:sz w:val="20"/>
          <w:szCs w:val="20"/>
          <w:color w:val="auto"/>
        </w:rPr>
      </w:pPr>
    </w:p>
    <w:p>
      <w:pPr>
        <w:ind w:left="1260" w:right="439" w:firstLine="648"/>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Evidence of Award</w:t>
      </w:r>
      <w:r>
        <w:rPr>
          <w:rFonts w:ascii="Arial" w:cs="Arial" w:eastAsia="Arial" w:hAnsi="Arial"/>
          <w:sz w:val="18"/>
          <w:szCs w:val="18"/>
          <w:color w:val="auto"/>
        </w:rPr>
        <w:t>” means an agreement, certificate, resolution or other type or form of writing or other evidence approved by the Committee which sets forth the terms and conditions of an Award. An Evidence of Award may be in an electronic medium, may be limited to a notation on the books and records of the Company and, with the approval of the Committee, need not be signed by a representative of the Company or a Participant.</w:t>
      </w:r>
    </w:p>
    <w:p>
      <w:pPr>
        <w:spacing w:after="0" w:line="173" w:lineRule="exact"/>
        <w:rPr>
          <w:sz w:val="20"/>
          <w:szCs w:val="20"/>
          <w:color w:val="auto"/>
        </w:rPr>
      </w:pPr>
    </w:p>
    <w:p>
      <w:pPr>
        <w:ind w:left="1260" w:right="459"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and the rules and regulations promulgated thereunder, as such law, rules and regulations may be amended, supplemented or replaced from time to time.</w:t>
      </w:r>
    </w:p>
    <w:p>
      <w:pPr>
        <w:spacing w:after="0" w:line="162" w:lineRule="exact"/>
        <w:rPr>
          <w:sz w:val="20"/>
          <w:szCs w:val="20"/>
          <w:color w:val="auto"/>
        </w:rPr>
      </w:pPr>
    </w:p>
    <w:p>
      <w:pPr>
        <w:ind w:left="1260" w:right="579"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Free-Standing Appreciation Righ</w:t>
      </w:r>
      <w:r>
        <w:rPr>
          <w:rFonts w:ascii="Arial" w:cs="Arial" w:eastAsia="Arial" w:hAnsi="Arial"/>
          <w:sz w:val="18"/>
          <w:szCs w:val="18"/>
          <w:color w:val="auto"/>
        </w:rPr>
        <w:t>t” means an Appreciation Right granted pursuant to Section 5 of this Plan that is not granted in tandem with an Option Right.</w:t>
      </w:r>
    </w:p>
    <w:p>
      <w:pPr>
        <w:spacing w:after="0" w:line="167" w:lineRule="exact"/>
        <w:rPr>
          <w:sz w:val="20"/>
          <w:szCs w:val="20"/>
          <w:color w:val="auto"/>
        </w:rPr>
      </w:pPr>
    </w:p>
    <w:p>
      <w:pPr>
        <w:ind w:left="1260" w:right="419" w:firstLine="648"/>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any one of the following: (a) a diminution in Participant’s base compensation; (b) a reduction in the Participant’s aggregate base compensation and target short-term incentive opportunity, unless such compensation is changed by the Company as part of a change in the Company’s executive compensation program in a manner applied equally to similarly situated Participants; (c) a material diminution in authority, duties, or responsibilities of Participant; (d) a material diminution in the budget over which Participant retains authority; (e) a material change in the geographic location (i.e., to a location more than 35 miles from the Participant’s primary work location prior to such change) at which Participant is required to perform services; (f) any failure by the Company to require a successor to this Plan; and (g) any other action or inaction that constitutes a material breach of the Participant’s employment agreement, if any, with the Company or any Affiliate; provided, however, that for the Participant to be able to resign for “Good Reason,” the Participant must give the Company and the applicable Affiliate, if any, notice of the above conditions within 90 days after the condition first exists, the Company and/or Affiliate must not have remedied the condition within 30 days after receiving written notice, and the Participant must resign within 60 days after the Participant’s and/or Affiliate’s failure to remedy.</w:t>
      </w:r>
    </w:p>
    <w:p>
      <w:pPr>
        <w:spacing w:after="0" w:line="190" w:lineRule="exact"/>
        <w:rPr>
          <w:sz w:val="20"/>
          <w:szCs w:val="20"/>
          <w:color w:val="auto"/>
        </w:rPr>
      </w:pPr>
    </w:p>
    <w:p>
      <w:pPr>
        <w:ind w:left="1260" w:right="699"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Options</w:t>
      </w:r>
      <w:r>
        <w:rPr>
          <w:rFonts w:ascii="Arial" w:cs="Arial" w:eastAsia="Arial" w:hAnsi="Arial"/>
          <w:sz w:val="18"/>
          <w:szCs w:val="18"/>
          <w:color w:val="auto"/>
        </w:rPr>
        <w:t>” means Option Rights that are intended to qualify as “incentive stock options” under Section 422 of the Code or any successor provision.</w:t>
      </w:r>
    </w:p>
    <w:p>
      <w:pPr>
        <w:spacing w:after="0" w:line="139" w:lineRule="exact"/>
        <w:rPr>
          <w:sz w:val="20"/>
          <w:szCs w:val="20"/>
          <w:color w:val="auto"/>
        </w:rPr>
      </w:pPr>
    </w:p>
    <w:p>
      <w:pPr>
        <w:ind w:left="1260" w:right="479" w:firstLine="648"/>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Objectives</w:t>
      </w:r>
      <w:r>
        <w:rPr>
          <w:rFonts w:ascii="Arial" w:cs="Arial" w:eastAsia="Arial" w:hAnsi="Arial"/>
          <w:sz w:val="18"/>
          <w:szCs w:val="18"/>
          <w:color w:val="auto"/>
        </w:rPr>
        <w:t>” means the measurable performance objective or objectives established pursuant to this Plan for Participants who have received grants of Performance Units or Performance Shares or, when so determined by the Committee, Option Rights, Appreciation Rights, Restricted Shares and Restricted Stock Units pursuant to this Plan. Management Objectives may be described in terms of Company-wide objectives or objectives that are related to the performance of the individual Participant or of the Affiliate, Subsidiary, division, department, region or function within the Company, Affiliate or Subsidiary in which the Participant is employed and may be made relative to the performance of other companies. If the Committee determines that a change in the business, operations, corporate structure or capital structure of the Company, or the manner in which it conducts its business, or other events or circumstances (including those events and circumstances described in Section 13 of this Plan) render the Management Objectives unsuitable, the Committee may, at its discretion, modify such Management Objectives or the related minimum acceptable level of achievement, in whole or in part, as the Committee deems appropriate and equitable.</w:t>
      </w:r>
    </w:p>
    <w:p>
      <w:pPr>
        <w:spacing w:after="0" w:line="178" w:lineRule="exact"/>
        <w:rPr>
          <w:sz w:val="20"/>
          <w:szCs w:val="20"/>
          <w:color w:val="auto"/>
        </w:rPr>
      </w:pPr>
    </w:p>
    <w:p>
      <w:pPr>
        <w:ind w:left="1260" w:right="439"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 per Share</w:t>
      </w:r>
      <w:r>
        <w:rPr>
          <w:rFonts w:ascii="Arial" w:cs="Arial" w:eastAsia="Arial" w:hAnsi="Arial"/>
          <w:sz w:val="18"/>
          <w:szCs w:val="18"/>
          <w:color w:val="auto"/>
        </w:rPr>
        <w:t>” means, as of any particular date, (i) the closing sale price per Common Share as reported on the principal exchange on which Common Shares are then trading, or if there are no</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39"/>
        <w:spacing w:after="0" w:line="261" w:lineRule="auto"/>
        <w:rPr>
          <w:sz w:val="20"/>
          <w:szCs w:val="20"/>
          <w:color w:val="auto"/>
        </w:rPr>
      </w:pPr>
      <w:r>
        <w:rPr>
          <w:rFonts w:ascii="Arial" w:cs="Arial" w:eastAsia="Arial" w:hAnsi="Arial"/>
          <w:sz w:val="18"/>
          <w:szCs w:val="18"/>
          <w:color w:val="auto"/>
        </w:rPr>
        <w:t>sales on such day, on the next preceding trading day during which a sale occurred, or (ii) if the Common Shares are not then-currently traded on an exchange, the fair market value of a Common Share as determined by the Committee in discretion.</w:t>
      </w:r>
    </w:p>
    <w:p>
      <w:pPr>
        <w:spacing w:after="0" w:line="162" w:lineRule="exact"/>
        <w:rPr>
          <w:sz w:val="20"/>
          <w:szCs w:val="20"/>
          <w:color w:val="auto"/>
        </w:rPr>
      </w:pPr>
    </w:p>
    <w:p>
      <w:pPr>
        <w:ind w:left="1260" w:right="479"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member of the Board who is a “non-employee director” within the meaning of Rule 16b-3 under the Exchange Act.</w:t>
      </w:r>
    </w:p>
    <w:p>
      <w:pPr>
        <w:spacing w:after="0" w:line="139"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Optionee</w:t>
      </w:r>
      <w:r>
        <w:rPr>
          <w:rFonts w:ascii="Arial" w:cs="Arial" w:eastAsia="Arial" w:hAnsi="Arial"/>
          <w:sz w:val="17"/>
          <w:szCs w:val="17"/>
          <w:color w:val="auto"/>
        </w:rPr>
        <w:t>” means the optionee named in an agreement evidencing an outstanding Option Right.</w:t>
      </w:r>
    </w:p>
    <w:p>
      <w:pPr>
        <w:spacing w:after="0" w:line="23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Price</w:t>
      </w:r>
      <w:r>
        <w:rPr>
          <w:rFonts w:ascii="Arial" w:cs="Arial" w:eastAsia="Arial" w:hAnsi="Arial"/>
          <w:sz w:val="18"/>
          <w:szCs w:val="18"/>
          <w:color w:val="auto"/>
        </w:rPr>
        <w:t>” means the purchase price payable on exercise of an Option Right.</w:t>
      </w:r>
    </w:p>
    <w:p>
      <w:pPr>
        <w:spacing w:after="0" w:line="225" w:lineRule="exact"/>
        <w:rPr>
          <w:sz w:val="20"/>
          <w:szCs w:val="20"/>
          <w:color w:val="auto"/>
        </w:rPr>
      </w:pPr>
    </w:p>
    <w:p>
      <w:pPr>
        <w:ind w:left="1260" w:right="519"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Right</w:t>
      </w:r>
      <w:r>
        <w:rPr>
          <w:rFonts w:ascii="Arial" w:cs="Arial" w:eastAsia="Arial" w:hAnsi="Arial"/>
          <w:sz w:val="18"/>
          <w:szCs w:val="18"/>
          <w:color w:val="auto"/>
        </w:rPr>
        <w:t>” means the right to purchase Common Shares upon exercise of an option granted pursuant to Section 4 of this Plan.</w:t>
      </w:r>
    </w:p>
    <w:p>
      <w:pPr>
        <w:spacing w:after="0" w:line="167" w:lineRule="exact"/>
        <w:rPr>
          <w:sz w:val="20"/>
          <w:szCs w:val="20"/>
          <w:color w:val="auto"/>
        </w:rPr>
      </w:pPr>
    </w:p>
    <w:p>
      <w:pPr>
        <w:ind w:left="1260" w:right="619"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w:t>
      </w:r>
      <w:r>
        <w:rPr>
          <w:rFonts w:ascii="Arial" w:cs="Arial" w:eastAsia="Arial" w:hAnsi="Arial"/>
          <w:sz w:val="18"/>
          <w:szCs w:val="18"/>
          <w:color w:val="auto"/>
        </w:rPr>
        <w:t>t” means a person who is selected by the Committee to receive benefits under this Plan and who is at the time an officer, consultant or other key employee of the Company or any Affiliate and also includes each Non-Employee Director who receives an Award under this Plan.</w:t>
      </w:r>
    </w:p>
    <w:p>
      <w:pPr>
        <w:spacing w:after="0" w:line="182" w:lineRule="exact"/>
        <w:rPr>
          <w:sz w:val="20"/>
          <w:szCs w:val="20"/>
          <w:color w:val="auto"/>
        </w:rPr>
      </w:pPr>
    </w:p>
    <w:p>
      <w:pPr>
        <w:ind w:left="1260" w:right="459"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in respect of a Performance Unit or Performance Share, a period of time established pursuant to Section 6 of this Plan within which the Management Objectives relating to such Performance Share or Performance Unit are to be achieved.</w:t>
      </w:r>
    </w:p>
    <w:p>
      <w:pPr>
        <w:spacing w:after="0" w:line="182" w:lineRule="exact"/>
        <w:rPr>
          <w:sz w:val="20"/>
          <w:szCs w:val="20"/>
          <w:color w:val="auto"/>
        </w:rPr>
      </w:pPr>
    </w:p>
    <w:p>
      <w:pPr>
        <w:ind w:left="1260" w:right="679"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w:t>
      </w:r>
      <w:r>
        <w:rPr>
          <w:rFonts w:ascii="Arial" w:cs="Arial" w:eastAsia="Arial" w:hAnsi="Arial"/>
          <w:sz w:val="18"/>
          <w:szCs w:val="18"/>
          <w:color w:val="auto"/>
        </w:rPr>
        <w:t>” means a bookkeeping entry that records the equivalent of one Common Share awarded pursuant to Section 6 of this Plan.</w:t>
      </w:r>
    </w:p>
    <w:p>
      <w:pPr>
        <w:spacing w:after="0" w:line="154" w:lineRule="exact"/>
        <w:rPr>
          <w:sz w:val="20"/>
          <w:szCs w:val="20"/>
          <w:color w:val="auto"/>
        </w:rPr>
      </w:pPr>
    </w:p>
    <w:p>
      <w:pPr>
        <w:ind w:left="1260" w:right="559"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w:t>
      </w:r>
      <w:r>
        <w:rPr>
          <w:rFonts w:ascii="Arial" w:cs="Arial" w:eastAsia="Arial" w:hAnsi="Arial"/>
          <w:sz w:val="18"/>
          <w:szCs w:val="18"/>
          <w:color w:val="auto"/>
        </w:rPr>
        <w:t>t” means a bookkeeping entry that records a unit equivalent to $1.00 awarded pursuant to Section 6 of this Plan.</w:t>
      </w:r>
    </w:p>
    <w:p>
      <w:pPr>
        <w:spacing w:after="0" w:line="139" w:lineRule="exact"/>
        <w:rPr>
          <w:sz w:val="20"/>
          <w:szCs w:val="20"/>
          <w:color w:val="auto"/>
        </w:rPr>
      </w:pPr>
    </w:p>
    <w:p>
      <w:pPr>
        <w:ind w:left="1260" w:right="539" w:firstLine="648"/>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partnership, corporation, limited liability company, unincorporated organization, trust or joint venture, or a governmental agency or political subdivision thereof.</w:t>
      </w:r>
    </w:p>
    <w:p>
      <w:pPr>
        <w:spacing w:after="0" w:line="144" w:lineRule="exact"/>
        <w:rPr>
          <w:sz w:val="20"/>
          <w:szCs w:val="20"/>
          <w:color w:val="auto"/>
        </w:rPr>
      </w:pPr>
    </w:p>
    <w:p>
      <w:pPr>
        <w:ind w:left="1260" w:right="419"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means Common Shares granted or sold pursuant to Section 7 of this Plan as to which neither the substantial risk of forfeiture nor the prohibition on transfers referred to in such Section 7 has expired.</w:t>
      </w:r>
    </w:p>
    <w:p>
      <w:pPr>
        <w:spacing w:after="0" w:line="18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means an Award made pursuant to Section 8 of this Plan.</w:t>
      </w:r>
    </w:p>
    <w:p>
      <w:pPr>
        <w:spacing w:after="0" w:line="225" w:lineRule="exact"/>
        <w:rPr>
          <w:sz w:val="20"/>
          <w:szCs w:val="20"/>
          <w:color w:val="auto"/>
        </w:rPr>
      </w:pPr>
    </w:p>
    <w:p>
      <w:pPr>
        <w:ind w:left="1260" w:right="559"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Restriction Period</w:t>
      </w:r>
      <w:r>
        <w:rPr>
          <w:rFonts w:ascii="Arial" w:cs="Arial" w:eastAsia="Arial" w:hAnsi="Arial"/>
          <w:sz w:val="18"/>
          <w:szCs w:val="18"/>
          <w:color w:val="auto"/>
        </w:rPr>
        <w:t>” means the period of time during which Restricted Stock Units are subject to transfer limitations under Section 8 of this Plan.</w:t>
      </w:r>
    </w:p>
    <w:p>
      <w:pPr>
        <w:spacing w:after="0" w:line="154" w:lineRule="exact"/>
        <w:rPr>
          <w:sz w:val="20"/>
          <w:szCs w:val="20"/>
          <w:color w:val="auto"/>
        </w:rPr>
      </w:pPr>
    </w:p>
    <w:p>
      <w:pPr>
        <w:ind w:left="1260" w:right="559" w:firstLine="648"/>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Spread</w:t>
      </w:r>
      <w:r>
        <w:rPr>
          <w:rFonts w:ascii="Arial" w:cs="Arial" w:eastAsia="Arial" w:hAnsi="Arial"/>
          <w:sz w:val="18"/>
          <w:szCs w:val="18"/>
          <w:color w:val="auto"/>
        </w:rPr>
        <w:t>” means the excess of the Market Value of a Share on the date when an Appreciation Right is exercised, or on the date when Option Rights are surrendered in payment of the Option Price of other Option Rights, over the per share Option Price or per share Base Price provided for in the related Option Right or Free-Standing Appreciation Right, respectively.</w:t>
      </w:r>
    </w:p>
    <w:p>
      <w:pPr>
        <w:spacing w:after="0" w:line="184" w:lineRule="exact"/>
        <w:rPr>
          <w:sz w:val="20"/>
          <w:szCs w:val="20"/>
          <w:color w:val="auto"/>
        </w:rPr>
      </w:pPr>
    </w:p>
    <w:p>
      <w:pPr>
        <w:ind w:left="1260" w:right="779"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as that term is defined in Section 424(f) of the Code, or any successor provision.</w:t>
      </w:r>
    </w:p>
    <w:p>
      <w:pPr>
        <w:spacing w:after="0" w:line="154" w:lineRule="exact"/>
        <w:rPr>
          <w:sz w:val="20"/>
          <w:szCs w:val="20"/>
          <w:color w:val="auto"/>
        </w:rPr>
      </w:pPr>
    </w:p>
    <w:p>
      <w:pPr>
        <w:ind w:left="1260" w:right="559"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Tandem Appreciation Right</w:t>
      </w:r>
      <w:r>
        <w:rPr>
          <w:rFonts w:ascii="Arial" w:cs="Arial" w:eastAsia="Arial" w:hAnsi="Arial"/>
          <w:sz w:val="18"/>
          <w:szCs w:val="18"/>
          <w:color w:val="auto"/>
        </w:rPr>
        <w:t>” means an Appreciation Right granted pursuant to Section 5 of this Plan that is granted in tandem with an Option Right.</w:t>
      </w:r>
    </w:p>
    <w:p>
      <w:pPr>
        <w:spacing w:after="0" w:line="167"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3.  Shares Available Under the Plan</w:t>
      </w:r>
      <w:r>
        <w:rPr>
          <w:rFonts w:ascii="Arial" w:cs="Arial" w:eastAsia="Arial" w:hAnsi="Arial"/>
          <w:sz w:val="18"/>
          <w:szCs w:val="18"/>
          <w:color w:val="auto"/>
        </w:rPr>
        <w:t>.</w:t>
      </w:r>
    </w:p>
    <w:p>
      <w:pPr>
        <w:spacing w:after="0" w:line="225" w:lineRule="exact"/>
        <w:rPr>
          <w:sz w:val="20"/>
          <w:szCs w:val="20"/>
          <w:color w:val="auto"/>
        </w:rPr>
      </w:pPr>
    </w:p>
    <w:p>
      <w:pPr>
        <w:ind w:left="1260" w:right="459" w:firstLine="648"/>
        <w:spacing w:after="0" w:line="275" w:lineRule="auto"/>
        <w:tabs>
          <w:tab w:leader="none" w:pos="2199" w:val="left"/>
        </w:tabs>
        <w:numPr>
          <w:ilvl w:val="0"/>
          <w:numId w:val="97"/>
        </w:numPr>
        <w:rPr>
          <w:rFonts w:ascii="Arial" w:cs="Arial" w:eastAsia="Arial" w:hAnsi="Arial"/>
          <w:sz w:val="17"/>
          <w:szCs w:val="17"/>
          <w:color w:val="auto"/>
        </w:rPr>
      </w:pPr>
      <w:r>
        <w:rPr>
          <w:rFonts w:ascii="Arial" w:cs="Arial" w:eastAsia="Arial" w:hAnsi="Arial"/>
          <w:sz w:val="17"/>
          <w:szCs w:val="17"/>
          <w:color w:val="auto"/>
        </w:rPr>
        <w:t>Subject to adjustment as provided in Section 13 of this Plan, the number of Common Shares (the “</w:t>
      </w:r>
      <w:r>
        <w:rPr>
          <w:rFonts w:ascii="Arial" w:cs="Arial" w:eastAsia="Arial" w:hAnsi="Arial"/>
          <w:sz w:val="17"/>
          <w:szCs w:val="17"/>
          <w:u w:val="single" w:color="auto"/>
          <w:color w:val="auto"/>
        </w:rPr>
        <w:t>Aggregate Plan Limit</w:t>
      </w:r>
      <w:r>
        <w:rPr>
          <w:rFonts w:ascii="Arial" w:cs="Arial" w:eastAsia="Arial" w:hAnsi="Arial"/>
          <w:sz w:val="17"/>
          <w:szCs w:val="17"/>
          <w:color w:val="auto"/>
        </w:rPr>
        <w:t>”) that may be issued or transferred (i) upon the exercise of Option Rights or Appreciation Rights, (ii) as Restricted Shares, (iii) in payment of Restricted Stock Units, (iv) in payment of</w:t>
      </w:r>
    </w:p>
    <w:p>
      <w:pPr>
        <w:spacing w:after="0" w:line="3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99"/>
        <w:spacing w:after="0" w:line="261" w:lineRule="auto"/>
        <w:rPr>
          <w:sz w:val="20"/>
          <w:szCs w:val="20"/>
          <w:color w:val="auto"/>
        </w:rPr>
      </w:pPr>
      <w:r>
        <w:rPr>
          <w:rFonts w:ascii="Arial" w:cs="Arial" w:eastAsia="Arial" w:hAnsi="Arial"/>
          <w:sz w:val="17"/>
          <w:szCs w:val="17"/>
          <w:color w:val="auto"/>
        </w:rPr>
        <w:t>Performance Units or Performance Shares that have been earned, (v) as Awards to Non-Employee Directors, (vi) in payment of Awards granted under Section 10 of this Plan, or (vii) in payment of dividend equivalents paid with respect to Awards made under the Plan, shall not exceed in the aggregate</w:t>
      </w:r>
    </w:p>
    <w:p>
      <w:pPr>
        <w:spacing w:after="0" w:line="1" w:lineRule="exact"/>
        <w:rPr>
          <w:sz w:val="20"/>
          <w:szCs w:val="20"/>
          <w:color w:val="auto"/>
        </w:rPr>
      </w:pPr>
    </w:p>
    <w:p>
      <w:pPr>
        <w:ind w:left="1260" w:right="459"/>
        <w:spacing w:after="0" w:line="256" w:lineRule="auto"/>
        <w:tabs>
          <w:tab w:leader="none" w:pos="1513" w:val="left"/>
        </w:tabs>
        <w:numPr>
          <w:ilvl w:val="0"/>
          <w:numId w:val="98"/>
        </w:numPr>
        <w:rPr>
          <w:rFonts w:ascii="Arial" w:cs="Arial" w:eastAsia="Arial" w:hAnsi="Arial"/>
          <w:sz w:val="17"/>
          <w:szCs w:val="17"/>
          <w:color w:val="auto"/>
        </w:rPr>
      </w:pPr>
      <w:r>
        <w:rPr>
          <w:rFonts w:ascii="Arial" w:cs="Arial" w:eastAsia="Arial" w:hAnsi="Arial"/>
          <w:sz w:val="17"/>
          <w:szCs w:val="17"/>
          <w:color w:val="auto"/>
        </w:rPr>
        <w:t>6,000,000 Common Shares, plus (y) any Common Shares subject to awards granted under the Uniti Group Inc. Amended and Restated 2015 Equity Incentive Plan or this Plan that are canceled, terminated, lapsed, expired, forfeited, become unexercisable for any reason, or are settled in cash (in whole or in part) after the closing of the transaction contemplated by that certain Agreement and Plan of Merger dated as of May 3, 2024 between Uniti Group Inc., a Maryland Corporation and Windstream Holdings II, LLC, a Delaware limited liability company (the “</w:t>
      </w:r>
      <w:r>
        <w:rPr>
          <w:rFonts w:ascii="Arial" w:cs="Arial" w:eastAsia="Arial" w:hAnsi="Arial"/>
          <w:sz w:val="17"/>
          <w:szCs w:val="17"/>
          <w:u w:val="single" w:color="auto"/>
          <w:color w:val="auto"/>
        </w:rPr>
        <w:t>Effective Date</w:t>
      </w:r>
      <w:r>
        <w:rPr>
          <w:rFonts w:ascii="Arial" w:cs="Arial" w:eastAsia="Arial" w:hAnsi="Arial"/>
          <w:sz w:val="17"/>
          <w:szCs w:val="17"/>
          <w:color w:val="auto"/>
        </w:rPr>
        <w:t>”); provided, however, that the Aggregate Plan Limit shall be increased to 22,750,000, subject to approval of the Company’s stockholders within one year of February 26, 2026. Notwithstanding anything to the contrary contained herein: (A) Common Shares tendered in payment of the Option Price of an Option Right shall not be added to the Aggregate Plan Limit; (B) Common Shares withheld by the Company to satisfy the tax withholding obligation shall not be added to Aggregate Plan Limit; (C) Common Shares that are repurchased by the Company with Option Right proceeds shall not be added to the Aggregate Plan Limit; and (D) all Common Shares covered by an Appreciation Right, to the extent that it is exercised and settled in Common Shares, and whether or not Common Shares are actually issued to the Participant upon exercise of the right, shall be considered issued or transferred pursuant to the Plan. Such Common Shares may be shares of original issuance or treasury shares or a combination of the foregoing.</w:t>
      </w:r>
    </w:p>
    <w:p>
      <w:pPr>
        <w:spacing w:after="0" w:line="182" w:lineRule="exact"/>
        <w:rPr>
          <w:rFonts w:ascii="Arial" w:cs="Arial" w:eastAsia="Arial" w:hAnsi="Arial"/>
          <w:sz w:val="17"/>
          <w:szCs w:val="17"/>
          <w:color w:val="auto"/>
        </w:rPr>
      </w:pPr>
    </w:p>
    <w:p>
      <w:pPr>
        <w:ind w:left="1260" w:right="579" w:firstLine="648"/>
        <w:spacing w:after="0" w:line="253" w:lineRule="auto"/>
        <w:tabs>
          <w:tab w:leader="none" w:pos="2199" w:val="left"/>
        </w:tabs>
        <w:numPr>
          <w:ilvl w:val="1"/>
          <w:numId w:val="98"/>
        </w:numPr>
        <w:rPr>
          <w:rFonts w:ascii="Arial" w:cs="Arial" w:eastAsia="Arial" w:hAnsi="Arial"/>
          <w:sz w:val="18"/>
          <w:szCs w:val="18"/>
          <w:color w:val="auto"/>
        </w:rPr>
      </w:pPr>
      <w:r>
        <w:rPr>
          <w:rFonts w:ascii="Arial" w:cs="Arial" w:eastAsia="Arial" w:hAnsi="Arial"/>
          <w:sz w:val="18"/>
          <w:szCs w:val="18"/>
          <w:color w:val="auto"/>
        </w:rPr>
        <w:t>If, under this Plan, a Participant has elected to give up the right to receive compensation in exchange for Common Shares based on fair market value, such Common Shares will not count against the number of shares available in Section 3(a) above.</w:t>
      </w:r>
    </w:p>
    <w:p>
      <w:pPr>
        <w:spacing w:after="0" w:line="182" w:lineRule="exact"/>
        <w:rPr>
          <w:rFonts w:ascii="Arial" w:cs="Arial" w:eastAsia="Arial" w:hAnsi="Arial"/>
          <w:sz w:val="18"/>
          <w:szCs w:val="18"/>
          <w:color w:val="auto"/>
        </w:rPr>
      </w:pPr>
    </w:p>
    <w:p>
      <w:pPr>
        <w:ind w:left="1260" w:right="619" w:firstLine="648"/>
        <w:spacing w:after="0" w:line="252" w:lineRule="auto"/>
        <w:tabs>
          <w:tab w:leader="none" w:pos="2189" w:val="left"/>
        </w:tabs>
        <w:numPr>
          <w:ilvl w:val="1"/>
          <w:numId w:val="98"/>
        </w:numPr>
        <w:rPr>
          <w:rFonts w:ascii="Arial" w:cs="Arial" w:eastAsia="Arial" w:hAnsi="Arial"/>
          <w:sz w:val="18"/>
          <w:szCs w:val="18"/>
          <w:color w:val="auto"/>
        </w:rPr>
      </w:pPr>
      <w:r>
        <w:rPr>
          <w:rFonts w:ascii="Arial" w:cs="Arial" w:eastAsia="Arial" w:hAnsi="Arial"/>
          <w:sz w:val="18"/>
          <w:szCs w:val="18"/>
          <w:color w:val="auto"/>
        </w:rPr>
        <w:t>Notwithstanding anything in this Section 3, or elsewhere in this Plan, to the contrary and subject to adjustment as provided in Section 13 of this Plan, the aggregate number of Common Shares actually issued or transferred by the Company upon the exercise of Incentive Stock Options shall not exceed 6,000,000 Common Shares.</w:t>
      </w:r>
    </w:p>
    <w:p>
      <w:pPr>
        <w:spacing w:after="0" w:line="170" w:lineRule="exact"/>
        <w:rPr>
          <w:sz w:val="20"/>
          <w:szCs w:val="20"/>
          <w:color w:val="auto"/>
        </w:rPr>
      </w:pPr>
    </w:p>
    <w:p>
      <w:pPr>
        <w:ind w:left="1260" w:right="459" w:firstLine="648"/>
        <w:spacing w:after="0" w:line="252" w:lineRule="auto"/>
        <w:tabs>
          <w:tab w:leader="none" w:pos="2199"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Option Rights</w:t>
      </w:r>
      <w:r>
        <w:rPr>
          <w:rFonts w:ascii="Arial" w:cs="Arial" w:eastAsia="Arial" w:hAnsi="Arial"/>
          <w:sz w:val="18"/>
          <w:szCs w:val="18"/>
          <w:color w:val="auto"/>
        </w:rPr>
        <w:t>. The Committee may, from time to time and upon such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it may determine, authorize the granting to Participants of Option Rights. Each such grant may utilize any or all of the authorizations, and shall be subject to all of the limitations, contained in the following provisions:</w:t>
      </w:r>
    </w:p>
    <w:p>
      <w:pPr>
        <w:spacing w:after="0" w:line="170" w:lineRule="exact"/>
        <w:rPr>
          <w:sz w:val="20"/>
          <w:szCs w:val="20"/>
          <w:color w:val="auto"/>
        </w:rPr>
      </w:pPr>
    </w:p>
    <w:p>
      <w:pPr>
        <w:ind w:left="2200" w:hanging="292"/>
        <w:spacing w:after="0"/>
        <w:tabs>
          <w:tab w:leader="none" w:pos="22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grant shall specify the number of Common Shares to which it pertains.</w:t>
      </w:r>
    </w:p>
    <w:p>
      <w:pPr>
        <w:spacing w:after="0" w:line="225" w:lineRule="exact"/>
        <w:rPr>
          <w:rFonts w:ascii="Arial" w:cs="Arial" w:eastAsia="Arial" w:hAnsi="Arial"/>
          <w:sz w:val="18"/>
          <w:szCs w:val="18"/>
          <w:color w:val="auto"/>
        </w:rPr>
      </w:pPr>
    </w:p>
    <w:p>
      <w:pPr>
        <w:ind w:left="1260" w:right="659" w:firstLine="648"/>
        <w:spacing w:after="0" w:line="271" w:lineRule="auto"/>
        <w:tabs>
          <w:tab w:leader="none" w:pos="219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grant shall specify an Option Price per share, which may not be less than the Market Value per Share on the Date of Grant.</w:t>
      </w:r>
    </w:p>
    <w:p>
      <w:pPr>
        <w:spacing w:after="0" w:line="167" w:lineRule="exact"/>
        <w:rPr>
          <w:rFonts w:ascii="Arial" w:cs="Arial" w:eastAsia="Arial" w:hAnsi="Arial"/>
          <w:sz w:val="18"/>
          <w:szCs w:val="18"/>
          <w:color w:val="auto"/>
        </w:rPr>
      </w:pPr>
    </w:p>
    <w:p>
      <w:pPr>
        <w:ind w:left="1260" w:right="539" w:firstLine="648"/>
        <w:spacing w:after="0" w:line="245" w:lineRule="auto"/>
        <w:tabs>
          <w:tab w:leader="none" w:pos="218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grant shall specify whether the Option Price shall be payable (i) in cash or by check acceptable to the Company, (ii) by the actual or constructive transfer to the Company of nonforfeitable, unrestricted Common Shares owned by the Optionee having a value at the time of exercise equal to the total Option Price, on such basis as the Committee may determine, (iii) in any other legal consideration that the Committee may deem appropriate, on such basis as the Committee may determine, or (iv) by a combination of such methods of payment.</w:t>
      </w:r>
    </w:p>
    <w:p>
      <w:pPr>
        <w:spacing w:after="0" w:line="190" w:lineRule="exact"/>
        <w:rPr>
          <w:rFonts w:ascii="Arial" w:cs="Arial" w:eastAsia="Arial" w:hAnsi="Arial"/>
          <w:sz w:val="18"/>
          <w:szCs w:val="18"/>
          <w:color w:val="auto"/>
        </w:rPr>
      </w:pPr>
    </w:p>
    <w:p>
      <w:pPr>
        <w:ind w:left="1260" w:right="519" w:firstLine="648"/>
        <w:spacing w:after="0" w:line="247" w:lineRule="auto"/>
        <w:tabs>
          <w:tab w:leader="none" w:pos="219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the extent permitted by law, any grant may provide for (i) deferred payment of the Option Price from the proceeds of sale through a bank or broker on a date satisfactory to the Company of some or all of the shares to which such exercise relates; (ii) payment of the Option Price, at the election of the Optionee, in installments or using a promissory note, upon terms determined by the Committee in its discretion; or (iii) any combination of such methods.</w:t>
      </w:r>
    </w:p>
    <w:p>
      <w:pPr>
        <w:spacing w:after="0" w:line="176" w:lineRule="exact"/>
        <w:rPr>
          <w:rFonts w:ascii="Arial" w:cs="Arial" w:eastAsia="Arial" w:hAnsi="Arial"/>
          <w:sz w:val="18"/>
          <w:szCs w:val="18"/>
          <w:color w:val="auto"/>
        </w:rPr>
      </w:pPr>
    </w:p>
    <w:p>
      <w:pPr>
        <w:ind w:left="1260" w:right="659" w:firstLine="648"/>
        <w:spacing w:after="0" w:line="287" w:lineRule="auto"/>
        <w:tabs>
          <w:tab w:leader="none" w:pos="219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Successive grants may be made to the same Participant whether or not any Option Rights previously granted to such Participant remain unexercised.</w:t>
      </w:r>
    </w:p>
    <w:p>
      <w:pPr>
        <w:spacing w:after="0" w:line="139" w:lineRule="exact"/>
        <w:rPr>
          <w:rFonts w:ascii="Arial" w:cs="Arial" w:eastAsia="Arial" w:hAnsi="Arial"/>
          <w:sz w:val="18"/>
          <w:szCs w:val="18"/>
          <w:color w:val="auto"/>
        </w:rPr>
      </w:pPr>
    </w:p>
    <w:p>
      <w:pPr>
        <w:ind w:left="1260" w:right="559" w:firstLine="648"/>
        <w:spacing w:after="0" w:line="301" w:lineRule="auto"/>
        <w:tabs>
          <w:tab w:leader="none" w:pos="2149"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Each grant shall specify the period or periods of continuous service by the Optionee with the Company or any Affiliate that is necessary before the Option Rights or installments thereof will become</w:t>
      </w:r>
    </w:p>
    <w:p>
      <w:pPr>
        <w:sectPr>
          <w:pgSz w:w="11900" w:h="16838" w:orient="portrait"/>
          <w:cols w:equalWidth="0" w:num="1">
            <w:col w:w="9879"/>
          </w:cols>
          <w:pgMar w:left="580" w:top="97" w:right="1440" w:bottom="1440" w:gutter="0" w:footer="0" w:header="0"/>
        </w:sectPr>
      </w:pPr>
    </w:p>
    <w:p>
      <w:pPr>
        <w:spacing w:after="0" w:line="32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599"/>
        <w:spacing w:after="0" w:line="268" w:lineRule="auto"/>
        <w:rPr>
          <w:sz w:val="20"/>
          <w:szCs w:val="20"/>
          <w:color w:val="auto"/>
        </w:rPr>
      </w:pPr>
      <w:r>
        <w:rPr>
          <w:rFonts w:ascii="Arial" w:cs="Arial" w:eastAsia="Arial" w:hAnsi="Arial"/>
          <w:sz w:val="18"/>
          <w:szCs w:val="18"/>
          <w:color w:val="auto"/>
        </w:rPr>
        <w:t>exercisable and may provide for accelerated vesting of such Option Rights in the event of a Change in Control, retirement, death or Disability of the Optionee or other similar transaction or event as approved by the Committee.</w:t>
      </w:r>
    </w:p>
    <w:p>
      <w:pPr>
        <w:spacing w:after="0" w:line="171" w:lineRule="exact"/>
        <w:rPr>
          <w:sz w:val="20"/>
          <w:szCs w:val="20"/>
          <w:color w:val="auto"/>
        </w:rPr>
      </w:pPr>
    </w:p>
    <w:p>
      <w:pPr>
        <w:ind w:left="1260" w:right="539" w:firstLine="648"/>
        <w:spacing w:after="0" w:line="287" w:lineRule="auto"/>
        <w:tabs>
          <w:tab w:leader="none" w:pos="218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grant of Option Rights may specify Management Objectives that must be achieved as a condition to the exercise of such rights.</w:t>
      </w:r>
    </w:p>
    <w:p>
      <w:pPr>
        <w:spacing w:after="0" w:line="152" w:lineRule="exact"/>
        <w:rPr>
          <w:rFonts w:ascii="Arial" w:cs="Arial" w:eastAsia="Arial" w:hAnsi="Arial"/>
          <w:sz w:val="18"/>
          <w:szCs w:val="18"/>
          <w:color w:val="auto"/>
        </w:rPr>
      </w:pPr>
    </w:p>
    <w:p>
      <w:pPr>
        <w:ind w:left="1260" w:right="459" w:firstLine="648"/>
        <w:spacing w:after="0" w:line="259" w:lineRule="auto"/>
        <w:tabs>
          <w:tab w:leader="none" w:pos="219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Option Rights granted under this Plan may be (i) Incentive Stock Options, that are intended to qualify under Section 422 of the Code (or any successor to such section), (ii) “nonqualified stock options” that are not intended to so qualify, or (iii) a combination of the foregoing. Incentive Stock Options may only be granted to Participants who meet the definition of “employees” under Section 3401(c) of the Code on the Date of Grant.</w:t>
      </w:r>
    </w:p>
    <w:p>
      <w:pPr>
        <w:spacing w:after="0" w:line="179" w:lineRule="exact"/>
        <w:rPr>
          <w:rFonts w:ascii="Arial" w:cs="Arial" w:eastAsia="Arial" w:hAnsi="Arial"/>
          <w:sz w:val="18"/>
          <w:szCs w:val="18"/>
          <w:color w:val="auto"/>
        </w:rPr>
      </w:pPr>
    </w:p>
    <w:p>
      <w:pPr>
        <w:ind w:left="1260" w:right="639" w:firstLine="648"/>
        <w:spacing w:after="0" w:line="287" w:lineRule="auto"/>
        <w:tabs>
          <w:tab w:leader="none" w:pos="213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exercise of an Option Right shall result in the cancellation on a share-for-share basis of any Tandem Appreciation Right authorized under Section 5 of this Plan.</w:t>
      </w:r>
    </w:p>
    <w:p>
      <w:pPr>
        <w:spacing w:after="0" w:line="152" w:lineRule="exact"/>
        <w:rPr>
          <w:rFonts w:ascii="Arial" w:cs="Arial" w:eastAsia="Arial" w:hAnsi="Arial"/>
          <w:sz w:val="18"/>
          <w:szCs w:val="18"/>
          <w:color w:val="auto"/>
        </w:rPr>
      </w:pPr>
    </w:p>
    <w:p>
      <w:pPr>
        <w:ind w:left="2140" w:hanging="232"/>
        <w:spacing w:after="0"/>
        <w:tabs>
          <w:tab w:leader="none" w:pos="21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 Option Right shall be exercisable more than 10 years from the Date of Grant.</w:t>
      </w:r>
    </w:p>
    <w:p>
      <w:pPr>
        <w:spacing w:after="0" w:line="225" w:lineRule="exact"/>
        <w:rPr>
          <w:rFonts w:ascii="Arial" w:cs="Arial" w:eastAsia="Arial" w:hAnsi="Arial"/>
          <w:sz w:val="18"/>
          <w:szCs w:val="18"/>
          <w:color w:val="auto"/>
        </w:rPr>
      </w:pPr>
    </w:p>
    <w:p>
      <w:pPr>
        <w:ind w:left="1260" w:right="619" w:firstLine="648"/>
        <w:spacing w:after="0" w:line="291" w:lineRule="auto"/>
        <w:tabs>
          <w:tab w:leader="none" w:pos="2186"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To the extent an Option Right is not previously exercised as to all of the Common Shares subject thereto, and, if the Market Value per Share is greater than the exercise price then in effect, then the Option Right shall be deemed automatically exercised immediately before its expiration.</w:t>
      </w:r>
    </w:p>
    <w:p>
      <w:pPr>
        <w:spacing w:after="0" w:line="152" w:lineRule="exact"/>
        <w:rPr>
          <w:rFonts w:ascii="Arial" w:cs="Arial" w:eastAsia="Arial" w:hAnsi="Arial"/>
          <w:sz w:val="17"/>
          <w:szCs w:val="17"/>
          <w:color w:val="auto"/>
        </w:rPr>
      </w:pPr>
    </w:p>
    <w:p>
      <w:pPr>
        <w:ind w:left="1260" w:right="559" w:firstLine="648"/>
        <w:spacing w:after="0" w:line="268" w:lineRule="auto"/>
        <w:tabs>
          <w:tab w:leader="none" w:pos="213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grant of Option Rights shall be evidenced by an Evidence of Award which shall contain such terms and provisions, consistent with this Plan and applicable sections of the Code, as the Committee may approve.</w:t>
      </w:r>
    </w:p>
    <w:p>
      <w:pPr>
        <w:spacing w:after="0" w:line="171"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5.  Appreciation Rights</w:t>
      </w:r>
      <w:r>
        <w:rPr>
          <w:rFonts w:ascii="Arial" w:cs="Arial" w:eastAsia="Arial" w:hAnsi="Arial"/>
          <w:sz w:val="18"/>
          <w:szCs w:val="18"/>
          <w:color w:val="auto"/>
        </w:rPr>
        <w:t>.</w:t>
      </w:r>
    </w:p>
    <w:p>
      <w:pPr>
        <w:spacing w:after="0" w:line="225" w:lineRule="exact"/>
        <w:rPr>
          <w:sz w:val="20"/>
          <w:szCs w:val="20"/>
          <w:color w:val="auto"/>
        </w:rPr>
      </w:pPr>
    </w:p>
    <w:p>
      <w:pPr>
        <w:ind w:left="1260" w:right="419" w:firstLine="648"/>
        <w:spacing w:after="0" w:line="254" w:lineRule="auto"/>
        <w:tabs>
          <w:tab w:leader="none" w:pos="219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Committee may authorize the granting (i) to any Optionee, of Tandem Appreciation Rights in respect of Option Rights granted hereunder, and (ii) to any Participant, of Free-Standing Appreciation Rights. A Tandem Appreciation Right shall be a right of the Optionee, exercisable by surrender of the related Option Right, to receive from the Company an amount determined by the Committee, which shall be expressed as a percentage of the Spread (not exceeding 100 percent) at the time of exercise. Tandem Appreciation Rights may be granted at any time prior to the exercise or termination of the related Option Rights; provided, however, that a Tandem Appreciation Right awarded in relation to an Incentive Stock Option must be granted concurrently with such Incentive Stock Option. A Free-Standing Appreciation Right shall be a right of the Participant to receive from the Company an amount determined by the Committee, which shall be expressed as a percentage of the Spread (not exceeding 100 percent) at the time of exercise.</w:t>
      </w:r>
    </w:p>
    <w:p>
      <w:pPr>
        <w:spacing w:after="0" w:line="182" w:lineRule="exact"/>
        <w:rPr>
          <w:rFonts w:ascii="Arial" w:cs="Arial" w:eastAsia="Arial" w:hAnsi="Arial"/>
          <w:sz w:val="18"/>
          <w:szCs w:val="18"/>
          <w:color w:val="auto"/>
        </w:rPr>
      </w:pPr>
    </w:p>
    <w:p>
      <w:pPr>
        <w:ind w:left="1260" w:right="739" w:firstLine="648"/>
        <w:spacing w:after="0" w:line="287" w:lineRule="auto"/>
        <w:tabs>
          <w:tab w:leader="none" w:pos="219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grant of Appreciation Rights may utilize any or all of the authorizations, and shall be subject to all of the requirements, contained in the following provisions:</w:t>
      </w:r>
    </w:p>
    <w:p>
      <w:pPr>
        <w:spacing w:after="0" w:line="152" w:lineRule="exact"/>
        <w:rPr>
          <w:rFonts w:ascii="Arial" w:cs="Arial" w:eastAsia="Arial" w:hAnsi="Arial"/>
          <w:sz w:val="18"/>
          <w:szCs w:val="18"/>
          <w:color w:val="auto"/>
        </w:rPr>
      </w:pPr>
    </w:p>
    <w:p>
      <w:pPr>
        <w:ind w:left="1900" w:right="419" w:firstLine="656"/>
        <w:spacing w:after="0" w:line="262" w:lineRule="auto"/>
        <w:tabs>
          <w:tab w:leader="none" w:pos="283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grant may specify that the amount payable on exercise of an Appreciation Right may be paid by the Company in cash, in Common Shares or in any combination thereof and may either grant to the Participant or retain in the Committee the right to elect among those alternatives.</w:t>
      </w:r>
    </w:p>
    <w:p>
      <w:pPr>
        <w:spacing w:after="0" w:line="176" w:lineRule="exact"/>
        <w:rPr>
          <w:rFonts w:ascii="Arial" w:cs="Arial" w:eastAsia="Arial" w:hAnsi="Arial"/>
          <w:sz w:val="18"/>
          <w:szCs w:val="18"/>
          <w:color w:val="auto"/>
        </w:rPr>
      </w:pPr>
    </w:p>
    <w:p>
      <w:pPr>
        <w:ind w:left="1900" w:right="459" w:firstLine="656"/>
        <w:spacing w:after="0" w:line="287" w:lineRule="auto"/>
        <w:tabs>
          <w:tab w:leader="none" w:pos="287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grant may specify that the amount payable on exercise of an Appreciation Right may not exceed a maximum specified by the Committee at the Date of Grant.</w:t>
      </w:r>
    </w:p>
    <w:p>
      <w:pPr>
        <w:spacing w:after="0" w:line="152" w:lineRule="exact"/>
        <w:rPr>
          <w:rFonts w:ascii="Arial" w:cs="Arial" w:eastAsia="Arial" w:hAnsi="Arial"/>
          <w:sz w:val="18"/>
          <w:szCs w:val="18"/>
          <w:color w:val="auto"/>
        </w:rPr>
      </w:pPr>
    </w:p>
    <w:p>
      <w:pPr>
        <w:ind w:left="1900" w:right="619" w:firstLine="656"/>
        <w:spacing w:after="0" w:line="259" w:lineRule="auto"/>
        <w:tabs>
          <w:tab w:leader="none" w:pos="292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Each grant shall specify the period or periods of continuous service by the Participant with the Company or any Affiliate that is necessary before the Appreciation Right or installments thereof will become exercisable and may provide for accelerated vesting of such Appreciation Rights in the event of a Change in Control, retirement, death or Disability of the Participant or other similar transaction or event as approved by the Committee.</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00" w:right="579" w:firstLine="656"/>
        <w:spacing w:after="0" w:line="259" w:lineRule="auto"/>
        <w:tabs>
          <w:tab w:leader="none" w:pos="2935"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Each grant of an Appreciation Right shall be evidenced by an Evidence of Award, which shall describe such Appreciation Right, identify any related Option Right, state that such Appreciation Right is subject to all the terms and conditions of this Plan, and contain such other terms and provisions, consistent with this Plan and applicable sections of the Code, as the Committee may approve.</w:t>
      </w:r>
    </w:p>
    <w:p>
      <w:pPr>
        <w:spacing w:after="0" w:line="179" w:lineRule="exact"/>
        <w:rPr>
          <w:rFonts w:ascii="Arial" w:cs="Arial" w:eastAsia="Arial" w:hAnsi="Arial"/>
          <w:sz w:val="18"/>
          <w:szCs w:val="18"/>
          <w:color w:val="auto"/>
        </w:rPr>
      </w:pPr>
    </w:p>
    <w:p>
      <w:pPr>
        <w:ind w:left="1260" w:right="719" w:firstLine="648"/>
        <w:spacing w:after="0" w:line="268" w:lineRule="auto"/>
        <w:tabs>
          <w:tab w:leader="none" w:pos="217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grant of Tandem Appreciation Rights shall provide that such Rights may be exercised only at a time when the related Option Right is also exercisable and at a time when the Spread is positive, and by surrender of the related Option Right for cancellation.</w:t>
      </w:r>
    </w:p>
    <w:p>
      <w:pPr>
        <w:spacing w:after="0" w:line="170" w:lineRule="exact"/>
        <w:rPr>
          <w:rFonts w:ascii="Arial" w:cs="Arial" w:eastAsia="Arial" w:hAnsi="Arial"/>
          <w:sz w:val="18"/>
          <w:szCs w:val="18"/>
          <w:color w:val="auto"/>
        </w:rPr>
      </w:pPr>
    </w:p>
    <w:p>
      <w:pPr>
        <w:ind w:left="2200" w:hanging="292"/>
        <w:spacing w:after="0"/>
        <w:tabs>
          <w:tab w:leader="none" w:pos="22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Regarding Free-Standing Appreciation Rights only:</w:t>
      </w:r>
    </w:p>
    <w:p>
      <w:pPr>
        <w:spacing w:after="0" w:line="225" w:lineRule="exact"/>
        <w:rPr>
          <w:rFonts w:ascii="Arial" w:cs="Arial" w:eastAsia="Arial" w:hAnsi="Arial"/>
          <w:sz w:val="18"/>
          <w:szCs w:val="18"/>
          <w:color w:val="auto"/>
        </w:rPr>
      </w:pPr>
    </w:p>
    <w:p>
      <w:pPr>
        <w:ind w:left="1900" w:right="479" w:firstLine="656"/>
        <w:spacing w:after="0" w:line="287" w:lineRule="auto"/>
        <w:tabs>
          <w:tab w:leader="none" w:pos="2847"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Each grant shall specify in respect of each Free-Standing Appreciation Right a Base Price, which shall not be less than the Market Value per Share on the Date of Grant;</w:t>
      </w:r>
    </w:p>
    <w:p>
      <w:pPr>
        <w:spacing w:after="0" w:line="152" w:lineRule="exact"/>
        <w:rPr>
          <w:rFonts w:ascii="Arial" w:cs="Arial" w:eastAsia="Arial" w:hAnsi="Arial"/>
          <w:sz w:val="18"/>
          <w:szCs w:val="18"/>
          <w:color w:val="auto"/>
        </w:rPr>
      </w:pPr>
    </w:p>
    <w:p>
      <w:pPr>
        <w:ind w:left="1900" w:right="439" w:firstLine="656"/>
        <w:spacing w:after="0" w:line="318" w:lineRule="auto"/>
        <w:tabs>
          <w:tab w:leader="none" w:pos="2885" w:val="left"/>
        </w:tabs>
        <w:numPr>
          <w:ilvl w:val="1"/>
          <w:numId w:val="104"/>
        </w:numPr>
        <w:rPr>
          <w:rFonts w:ascii="Arial" w:cs="Arial" w:eastAsia="Arial" w:hAnsi="Arial"/>
          <w:sz w:val="17"/>
          <w:szCs w:val="17"/>
          <w:color w:val="auto"/>
        </w:rPr>
      </w:pPr>
      <w:r>
        <w:rPr>
          <w:rFonts w:ascii="Arial" w:cs="Arial" w:eastAsia="Arial" w:hAnsi="Arial"/>
          <w:sz w:val="17"/>
          <w:szCs w:val="17"/>
          <w:color w:val="auto"/>
        </w:rPr>
        <w:t>Successive grants may be made to the same Participant regardless of whether any Free-Standing Appreciation Rights previously granted to the Participant remain unexercised; and</w:t>
      </w:r>
    </w:p>
    <w:p>
      <w:pPr>
        <w:spacing w:after="0" w:line="129" w:lineRule="exact"/>
        <w:rPr>
          <w:rFonts w:ascii="Arial" w:cs="Arial" w:eastAsia="Arial" w:hAnsi="Arial"/>
          <w:sz w:val="17"/>
          <w:szCs w:val="17"/>
          <w:color w:val="auto"/>
        </w:rPr>
      </w:pPr>
    </w:p>
    <w:p>
      <w:pPr>
        <w:ind w:left="1900" w:right="779" w:firstLine="656"/>
        <w:spacing w:after="0" w:line="287" w:lineRule="auto"/>
        <w:tabs>
          <w:tab w:leader="none" w:pos="2923" w:val="left"/>
        </w:tabs>
        <w:numPr>
          <w:ilvl w:val="1"/>
          <w:numId w:val="104"/>
        </w:numPr>
        <w:rPr>
          <w:rFonts w:ascii="Arial" w:cs="Arial" w:eastAsia="Arial" w:hAnsi="Arial"/>
          <w:sz w:val="18"/>
          <w:szCs w:val="18"/>
          <w:color w:val="auto"/>
        </w:rPr>
      </w:pPr>
      <w:r>
        <w:rPr>
          <w:rFonts w:ascii="Arial" w:cs="Arial" w:eastAsia="Arial" w:hAnsi="Arial"/>
          <w:sz w:val="18"/>
          <w:szCs w:val="18"/>
          <w:color w:val="auto"/>
        </w:rPr>
        <w:t>No Free-Standing Appreciation Right granted under this Plan may be exercised more than 10 years from the Date of Grant.</w:t>
      </w:r>
    </w:p>
    <w:p>
      <w:pPr>
        <w:spacing w:after="0" w:line="152" w:lineRule="exact"/>
        <w:rPr>
          <w:rFonts w:ascii="Arial" w:cs="Arial" w:eastAsia="Arial" w:hAnsi="Arial"/>
          <w:sz w:val="18"/>
          <w:szCs w:val="18"/>
          <w:color w:val="auto"/>
        </w:rPr>
      </w:pPr>
    </w:p>
    <w:p>
      <w:pPr>
        <w:jc w:val="both"/>
        <w:ind w:left="1260" w:right="919" w:firstLine="648"/>
        <w:spacing w:after="0" w:line="262" w:lineRule="auto"/>
        <w:tabs>
          <w:tab w:leader="none" w:pos="219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the extent an Appreciation Right is not previously exercised as to all of the Common Shares subject thereto, and, if the Market Value per Share is greater than the exercise price then in effect, then the Appreciation Right shall be deemed automatically exercised immediately before its expiration.</w:t>
      </w:r>
    </w:p>
    <w:p>
      <w:pPr>
        <w:spacing w:after="0" w:line="176" w:lineRule="exact"/>
        <w:rPr>
          <w:rFonts w:ascii="Arial" w:cs="Arial" w:eastAsia="Arial" w:hAnsi="Arial"/>
          <w:sz w:val="18"/>
          <w:szCs w:val="18"/>
          <w:color w:val="auto"/>
        </w:rPr>
      </w:pPr>
    </w:p>
    <w:p>
      <w:pPr>
        <w:ind w:left="1260" w:right="519" w:firstLine="648"/>
        <w:spacing w:after="0" w:line="287" w:lineRule="auto"/>
        <w:tabs>
          <w:tab w:leader="none" w:pos="213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grant of Appreciation Rights may specify Management Objectives that must be achieved as a condition to exercise such rights.</w:t>
      </w:r>
    </w:p>
    <w:p>
      <w:pPr>
        <w:spacing w:after="0" w:line="153" w:lineRule="exact"/>
        <w:rPr>
          <w:sz w:val="20"/>
          <w:szCs w:val="20"/>
          <w:color w:val="auto"/>
        </w:rPr>
      </w:pPr>
    </w:p>
    <w:p>
      <w:pPr>
        <w:ind w:left="1260" w:right="459" w:firstLine="648"/>
        <w:spacing w:after="0" w:line="282" w:lineRule="auto"/>
        <w:tabs>
          <w:tab w:leader="none" w:pos="2199"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color w:val="auto"/>
        </w:rPr>
        <w:t>Performance Units and Performance Shares</w:t>
      </w:r>
      <w:r>
        <w:rPr>
          <w:rFonts w:ascii="Arial" w:cs="Arial" w:eastAsia="Arial" w:hAnsi="Arial"/>
          <w:sz w:val="17"/>
          <w:szCs w:val="17"/>
          <w:color w:val="auto"/>
        </w:rPr>
        <w:t>. The Committee may also authorize the</w:t>
      </w:r>
      <w:r>
        <w:rPr>
          <w:rFonts w:ascii="Arial" w:cs="Arial" w:eastAsia="Arial" w:hAnsi="Arial"/>
          <w:sz w:val="17"/>
          <w:szCs w:val="17"/>
          <w:b w:val="1"/>
          <w:bCs w:val="1"/>
          <w:color w:val="auto"/>
        </w:rPr>
        <w:t xml:space="preserve"> </w:t>
      </w:r>
      <w:r>
        <w:rPr>
          <w:rFonts w:ascii="Arial" w:cs="Arial" w:eastAsia="Arial" w:hAnsi="Arial"/>
          <w:sz w:val="17"/>
          <w:szCs w:val="17"/>
          <w:color w:val="auto"/>
        </w:rPr>
        <w:t>granting to Participants of Performance Units and Performance Shares that will become payable to a Participant upon achievement of specified Management Objectives. Each such grant may utilize any or all of the authorizations, and shall be subject to all of the limitations, contained in the following provisions:</w:t>
      </w:r>
    </w:p>
    <w:p>
      <w:pPr>
        <w:spacing w:after="0" w:line="161" w:lineRule="exact"/>
        <w:rPr>
          <w:sz w:val="20"/>
          <w:szCs w:val="20"/>
          <w:color w:val="auto"/>
        </w:rPr>
      </w:pPr>
    </w:p>
    <w:p>
      <w:pPr>
        <w:ind w:left="1260" w:right="419" w:firstLine="648"/>
        <w:spacing w:after="0" w:line="318" w:lineRule="auto"/>
        <w:tabs>
          <w:tab w:leader="none" w:pos="2199" w:val="left"/>
        </w:tabs>
        <w:numPr>
          <w:ilvl w:val="0"/>
          <w:numId w:val="106"/>
        </w:numPr>
        <w:rPr>
          <w:rFonts w:ascii="Arial" w:cs="Arial" w:eastAsia="Arial" w:hAnsi="Arial"/>
          <w:sz w:val="17"/>
          <w:szCs w:val="17"/>
          <w:color w:val="auto"/>
        </w:rPr>
      </w:pPr>
      <w:r>
        <w:rPr>
          <w:rFonts w:ascii="Arial" w:cs="Arial" w:eastAsia="Arial" w:hAnsi="Arial"/>
          <w:sz w:val="17"/>
          <w:szCs w:val="17"/>
          <w:color w:val="auto"/>
        </w:rPr>
        <w:t>Each grant shall specify the number of Performance Units or Performance Shares to which it pertains, which number may be subject to adjustment to reflect changes in compensation or other factors.</w:t>
      </w:r>
    </w:p>
    <w:p>
      <w:pPr>
        <w:spacing w:after="0" w:line="129" w:lineRule="exact"/>
        <w:rPr>
          <w:rFonts w:ascii="Arial" w:cs="Arial" w:eastAsia="Arial" w:hAnsi="Arial"/>
          <w:sz w:val="17"/>
          <w:szCs w:val="17"/>
          <w:color w:val="auto"/>
        </w:rPr>
      </w:pPr>
    </w:p>
    <w:p>
      <w:pPr>
        <w:ind w:left="1260" w:right="519" w:firstLine="648"/>
        <w:spacing w:after="0" w:line="259" w:lineRule="auto"/>
        <w:tabs>
          <w:tab w:leader="none" w:pos="219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Performance Period with respect to each Performance Unit or Performance Share shall be such period of time commencing with the Date of Grant as shall be determined by the Committee at the time of grant. Each grant may provide for the earlier lapse or other modification of such Performance Period in the event of a Change in Control, retirement, or death or Disability of the Participant or other similar transaction or event as approved by the Committee.</w:t>
      </w:r>
    </w:p>
    <w:p>
      <w:pPr>
        <w:spacing w:after="0" w:line="179" w:lineRule="exact"/>
        <w:rPr>
          <w:rFonts w:ascii="Arial" w:cs="Arial" w:eastAsia="Arial" w:hAnsi="Arial"/>
          <w:sz w:val="18"/>
          <w:szCs w:val="18"/>
          <w:color w:val="auto"/>
        </w:rPr>
      </w:pPr>
    </w:p>
    <w:p>
      <w:pPr>
        <w:ind w:left="2180" w:hanging="272"/>
        <w:spacing w:after="0"/>
        <w:tabs>
          <w:tab w:leader="none" w:pos="2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Each grant shall specify the time and manner of payment of Performance Units or</w:t>
      </w:r>
    </w:p>
    <w:p>
      <w:pPr>
        <w:spacing w:after="0" w:line="27" w:lineRule="exact"/>
        <w:rPr>
          <w:rFonts w:ascii="Arial" w:cs="Arial" w:eastAsia="Arial" w:hAnsi="Arial"/>
          <w:sz w:val="18"/>
          <w:szCs w:val="18"/>
          <w:color w:val="auto"/>
        </w:rPr>
      </w:pPr>
    </w:p>
    <w:p>
      <w:pPr>
        <w:ind w:left="1260" w:right="419"/>
        <w:spacing w:after="0" w:line="255" w:lineRule="auto"/>
        <w:rPr>
          <w:rFonts w:ascii="Arial" w:cs="Arial" w:eastAsia="Arial" w:hAnsi="Arial"/>
          <w:sz w:val="18"/>
          <w:szCs w:val="18"/>
          <w:color w:val="auto"/>
        </w:rPr>
      </w:pPr>
      <w:r>
        <w:rPr>
          <w:rFonts w:ascii="Arial" w:cs="Arial" w:eastAsia="Arial" w:hAnsi="Arial"/>
          <w:sz w:val="18"/>
          <w:szCs w:val="18"/>
          <w:color w:val="auto"/>
        </w:rPr>
        <w:t>Performance Shares that have been earned. Any grant may specify that the amount payable with respect thereto may be paid by the Company to the Participant in cash, in Common Shares or in any combination thereof, and may either grant to the Participant or retain in the Committee the right to elect among those alternatives.</w:t>
      </w:r>
    </w:p>
    <w:p>
      <w:pPr>
        <w:spacing w:after="0" w:line="182" w:lineRule="exact"/>
        <w:rPr>
          <w:rFonts w:ascii="Arial" w:cs="Arial" w:eastAsia="Arial" w:hAnsi="Arial"/>
          <w:sz w:val="18"/>
          <w:szCs w:val="18"/>
          <w:color w:val="auto"/>
        </w:rPr>
      </w:pPr>
    </w:p>
    <w:p>
      <w:pPr>
        <w:ind w:left="1260" w:right="579" w:firstLine="648"/>
        <w:spacing w:after="0" w:line="262" w:lineRule="auto"/>
        <w:tabs>
          <w:tab w:leader="none" w:pos="218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grant of Performance Units may specify that the amount payable or the number of Common Shares issued with respect thereto may not exceed maximums specified by the Committee at the Date of Grant. Any grant of Performance Shares may specify that the amount payable with respect thereto may not exceed a maximum specified by the Committee at the Date of Grant.</w:t>
      </w:r>
    </w:p>
    <w:p>
      <w:pPr>
        <w:spacing w:after="0" w:line="176" w:lineRule="exact"/>
        <w:rPr>
          <w:rFonts w:ascii="Arial" w:cs="Arial" w:eastAsia="Arial" w:hAnsi="Arial"/>
          <w:sz w:val="18"/>
          <w:szCs w:val="18"/>
          <w:color w:val="auto"/>
        </w:rPr>
      </w:pPr>
    </w:p>
    <w:p>
      <w:pPr>
        <w:ind w:left="1260" w:right="419" w:firstLine="648"/>
        <w:spacing w:after="0" w:line="268" w:lineRule="auto"/>
        <w:tabs>
          <w:tab w:leader="none" w:pos="219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Each grant of Performance Units or Performance Shares shall be evidenced by an Evidence of Award, which shall contain such terms and provisions, consistent with this Plan and applicable sections of the Code, as the Committee may approve.</w:t>
      </w:r>
    </w:p>
    <w:p>
      <w:pPr>
        <w:sectPr>
          <w:pgSz w:w="11900" w:h="16838" w:orient="portrait"/>
          <w:cols w:equalWidth="0" w:num="1">
            <w:col w:w="9879"/>
          </w:cols>
          <w:pgMar w:left="580" w:top="97" w:right="1440" w:bottom="1440" w:gutter="0" w:footer="0" w:header="0"/>
        </w:sectPr>
      </w:pP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19" w:firstLine="648"/>
        <w:spacing w:after="0" w:line="252" w:lineRule="auto"/>
        <w:tabs>
          <w:tab w:leader="none" w:pos="214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Committee may, at the Date of Grant of Performance Shares, provide for the payment of dividend equivalents to the holder thereof on either a current or deferred or contingent basis, either in cash or in additional Common Shares. Notwithstanding the foregoing, in no event shall dividend equivalents be paid prior to the vesting or settlement of the underlying Award.</w:t>
      </w:r>
    </w:p>
    <w:p>
      <w:pPr>
        <w:spacing w:after="0" w:line="184" w:lineRule="exact"/>
        <w:rPr>
          <w:sz w:val="20"/>
          <w:szCs w:val="20"/>
          <w:color w:val="auto"/>
        </w:rPr>
      </w:pPr>
    </w:p>
    <w:p>
      <w:pPr>
        <w:ind w:left="1260" w:right="639" w:firstLine="648"/>
        <w:spacing w:after="0" w:line="253" w:lineRule="auto"/>
        <w:tabs>
          <w:tab w:leader="none" w:pos="2199"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Shares</w:t>
      </w:r>
      <w:r>
        <w:rPr>
          <w:rFonts w:ascii="Arial" w:cs="Arial" w:eastAsia="Arial" w:hAnsi="Arial"/>
          <w:sz w:val="18"/>
          <w:szCs w:val="18"/>
          <w:color w:val="auto"/>
        </w:rPr>
        <w:t>. The Committee may also authorize the grant or sale of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to Participants. Each such grant or sale may utilize any or all of the authorizations, and shall be subject to all of the limitations, contained in the following provisions:</w:t>
      </w:r>
    </w:p>
    <w:p>
      <w:pPr>
        <w:spacing w:after="0" w:line="182" w:lineRule="exact"/>
        <w:rPr>
          <w:sz w:val="20"/>
          <w:szCs w:val="20"/>
          <w:color w:val="auto"/>
        </w:rPr>
      </w:pPr>
    </w:p>
    <w:p>
      <w:pPr>
        <w:ind w:left="1260" w:right="499" w:firstLine="648"/>
        <w:spacing w:after="0" w:line="271" w:lineRule="auto"/>
        <w:tabs>
          <w:tab w:leader="none" w:pos="219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Each such grant or sale shall constitute an immediate transfer of the ownership of Common Shares to the Participant in consideration of the performance of services, entitling such Participant to voting, dividend and other ownership rights (unless otherwise determined by the Committee), but subject to the substantial risk of forfeiture and restrictions on transfer hereinafter referred to.</w:t>
      </w:r>
    </w:p>
    <w:p>
      <w:pPr>
        <w:spacing w:after="0" w:line="156" w:lineRule="exact"/>
        <w:rPr>
          <w:rFonts w:ascii="Arial" w:cs="Arial" w:eastAsia="Arial" w:hAnsi="Arial"/>
          <w:sz w:val="17"/>
          <w:szCs w:val="17"/>
          <w:color w:val="auto"/>
        </w:rPr>
      </w:pPr>
    </w:p>
    <w:p>
      <w:pPr>
        <w:ind w:left="1260" w:right="539" w:firstLine="648"/>
        <w:spacing w:after="0" w:line="271" w:lineRule="auto"/>
        <w:tabs>
          <w:tab w:leader="none" w:pos="219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such grant or sale may be made without additional consideration or in consideration of a payment by such Participant that is less than Market Value per Share at the Date of Grant.</w:t>
      </w:r>
    </w:p>
    <w:p>
      <w:pPr>
        <w:spacing w:after="0" w:line="167" w:lineRule="exact"/>
        <w:rPr>
          <w:rFonts w:ascii="Arial" w:cs="Arial" w:eastAsia="Arial" w:hAnsi="Arial"/>
          <w:sz w:val="18"/>
          <w:szCs w:val="18"/>
          <w:color w:val="auto"/>
        </w:rPr>
      </w:pPr>
    </w:p>
    <w:p>
      <w:pPr>
        <w:ind w:left="1260" w:right="479" w:firstLine="648"/>
        <w:spacing w:after="0" w:line="247" w:lineRule="auto"/>
        <w:tabs>
          <w:tab w:leader="none" w:pos="218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such grant or sale shall provide that the Restricted Shares covered by such grant or sale shall be subject to a “substantial risk of forfeiture” within the meaning of Section 83 of the Code for a period to be determined by the Committee at the Date of Grant and may provide for the earlier lapse of such substantial risk of forfeiture in the event of a Change in Control, retirement, or death or Disability of the Participant or other similar transaction or event as approved by the Committee.</w:t>
      </w:r>
    </w:p>
    <w:p>
      <w:pPr>
        <w:spacing w:after="0" w:line="176" w:lineRule="exact"/>
        <w:rPr>
          <w:rFonts w:ascii="Arial" w:cs="Arial" w:eastAsia="Arial" w:hAnsi="Arial"/>
          <w:sz w:val="18"/>
          <w:szCs w:val="18"/>
          <w:color w:val="auto"/>
        </w:rPr>
      </w:pPr>
    </w:p>
    <w:p>
      <w:pPr>
        <w:ind w:left="1260" w:right="439" w:firstLine="648"/>
        <w:spacing w:after="0" w:line="251" w:lineRule="auto"/>
        <w:tabs>
          <w:tab w:leader="none" w:pos="219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such grant or sale shall provide that during the period for which such substantial risk of forfeiture is to continue, the transferability of the Restricted Shares shall be prohibited or restricted in the manner and to the extent prescribed by the Committee at the Date of Grant (which restrictions may include, without limitation, rights of repurchase or first refusal in the Company or provisions subjecting the Restricted Shares to a continuing substantial risk of forfeiture in the hands of any transferee).</w:t>
      </w:r>
    </w:p>
    <w:p>
      <w:pPr>
        <w:spacing w:after="0" w:line="173" w:lineRule="exact"/>
        <w:rPr>
          <w:rFonts w:ascii="Arial" w:cs="Arial" w:eastAsia="Arial" w:hAnsi="Arial"/>
          <w:sz w:val="18"/>
          <w:szCs w:val="18"/>
          <w:color w:val="auto"/>
        </w:rPr>
      </w:pPr>
    </w:p>
    <w:p>
      <w:pPr>
        <w:ind w:left="1260" w:right="739" w:firstLine="648"/>
        <w:spacing w:after="0" w:line="271" w:lineRule="auto"/>
        <w:tabs>
          <w:tab w:leader="none" w:pos="218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grant of Restricted Shares may specify Management Objectives that, if achieved, will result in termination or early termination of the restrictions applicable to such shares.</w:t>
      </w:r>
    </w:p>
    <w:p>
      <w:pPr>
        <w:spacing w:after="0" w:line="167" w:lineRule="exact"/>
        <w:rPr>
          <w:rFonts w:ascii="Arial" w:cs="Arial" w:eastAsia="Arial" w:hAnsi="Arial"/>
          <w:sz w:val="18"/>
          <w:szCs w:val="18"/>
          <w:color w:val="auto"/>
        </w:rPr>
      </w:pPr>
    </w:p>
    <w:p>
      <w:pPr>
        <w:ind w:left="1260" w:right="539" w:firstLine="648"/>
        <w:spacing w:after="0" w:line="275" w:lineRule="auto"/>
        <w:tabs>
          <w:tab w:leader="none" w:pos="213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Any such grant or sale of Restricted Shares may require that any or all dividends or other distributions paid thereon during the period of such restrictions be automatically deferred and reinvested in additional Restricted Shares, which may be subject to the same restrictions as the underlying Award.</w:t>
      </w:r>
    </w:p>
    <w:p>
      <w:pPr>
        <w:spacing w:after="0" w:line="165" w:lineRule="exact"/>
        <w:rPr>
          <w:rFonts w:ascii="Arial" w:cs="Arial" w:eastAsia="Arial" w:hAnsi="Arial"/>
          <w:sz w:val="17"/>
          <w:szCs w:val="17"/>
          <w:color w:val="auto"/>
        </w:rPr>
      </w:pPr>
    </w:p>
    <w:p>
      <w:pPr>
        <w:ind w:left="1260" w:right="419" w:firstLine="648"/>
        <w:spacing w:after="0" w:line="245" w:lineRule="auto"/>
        <w:tabs>
          <w:tab w:leader="none" w:pos="219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grant or sale of Restricted Shares shall be evidenced by an Evidence of Award, which shall contain such terms and provisions, consistent with this Plan and applicable sections of the Code, as the Committee may approve. Unless otherwise directed by the Committee, all certificates representing Restricted Shares shall be held in custody by the Company until all restrictions thereon shall have lapsed, together with a stock power or powers executed by the Participant in whose name such certificates are registered, endorsed in blank and covering such Shares.</w:t>
      </w:r>
    </w:p>
    <w:p>
      <w:pPr>
        <w:spacing w:after="0" w:line="177" w:lineRule="exact"/>
        <w:rPr>
          <w:sz w:val="20"/>
          <w:szCs w:val="20"/>
          <w:color w:val="auto"/>
        </w:rPr>
      </w:pPr>
    </w:p>
    <w:p>
      <w:pPr>
        <w:jc w:val="both"/>
        <w:ind w:left="1260" w:right="519" w:firstLine="648"/>
        <w:spacing w:after="0" w:line="261" w:lineRule="auto"/>
        <w:tabs>
          <w:tab w:leader="none" w:pos="2199"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Units</w:t>
      </w:r>
      <w:r>
        <w:rPr>
          <w:rFonts w:ascii="Arial" w:cs="Arial" w:eastAsia="Arial" w:hAnsi="Arial"/>
          <w:sz w:val="18"/>
          <w:szCs w:val="18"/>
          <w:color w:val="auto"/>
        </w:rPr>
        <w:t>. The Committee may also authorize the grant or sale of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to Participants. Each such grant or sale may utilize any or all of the authorizations, and shall be subject to all of the requirements contained in the following provisions:</w:t>
      </w:r>
    </w:p>
    <w:p>
      <w:pPr>
        <w:spacing w:after="0" w:line="162" w:lineRule="exact"/>
        <w:rPr>
          <w:sz w:val="20"/>
          <w:szCs w:val="20"/>
          <w:color w:val="auto"/>
        </w:rPr>
      </w:pPr>
    </w:p>
    <w:p>
      <w:pPr>
        <w:jc w:val="both"/>
        <w:ind w:left="1260" w:right="499" w:firstLine="648"/>
        <w:spacing w:after="0" w:line="252" w:lineRule="auto"/>
        <w:tabs>
          <w:tab w:leader="none" w:pos="219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such grant or sale shall constitute the agreement by the Company to deliver Common Shares, pay an amount in cash, or pay a combination of Common Shares and cash to the Participant in the future in consideration of the performance of services, but subject to the fulfillment of such conditions during the Restriction Period as the Committee may specify.</w:t>
      </w:r>
    </w:p>
    <w:p>
      <w:pPr>
        <w:spacing w:after="0" w:line="183" w:lineRule="exact"/>
        <w:rPr>
          <w:rFonts w:ascii="Arial" w:cs="Arial" w:eastAsia="Arial" w:hAnsi="Arial"/>
          <w:sz w:val="18"/>
          <w:szCs w:val="18"/>
          <w:color w:val="auto"/>
        </w:rPr>
      </w:pPr>
    </w:p>
    <w:p>
      <w:pPr>
        <w:ind w:left="1260" w:right="539" w:firstLine="648"/>
        <w:spacing w:after="0" w:line="271" w:lineRule="auto"/>
        <w:tabs>
          <w:tab w:leader="none" w:pos="219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such grant or sale may be made without additional consideration or in consideration of a payment by such Participant that is less than the Market Value per Share at the Date of Grant.</w:t>
      </w:r>
    </w:p>
    <w:p>
      <w:pPr>
        <w:spacing w:after="0" w:line="153" w:lineRule="exact"/>
        <w:rPr>
          <w:rFonts w:ascii="Arial" w:cs="Arial" w:eastAsia="Arial" w:hAnsi="Arial"/>
          <w:sz w:val="18"/>
          <w:szCs w:val="18"/>
          <w:color w:val="auto"/>
        </w:rPr>
      </w:pPr>
    </w:p>
    <w:p>
      <w:pPr>
        <w:ind w:left="1260" w:right="959" w:firstLine="648"/>
        <w:spacing w:after="0" w:line="261" w:lineRule="auto"/>
        <w:tabs>
          <w:tab w:leader="none" w:pos="218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such grant or sale shall be subject to a Restriction Period as determined by the Committee at the Date of Grant, and may provide for the earlier lapse or other modification of such Restriction Period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739"/>
        <w:spacing w:after="0" w:line="287" w:lineRule="auto"/>
        <w:rPr>
          <w:sz w:val="20"/>
          <w:szCs w:val="20"/>
          <w:color w:val="auto"/>
        </w:rPr>
      </w:pPr>
      <w:r>
        <w:rPr>
          <w:rFonts w:ascii="Arial" w:cs="Arial" w:eastAsia="Arial" w:hAnsi="Arial"/>
          <w:sz w:val="18"/>
          <w:szCs w:val="18"/>
          <w:color w:val="auto"/>
        </w:rPr>
        <w:t>in the event of a Change in Control, retirement, or death or Disability of the Participant or other similar transaction or event as approved by the Committee.</w:t>
      </w:r>
    </w:p>
    <w:p>
      <w:pPr>
        <w:spacing w:after="0" w:line="139" w:lineRule="exact"/>
        <w:rPr>
          <w:sz w:val="20"/>
          <w:szCs w:val="20"/>
          <w:color w:val="auto"/>
        </w:rPr>
      </w:pPr>
    </w:p>
    <w:p>
      <w:pPr>
        <w:ind w:left="1260" w:right="419" w:firstLine="648"/>
        <w:spacing w:after="0" w:line="271" w:lineRule="auto"/>
        <w:tabs>
          <w:tab w:leader="none" w:pos="218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grant of Restricted Stock Units may specify Management Objectives that, if achieved, will result in termination or early termination of the Restriction Period applicable to such shares.</w:t>
      </w:r>
    </w:p>
    <w:p>
      <w:pPr>
        <w:spacing w:after="0" w:line="167" w:lineRule="exact"/>
        <w:rPr>
          <w:rFonts w:ascii="Arial" w:cs="Arial" w:eastAsia="Arial" w:hAnsi="Arial"/>
          <w:sz w:val="18"/>
          <w:szCs w:val="18"/>
          <w:color w:val="auto"/>
        </w:rPr>
      </w:pPr>
    </w:p>
    <w:p>
      <w:pPr>
        <w:ind w:left="1260" w:right="579" w:firstLine="648"/>
        <w:spacing w:after="0" w:line="245" w:lineRule="auto"/>
        <w:tabs>
          <w:tab w:leader="none" w:pos="219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During the Restriction Period, the Participant shall have no right to transfer any rights under his or her Award and shall have no rights of ownership in the Restricted Stock Units and shall have no right to vote them, but the Committee may, at the Date of Grant, authorize the payment of dividend equivalents on such Restricted Stock Units on either a current or deferred or contingent basis, either in cash or in additional Common Shares. Notwithstanding the foregoing, in no event shall dividend equivalents be paid prior to the vesting of the underlying Award.</w:t>
      </w:r>
    </w:p>
    <w:p>
      <w:pPr>
        <w:spacing w:after="0" w:line="190" w:lineRule="exact"/>
        <w:rPr>
          <w:rFonts w:ascii="Arial" w:cs="Arial" w:eastAsia="Arial" w:hAnsi="Arial"/>
          <w:sz w:val="18"/>
          <w:szCs w:val="18"/>
          <w:color w:val="auto"/>
        </w:rPr>
      </w:pPr>
    </w:p>
    <w:p>
      <w:pPr>
        <w:ind w:left="1260" w:right="719" w:firstLine="648"/>
        <w:spacing w:after="0" w:line="253" w:lineRule="auto"/>
        <w:tabs>
          <w:tab w:leader="none" w:pos="214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grant or sale of Restricted Stock Units shall be evidenced by an Evidence of Award, which shall contain such terms and provisions, consistent with this Plan and applicable sections of the Code, as the Committee may approve.</w:t>
      </w:r>
    </w:p>
    <w:p>
      <w:pPr>
        <w:spacing w:after="0" w:line="182" w:lineRule="exact"/>
        <w:rPr>
          <w:sz w:val="20"/>
          <w:szCs w:val="20"/>
          <w:color w:val="auto"/>
        </w:rPr>
      </w:pPr>
    </w:p>
    <w:p>
      <w:pPr>
        <w:ind w:left="1260" w:right="499" w:firstLine="648"/>
        <w:spacing w:after="0" w:line="243" w:lineRule="auto"/>
        <w:tabs>
          <w:tab w:leader="none" w:pos="2192"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Awards to Non-Employee Directors</w:t>
      </w:r>
      <w:r>
        <w:rPr>
          <w:rFonts w:ascii="Arial" w:cs="Arial" w:eastAsia="Arial" w:hAnsi="Arial"/>
          <w:sz w:val="18"/>
          <w:szCs w:val="18"/>
          <w:color w:val="auto"/>
        </w:rPr>
        <w:t>. The Board may, from time to time and upon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as it may determine, authorize the grant or sale of Restricted Shares under Section 7 of this Plan, Restricted Stock Units under Section 8 of this Plan or other Awards under Section 10 of this Plan, or any combination of the foregoing. For clarity, the authority to grant Awards to Non-Employee Directors pursuant to this Plan rests exclusively with the Board (and, for the avoidance of doubt, not with the Committee), except to the extent expressly delegated by the Board to a committee or person(s) pursuant to Section 10. The maximum number of Common Shares subject to Awards granted during a single calendar year to any Non-Employee Director shall not exceed a total value of $750,000 (based on the Market Value per Share on the Date of Grant).</w:t>
      </w:r>
    </w:p>
    <w:p>
      <w:pPr>
        <w:spacing w:after="0" w:line="192" w:lineRule="exact"/>
        <w:rPr>
          <w:rFonts w:ascii="Arial" w:cs="Arial" w:eastAsia="Arial" w:hAnsi="Arial"/>
          <w:sz w:val="18"/>
          <w:szCs w:val="18"/>
          <w:b w:val="1"/>
          <w:bCs w:val="1"/>
          <w:color w:val="auto"/>
        </w:rPr>
      </w:pPr>
    </w:p>
    <w:p>
      <w:pPr>
        <w:ind w:left="2300" w:hanging="392"/>
        <w:spacing w:after="0"/>
        <w:tabs>
          <w:tab w:leader="none" w:pos="23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Other Awards</w:t>
      </w:r>
      <w:r>
        <w:rPr>
          <w:rFonts w:ascii="Arial" w:cs="Arial" w:eastAsia="Arial" w:hAnsi="Arial"/>
          <w:sz w:val="18"/>
          <w:szCs w:val="18"/>
          <w:color w:val="auto"/>
        </w:rPr>
        <w:t>.</w:t>
      </w:r>
    </w:p>
    <w:p>
      <w:pPr>
        <w:spacing w:after="0" w:line="225" w:lineRule="exact"/>
        <w:rPr>
          <w:sz w:val="20"/>
          <w:szCs w:val="20"/>
          <w:color w:val="auto"/>
        </w:rPr>
      </w:pPr>
    </w:p>
    <w:p>
      <w:pPr>
        <w:ind w:left="1260" w:right="459" w:firstLine="648"/>
        <w:spacing w:after="0" w:line="241" w:lineRule="auto"/>
        <w:tabs>
          <w:tab w:leader="none" w:pos="219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Committee is authorized, subject to limitations under applicable law, to grant to any Participant such other awards that may be denominated or payable in, valued in whole or in part by reference to, or otherwise based on, or related to, Common Shares or factors that may influence the value of Common Shares, including, without limitation, convertible or exchangeable debt securities, other rights convertible or exchangeable into Common Shares, purchase rights for Common Shares, awards with value and payment contingent upon performance of the Company or business units thereof or any other factors designated by the Committee, and awards valued by reference to the book value of Common Shares or the value of securities of, or the performance of specified Subsidiaries or Affiliates or other business units of, the Company. The Committee shall determine the terms and conditions of such awards. Common Shares delivered pursuant to an award in the nature of a purchase right granted under this Section 10 shall be purchased for such consideration, paid for at such times, by such methods, and in such forms, including, without limitation, cash, Common Shares, other awards, notes or other property, as the Committee shall determine.</w:t>
      </w:r>
    </w:p>
    <w:p>
      <w:pPr>
        <w:spacing w:after="0" w:line="200" w:lineRule="exact"/>
        <w:rPr>
          <w:rFonts w:ascii="Arial" w:cs="Arial" w:eastAsia="Arial" w:hAnsi="Arial"/>
          <w:sz w:val="18"/>
          <w:szCs w:val="18"/>
          <w:color w:val="auto"/>
        </w:rPr>
      </w:pPr>
    </w:p>
    <w:p>
      <w:pPr>
        <w:ind w:left="1260" w:right="639" w:firstLine="648"/>
        <w:spacing w:after="0" w:line="271" w:lineRule="auto"/>
        <w:tabs>
          <w:tab w:leader="none" w:pos="219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Cash awards, as an element of or supplement to any other Award granted under this Plan, may also be granted pursuant to this Section 10 of this Plan.</w:t>
      </w:r>
    </w:p>
    <w:p>
      <w:pPr>
        <w:spacing w:after="0" w:line="153" w:lineRule="exact"/>
        <w:rPr>
          <w:rFonts w:ascii="Arial" w:cs="Arial" w:eastAsia="Arial" w:hAnsi="Arial"/>
          <w:sz w:val="18"/>
          <w:szCs w:val="18"/>
          <w:color w:val="auto"/>
        </w:rPr>
      </w:pPr>
    </w:p>
    <w:p>
      <w:pPr>
        <w:ind w:left="1260" w:right="659" w:firstLine="648"/>
        <w:spacing w:after="0" w:line="252" w:lineRule="auto"/>
        <w:tabs>
          <w:tab w:leader="none" w:pos="218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Committee is authorized to grant Common Shares as a bonus, or to grant Common Shares or other awards in lieu of obligations of the Company or an Affiliate to pay cash or deliver other property under the Plan or under other plans or compensatory arrangements, subject to such terms as shall be determined by the Committee.</w:t>
      </w:r>
    </w:p>
    <w:p>
      <w:pPr>
        <w:spacing w:after="0" w:line="184" w:lineRule="exact"/>
        <w:rPr>
          <w:sz w:val="20"/>
          <w:szCs w:val="20"/>
          <w:color w:val="auto"/>
        </w:rPr>
      </w:pPr>
    </w:p>
    <w:p>
      <w:pPr>
        <w:ind w:left="1260" w:right="539" w:firstLine="648"/>
        <w:spacing w:after="0" w:line="245" w:lineRule="auto"/>
        <w:tabs>
          <w:tab w:leader="none" w:pos="2287"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Minimum Vesting</w:t>
      </w:r>
      <w:r>
        <w:rPr>
          <w:rFonts w:ascii="Arial" w:cs="Arial" w:eastAsia="Arial" w:hAnsi="Arial"/>
          <w:sz w:val="18"/>
          <w:szCs w:val="18"/>
          <w:color w:val="auto"/>
        </w:rPr>
        <w:t>. Notwithstanding anything to the contrary herein, no portion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Award shall vest in less than one year following the date of grant. For the avoidance of doubt, such minimum vesting requirements shall not apply in the event of (i) the Participant’s death or Disability, (ii) a termination of the Participant’s employment or service by the Company without Cause or by the Participant for Good Reason, (iii) a Change in Control (subject to the requirements under the Plan and Section 3(d))</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59"/>
        <w:spacing w:after="0" w:line="261" w:lineRule="auto"/>
        <w:rPr>
          <w:sz w:val="20"/>
          <w:szCs w:val="20"/>
          <w:color w:val="auto"/>
        </w:rPr>
      </w:pPr>
      <w:r>
        <w:rPr>
          <w:rFonts w:ascii="Arial" w:cs="Arial" w:eastAsia="Arial" w:hAnsi="Arial"/>
          <w:sz w:val="18"/>
          <w:szCs w:val="18"/>
          <w:color w:val="auto"/>
        </w:rPr>
        <w:t>and (iv) the Committee granting Awards that are not subject to such minimum vesting requirements with respect to five (5) percent or less of the Common Shares available for issuance under the Plan (as set forth in Section 3(a)), as may be adjusted pursuant to Section 13.</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12.  Transferability</w:t>
      </w:r>
      <w:r>
        <w:rPr>
          <w:rFonts w:ascii="Arial" w:cs="Arial" w:eastAsia="Arial" w:hAnsi="Arial"/>
          <w:sz w:val="18"/>
          <w:szCs w:val="18"/>
          <w:color w:val="auto"/>
        </w:rPr>
        <w:t>.</w:t>
      </w:r>
    </w:p>
    <w:p>
      <w:pPr>
        <w:spacing w:after="0" w:line="225" w:lineRule="exact"/>
        <w:rPr>
          <w:sz w:val="20"/>
          <w:szCs w:val="20"/>
          <w:color w:val="auto"/>
        </w:rPr>
      </w:pPr>
    </w:p>
    <w:p>
      <w:pPr>
        <w:ind w:left="1260" w:right="459" w:firstLine="648"/>
        <w:spacing w:after="0" w:line="251" w:lineRule="auto"/>
        <w:tabs>
          <w:tab w:leader="none" w:pos="219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Except as otherwise determined by the Committee, no Option Right, Appreciation Right or other derivative security granted under the Plan shall be transferable by a Participant other than by will or the laws of descent and distribution. Except as otherwise determined by the Committee, Option Rights and Appreciation Rights shall be exercisable during the Optionee’s lifetime only by him or her or by his or her guardian or legal representative.</w:t>
      </w:r>
    </w:p>
    <w:p>
      <w:pPr>
        <w:spacing w:after="0" w:line="173" w:lineRule="exact"/>
        <w:rPr>
          <w:rFonts w:ascii="Arial" w:cs="Arial" w:eastAsia="Arial" w:hAnsi="Arial"/>
          <w:sz w:val="18"/>
          <w:szCs w:val="18"/>
          <w:color w:val="auto"/>
        </w:rPr>
      </w:pPr>
    </w:p>
    <w:p>
      <w:pPr>
        <w:ind w:left="1260" w:right="579" w:firstLine="648"/>
        <w:spacing w:after="0" w:line="248" w:lineRule="auto"/>
        <w:tabs>
          <w:tab w:leader="none" w:pos="219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Committee may specify at the Date of Grant that part or all of the Common Shares that are (i) to be issued or transferred by the Company upon the exercise of Option Rights or Appreciation Rights, upon the termination of the Restriction Period applicable to Restricted Stock Units or upon payment under any grant of Performance Units or Performance Shares or (ii) no longer subject to the substantial risk of forfeiture and restrictions on transfer referred to in Section 7 of this Plan, shall be subject to further restrictions on transfer.</w:t>
      </w:r>
    </w:p>
    <w:p>
      <w:pPr>
        <w:spacing w:after="0" w:line="175" w:lineRule="exact"/>
        <w:rPr>
          <w:sz w:val="20"/>
          <w:szCs w:val="20"/>
          <w:color w:val="auto"/>
        </w:rPr>
      </w:pPr>
    </w:p>
    <w:p>
      <w:pPr>
        <w:ind w:left="1260" w:right="459" w:firstLine="648"/>
        <w:spacing w:after="0" w:line="256" w:lineRule="auto"/>
        <w:tabs>
          <w:tab w:leader="none" w:pos="2291" w:val="left"/>
        </w:tabs>
        <w:numPr>
          <w:ilvl w:val="0"/>
          <w:numId w:val="117"/>
        </w:numPr>
        <w:rPr>
          <w:rFonts w:ascii="Arial" w:cs="Arial" w:eastAsia="Arial" w:hAnsi="Arial"/>
          <w:sz w:val="17"/>
          <w:szCs w:val="17"/>
          <w:b w:val="1"/>
          <w:bCs w:val="1"/>
          <w:color w:val="auto"/>
        </w:rPr>
      </w:pPr>
      <w:r>
        <w:rPr>
          <w:rFonts w:ascii="Arial" w:cs="Arial" w:eastAsia="Arial" w:hAnsi="Arial"/>
          <w:sz w:val="17"/>
          <w:szCs w:val="17"/>
          <w:b w:val="1"/>
          <w:bCs w:val="1"/>
          <w:color w:val="auto"/>
        </w:rPr>
        <w:t>Adjustments</w:t>
      </w:r>
      <w:r>
        <w:rPr>
          <w:rFonts w:ascii="Arial" w:cs="Arial" w:eastAsia="Arial" w:hAnsi="Arial"/>
          <w:sz w:val="17"/>
          <w:szCs w:val="17"/>
          <w:color w:val="auto"/>
        </w:rPr>
        <w:t>. The Committee shall make or provide for such adjustments in the numbers</w:t>
      </w:r>
      <w:r>
        <w:rPr>
          <w:rFonts w:ascii="Arial" w:cs="Arial" w:eastAsia="Arial" w:hAnsi="Arial"/>
          <w:sz w:val="17"/>
          <w:szCs w:val="17"/>
          <w:b w:val="1"/>
          <w:bCs w:val="1"/>
          <w:color w:val="auto"/>
        </w:rPr>
        <w:t xml:space="preserve"> </w:t>
      </w:r>
      <w:r>
        <w:rPr>
          <w:rFonts w:ascii="Arial" w:cs="Arial" w:eastAsia="Arial" w:hAnsi="Arial"/>
          <w:sz w:val="17"/>
          <w:szCs w:val="17"/>
          <w:color w:val="auto"/>
        </w:rPr>
        <w:t>of Common Shares covered by outstanding Option Rights, Appreciation Rights, Performance Shares, Restricted Stock Units and share-based awards described in Section 10 of this Plan granted hereunder, in the Option Price and Base Price provided in outstanding Option Rights and Appreciation Rights, and in the kind of shares covered thereby, as the Committee, in its discretion, exercised in good faith, may determine is equitably required to prevent dilution or enlargement of the rights of Participants or Optionees that otherwise would result from (a) any stock dividend, stock split, combination of shares, recapitalization or other change in the capital structure of the Company, or (b) any merger, consolidation, spin-off, split-off, spin-out, split-up, reorganization, partial or complete liquidation or other distribution of assets (including, without limitation, a special or large non-recurring dividend), issuance of rights or warrants to purchase securities, or (c) any other corporate transaction or event having an effect similar to any of the foregoing. Moreover, in the event of any such transaction or event, the Committee, in its discretion, may provide in substitution for any or all outstanding Awards under this Plan such alternative consideration (including cash) as it, in good faith, may determine to be equitable in the circumstances and may require in connection therewith the surrender of all Awards so replaced. The Committee may also make or provide for such adjustments in the numbers of shares specified in Section 3 of this Plan as the Committee, in its discretion, exercised in good faith, may determine is appropriate to reflect any transaction or event described in this Section 13; provided, however, that any such adjustment to the number specified in Section 3(c) shall be made only if and to the extent that such adjustment would not cause any Option intended to qualify as an Incentive Stock Option to fail so to qualify. In no event shall any adjustment be required under this Section 13 if the Committee determines that such action could cause an Award to fail to satisfy the conditions of an applicable exception from the requirements of Section 409A of the Code or otherwise could subject a Participant to the additional tax imposed under Section 409A in respect of an outstanding Award.</w:t>
      </w:r>
    </w:p>
    <w:p>
      <w:pPr>
        <w:spacing w:after="0" w:line="388" w:lineRule="exact"/>
        <w:rPr>
          <w:rFonts w:ascii="Arial" w:cs="Arial" w:eastAsia="Arial" w:hAnsi="Arial"/>
          <w:sz w:val="17"/>
          <w:szCs w:val="17"/>
          <w:b w:val="1"/>
          <w:bCs w:val="1"/>
          <w:color w:val="auto"/>
        </w:rPr>
      </w:pPr>
    </w:p>
    <w:p>
      <w:pPr>
        <w:ind w:left="1260" w:right="639" w:firstLine="648"/>
        <w:spacing w:after="0" w:line="253" w:lineRule="auto"/>
        <w:tabs>
          <w:tab w:leader="none" w:pos="2297"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Fractional Shares</w:t>
      </w:r>
      <w:r>
        <w:rPr>
          <w:rFonts w:ascii="Arial" w:cs="Arial" w:eastAsia="Arial" w:hAnsi="Arial"/>
          <w:sz w:val="18"/>
          <w:szCs w:val="18"/>
          <w:color w:val="auto"/>
        </w:rPr>
        <w:t>. The Company shall not be required to issue any fractional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pursuant to this Plan. The Committee may provide for the elimination of fractions or for the settlement of fractions in cash.</w:t>
      </w:r>
    </w:p>
    <w:p>
      <w:pPr>
        <w:spacing w:after="0" w:line="182" w:lineRule="exact"/>
        <w:rPr>
          <w:rFonts w:ascii="Arial" w:cs="Arial" w:eastAsia="Arial" w:hAnsi="Arial"/>
          <w:sz w:val="18"/>
          <w:szCs w:val="18"/>
          <w:b w:val="1"/>
          <w:bCs w:val="1"/>
          <w:color w:val="auto"/>
        </w:rPr>
      </w:pPr>
    </w:p>
    <w:p>
      <w:pPr>
        <w:ind w:left="1260" w:right="439" w:firstLine="648"/>
        <w:spacing w:after="0" w:line="243" w:lineRule="auto"/>
        <w:tabs>
          <w:tab w:leader="none" w:pos="2297"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The Company shall have the right to deduct from any payment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realized under this Plan an amount equal to the federal, state, local, foreign and other taxes which in the opinion of the Company are required to be withheld by it with respect to such payment or benefit. To the extent that the amounts available to the Company for such withholding are insufficient, it shall be a condition to the receipt of such payment or the realization of such benefit that the Participant or other recipient make arrangements satisfactory to the Company for payment of the balance of such taxes required to be withheld. At the discretion of the Committee, such arrangements may include relinquishment of a portion of such benefit pursuant to procedures adopted by the Committee from time to time. The Company</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1119"/>
        <w:spacing w:after="0" w:line="287" w:lineRule="auto"/>
        <w:rPr>
          <w:sz w:val="20"/>
          <w:szCs w:val="20"/>
          <w:color w:val="auto"/>
        </w:rPr>
      </w:pPr>
      <w:r>
        <w:rPr>
          <w:rFonts w:ascii="Arial" w:cs="Arial" w:eastAsia="Arial" w:hAnsi="Arial"/>
          <w:sz w:val="18"/>
          <w:szCs w:val="18"/>
          <w:color w:val="auto"/>
        </w:rPr>
        <w:t>and a Participant or such other recipient may also make similar arrangements with respect to the payment of any taxes with respect to which withholding is not required.</w:t>
      </w:r>
    </w:p>
    <w:p>
      <w:pPr>
        <w:spacing w:after="0" w:line="139" w:lineRule="exact"/>
        <w:rPr>
          <w:sz w:val="20"/>
          <w:szCs w:val="20"/>
          <w:color w:val="auto"/>
        </w:rPr>
      </w:pPr>
    </w:p>
    <w:p>
      <w:pPr>
        <w:ind w:left="1260" w:right="439" w:firstLine="648"/>
        <w:spacing w:after="0" w:line="259" w:lineRule="auto"/>
        <w:tabs>
          <w:tab w:leader="none" w:pos="2297"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Foreign Employees</w:t>
      </w:r>
      <w:r>
        <w:rPr>
          <w:rFonts w:ascii="Arial" w:cs="Arial" w:eastAsia="Arial" w:hAnsi="Arial"/>
          <w:sz w:val="17"/>
          <w:szCs w:val="17"/>
          <w:color w:val="auto"/>
        </w:rPr>
        <w:t>. In order to facilitate the making of any grant or combination of grants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Plan, the Committee may provide for such special terms for Awards to Participants who are foreign nationals or who are employed by the Company or any Affiliate outside of the United States of America as the Committee may consider necessary or appropriate to accommodate differences in local law, tax policy or custom. Moreover, the Committee may approve such supplements to or amendments, restatements or alternative versions of this Plan as it may consider necessary or appropriate for such purposes, without thereby affecting the terms of this Plan as in effect for any other purpose, and the Corporate Secretary or other appropriate officer of the Company may certify any such document as having been approved and adopted in the same manner as this Plan. No such special terms, supplements, amendments or restatements, however, shall include any provisions that are inconsistent with the terms of this Plan as then in effect unless this Plan could have been amended to eliminate such inconsistency without further approval by the stockholders of the Company.</w:t>
      </w:r>
    </w:p>
    <w:p>
      <w:pPr>
        <w:spacing w:after="0" w:line="168" w:lineRule="exact"/>
        <w:rPr>
          <w:rFonts w:ascii="Arial" w:cs="Arial" w:eastAsia="Arial" w:hAnsi="Arial"/>
          <w:sz w:val="17"/>
          <w:szCs w:val="17"/>
          <w:b w:val="1"/>
          <w:bCs w:val="1"/>
          <w:color w:val="auto"/>
        </w:rPr>
      </w:pPr>
    </w:p>
    <w:p>
      <w:pPr>
        <w:ind w:left="2300" w:hanging="392"/>
        <w:spacing w:after="0"/>
        <w:tabs>
          <w:tab w:leader="none" w:pos="23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r>
        <w:rPr>
          <w:rFonts w:ascii="Arial" w:cs="Arial" w:eastAsia="Arial" w:hAnsi="Arial"/>
          <w:sz w:val="18"/>
          <w:szCs w:val="18"/>
          <w:color w:val="auto"/>
        </w:rPr>
        <w:t>.</w:t>
      </w:r>
    </w:p>
    <w:p>
      <w:pPr>
        <w:spacing w:after="0" w:line="225" w:lineRule="exact"/>
        <w:rPr>
          <w:sz w:val="20"/>
          <w:szCs w:val="20"/>
          <w:color w:val="auto"/>
        </w:rPr>
      </w:pPr>
    </w:p>
    <w:p>
      <w:pPr>
        <w:ind w:left="1260" w:right="439" w:firstLine="648"/>
        <w:spacing w:after="0" w:line="257" w:lineRule="auto"/>
        <w:tabs>
          <w:tab w:leader="none" w:pos="219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Committee shall administer this Plan or delegate its authority to do so as provided in Section 17(c) hereof or, in the Board’s sole discretion or in the absence of the Committee, the Board shall administer this Plan; provided that the authority to grant Awards to Non-Employee Directors pursuant to this Plan rests exclusively with the Board (and, for the avoidance of doubt, not with the Committee), and each reference in this Plan to the Committee shall be deemed, when used in the context of any Award(s) made or to be made to a Non-Employee Director, a reference to the Board. The Committee, or if no Committee has been appointed, the Board, may delegate administration of the Plan to a committee or committees of one or more members of the Board, and the term “Committee” shall apply to any such committee, person(s) to whom such authority has been delegated. The Committee shall have the power to delegate to a subcommittee any of the administrative powers the Committee is authorized to exercise (and references in this Plan to the Committee shall thereafter be to the committee or subcommittee), subject, however, to such resolutions, not inconsistent with the provisions of the Plan, as may be adopted from time to time by the Board. The Board may abolish, suspend or supersede the Committee at any time and revest in the Board the administration of the Plan.</w:t>
      </w:r>
    </w:p>
    <w:p>
      <w:pPr>
        <w:spacing w:after="0" w:line="188" w:lineRule="exact"/>
        <w:rPr>
          <w:rFonts w:ascii="Arial" w:cs="Arial" w:eastAsia="Arial" w:hAnsi="Arial"/>
          <w:sz w:val="17"/>
          <w:szCs w:val="17"/>
          <w:color w:val="auto"/>
        </w:rPr>
      </w:pPr>
    </w:p>
    <w:p>
      <w:pPr>
        <w:ind w:left="1260" w:right="439" w:firstLine="648"/>
        <w:spacing w:after="0" w:line="241" w:lineRule="auto"/>
        <w:tabs>
          <w:tab w:leader="none" w:pos="219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Subject to the express provisions of the Plan, the Committee shall have plenary authority, in its discretion, to determine the individuals to whom, and the time or times at which, Awards shall be granted and the number of shares, if applicable, to be subject to each Award. In making such determinations, the Committee may take into account the nature of services rendered by the respective individuals, their present and potential contributions to the Company’s success and such other factors as the Committee deems relevant. Subject to the express provisions of the Plan, the Committee shall also have plenary discretionary authority to interpret the Plan, to prescribe, amend and rescind rules and regulations relating to it, to determine the terms and provisions of the respective Evidence of Award (which need not be identical) and to make all other determinations necessary or advisable for the administration of the Plan. The interpretation and construction by the Committee of any provision of this Plan or of any Evidence of Award and any determination by the Board pursuant to any provision of this Plan or of any such Evidence of Award shall be final, conclusive and binding on the Company and the Participants, unless such decisions are determined by a court having jurisdiction to be arbitrary and capricious. No member of the Board or the Committee shall be liable for any such action or determination made in good faith.</w:t>
      </w:r>
    </w:p>
    <w:p>
      <w:pPr>
        <w:spacing w:after="0" w:line="189" w:lineRule="exact"/>
        <w:rPr>
          <w:rFonts w:ascii="Arial" w:cs="Arial" w:eastAsia="Arial" w:hAnsi="Arial"/>
          <w:sz w:val="18"/>
          <w:szCs w:val="18"/>
          <w:color w:val="auto"/>
        </w:rPr>
      </w:pPr>
    </w:p>
    <w:p>
      <w:pPr>
        <w:ind w:left="1260" w:right="439" w:firstLine="648"/>
        <w:spacing w:after="0" w:line="245" w:lineRule="auto"/>
        <w:tabs>
          <w:tab w:leader="none" w:pos="218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the extent permitted by applicable law, the Committee may delegate to one or more of its members or to one or more officers of the Company, or to one or more agents or advisors, such administrative duties or powers as it may deem advisable, and the Committee, or any person(s) or committee to whom duties or powers have been delegated as aforesaid, may employ one or more persons to render advice with respect to any responsibility the Committee or such person or committee may have under the Plan. To the extent permitted by applicable law, the Committee may, by resolution, authorize one or more officers of the Company to do one or both of the following on the same basis as the Committee: (i) designate employees to be recipients of Awards under this Plan; (ii) determine the size of any such Awards;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46" w:lineRule="auto"/>
        <w:rPr>
          <w:sz w:val="20"/>
          <w:szCs w:val="20"/>
          <w:color w:val="auto"/>
        </w:rPr>
      </w:pPr>
      <w:r>
        <w:rPr>
          <w:rFonts w:ascii="Arial" w:cs="Arial" w:eastAsia="Arial" w:hAnsi="Arial"/>
          <w:sz w:val="18"/>
          <w:szCs w:val="18"/>
          <w:color w:val="auto"/>
        </w:rPr>
        <w:t>provided, however, that (A) the Committee shall not delegate such responsibilities to any such officer for Awards granted to an employee who is an officer, Director, or more than 10% beneficial owner of any class of the Company’s equity securities that is registered pursuant to Section 12 of the Exchange Act, as determined by the Committee in accordance with Section 16 of the Exchange Act; (B) the resolution providing for such authorization sets forth the total number of Common Shares such officer(s) may grant; and (iii) the officer(s) shall report periodically to the Committee, as the case may be, regarding the nature and scope of the Awards granted pursuant to the authority delegated.</w:t>
      </w:r>
    </w:p>
    <w:p>
      <w:pPr>
        <w:spacing w:after="0" w:line="189" w:lineRule="exact"/>
        <w:rPr>
          <w:sz w:val="20"/>
          <w:szCs w:val="20"/>
          <w:color w:val="auto"/>
        </w:rPr>
      </w:pPr>
    </w:p>
    <w:p>
      <w:pPr>
        <w:ind w:left="1260" w:right="439" w:firstLine="648"/>
        <w:spacing w:after="0" w:line="245" w:lineRule="auto"/>
        <w:tabs>
          <w:tab w:leader="none" w:pos="218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authority granted to the Committee may also be exercised by the Board or another committee of the Board duly appointed for such purpose. To the extent that any permitted action taken by the Board conflicts with action taken by the Committee, the Board action shall control. Without limiting the generality of the foregoing, to the extent the Board has delegated any authority under this Plan to another committee of the Board, such authority shall not be exercised by the Committee unless expressly permitted by the Board in connection with such delegation.</w:t>
      </w:r>
    </w:p>
    <w:p>
      <w:pPr>
        <w:spacing w:after="0" w:line="190" w:lineRule="exact"/>
        <w:rPr>
          <w:rFonts w:ascii="Arial" w:cs="Arial" w:eastAsia="Arial" w:hAnsi="Arial"/>
          <w:sz w:val="18"/>
          <w:szCs w:val="18"/>
          <w:color w:val="auto"/>
        </w:rPr>
      </w:pPr>
    </w:p>
    <w:p>
      <w:pPr>
        <w:ind w:left="1260" w:right="459" w:firstLine="648"/>
        <w:spacing w:after="0" w:line="247" w:lineRule="auto"/>
        <w:tabs>
          <w:tab w:leader="none" w:pos="219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Board shall have discretion to determine whether or not it intends to comply with the exemption requirements of Rule 16b-3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p>
    <w:p>
      <w:pPr>
        <w:spacing w:after="0" w:line="177"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18.  Amendments and Other Matters</w:t>
      </w:r>
      <w:r>
        <w:rPr>
          <w:rFonts w:ascii="Arial" w:cs="Arial" w:eastAsia="Arial" w:hAnsi="Arial"/>
          <w:sz w:val="18"/>
          <w:szCs w:val="18"/>
          <w:color w:val="auto"/>
        </w:rPr>
        <w:t>.</w:t>
      </w:r>
    </w:p>
    <w:p>
      <w:pPr>
        <w:spacing w:after="0" w:line="225" w:lineRule="exact"/>
        <w:rPr>
          <w:sz w:val="20"/>
          <w:szCs w:val="20"/>
          <w:color w:val="auto"/>
        </w:rPr>
      </w:pPr>
    </w:p>
    <w:p>
      <w:pPr>
        <w:ind w:left="1260" w:right="479" w:firstLine="648"/>
        <w:spacing w:after="0" w:line="245" w:lineRule="auto"/>
        <w:tabs>
          <w:tab w:leader="none" w:pos="219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Board may at any time and from time to time amend the Plan in whole or in part; provided, however, that any amendment which must be approved by the stockholders of the Company in order to comply with applicable law or the rules of the NASDAQ Global Stock Market shall not be effective unless and until such approval has been obtained. Presentation of this Plan or any amendment thereof for stockholder approval shall not be construed to limit the Company’s authority to offer similar or dissimilar benefits under other plans or otherwise with or without stockholder approval. Without limiting the generality of the foregoing, the Board may amend this Plan to eliminate provisions which are no longer necessary as a result in changes in tax or securities laws or regulations, or in the interpretation thereof.</w:t>
      </w:r>
    </w:p>
    <w:p>
      <w:pPr>
        <w:spacing w:after="0" w:line="177" w:lineRule="exact"/>
        <w:rPr>
          <w:rFonts w:ascii="Arial" w:cs="Arial" w:eastAsia="Arial" w:hAnsi="Arial"/>
          <w:sz w:val="18"/>
          <w:szCs w:val="18"/>
          <w:color w:val="auto"/>
        </w:rPr>
      </w:pPr>
    </w:p>
    <w:p>
      <w:pPr>
        <w:ind w:left="1260" w:right="419" w:firstLine="648"/>
        <w:spacing w:after="0" w:line="244" w:lineRule="auto"/>
        <w:tabs>
          <w:tab w:leader="none" w:pos="219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Neither the Board nor the Committee shall, without the further approval of the stockholders of the Company, authorize the amendment of any outstanding Option Right or Appreciation Right to reduce the Option Price or Base Price. Furthermore, without further approval of the stockholders of the Company, (i) no Option Right or Appreciation Right shall be cancelled and replaced with an Award having a lower Option Price or Base Price, (ii) no Option Right or Appreciation Right shall be cancelled in exchange for cash if the per share Option Price or per share Base Price exceeds the Market Value per Share on the date of such cancellation, and (iii) there shall be no cancellation of “underwater” Option Rights in exchange for other Awards under this Plan. This Section 18(b) is intended to prohibit the repricing of “underwater” Option Rights and Appreciation Rights and shall not be construed to prohibit the adjustments provided for in Section 13 of this Plan.</w:t>
      </w:r>
    </w:p>
    <w:p>
      <w:pPr>
        <w:spacing w:after="0" w:line="177" w:lineRule="exact"/>
        <w:rPr>
          <w:rFonts w:ascii="Arial" w:cs="Arial" w:eastAsia="Arial" w:hAnsi="Arial"/>
          <w:sz w:val="18"/>
          <w:szCs w:val="18"/>
          <w:color w:val="auto"/>
        </w:rPr>
      </w:pPr>
    </w:p>
    <w:p>
      <w:pPr>
        <w:ind w:left="1260" w:right="539" w:firstLine="648"/>
        <w:spacing w:after="0" w:line="251" w:lineRule="auto"/>
        <w:tabs>
          <w:tab w:leader="none" w:pos="218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the extent consistent with Section 409A of the Code, the Committee also may permit Participants to elect to defer the issuance of Common Shares or the settlement of Awards in cash under the Plan pursuant to such rules, procedures or programs as it may establish for purposes of this Plan. The Committee also may provide that deferred issuances and settlements include the payment or crediting of dividend equivalents or interest on the deferral amounts.</w:t>
      </w:r>
    </w:p>
    <w:p>
      <w:pPr>
        <w:spacing w:after="0" w:line="173" w:lineRule="exact"/>
        <w:rPr>
          <w:rFonts w:ascii="Arial" w:cs="Arial" w:eastAsia="Arial" w:hAnsi="Arial"/>
          <w:sz w:val="18"/>
          <w:szCs w:val="18"/>
          <w:color w:val="auto"/>
        </w:rPr>
      </w:pPr>
    </w:p>
    <w:p>
      <w:pPr>
        <w:ind w:left="1260" w:right="499" w:firstLine="648"/>
        <w:spacing w:after="0" w:line="244" w:lineRule="auto"/>
        <w:tabs>
          <w:tab w:leader="none" w:pos="219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permitted by Section 409A of the Code, in case of termination of employment by reason of death, Disability or normal or early retirement, or in the case of hardship or other special circumstances, of a Participant who holds an Option Right or Appreciation Right not immediately exercisable in full, or any Restricted Shares as to which the substantial risk of forfeiture or the prohibition or restriction on transfer has not lapsed, or any Restricted Stock Units as to which the Restriction Period has not been completed, or any Performance Shares or Performance Units which have not been fully earned, or any other Awards made pursuant to Section 10 subject to any vesting schedule or transfer restriction, or who holds Common</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79"/>
        <w:spacing w:after="0" w:line="246" w:lineRule="auto"/>
        <w:rPr>
          <w:sz w:val="20"/>
          <w:szCs w:val="20"/>
          <w:color w:val="auto"/>
        </w:rPr>
      </w:pPr>
      <w:r>
        <w:rPr>
          <w:rFonts w:ascii="Arial" w:cs="Arial" w:eastAsia="Arial" w:hAnsi="Arial"/>
          <w:sz w:val="18"/>
          <w:szCs w:val="18"/>
          <w:color w:val="auto"/>
        </w:rPr>
        <w:t>Shares subject to any transfer restriction imposed pursuant to Section 12(b) of this Plan, the Committee may, at its discretion, accelerate the time at which such Option Right, Appreciation Right or other Award may be exercised or the time at which such substantial risk of forfeiture or prohibition or restriction on transfer will lapse or the time when such Restriction Period will end or the time at which such Performance Shares or Performance Units will be deemed to have been fully earned or the time when such transfer restriction will terminate or may waive any other limitation or requirement under any such Award.</w:t>
      </w:r>
    </w:p>
    <w:p>
      <w:pPr>
        <w:spacing w:after="0" w:line="189" w:lineRule="exact"/>
        <w:rPr>
          <w:sz w:val="20"/>
          <w:szCs w:val="20"/>
          <w:color w:val="auto"/>
        </w:rPr>
      </w:pPr>
    </w:p>
    <w:p>
      <w:pPr>
        <w:ind w:left="1260" w:right="619" w:firstLine="648"/>
        <w:spacing w:after="0" w:line="252" w:lineRule="auto"/>
        <w:tabs>
          <w:tab w:leader="none" w:pos="219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This Plan shall not confer upon any Participant any right with respect to continuance of employment or other service with the Company or any Affiliate, nor shall it interfere in any way with any right the Company or any Affiliate would otherwise have to terminate such Participant’s employment or other service at any time.</w:t>
      </w:r>
    </w:p>
    <w:p>
      <w:pPr>
        <w:spacing w:after="0" w:line="170" w:lineRule="exact"/>
        <w:rPr>
          <w:rFonts w:ascii="Arial" w:cs="Arial" w:eastAsia="Arial" w:hAnsi="Arial"/>
          <w:sz w:val="18"/>
          <w:szCs w:val="18"/>
          <w:color w:val="auto"/>
        </w:rPr>
      </w:pPr>
    </w:p>
    <w:p>
      <w:pPr>
        <w:ind w:left="1260" w:right="439" w:firstLine="648"/>
        <w:spacing w:after="0" w:line="252" w:lineRule="auto"/>
        <w:tabs>
          <w:tab w:leader="none" w:pos="214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the extent that any provision of this Plan would prevent any Option Right that was intended to qualify as an Incentive Stock Option from qualifying as such, that provision shall be null and void with respect to such Option Right. Such provision, however, shall remain in effect for other Option Rights and there shall be no further effect on any provision of this Plan.</w:t>
      </w:r>
    </w:p>
    <w:p>
      <w:pPr>
        <w:spacing w:after="0" w:line="170" w:lineRule="exact"/>
        <w:rPr>
          <w:rFonts w:ascii="Arial" w:cs="Arial" w:eastAsia="Arial" w:hAnsi="Arial"/>
          <w:sz w:val="18"/>
          <w:szCs w:val="18"/>
          <w:color w:val="auto"/>
        </w:rPr>
      </w:pPr>
    </w:p>
    <w:p>
      <w:pPr>
        <w:ind w:left="1260" w:right="679" w:firstLine="648"/>
        <w:spacing w:after="0" w:line="261" w:lineRule="auto"/>
        <w:tabs>
          <w:tab w:leader="none" w:pos="219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Subject to Section 21, this Plan shall continue in effect until the date on which all Common Shares available for issuance or transfer under this Plan have been issued or transferred and the Company has no further obligation hereunder.</w:t>
      </w:r>
    </w:p>
    <w:p>
      <w:pPr>
        <w:spacing w:after="0" w:line="161" w:lineRule="exact"/>
        <w:rPr>
          <w:rFonts w:ascii="Arial" w:cs="Arial" w:eastAsia="Arial" w:hAnsi="Arial"/>
          <w:sz w:val="18"/>
          <w:szCs w:val="18"/>
          <w:color w:val="auto"/>
        </w:rPr>
      </w:pPr>
    </w:p>
    <w:p>
      <w:pPr>
        <w:ind w:left="1260" w:right="439" w:firstLine="648"/>
        <w:spacing w:after="0" w:line="246" w:lineRule="auto"/>
        <w:tabs>
          <w:tab w:leader="none" w:pos="219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Neither a Participant nor any other person shall, by reason of participation in the Plan, acquire any right or title to any assets, funds or property of the Company or any Affiliate, including without limitation, any specific funds, assets or other property which the Company or any Affiliate may set aside in anticipation of any liability under the Plan. A Participant shall have only a contractual right to an Award or the amounts, if any, payable under the Plan, unsecured by any assets of the Company or any Affiliate, and nothing contained in the Plan shall constitute a guarantee that the assets of the Company or any Affiliate shall be sufficient to pay any benefits to any person.</w:t>
      </w:r>
    </w:p>
    <w:p>
      <w:pPr>
        <w:spacing w:after="0" w:line="188" w:lineRule="exact"/>
        <w:rPr>
          <w:rFonts w:ascii="Arial" w:cs="Arial" w:eastAsia="Arial" w:hAnsi="Arial"/>
          <w:sz w:val="18"/>
          <w:szCs w:val="18"/>
          <w:color w:val="auto"/>
        </w:rPr>
      </w:pPr>
    </w:p>
    <w:p>
      <w:pPr>
        <w:ind w:left="1260" w:right="479" w:firstLine="648"/>
        <w:spacing w:after="0" w:line="253" w:lineRule="auto"/>
        <w:tabs>
          <w:tab w:leader="none" w:pos="213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This Plan and each Evidence of Award shall be governed by the laws of the State of Delaware, excluding any conflicts or choice of law rule or principle that might otherwise refer construction or interpretation of the Plan to the substantive law of another jurisdiction.</w:t>
      </w:r>
    </w:p>
    <w:p>
      <w:pPr>
        <w:spacing w:after="0" w:line="182" w:lineRule="exact"/>
        <w:rPr>
          <w:rFonts w:ascii="Arial" w:cs="Arial" w:eastAsia="Arial" w:hAnsi="Arial"/>
          <w:sz w:val="18"/>
          <w:szCs w:val="18"/>
          <w:color w:val="auto"/>
        </w:rPr>
      </w:pPr>
    </w:p>
    <w:p>
      <w:pPr>
        <w:ind w:left="1260" w:right="499" w:firstLine="648"/>
        <w:spacing w:after="0" w:line="243" w:lineRule="auto"/>
        <w:tabs>
          <w:tab w:leader="none" w:pos="213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Notwithstanding any other provisions in this Plan, the Company may cancel any Award, require reimbursement of any Award by a Participant, and effect any other right of recoupment of equity or other compensation provided under the Plan in accordance with any Company policies that may be adopted and/or modified from time to time (“Clawback Policy”). In addition, a Participant may be required to repay to the Company previously paid compensation, whether provided pursuant to the Plan or an Evidence of Award, in accordance with the Clawback Policy. By accepting an Award, the Participant is agreeing to be bound by the Clawback Policy, as in effect or as may be adopted and/or modified from time to time by the Company in its discretion (including, without limitation, to comply with applicable law or stock exchange listing requirements).</w:t>
      </w:r>
    </w:p>
    <w:p>
      <w:pPr>
        <w:spacing w:after="0" w:line="179" w:lineRule="exact"/>
        <w:rPr>
          <w:rFonts w:ascii="Arial" w:cs="Arial" w:eastAsia="Arial" w:hAnsi="Arial"/>
          <w:sz w:val="18"/>
          <w:szCs w:val="18"/>
          <w:color w:val="auto"/>
        </w:rPr>
      </w:pPr>
    </w:p>
    <w:p>
      <w:pPr>
        <w:ind w:left="1260" w:right="499" w:firstLine="648"/>
        <w:spacing w:after="0" w:line="261" w:lineRule="auto"/>
        <w:tabs>
          <w:tab w:leader="none" w:pos="218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the event any provision of this Plan shall be held illegal or invalid for any reason, the illegality or invalidity shall not affect the remaining parts of this Plan, and this Plan shall be construed and enforced as if the illegal or invalid provision had not been included.</w:t>
      </w:r>
    </w:p>
    <w:p>
      <w:pPr>
        <w:spacing w:after="0" w:line="162" w:lineRule="exact"/>
        <w:rPr>
          <w:sz w:val="20"/>
          <w:szCs w:val="20"/>
          <w:color w:val="auto"/>
        </w:rPr>
      </w:pPr>
    </w:p>
    <w:p>
      <w:pPr>
        <w:ind w:left="1260" w:right="479" w:firstLine="648"/>
        <w:spacing w:after="0" w:line="244" w:lineRule="auto"/>
        <w:tabs>
          <w:tab w:leader="none" w:pos="2297"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Section 409A of the Code</w:t>
      </w:r>
      <w:r>
        <w:rPr>
          <w:rFonts w:ascii="Arial" w:cs="Arial" w:eastAsia="Arial" w:hAnsi="Arial"/>
          <w:sz w:val="18"/>
          <w:szCs w:val="18"/>
          <w:color w:val="auto"/>
        </w:rPr>
        <w:t>. Awards granted under this Plan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designed and administered in such a manner that they are either exempt from the application of, or comply with, the requirements of Section 409A of the Code. To the extent that the Committee determines that any Award granted under the Plan is subject to Section 409A of the Code, the Evidence of Award shall incorporate the terms and conditions necessary to avoid the imposition of an additional tax under Section 409A of the Code upon a Participant. Notwithstanding any other provision of the Plan or any Evidence of Award (unless the Evidence of Award provides otherwise with specific reference to this Section), an Award shall not be granted, deferred, accelerated, extended, paid out, settled, substituted or modified under this Plan in a manner that would result in the imposition of an additional tax under Section 409A of the</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19"/>
        <w:spacing w:after="0" w:line="254" w:lineRule="auto"/>
        <w:rPr>
          <w:sz w:val="20"/>
          <w:szCs w:val="20"/>
          <w:color w:val="auto"/>
        </w:rPr>
      </w:pPr>
      <w:r>
        <w:rPr>
          <w:rFonts w:ascii="Arial" w:cs="Arial" w:eastAsia="Arial" w:hAnsi="Arial"/>
          <w:sz w:val="18"/>
          <w:szCs w:val="18"/>
          <w:color w:val="auto"/>
        </w:rPr>
        <w:t>Code upon a Participant. Although the Company intends to administer the Plan so that awards will be exempt from, or will comply with, the requirements of Section 409A of the Code, the Company does not warrant that any Award under the Plan will qualify for favorable tax treatment under Section 409A of the Code or any other provision of federal, state, local, or non-United States law. Neither the Company, its Affiliates, nor their respective directors, officers, employees or advisers shall be liable to any Participant (or any other individual claiming a benefit through the Participant) for any tax, interest, or penalties the Participant might owe as a result of the grant, holding, vesting, exercise, or payment of any Award under the Plan. Any reference in this Plan to Section 409A of the Code will also include the applicable proposed, temporary or final regulations, or any other guidance, issued with respect to such Section by the U.S. Department of the Treasury or the Internal Revenue Service.</w:t>
      </w:r>
    </w:p>
    <w:p>
      <w:pPr>
        <w:spacing w:after="0" w:line="185" w:lineRule="exact"/>
        <w:rPr>
          <w:sz w:val="20"/>
          <w:szCs w:val="20"/>
          <w:color w:val="auto"/>
        </w:rPr>
      </w:pPr>
    </w:p>
    <w:p>
      <w:pPr>
        <w:jc w:val="both"/>
        <w:ind w:left="1260" w:right="419" w:firstLine="648"/>
        <w:spacing w:after="0" w:line="268" w:lineRule="auto"/>
        <w:tabs>
          <w:tab w:leader="none" w:pos="2291"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Laws</w:t>
      </w:r>
      <w:r>
        <w:rPr>
          <w:rFonts w:ascii="Arial" w:cs="Arial" w:eastAsia="Arial" w:hAnsi="Arial"/>
          <w:sz w:val="18"/>
          <w:szCs w:val="18"/>
          <w:color w:val="auto"/>
        </w:rPr>
        <w:t>. To the extent that federal laws do not otherwise control, this Plan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determinations made and actions taken pursuant to this Plan shall be governed by the laws of Delaware, without giving effect to principles of conflicts of laws, and construed accordingly.</w:t>
      </w:r>
    </w:p>
    <w:p>
      <w:pPr>
        <w:spacing w:after="0" w:line="170" w:lineRule="exact"/>
        <w:rPr>
          <w:rFonts w:ascii="Arial" w:cs="Arial" w:eastAsia="Arial" w:hAnsi="Arial"/>
          <w:sz w:val="18"/>
          <w:szCs w:val="18"/>
          <w:b w:val="1"/>
          <w:bCs w:val="1"/>
          <w:color w:val="auto"/>
        </w:rPr>
      </w:pPr>
    </w:p>
    <w:p>
      <w:pPr>
        <w:ind w:left="1260" w:right="439" w:firstLine="648"/>
        <w:spacing w:after="0" w:line="262" w:lineRule="auto"/>
        <w:tabs>
          <w:tab w:leader="none" w:pos="2297"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r>
        <w:rPr>
          <w:rFonts w:ascii="Arial" w:cs="Arial" w:eastAsia="Arial" w:hAnsi="Arial"/>
          <w:sz w:val="18"/>
          <w:szCs w:val="18"/>
          <w:color w:val="auto"/>
        </w:rPr>
        <w:t>. This Plan shall terminate 10 years after the Effective Date, and no</w:t>
      </w:r>
      <w:r>
        <w:rPr>
          <w:rFonts w:ascii="Arial" w:cs="Arial" w:eastAsia="Arial" w:hAnsi="Arial"/>
          <w:sz w:val="18"/>
          <w:szCs w:val="18"/>
          <w:b w:val="1"/>
          <w:bCs w:val="1"/>
          <w:color w:val="auto"/>
        </w:rPr>
        <w:t xml:space="preserve"> </w:t>
      </w:r>
      <w:r>
        <w:rPr>
          <w:rFonts w:ascii="Arial" w:cs="Arial" w:eastAsia="Arial" w:hAnsi="Arial"/>
          <w:sz w:val="18"/>
          <w:szCs w:val="18"/>
          <w:color w:val="auto"/>
        </w:rPr>
        <w:t>award(s) shall be made hereunder after the expiration of such 10 year period. Awards outstanding at the termination of the Plan will continue in accordance with their terms and will not be affected by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2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6831965" cy="89452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89452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1."/>
      <w:numFmt w:val="decimal"/>
      <w:start w:val="1"/>
    </w:lvl>
  </w:abstractNum>
  <w:abstractNum w:abstractNumId="4">
    <w:nsid w:val="5FF87E05"/>
    <w:multiLevelType w:val="hybridMultilevel"/>
    <w:lvl w:ilvl="0">
      <w:lvlJc w:val="left"/>
      <w:lvlText w:val="%1."/>
      <w:numFmt w:val="decimal"/>
      <w:start w:val="6"/>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1)"/>
      <w:numFmt w:val="decimal"/>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1:"/>
      <w:numFmt w:val="upperLetter"/>
      <w:start w:val="17"/>
    </w:lvl>
  </w:abstractNum>
  <w:abstractNum w:abstractNumId="14">
    <w:nsid w:val="15014ACB"/>
    <w:multiLevelType w:val="hybridMultilevel"/>
    <w:lvl w:ilvl="0">
      <w:lvlJc w:val="left"/>
      <w:lvlText w:val="%1:"/>
      <w:numFmt w:val="upperLetter"/>
      <w:start w:val="1"/>
    </w:lvl>
    <w:lvl w:ilvl="1">
      <w:lvlJc w:val="left"/>
      <w:lvlText w:val="•"/>
      <w:numFmt w:val="bullet"/>
      <w:start w:val="1"/>
    </w:lvl>
  </w:abstractNum>
  <w:abstractNum w:abstractNumId="15">
    <w:nsid w:val="5F5E7FD0"/>
    <w:multiLevelType w:val="hybridMultilevel"/>
    <w:lvl w:ilvl="0">
      <w:lvlJc w:val="left"/>
      <w:lvlText w:val="%1:"/>
      <w:numFmt w:val="upperLetter"/>
      <w:start w:val="17"/>
    </w:lvl>
  </w:abstractNum>
  <w:abstractNum w:abstractNumId="16">
    <w:nsid w:val="98A3148"/>
    <w:multiLevelType w:val="hybridMultilevel"/>
    <w:lvl w:ilvl="0">
      <w:lvlJc w:val="left"/>
      <w:lvlText w:val="%1:"/>
      <w:numFmt w:val="upperLetter"/>
      <w:start w:val="1"/>
    </w:lvl>
    <w:lvl w:ilvl="1">
      <w:lvlJc w:val="left"/>
      <w:lvlText w:val="•"/>
      <w:numFmt w:val="bullet"/>
      <w:start w:val="1"/>
    </w:lvl>
  </w:abstractNum>
  <w:abstractNum w:abstractNumId="17">
    <w:nsid w:val="799D0247"/>
    <w:multiLevelType w:val="hybridMultilevel"/>
    <w:lvl w:ilvl="0">
      <w:lvlJc w:val="left"/>
      <w:lvlText w:val="%1:"/>
      <w:numFmt w:val="upperLetter"/>
      <w:start w:val="17"/>
    </w:lvl>
  </w:abstractNum>
  <w:abstractNum w:abstractNumId="18">
    <w:nsid w:val="6B94764"/>
    <w:multiLevelType w:val="hybridMultilevel"/>
    <w:lvl w:ilvl="0">
      <w:lvlJc w:val="left"/>
      <w:lvlText w:val="%1:"/>
      <w:numFmt w:val="upperLetter"/>
      <w:start w:val="1"/>
    </w:lvl>
    <w:lvl w:ilvl="1">
      <w:lvlJc w:val="left"/>
      <w:lvlText w:val="•"/>
      <w:numFmt w:val="bullet"/>
      <w:start w:val="1"/>
    </w:lvl>
  </w:abstractNum>
  <w:abstractNum w:abstractNumId="19">
    <w:nsid w:val="42C296BD"/>
    <w:multiLevelType w:val="hybridMultilevel"/>
    <w:lvl w:ilvl="0">
      <w:lvlJc w:val="left"/>
      <w:lvlText w:val="%1:"/>
      <w:numFmt w:val="upperLetter"/>
      <w:start w:val="17"/>
    </w:lvl>
  </w:abstractNum>
  <w:abstractNum w:abstractNumId="20">
    <w:nsid w:val="168E121F"/>
    <w:multiLevelType w:val="hybridMultilevel"/>
    <w:lvl w:ilvl="0">
      <w:lvlJc w:val="left"/>
      <w:lvlText w:val="%1:"/>
      <w:numFmt w:val="upperLetter"/>
      <w:start w:val="1"/>
    </w:lvl>
  </w:abstractNum>
  <w:abstractNum w:abstractNumId="21">
    <w:nsid w:val="1EBA5D23"/>
    <w:multiLevelType w:val="hybridMultilevel"/>
    <w:lvl w:ilvl="0">
      <w:lvlJc w:val="left"/>
      <w:lvlText w:val="%1:"/>
      <w:numFmt w:val="upperLetter"/>
      <w:start w:val="17"/>
    </w:lvl>
  </w:abstractNum>
  <w:abstractNum w:abstractNumId="22">
    <w:nsid w:val="661E3F1E"/>
    <w:multiLevelType w:val="hybridMultilevel"/>
    <w:lvl w:ilvl="0">
      <w:lvlJc w:val="left"/>
      <w:lvlText w:val="%1:"/>
      <w:numFmt w:val="upperLetter"/>
      <w:start w:val="1"/>
    </w:lvl>
  </w:abstractNum>
  <w:abstractNum w:abstractNumId="23">
    <w:nsid w:val="5DC79EA8"/>
    <w:multiLevelType w:val="hybridMultilevel"/>
    <w:lvl w:ilvl="0">
      <w:lvlJc w:val="left"/>
      <w:lvlText w:val="%1:"/>
      <w:numFmt w:val="upperLetter"/>
      <w:start w:val="17"/>
    </w:lvl>
  </w:abstractNum>
  <w:abstractNum w:abstractNumId="24">
    <w:nsid w:val="540A471C"/>
    <w:multiLevelType w:val="hybridMultilevel"/>
    <w:lvl w:ilvl="0">
      <w:lvlJc w:val="left"/>
      <w:lvlText w:val="%1:"/>
      <w:numFmt w:val="upperLetter"/>
      <w:start w:val="1"/>
    </w:lvl>
  </w:abstractNum>
  <w:abstractNum w:abstractNumId="25">
    <w:nsid w:val="7BD3EE7B"/>
    <w:multiLevelType w:val="hybridMultilevel"/>
    <w:lvl w:ilvl="0">
      <w:lvlJc w:val="left"/>
      <w:lvlText w:val="%1:"/>
      <w:numFmt w:val="upperLetter"/>
      <w:start w:val="17"/>
    </w:lvl>
  </w:abstractNum>
  <w:abstractNum w:abstractNumId="26">
    <w:nsid w:val="51D9C564"/>
    <w:multiLevelType w:val="hybridMultilevel"/>
    <w:lvl w:ilvl="0">
      <w:lvlJc w:val="left"/>
      <w:lvlText w:val="%1:"/>
      <w:numFmt w:val="upperLetter"/>
      <w:start w:val="1"/>
    </w:lvl>
  </w:abstractNum>
  <w:abstractNum w:abstractNumId="27">
    <w:nsid w:val="613EFDC5"/>
    <w:multiLevelType w:val="hybridMultilevel"/>
    <w:lvl w:ilvl="0">
      <w:lvlJc w:val="left"/>
      <w:lvlText w:val="%1:"/>
      <w:numFmt w:val="upperLetter"/>
      <w:start w:val="17"/>
    </w:lvl>
  </w:abstractNum>
  <w:abstractNum w:abstractNumId="28">
    <w:nsid w:val="BF72B14"/>
    <w:multiLevelType w:val="hybridMultilevel"/>
    <w:lvl w:ilvl="0">
      <w:lvlJc w:val="left"/>
      <w:lvlText w:val="%1:"/>
      <w:numFmt w:val="upperLetter"/>
      <w:start w:val="1"/>
    </w:lvl>
  </w:abstractNum>
  <w:abstractNum w:abstractNumId="29">
    <w:nsid w:val="11447B73"/>
    <w:multiLevelType w:val="hybridMultilevel"/>
    <w:lvl w:ilvl="0">
      <w:lvlJc w:val="left"/>
      <w:lvlText w:val="%1:"/>
      <w:numFmt w:val="upperLetter"/>
      <w:start w:val="17"/>
    </w:lvl>
  </w:abstractNum>
  <w:abstractNum w:abstractNumId="30">
    <w:nsid w:val="42963E5A"/>
    <w:multiLevelType w:val="hybridMultilevel"/>
    <w:lvl w:ilvl="0">
      <w:lvlJc w:val="left"/>
      <w:lvlText w:val="%1:"/>
      <w:numFmt w:val="upperLetter"/>
      <w:start w:val="1"/>
    </w:lvl>
  </w:abstractNum>
  <w:abstractNum w:abstractNumId="31">
    <w:nsid w:val="A0382C5"/>
    <w:multiLevelType w:val="hybridMultilevel"/>
    <w:lvl w:ilvl="0">
      <w:lvlJc w:val="left"/>
      <w:lvlText w:val="%1:"/>
      <w:numFmt w:val="upperLetter"/>
      <w:start w:val="17"/>
    </w:lvl>
  </w:abstractNum>
  <w:abstractNum w:abstractNumId="32">
    <w:nsid w:val="8F2B15E"/>
    <w:multiLevelType w:val="hybridMultilevel"/>
    <w:lvl w:ilvl="0">
      <w:lvlJc w:val="left"/>
      <w:lvlText w:val="%1:"/>
      <w:numFmt w:val="upperLetter"/>
      <w:start w:val="1"/>
    </w:lvl>
  </w:abstractNum>
  <w:abstractNum w:abstractNumId="33">
    <w:nsid w:val="1A32234B"/>
    <w:multiLevelType w:val="hybridMultilevel"/>
    <w:lvl w:ilvl="0">
      <w:lvlJc w:val="left"/>
      <w:lvlText w:val="%1:"/>
      <w:numFmt w:val="upperLetter"/>
      <w:start w:val="17"/>
    </w:lvl>
  </w:abstractNum>
  <w:abstractNum w:abstractNumId="34">
    <w:nsid w:val="3B0FD379"/>
    <w:multiLevelType w:val="hybridMultilevel"/>
    <w:lvl w:ilvl="0">
      <w:lvlJc w:val="left"/>
      <w:lvlText w:val="%1:"/>
      <w:numFmt w:val="upperLetter"/>
      <w:start w:val="1"/>
    </w:lvl>
  </w:abstractNum>
  <w:abstractNum w:abstractNumId="35">
    <w:nsid w:val="68EB2F63"/>
    <w:multiLevelType w:val="hybridMultilevel"/>
    <w:lvl w:ilvl="0">
      <w:lvlJc w:val="left"/>
      <w:lvlText w:val="%1:"/>
      <w:numFmt w:val="upperLetter"/>
      <w:start w:val="17"/>
    </w:lvl>
  </w:abstractNum>
  <w:abstractNum w:abstractNumId="36">
    <w:nsid w:val="4962813B"/>
    <w:multiLevelType w:val="hybridMultilevel"/>
    <w:lvl w:ilvl="0">
      <w:lvlJc w:val="left"/>
      <w:lvlText w:val="%1:"/>
      <w:numFmt w:val="upperLetter"/>
      <w:start w:val="1"/>
    </w:lvl>
  </w:abstractNum>
  <w:abstractNum w:abstractNumId="37">
    <w:nsid w:val="60B6DF70"/>
    <w:multiLevelType w:val="hybridMultilevel"/>
    <w:lvl w:ilvl="0">
      <w:lvlJc w:val="left"/>
      <w:lvlText w:val="%1:"/>
      <w:numFmt w:val="upperLetter"/>
      <w:start w:val="17"/>
    </w:lvl>
  </w:abstractNum>
  <w:abstractNum w:abstractNumId="38">
    <w:nsid w:val="6A5EE64"/>
    <w:multiLevelType w:val="hybridMultilevel"/>
    <w:lvl w:ilvl="0">
      <w:lvlJc w:val="left"/>
      <w:lvlText w:val="%1:"/>
      <w:numFmt w:val="upperLetter"/>
      <w:start w:val="1"/>
    </w:lvl>
  </w:abstractNum>
  <w:abstractNum w:abstractNumId="39">
    <w:nsid w:val="14330624"/>
    <w:multiLevelType w:val="hybridMultilevel"/>
    <w:lvl w:ilvl="0">
      <w:lvlJc w:val="left"/>
      <w:lvlText w:val="%1:"/>
      <w:numFmt w:val="upperLetter"/>
      <w:start w:val="17"/>
    </w:lvl>
  </w:abstractNum>
  <w:abstractNum w:abstractNumId="40">
    <w:nsid w:val="7FFFCA11"/>
    <w:multiLevelType w:val="hybridMultilevel"/>
    <w:lvl w:ilvl="0">
      <w:lvlJc w:val="left"/>
      <w:lvlText w:val="%1:"/>
      <w:numFmt w:val="upperLetter"/>
      <w:start w:val="1"/>
    </w:lvl>
  </w:abstractNum>
  <w:abstractNum w:abstractNumId="41">
    <w:nsid w:val="1A27709E"/>
    <w:multiLevelType w:val="hybridMultilevel"/>
    <w:lvl w:ilvl="0">
      <w:lvlJc w:val="left"/>
      <w:lvlText w:val="%1:"/>
      <w:numFmt w:val="upperLetter"/>
      <w:start w:val="17"/>
    </w:lvl>
  </w:abstractNum>
  <w:abstractNum w:abstractNumId="42">
    <w:nsid w:val="71EA1109"/>
    <w:multiLevelType w:val="hybridMultilevel"/>
    <w:lvl w:ilvl="0">
      <w:lvlJc w:val="left"/>
      <w:lvlText w:val="%1:"/>
      <w:numFmt w:val="upperLetter"/>
      <w:start w:val="1"/>
    </w:lvl>
  </w:abstractNum>
  <w:abstractNum w:abstractNumId="43">
    <w:nsid w:val="100F59DC"/>
    <w:multiLevelType w:val="hybridMultilevel"/>
    <w:lvl w:ilvl="0">
      <w:lvlJc w:val="left"/>
      <w:lvlText w:val="%1:"/>
      <w:numFmt w:val="upperLetter"/>
      <w:start w:val="17"/>
    </w:lvl>
  </w:abstractNum>
  <w:abstractNum w:abstractNumId="44">
    <w:nsid w:val="7FB7E0AA"/>
    <w:multiLevelType w:val="hybridMultilevel"/>
    <w:lvl w:ilvl="0">
      <w:lvlJc w:val="left"/>
      <w:lvlText w:val="%1:"/>
      <w:numFmt w:val="upperLetter"/>
      <w:start w:val="1"/>
    </w:lvl>
  </w:abstractNum>
  <w:abstractNum w:abstractNumId="45">
    <w:nsid w:val="6EB5BD4"/>
    <w:multiLevelType w:val="hybridMultilevel"/>
    <w:lvl w:ilvl="0">
      <w:lvlJc w:val="left"/>
      <w:lvlText w:val="(%1)"/>
      <w:numFmt w:val="decimal"/>
      <w:start w:val="1"/>
    </w:lvl>
  </w:abstractNum>
  <w:abstractNum w:abstractNumId="46">
    <w:nsid w:val="6F6DD9AC"/>
    <w:multiLevelType w:val="hybridMultilevel"/>
    <w:lvl w:ilvl="0">
      <w:lvlJc w:val="left"/>
      <w:lvlText w:val="(%1)"/>
      <w:numFmt w:val="lowerRoman"/>
      <w:start w:val="5"/>
    </w:lvl>
  </w:abstractNum>
  <w:abstractNum w:abstractNumId="47">
    <w:nsid w:val="94211F2"/>
    <w:multiLevelType w:val="hybridMultilevel"/>
    <w:lvl w:ilvl="0">
      <w:lvlJc w:val="left"/>
      <w:lvlText w:val="(%1)"/>
      <w:numFmt w:val="decimal"/>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
      <w:numFmt w:val="bullet"/>
      <w:start w:val="1"/>
    </w:lvl>
  </w:abstractNum>
  <w:abstractNum w:abstractNumId="50">
    <w:nsid w:val="4C04A8AF"/>
    <w:multiLevelType w:val="hybridMultilevel"/>
    <w:lvl w:ilvl="0">
      <w:lvlJc w:val="left"/>
      <w:lvlText w:val="(%1)"/>
      <w:numFmt w:val="decimal"/>
      <w:start w:val="1"/>
    </w:lvl>
  </w:abstractNum>
  <w:abstractNum w:abstractNumId="51">
    <w:nsid w:val="1716703B"/>
    <w:multiLevelType w:val="hybridMultilevel"/>
    <w:lvl w:ilvl="0">
      <w:lvlJc w:val="left"/>
      <w:lvlText w:val="•"/>
      <w:numFmt w:val="bullet"/>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1)"/>
      <w:numFmt w:val="decimal"/>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1)"/>
      <w:numFmt w:val="decimal"/>
      <w:start w:val="1"/>
    </w:lvl>
  </w:abstractNum>
  <w:abstractNum w:abstractNumId="58">
    <w:nsid w:val="4A2AC315"/>
    <w:multiLevelType w:val="hybridMultilevel"/>
    <w:lvl w:ilvl="0">
      <w:lvlJc w:val="left"/>
      <w:lvlText w:val="(%1)"/>
      <w:numFmt w:val="decimal"/>
      <w:start w:val="3"/>
    </w:lvl>
  </w:abstractNum>
  <w:abstractNum w:abstractNumId="59">
    <w:nsid w:val="39EE015C"/>
    <w:multiLevelType w:val="hybridMultilevel"/>
    <w:lvl w:ilvl="0">
      <w:lvlJc w:val="left"/>
      <w:lvlText w:val="(%1)"/>
      <w:numFmt w:val="lowerRoman"/>
      <w:start w:val="2"/>
    </w:lvl>
  </w:abstractNum>
  <w:abstractNum w:abstractNumId="60">
    <w:nsid w:val="57FC4FBB"/>
    <w:multiLevelType w:val="hybridMultilevel"/>
    <w:lvl w:ilvl="0">
      <w:lvlJc w:val="left"/>
      <w:lvlText w:val="%1."/>
      <w:numFmt w:val="decimal"/>
      <w:start w:val="1"/>
    </w:lvl>
  </w:abstractNum>
  <w:abstractNum w:abstractNumId="61">
    <w:nsid w:val="CC1016F"/>
    <w:multiLevelType w:val="hybridMultilevel"/>
    <w:lvl w:ilvl="0">
      <w:lvlJc w:val="left"/>
      <w:lvlText w:val="•"/>
      <w:numFmt w:val="bullet"/>
      <w:start w:val="1"/>
    </w:lvl>
  </w:abstractNum>
  <w:abstractNum w:abstractNumId="62">
    <w:nsid w:val="43F18422"/>
    <w:multiLevelType w:val="hybridMultilevel"/>
    <w:lvl w:ilvl="0">
      <w:lvlJc w:val="left"/>
      <w:lvlText w:val="1"/>
      <w:numFmt w:val="bullet"/>
      <w:start w:val="1"/>
    </w:lvl>
  </w:abstractNum>
  <w:abstractNum w:abstractNumId="63">
    <w:nsid w:val="60EF0119"/>
    <w:multiLevelType w:val="hybridMultilevel"/>
    <w:lvl w:ilvl="0">
      <w:lvlJc w:val="left"/>
      <w:lvlText w:val="•"/>
      <w:numFmt w:val="bullet"/>
      <w:start w:val="1"/>
    </w:lvl>
  </w:abstractNum>
  <w:abstractNum w:abstractNumId="64">
    <w:nsid w:val="26F324BA"/>
    <w:multiLevelType w:val="hybridMultilevel"/>
    <w:lvl w:ilvl="0">
      <w:lvlJc w:val="left"/>
      <w:lvlText w:val="(%1)"/>
      <w:numFmt w:val="decimal"/>
      <w:start w:val="1"/>
    </w:lvl>
  </w:abstractNum>
  <w:abstractNum w:abstractNumId="65">
    <w:nsid w:val="7F01579B"/>
    <w:multiLevelType w:val="hybridMultilevel"/>
    <w:lvl w:ilvl="0">
      <w:lvlJc w:val="left"/>
      <w:lvlText w:val="(%1)"/>
      <w:numFmt w:val="decimal"/>
      <w:start w:val="1"/>
    </w:lvl>
  </w:abstractNum>
  <w:abstractNum w:abstractNumId="66">
    <w:nsid w:val="49DA307D"/>
    <w:multiLevelType w:val="hybridMultilevel"/>
    <w:lvl w:ilvl="0">
      <w:lvlJc w:val="left"/>
      <w:lvlText w:val="(%1)"/>
      <w:numFmt w:val="decimal"/>
      <w:start w:val="2"/>
    </w:lvl>
  </w:abstractNum>
  <w:abstractNum w:abstractNumId="67">
    <w:nsid w:val="7055A5F5"/>
    <w:multiLevelType w:val="hybridMultilevel"/>
    <w:lvl w:ilvl="0">
      <w:lvlJc w:val="left"/>
      <w:lvlText w:val="(%1)"/>
      <w:numFmt w:val="lowerRoman"/>
      <w:start w:val="1"/>
    </w:lvl>
  </w:abstractNum>
  <w:abstractNum w:abstractNumId="68">
    <w:nsid w:val="5FB8370B"/>
    <w:multiLevelType w:val="hybridMultilevel"/>
    <w:lvl w:ilvl="0">
      <w:lvlJc w:val="left"/>
      <w:lvlText w:val="(%1)"/>
      <w:numFmt w:val="decimal"/>
      <w:start w:val="1"/>
    </w:lvl>
  </w:abstractNum>
  <w:abstractNum w:abstractNumId="69">
    <w:nsid w:val="50801EE1"/>
    <w:multiLevelType w:val="hybridMultilevel"/>
    <w:lvl w:ilvl="0">
      <w:lvlJc w:val="left"/>
      <w:lvlText w:val="(%1)"/>
      <w:numFmt w:val="decimal"/>
      <w:start w:val="1"/>
    </w:lvl>
  </w:abstractNum>
  <w:abstractNum w:abstractNumId="70">
    <w:nsid w:val="488AC1A"/>
    <w:multiLevelType w:val="hybridMultilevel"/>
    <w:lvl w:ilvl="0">
      <w:lvlJc w:val="left"/>
      <w:lvlText w:val="(%1)"/>
      <w:numFmt w:val="decimal"/>
      <w:start w:val="1"/>
    </w:lvl>
  </w:abstractNum>
  <w:abstractNum w:abstractNumId="71">
    <w:nsid w:val="5FB8011C"/>
    <w:multiLevelType w:val="hybridMultilevel"/>
    <w:lvl w:ilvl="0">
      <w:lvlJc w:val="left"/>
      <w:lvlText w:val="(%1)"/>
      <w:numFmt w:val="decimal"/>
      <w:start w:val="2"/>
    </w:lvl>
  </w:abstractNum>
  <w:abstractNum w:abstractNumId="72">
    <w:nsid w:val="6AA78F7F"/>
    <w:multiLevelType w:val="hybridMultilevel"/>
    <w:lvl w:ilvl="0">
      <w:lvlJc w:val="left"/>
      <w:lvlText w:val="(%1)"/>
      <w:numFmt w:val="decimal"/>
      <w:start w:val="1"/>
    </w:lvl>
  </w:abstractNum>
  <w:abstractNum w:abstractNumId="73">
    <w:nsid w:val="7672BD23"/>
    <w:multiLevelType w:val="hybridMultilevel"/>
    <w:lvl w:ilvl="0">
      <w:lvlJc w:val="left"/>
      <w:lvlText w:val="(%1)"/>
      <w:numFmt w:val="decimal"/>
      <w:start w:val="3"/>
    </w:lvl>
  </w:abstractNum>
  <w:abstractNum w:abstractNumId="74">
    <w:nsid w:val="6FC75AF8"/>
    <w:multiLevelType w:val="hybridMultilevel"/>
    <w:lvl w:ilvl="0">
      <w:lvlJc w:val="left"/>
      <w:lvlText w:val="(%1)"/>
      <w:numFmt w:val="decimal"/>
      <w:start w:val="1"/>
    </w:lvl>
  </w:abstractNum>
  <w:abstractNum w:abstractNumId="75">
    <w:nsid w:val="6A5F7029"/>
    <w:multiLevelType w:val="hybridMultilevel"/>
    <w:lvl w:ilvl="0">
      <w:lvlJc w:val="left"/>
      <w:lvlText w:val="(%1)"/>
      <w:numFmt w:val="decimal"/>
      <w:start w:val="2"/>
    </w:lvl>
  </w:abstractNum>
  <w:abstractNum w:abstractNumId="76">
    <w:nsid w:val="7D5E18F8"/>
    <w:multiLevelType w:val="hybridMultilevel"/>
    <w:lvl w:ilvl="0">
      <w:lvlJc w:val="left"/>
      <w:lvlText w:val="(%1)"/>
      <w:numFmt w:val="decimal"/>
      <w:start w:val="3"/>
    </w:lvl>
  </w:abstractNum>
  <w:abstractNum w:abstractNumId="77">
    <w:nsid w:val="5F3534A4"/>
    <w:multiLevelType w:val="hybridMultilevel"/>
    <w:lvl w:ilvl="0">
      <w:lvlJc w:val="left"/>
      <w:lvlText w:val="(%1)"/>
      <w:numFmt w:val="decimal"/>
      <w:start w:val="1"/>
    </w:lvl>
  </w:abstractNum>
  <w:abstractNum w:abstractNumId="78">
    <w:nsid w:val="73A1821B"/>
    <w:multiLevelType w:val="hybridMultilevel"/>
    <w:lvl w:ilvl="0">
      <w:lvlJc w:val="left"/>
      <w:lvlText w:val="(%1)"/>
      <w:numFmt w:val="decimal"/>
      <w:start w:val="1"/>
    </w:lvl>
  </w:abstractNum>
  <w:abstractNum w:abstractNumId="79">
    <w:nsid w:val="7DE67713"/>
    <w:multiLevelType w:val="hybridMultilevel"/>
    <w:lvl w:ilvl="0">
      <w:lvlJc w:val="left"/>
      <w:lvlText w:val="•"/>
      <w:numFmt w:val="bullet"/>
      <w:start w:val="1"/>
    </w:lvl>
  </w:abstractNum>
  <w:abstractNum w:abstractNumId="80">
    <w:nsid w:val="555C55B5"/>
    <w:multiLevelType w:val="hybridMultilevel"/>
    <w:lvl w:ilvl="0">
      <w:lvlJc w:val="left"/>
      <w:lvlText w:val="(%1)"/>
      <w:numFmt w:val="lowerRoman"/>
      <w:start w:val="1"/>
    </w:lvl>
  </w:abstractNum>
  <w:abstractNum w:abstractNumId="81">
    <w:nsid w:val="3FA62ACA"/>
    <w:multiLevelType w:val="hybridMultilevel"/>
    <w:lvl w:ilvl="0">
      <w:lvlJc w:val="left"/>
      <w:lvlText w:val="•"/>
      <w:numFmt w:val="bullet"/>
      <w:start w:val="1"/>
    </w:lvl>
  </w:abstractNum>
  <w:abstractNum w:abstractNumId="82">
    <w:nsid w:val="14FCE74E"/>
    <w:multiLevelType w:val="hybridMultilevel"/>
    <w:lvl w:ilvl="0">
      <w:lvlJc w:val="left"/>
      <w:lvlText w:val="•"/>
      <w:numFmt w:val="bullet"/>
      <w:start w:val="1"/>
    </w:lvl>
  </w:abstractNum>
  <w:abstractNum w:abstractNumId="83">
    <w:nsid w:val="6A3DD3E8"/>
    <w:multiLevelType w:val="hybridMultilevel"/>
    <w:lvl w:ilvl="0">
      <w:lvlJc w:val="left"/>
      <w:lvlText w:val="(%1)"/>
      <w:numFmt w:val="decimal"/>
      <w:start w:val="1"/>
    </w:lvl>
  </w:abstractNum>
  <w:abstractNum w:abstractNumId="84">
    <w:nsid w:val="71C91298"/>
    <w:multiLevelType w:val="hybridMultilevel"/>
    <w:lvl w:ilvl="0">
      <w:lvlJc w:val="left"/>
      <w:lvlText w:val="(%1)"/>
      <w:numFmt w:val="decimal"/>
      <w:start w:val="1"/>
    </w:lvl>
  </w:abstractNum>
  <w:abstractNum w:abstractNumId="85">
    <w:nsid w:val="9DAF632"/>
    <w:multiLevelType w:val="hybridMultilevel"/>
    <w:lvl w:ilvl="0">
      <w:lvlJc w:val="left"/>
      <w:lvlText w:val="(%1)"/>
      <w:numFmt w:val="lowerRoman"/>
      <w:start w:val="4"/>
    </w:lvl>
  </w:abstractNum>
  <w:abstractNum w:abstractNumId="86">
    <w:nsid w:val="53299938"/>
    <w:multiLevelType w:val="hybridMultilevel"/>
    <w:lvl w:ilvl="0">
      <w:lvlJc w:val="left"/>
      <w:lvlText w:val="(%1)"/>
      <w:numFmt w:val="lowerRoman"/>
      <w:start w:val="1"/>
    </w:lvl>
  </w:abstractNum>
  <w:abstractNum w:abstractNumId="87">
    <w:nsid w:val="1FBFE8E0"/>
    <w:multiLevelType w:val="hybridMultilevel"/>
    <w:lvl w:ilvl="0">
      <w:lvlJc w:val="left"/>
      <w:lvlText w:val="(%1)"/>
      <w:numFmt w:val="lowerRoman"/>
      <w:start w:val="2"/>
    </w:lvl>
  </w:abstractNum>
  <w:abstractNum w:abstractNumId="88">
    <w:nsid w:val="5092CA79"/>
    <w:multiLevelType w:val="hybridMultilevel"/>
    <w:lvl w:ilvl="0">
      <w:lvlJc w:val="left"/>
      <w:lvlText w:val="(%1)"/>
      <w:numFmt w:val="decimal"/>
      <w:start w:val="2"/>
    </w:lvl>
  </w:abstractNum>
  <w:abstractNum w:abstractNumId="89">
    <w:nsid w:val="1D545C4D"/>
    <w:multiLevelType w:val="hybridMultilevel"/>
    <w:lvl w:ilvl="0">
      <w:lvlJc w:val="left"/>
      <w:lvlText w:val="•"/>
      <w:numFmt w:val="bullet"/>
      <w:start w:val="1"/>
    </w:lvl>
  </w:abstractNum>
  <w:abstractNum w:abstractNumId="90">
    <w:nsid w:val="59ADEA3D"/>
    <w:multiLevelType w:val="hybridMultilevel"/>
    <w:lvl w:ilvl="0">
      <w:lvlJc w:val="left"/>
      <w:lvlText w:val="(%1)"/>
      <w:numFmt w:val="lowerLetter"/>
      <w:start w:val="1"/>
    </w:lvl>
  </w:abstractNum>
  <w:abstractNum w:abstractNumId="91">
    <w:nsid w:val="288F1A34"/>
    <w:multiLevelType w:val="hybridMultilevel"/>
    <w:lvl w:ilvl="0">
      <w:lvlJc w:val="left"/>
      <w:lvlText w:val="(%1)"/>
      <w:numFmt w:val="lowerLetter"/>
      <w:start w:val="1"/>
    </w:lvl>
  </w:abstractNum>
  <w:abstractNum w:abstractNumId="92">
    <w:nsid w:val="2A155DBC"/>
    <w:multiLevelType w:val="hybridMultilevel"/>
    <w:lvl w:ilvl="0">
      <w:lvlJc w:val="left"/>
      <w:lvlText w:val="%1."/>
      <w:numFmt w:val="decimal"/>
      <w:start w:val="1"/>
    </w:lvl>
  </w:abstractNum>
  <w:abstractNum w:abstractNumId="93">
    <w:nsid w:val="1D9F6E5F"/>
    <w:multiLevelType w:val="hybridMultilevel"/>
    <w:lvl w:ilvl="0">
      <w:lvlJc w:val="left"/>
      <w:lvlText w:val="%1."/>
      <w:numFmt w:val="decimal"/>
      <w:start w:val="2"/>
    </w:lvl>
  </w:abstractNum>
  <w:abstractNum w:abstractNumId="94">
    <w:nsid w:val="97E1B4E"/>
    <w:multiLevelType w:val="hybridMultilevel"/>
    <w:lvl w:ilvl="0">
      <w:lvlJc w:val="left"/>
      <w:lvlText w:val="(%1)"/>
      <w:numFmt w:val="lowerLetter"/>
      <w:start w:val="2"/>
    </w:lvl>
  </w:abstractNum>
  <w:abstractNum w:abstractNumId="95">
    <w:nsid w:val="51088277"/>
    <w:multiLevelType w:val="hybridMultilevel"/>
    <w:lvl w:ilvl="0">
      <w:lvlJc w:val="left"/>
      <w:lvlText w:val="%1."/>
      <w:numFmt w:val="lowerLetter"/>
      <w:start w:val="1"/>
    </w:lvl>
  </w:abstractNum>
  <w:abstractNum w:abstractNumId="96">
    <w:nsid w:val="1CA0C5FA"/>
    <w:multiLevelType w:val="hybridMultilevel"/>
    <w:lvl w:ilvl="0">
      <w:lvlJc w:val="left"/>
      <w:lvlText w:val="%1."/>
      <w:numFmt w:val="lowerLetter"/>
      <w:start w:val="1"/>
    </w:lvl>
  </w:abstractNum>
  <w:abstractNum w:abstractNumId="97">
    <w:nsid w:val="53584BCB"/>
    <w:multiLevelType w:val="hybridMultilevel"/>
    <w:lvl w:ilvl="0">
      <w:lvlJc w:val="left"/>
      <w:lvlText w:val="(%1)"/>
      <w:numFmt w:val="lowerRoman"/>
      <w:start w:val="10"/>
    </w:lvl>
    <w:lvl w:ilvl="1">
      <w:lvlJc w:val="left"/>
      <w:lvlText w:val="%2."/>
      <w:numFmt w:val="lowerLetter"/>
      <w:start w:val="2"/>
    </w:lvl>
  </w:abstractNum>
  <w:abstractNum w:abstractNumId="98">
    <w:nsid w:val="415E286C"/>
    <w:multiLevelType w:val="hybridMultilevel"/>
    <w:lvl w:ilvl="0">
      <w:lvlJc w:val="left"/>
      <w:lvlText w:val="%1."/>
      <w:numFmt w:val="decimal"/>
      <w:start w:val="4"/>
    </w:lvl>
  </w:abstractNum>
  <w:abstractNum w:abstractNumId="99">
    <w:nsid w:val="7C58FD05"/>
    <w:multiLevelType w:val="hybridMultilevel"/>
    <w:lvl w:ilvl="0">
      <w:lvlJc w:val="left"/>
      <w:lvlText w:val="%1."/>
      <w:numFmt w:val="lowerLetter"/>
      <w:start w:val="1"/>
    </w:lvl>
  </w:abstractNum>
  <w:abstractNum w:abstractNumId="100">
    <w:nsid w:val="23D86AAC"/>
    <w:multiLevelType w:val="hybridMultilevel"/>
    <w:lvl w:ilvl="0">
      <w:lvlJc w:val="left"/>
      <w:lvlText w:val="%1."/>
      <w:numFmt w:val="lowerLetter"/>
      <w:start w:val="7"/>
    </w:lvl>
  </w:abstractNum>
  <w:abstractNum w:abstractNumId="101">
    <w:nsid w:val="45E6D486"/>
    <w:multiLevelType w:val="hybridMultilevel"/>
    <w:lvl w:ilvl="0">
      <w:lvlJc w:val="left"/>
      <w:lvlText w:val="%1."/>
      <w:numFmt w:val="lowerLetter"/>
      <w:start w:val="1"/>
    </w:lvl>
    <w:lvl w:ilvl="1">
      <w:lvlJc w:val="left"/>
      <w:lvlText w:val="(%2)"/>
      <w:numFmt w:val="lowerRoman"/>
      <w:start w:val="1"/>
    </w:lvl>
  </w:abstractNum>
  <w:abstractNum w:abstractNumId="102">
    <w:nsid w:val="5C10FE21"/>
    <w:multiLevelType w:val="hybridMultilevel"/>
    <w:lvl w:ilvl="0">
      <w:lvlJc w:val="left"/>
      <w:lvlText w:val="%1"/>
      <w:numFmt w:val="lowerLetter"/>
      <w:start w:val="1"/>
    </w:lvl>
    <w:lvl w:ilvl="1">
      <w:lvlJc w:val="left"/>
      <w:lvlText w:val="(%2)"/>
      <w:numFmt w:val="lowerRoman"/>
      <w:start w:val="4"/>
    </w:lvl>
  </w:abstractNum>
  <w:abstractNum w:abstractNumId="103">
    <w:nsid w:val="E7FFA2B"/>
    <w:multiLevelType w:val="hybridMultilevel"/>
    <w:lvl w:ilvl="0">
      <w:lvlJc w:val="left"/>
      <w:lvlText w:val="%1."/>
      <w:numFmt w:val="lowerLetter"/>
      <w:start w:val="3"/>
    </w:lvl>
    <w:lvl w:ilvl="1">
      <w:lvlJc w:val="left"/>
      <w:lvlText w:val="(%2)"/>
      <w:numFmt w:val="lowerRoman"/>
      <w:start w:val="1"/>
    </w:lvl>
  </w:abstractNum>
  <w:abstractNum w:abstractNumId="104">
    <w:nsid w:val="3C5991AA"/>
    <w:multiLevelType w:val="hybridMultilevel"/>
    <w:lvl w:ilvl="0">
      <w:lvlJc w:val="left"/>
      <w:lvlText w:val="%1."/>
      <w:numFmt w:val="decimal"/>
      <w:start w:val="6"/>
    </w:lvl>
  </w:abstractNum>
  <w:abstractNum w:abstractNumId="105">
    <w:nsid w:val="4BD8591A"/>
    <w:multiLevelType w:val="hybridMultilevel"/>
    <w:lvl w:ilvl="0">
      <w:lvlJc w:val="left"/>
      <w:lvlText w:val="%1."/>
      <w:numFmt w:val="lowerLetter"/>
      <w:start w:val="1"/>
    </w:lvl>
  </w:abstractNum>
  <w:abstractNum w:abstractNumId="106">
    <w:nsid w:val="78DF6A55"/>
    <w:multiLevelType w:val="hybridMultilevel"/>
    <w:lvl w:ilvl="0">
      <w:lvlJc w:val="left"/>
      <w:lvlText w:val="%1."/>
      <w:numFmt w:val="lowerLetter"/>
      <w:start w:val="6"/>
    </w:lvl>
  </w:abstractNum>
  <w:abstractNum w:abstractNumId="107">
    <w:nsid w:val="39B7AAA2"/>
    <w:multiLevelType w:val="hybridMultilevel"/>
    <w:lvl w:ilvl="0">
      <w:lvlJc w:val="left"/>
      <w:lvlText w:val="%1."/>
      <w:numFmt w:val="decimal"/>
      <w:start w:val="7"/>
    </w:lvl>
  </w:abstractNum>
  <w:abstractNum w:abstractNumId="108">
    <w:nsid w:val="2B0D8DBE"/>
    <w:multiLevelType w:val="hybridMultilevel"/>
    <w:lvl w:ilvl="0">
      <w:lvlJc w:val="left"/>
      <w:lvlText w:val="%1."/>
      <w:numFmt w:val="lowerLetter"/>
      <w:start w:val="1"/>
    </w:lvl>
  </w:abstractNum>
  <w:abstractNum w:abstractNumId="109">
    <w:nsid w:val="6C80EC70"/>
    <w:multiLevelType w:val="hybridMultilevel"/>
    <w:lvl w:ilvl="0">
      <w:lvlJc w:val="left"/>
      <w:lvlText w:val="%1."/>
      <w:numFmt w:val="decimal"/>
      <w:start w:val="8"/>
    </w:lvl>
  </w:abstractNum>
  <w:abstractNum w:abstractNumId="110">
    <w:nsid w:val="379E21B5"/>
    <w:multiLevelType w:val="hybridMultilevel"/>
    <w:lvl w:ilvl="0">
      <w:lvlJc w:val="left"/>
      <w:lvlText w:val="%1."/>
      <w:numFmt w:val="lowerLetter"/>
      <w:start w:val="1"/>
    </w:lvl>
  </w:abstractNum>
  <w:abstractNum w:abstractNumId="111">
    <w:nsid w:val="69E373"/>
    <w:multiLevelType w:val="hybridMultilevel"/>
    <w:lvl w:ilvl="0">
      <w:lvlJc w:val="left"/>
      <w:lvlText w:val="%1."/>
      <w:numFmt w:val="lowerLetter"/>
      <w:start w:val="4"/>
    </w:lvl>
  </w:abstractNum>
  <w:abstractNum w:abstractNumId="112">
    <w:nsid w:val="2C27173B"/>
    <w:multiLevelType w:val="hybridMultilevel"/>
    <w:lvl w:ilvl="0">
      <w:lvlJc w:val="left"/>
      <w:lvlText w:val="%1."/>
      <w:numFmt w:val="decimal"/>
      <w:start w:val="9"/>
    </w:lvl>
  </w:abstractNum>
  <w:abstractNum w:abstractNumId="113">
    <w:nsid w:val="4C9B0904"/>
    <w:multiLevelType w:val="hybridMultilevel"/>
    <w:lvl w:ilvl="0">
      <w:lvlJc w:val="left"/>
      <w:lvlText w:val="%1."/>
      <w:numFmt w:val="lowerLetter"/>
      <w:start w:val="1"/>
    </w:lvl>
  </w:abstractNum>
  <w:abstractNum w:abstractNumId="114">
    <w:nsid w:val="6AA7B75C"/>
    <w:multiLevelType w:val="hybridMultilevel"/>
    <w:lvl w:ilvl="0">
      <w:lvlJc w:val="left"/>
      <w:lvlText w:val="%1."/>
      <w:numFmt w:val="decimal"/>
      <w:start w:val="11"/>
    </w:lvl>
  </w:abstractNum>
  <w:abstractNum w:abstractNumId="115">
    <w:nsid w:val="1DF029D3"/>
    <w:multiLevelType w:val="hybridMultilevel"/>
    <w:lvl w:ilvl="0">
      <w:lvlJc w:val="left"/>
      <w:lvlText w:val="%1."/>
      <w:numFmt w:val="lowerLetter"/>
      <w:start w:val="1"/>
    </w:lvl>
  </w:abstractNum>
  <w:abstractNum w:abstractNumId="116">
    <w:nsid w:val="5675FF36"/>
    <w:multiLevelType w:val="hybridMultilevel"/>
    <w:lvl w:ilvl="0">
      <w:lvlJc w:val="left"/>
      <w:lvlText w:val="%1."/>
      <w:numFmt w:val="decimal"/>
      <w:start w:val="13"/>
    </w:lvl>
  </w:abstractNum>
  <w:abstractNum w:abstractNumId="117">
    <w:nsid w:val="3DD15094"/>
    <w:multiLevelType w:val="hybridMultilevel"/>
    <w:lvl w:ilvl="0">
      <w:lvlJc w:val="left"/>
      <w:lvlText w:val="%1."/>
      <w:numFmt w:val="decimal"/>
      <w:start w:val="16"/>
    </w:lvl>
  </w:abstractNum>
  <w:abstractNum w:abstractNumId="118">
    <w:nsid w:val="3DB012B3"/>
    <w:multiLevelType w:val="hybridMultilevel"/>
    <w:lvl w:ilvl="0">
      <w:lvlJc w:val="left"/>
      <w:lvlText w:val="%1."/>
      <w:numFmt w:val="lowerLetter"/>
      <w:start w:val="1"/>
    </w:lvl>
  </w:abstractNum>
  <w:abstractNum w:abstractNumId="119">
    <w:nsid w:val="2708C9AF"/>
    <w:multiLevelType w:val="hybridMultilevel"/>
    <w:lvl w:ilvl="0">
      <w:lvlJc w:val="left"/>
      <w:lvlText w:val="%1."/>
      <w:numFmt w:val="lowerLetter"/>
      <w:start w:val="4"/>
    </w:lvl>
  </w:abstractNum>
  <w:abstractNum w:abstractNumId="120">
    <w:nsid w:val="5B25ACE2"/>
    <w:multiLevelType w:val="hybridMultilevel"/>
    <w:lvl w:ilvl="0">
      <w:lvlJc w:val="left"/>
      <w:lvlText w:val="%1."/>
      <w:numFmt w:val="lowerLetter"/>
      <w:start w:val="1"/>
    </w:lvl>
  </w:abstractNum>
  <w:abstractNum w:abstractNumId="121">
    <w:nsid w:val="175DFCF0"/>
    <w:multiLevelType w:val="hybridMultilevel"/>
    <w:lvl w:ilvl="0">
      <w:lvlJc w:val="left"/>
      <w:lvlText w:val="%1."/>
      <w:numFmt w:val="lowerLetter"/>
      <w:start w:val="5"/>
    </w:lvl>
  </w:abstractNum>
  <w:abstractNum w:abstractNumId="122">
    <w:nsid w:val="4F97E3E4"/>
    <w:multiLevelType w:val="hybridMultilevel"/>
    <w:lvl w:ilvl="0">
      <w:lvlJc w:val="left"/>
      <w:lvlText w:val="%1."/>
      <w:numFmt w:val="decimal"/>
      <w:start w:val="19"/>
    </w:lvl>
  </w:abstractNum>
  <w:abstractNum w:abstractNumId="123">
    <w:nsid w:val="53B0A9E"/>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2026-04-21T07:05:13Z</dcterms:created>
  <dcterms:modified xsi:type="dcterms:W3CDTF">2026-04-21T07:05:13Z</dcterms:modified>
</cp:coreProperties>
</file>