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39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w:t>
      </w:r>
    </w:p>
    <w:p>
      <w:pPr>
        <w:spacing w:after="0" w:line="7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5"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w:t>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4" w:lineRule="exact"/>
        <w:rPr>
          <w:sz w:val="24"/>
          <w:szCs w:val="24"/>
          <w:color w:val="auto"/>
        </w:rPr>
      </w:pPr>
    </w:p>
    <w:p>
      <w:pPr>
        <w:ind w:left="480" w:right="240" w:hanging="454"/>
        <w:spacing w:after="0" w:line="262" w:lineRule="auto"/>
        <w:tabs>
          <w:tab w:leader="none" w:pos="480" w:val="left"/>
        </w:tabs>
        <w:numPr>
          <w:ilvl w:val="0"/>
          <w:numId w:val="1"/>
        </w:numPr>
        <w:rPr>
          <w:rFonts w:ascii="Wingdings" w:cs="Wingdings" w:eastAsia="Wingdings" w:hAnsi="Wingdings"/>
          <w:sz w:val="22"/>
          <w:szCs w:val="22"/>
          <w:b w:val="1"/>
          <w:bCs w:val="1"/>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7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480" w:right="220" w:hanging="454"/>
        <w:spacing w:after="0" w:line="275" w:lineRule="auto"/>
        <w:tabs>
          <w:tab w:leader="none" w:pos="480" w:val="left"/>
        </w:tabs>
        <w:numPr>
          <w:ilvl w:val="0"/>
          <w:numId w:val="2"/>
        </w:numPr>
        <w:rPr>
          <w:rFonts w:ascii="Wingdings" w:cs="Wingdings" w:eastAsia="Wingdings" w:hAnsi="Wingdings"/>
          <w:sz w:val="22"/>
          <w:szCs w:val="22"/>
          <w:b w:val="1"/>
          <w:bCs w:val="1"/>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4"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 to _______</w:t>
      </w:r>
    </w:p>
    <w:p>
      <w:pPr>
        <w:spacing w:after="0" w:line="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001-36708</w:t>
      </w:r>
    </w:p>
    <w:p>
      <w:pPr>
        <w:spacing w:after="0" w:line="30"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Uniti Group Inc.</w:t>
      </w:r>
    </w:p>
    <w:p>
      <w:pPr>
        <w:spacing w:after="0" w:line="7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6"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w:t>
      </w:r>
    </w:p>
    <w:p>
      <w:pPr>
        <w:sectPr>
          <w:pgSz w:w="11900" w:h="16838" w:orient="portrait"/>
          <w:cols w:equalWidth="0" w:num="1">
            <w:col w:w="11220"/>
          </w:cols>
          <w:pgMar w:left="320" w:top="229" w:right="359" w:bottom="1440" w:gutter="0" w:footer="0" w:header="0"/>
        </w:sectPr>
      </w:pPr>
    </w:p>
    <w:p>
      <w:pPr>
        <w:spacing w:after="0" w:line="28"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46-5230630</w:t>
      </w:r>
    </w:p>
    <w:p>
      <w:pPr>
        <w:spacing w:after="0" w:line="59" w:lineRule="exact"/>
        <w:rPr>
          <w:sz w:val="24"/>
          <w:szCs w:val="24"/>
          <w:color w:val="auto"/>
        </w:rPr>
      </w:pPr>
    </w:p>
    <w:p>
      <w:pPr>
        <w:sectPr>
          <w:pgSz w:w="11900" w:h="16838" w:orient="portrait"/>
          <w:cols w:equalWidth="0" w:num="2">
            <w:col w:w="7280" w:space="720"/>
            <w:col w:w="3220"/>
          </w:cols>
          <w:pgMar w:left="320" w:top="229" w:right="359"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29"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10" w:lineRule="exact"/>
        <w:rPr>
          <w:sz w:val="24"/>
          <w:szCs w:val="24"/>
          <w:color w:val="auto"/>
        </w:rPr>
      </w:pPr>
    </w:p>
    <w:p>
      <w:pPr>
        <w:sectPr>
          <w:pgSz w:w="11900" w:h="16838" w:orient="portrait"/>
          <w:cols w:equalWidth="0" w:num="2">
            <w:col w:w="7140" w:space="720"/>
            <w:col w:w="3360"/>
          </w:cols>
          <w:pgMar w:left="320" w:top="229" w:right="359" w:bottom="1440" w:gutter="0" w:footer="0" w:header="0"/>
          <w:type w:val="continuous"/>
        </w:sect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2101 Riverfront Drive, Suite A</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Little Rock, Arkansas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72202</w:t>
      </w:r>
    </w:p>
    <w:p>
      <w:pPr>
        <w:spacing w:after="0" w:line="46" w:lineRule="exact"/>
        <w:rPr>
          <w:sz w:val="24"/>
          <w:szCs w:val="24"/>
          <w:color w:val="auto"/>
        </w:rPr>
      </w:pPr>
    </w:p>
    <w:p>
      <w:pPr>
        <w:sectPr>
          <w:pgSz w:w="11900" w:h="16838" w:orient="portrait"/>
          <w:cols w:equalWidth="0" w:num="2">
            <w:col w:w="7480" w:space="720"/>
            <w:col w:w="3020"/>
          </w:cols>
          <w:pgMar w:left="320" w:top="229" w:right="359"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90" w:lineRule="exact"/>
        <w:rPr>
          <w:sz w:val="24"/>
          <w:szCs w:val="24"/>
          <w:color w:val="auto"/>
        </w:rPr>
      </w:pPr>
    </w:p>
    <w:p>
      <w:pPr>
        <w:sectPr>
          <w:pgSz w:w="11900" w:h="16838" w:orient="portrait"/>
          <w:cols w:equalWidth="0" w:num="2">
            <w:col w:w="7380" w:space="720"/>
            <w:col w:w="3120"/>
          </w:cols>
          <w:pgMar w:left="320" w:top="229" w:right="35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(501) 850-0820</w:t>
      </w:r>
    </w:p>
    <w:p>
      <w:pPr>
        <w:spacing w:after="0" w:line="29"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w:t>
      </w:r>
    </w:p>
    <w:p>
      <w:pPr>
        <w:spacing w:after="0" w:line="54"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ectPr>
          <w:pgSz w:w="11900" w:h="16838" w:orient="portrait"/>
          <w:cols w:equalWidth="0" w:num="1">
            <w:col w:w="11220"/>
          </w:cols>
          <w:pgMar w:left="320" w:top="229" w:right="359" w:bottom="1440" w:gutter="0" w:footer="0" w:header="0"/>
          <w:type w:val="continuous"/>
        </w:sectPr>
      </w:pPr>
    </w:p>
    <w:p>
      <w:pPr>
        <w:spacing w:after="0" w:line="75"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7"/>
          <w:szCs w:val="17"/>
          <w:color w:val="auto"/>
        </w:rPr>
        <w:t>Title of each class</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Trading Symbol(s)</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Name of each exchange on which registered</w:t>
      </w:r>
    </w:p>
    <w:p>
      <w:pPr>
        <w:spacing w:after="0" w:line="50" w:lineRule="exact"/>
        <w:rPr>
          <w:sz w:val="24"/>
          <w:szCs w:val="24"/>
          <w:color w:val="auto"/>
        </w:rPr>
      </w:pPr>
    </w:p>
    <w:p>
      <w:pPr>
        <w:sectPr>
          <w:pgSz w:w="11900" w:h="16838" w:orient="portrait"/>
          <w:cols w:equalWidth="0" w:num="3">
            <w:col w:w="4220" w:space="720"/>
            <w:col w:w="2100" w:space="720"/>
            <w:col w:w="3460"/>
          </w:cols>
          <w:pgMar w:left="320" w:top="229" w:right="35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UNIT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The NASDAQ Global Select Market</w:t>
      </w:r>
    </w:p>
    <w:p>
      <w:pPr>
        <w:spacing w:after="0" w:line="196" w:lineRule="exact"/>
        <w:rPr>
          <w:sz w:val="24"/>
          <w:szCs w:val="24"/>
          <w:color w:val="auto"/>
        </w:rPr>
      </w:pPr>
    </w:p>
    <w:p>
      <w:pPr>
        <w:sectPr>
          <w:pgSz w:w="11900" w:h="16838" w:orient="portrait"/>
          <w:cols w:equalWidth="0" w:num="3">
            <w:col w:w="4680" w:space="720"/>
            <w:col w:w="1920" w:space="720"/>
            <w:col w:w="3180"/>
          </w:cols>
          <w:pgMar w:left="320" w:top="229" w:right="359" w:bottom="1440" w:gutter="0" w:footer="0" w:header="0"/>
          <w:type w:val="continuous"/>
        </w:sect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7" w:lineRule="exact"/>
        <w:rPr>
          <w:sz w:val="24"/>
          <w:szCs w:val="24"/>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7" w:lineRule="exact"/>
        <w:rPr>
          <w:sz w:val="24"/>
          <w:szCs w:val="24"/>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60" w:type="dxa"/>
            <w:vAlign w:val="bottom"/>
          </w:tcPr>
          <w:p>
            <w:pPr>
              <w:ind w:left="560"/>
              <w:spacing w:after="0"/>
              <w:rPr>
                <w:sz w:val="20"/>
                <w:szCs w:val="20"/>
                <w:color w:val="auto"/>
              </w:rPr>
            </w:pPr>
            <w:r>
              <w:rPr>
                <w:rFonts w:ascii="Wingdings" w:cs="Wingdings" w:eastAsia="Wingdings" w:hAnsi="Wingdings"/>
                <w:sz w:val="18"/>
                <w:szCs w:val="18"/>
                <w:b w:val="1"/>
                <w:bCs w:val="1"/>
                <w:color w:val="auto"/>
              </w:rPr>
              <w:t>x</w:t>
            </w:r>
          </w:p>
        </w:tc>
        <w:tc>
          <w:tcPr>
            <w:tcW w:w="478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Accelerated filer</w:t>
            </w:r>
          </w:p>
        </w:tc>
        <w:tc>
          <w:tcPr>
            <w:tcW w:w="780" w:type="dxa"/>
            <w:vAlign w:val="bottom"/>
          </w:tcPr>
          <w:p>
            <w:pPr>
              <w:ind w:left="620"/>
              <w:spacing w:after="0"/>
              <w:rPr>
                <w:sz w:val="20"/>
                <w:szCs w:val="20"/>
                <w:color w:val="auto"/>
              </w:rPr>
            </w:pPr>
            <w:r>
              <w:rPr>
                <w:rFonts w:ascii="Wingdings" w:cs="Wingdings" w:eastAsia="Wingdings" w:hAnsi="Wingdings"/>
                <w:sz w:val="18"/>
                <w:szCs w:val="18"/>
                <w:b w:val="1"/>
                <w:bCs w:val="1"/>
                <w:color w:val="auto"/>
                <w:w w:val="86"/>
              </w:rPr>
              <w:t>o</w:t>
            </w:r>
          </w:p>
        </w:tc>
      </w:tr>
      <w:tr>
        <w:trPr>
          <w:trHeight w:val="310"/>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60" w:type="dxa"/>
            <w:vAlign w:val="bottom"/>
          </w:tcPr>
          <w:p>
            <w:pPr>
              <w:ind w:left="560"/>
              <w:spacing w:after="0"/>
              <w:rPr>
                <w:sz w:val="20"/>
                <w:szCs w:val="20"/>
                <w:color w:val="auto"/>
              </w:rPr>
            </w:pPr>
            <w:r>
              <w:rPr>
                <w:rFonts w:ascii="Wingdings" w:cs="Wingdings" w:eastAsia="Wingdings" w:hAnsi="Wingdings"/>
                <w:sz w:val="18"/>
                <w:szCs w:val="18"/>
                <w:b w:val="1"/>
                <w:bCs w:val="1"/>
                <w:color w:val="auto"/>
              </w:rPr>
              <w:t>o</w:t>
            </w:r>
          </w:p>
        </w:tc>
        <w:tc>
          <w:tcPr>
            <w:tcW w:w="478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80" w:type="dxa"/>
            <w:vAlign w:val="bottom"/>
          </w:tcPr>
          <w:p>
            <w:pPr>
              <w:ind w:left="620"/>
              <w:spacing w:after="0"/>
              <w:rPr>
                <w:sz w:val="20"/>
                <w:szCs w:val="20"/>
                <w:color w:val="auto"/>
              </w:rPr>
            </w:pPr>
            <w:r>
              <w:rPr>
                <w:rFonts w:ascii="Wingdings" w:cs="Wingdings" w:eastAsia="Wingdings" w:hAnsi="Wingdings"/>
                <w:sz w:val="18"/>
                <w:szCs w:val="18"/>
                <w:b w:val="1"/>
                <w:bCs w:val="1"/>
                <w:color w:val="auto"/>
                <w:w w:val="86"/>
              </w:rPr>
              <w:t>o</w:t>
            </w:r>
          </w:p>
        </w:tc>
      </w:tr>
      <w:tr>
        <w:trPr>
          <w:trHeight w:val="256"/>
        </w:trPr>
        <w:tc>
          <w:tcPr>
            <w:tcW w:w="220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478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Emerging growth company</w:t>
            </w:r>
          </w:p>
        </w:tc>
        <w:tc>
          <w:tcPr>
            <w:tcW w:w="780" w:type="dxa"/>
            <w:vAlign w:val="bottom"/>
          </w:tcPr>
          <w:p>
            <w:pPr>
              <w:ind w:left="620"/>
              <w:spacing w:after="0"/>
              <w:rPr>
                <w:sz w:val="20"/>
                <w:szCs w:val="20"/>
                <w:color w:val="auto"/>
              </w:rPr>
            </w:pPr>
            <w:r>
              <w:rPr>
                <w:rFonts w:ascii="Wingdings" w:cs="Wingdings" w:eastAsia="Wingdings" w:hAnsi="Wingdings"/>
                <w:sz w:val="18"/>
                <w:szCs w:val="18"/>
                <w:b w:val="1"/>
                <w:bCs w:val="1"/>
                <w:color w:val="auto"/>
                <w:w w:val="86"/>
              </w:rPr>
              <w:t>o</w:t>
            </w:r>
          </w:p>
        </w:tc>
      </w:tr>
    </w:tbl>
    <w:p>
      <w:pPr>
        <w:spacing w:after="0" w:line="157" w:lineRule="exact"/>
        <w:rPr>
          <w:sz w:val="24"/>
          <w:szCs w:val="24"/>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ind w:right="1540" w:firstLine="486"/>
        <w:spacing w:after="0" w:line="27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As of October 31, 2024, the registrant had 244,114,544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768350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This Quarterly Report on Form 10-Q contains unaudited information as of and for the three and nine months ended September 30, 2024, as well as restated unaudited information as of and for the three and nine months ended September 30, 2023. Detailed information can be found in Note 2 to our accompanying Condensed Consolidated Financial Statements contained in Part I, Item 1 "Financial Statements" of this Quarterly Report on Form 10-Q.</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43"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as defined under U.S. federal securities law. Forward-looking statements include all statements that are not historical statements of fact and those regarding our intent, belief or expectations, including, but not limited to, statements regarding: our expectations regarding the settlement we have entered into with Windstream Holdings, Inc. (together with Windstream Holdings II, LLC, its successor in interest, and its subsidiaries, “Windstream”); expectations regarding our potential Merger (as defined herein) with Windstream; the future prospects and financial health of Windstream; our expectations about our ability to maintain our status as a real estate investment trust (a “REIT”); our expectations regarding the refinancing of and interest expense on our new ABS Loan Facility (as defined below); our expectations regarding the effect of tax-related legislation on our tax position; our expectations related to our ability to satisfy the requirements necessary to access the remaining capacity under our ABS Loan Facility; our expectations regarding the future growth and demand of the telecommunication industry, future financing plans, business strategies, growth prospects, operating and financial performance, and our future liquidity needs and access to capital; our expectations regarding future deployment of fiber strand miles and small cell networks and recognition of revenue related thereto; our expectations regarding levels of capital expenditures; our expectations regarding the deductibility of goodwill for tax purposes; our expectations regarding reclassification of accumulated other comprehensive income (loss) related to derivatives to interest expense; our expectations regarding the amortization of intangible assets; and our expectations regarding the payment of dividends.</w:t>
      </w:r>
    </w:p>
    <w:p>
      <w:pPr>
        <w:spacing w:after="0" w:line="20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Words such as “anticipate(s),” “expect(s),” “intend(s),” “plan(s),” “believe(s),” “may,” “will,” “would,” “could,” “should,” “seek(s)”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 underlying the forward-looking statements are reasonable, we can give no assurance that our expectations will be attained. Factors which could have a material adverse effect on our operations and future prospects or which could cause actual results to differ materially from our expectations include, but are not limited to:</w:t>
      </w:r>
    </w:p>
    <w:p>
      <w:pPr>
        <w:spacing w:after="0" w:line="79"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Windstream’s ability to consummate our Merger with Windstream on the expected terms or according to the anticipated timeline;</w:t>
      </w:r>
    </w:p>
    <w:p>
      <w:pPr>
        <w:spacing w:after="0" w:line="117" w:lineRule="exact"/>
        <w:rPr>
          <w:rFonts w:ascii="Times New Roman" w:cs="Times New Roman" w:eastAsia="Times New Roman" w:hAnsi="Times New Roman"/>
          <w:sz w:val="18"/>
          <w:szCs w:val="18"/>
          <w:color w:val="auto"/>
        </w:rPr>
      </w:pPr>
    </w:p>
    <w:p>
      <w:pPr>
        <w:jc w:val="both"/>
        <w:ind w:left="1300" w:right="260" w:hanging="644"/>
        <w:spacing w:after="0" w:line="266"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Merger Agreement (as defined herein) may be modified or terminated prior to its expiration, that the conditions to our Merger with Windstream may not be satisfied or the occurrence of any event, change or other circumstances that could give rise to the termination of the Merger Agreement;</w:t>
      </w:r>
    </w:p>
    <w:p>
      <w:pPr>
        <w:spacing w:after="0" w:line="67"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announcement of our Merger with Windstream on relationships with our customers, suppliers, vendors, employees and other stakeholders and our operating results and the operating results of Windstream;</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time on issues related to our Merger with Windstream;</w:t>
      </w:r>
    </w:p>
    <w:p>
      <w:pPr>
        <w:spacing w:after="0" w:line="117" w:lineRule="exact"/>
        <w:rPr>
          <w:rFonts w:ascii="Times New Roman" w:cs="Times New Roman" w:eastAsia="Times New Roman" w:hAnsi="Times New Roman"/>
          <w:sz w:val="18"/>
          <w:szCs w:val="18"/>
          <w:color w:val="auto"/>
        </w:rPr>
      </w:pPr>
    </w:p>
    <w:p>
      <w:pPr>
        <w:ind w:left="1300" w:right="700" w:hanging="644"/>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fail to fully realize the potential benefits, expected synergies, efficiencies and cost savings from our Merger with Windstream within the expected time period (if at all);</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that may be instituted against us or Windstream following announcement of the Merger;</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prospects of our largest customer, Windstream;</w:t>
      </w:r>
    </w:p>
    <w:p>
      <w:pPr>
        <w:spacing w:after="0" w:line="117" w:lineRule="exact"/>
        <w:rPr>
          <w:rFonts w:ascii="Times New Roman" w:cs="Times New Roman" w:eastAsia="Times New Roman" w:hAnsi="Times New Roman"/>
          <w:sz w:val="18"/>
          <w:szCs w:val="18"/>
          <w:color w:val="auto"/>
        </w:rPr>
      </w:pPr>
    </w:p>
    <w:p>
      <w:pPr>
        <w:ind w:left="1300" w:right="400" w:hanging="644"/>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impacts of inflation and high interest rates on our employees, our business, the business of our customers and other business partners and the global financial markets;</w:t>
      </w:r>
    </w:p>
    <w:p>
      <w:pPr>
        <w:spacing w:after="0" w:line="53"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our customers to meet and/or perform their obligations under any contractual arrangements entered into with us, including master lease arrangements;</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our customers to renew their leases with us upon their expiration, our ability to reach agreement on the price of such renewal or ability to obtain a satisfactory renewal rent</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from an independent appraisal, and the ability to reposition our properties on the same or better terms in the event of nonrenewal or in the event we replace an existing tenant;</w:t>
      </w:r>
    </w:p>
    <w:p>
      <w:pPr>
        <w:spacing w:after="0" w:line="54" w:lineRule="exact"/>
        <w:rPr>
          <w:sz w:val="20"/>
          <w:szCs w:val="20"/>
          <w:color w:val="auto"/>
        </w:rPr>
      </w:pPr>
    </w:p>
    <w:p>
      <w:pPr>
        <w:ind w:left="1300" w:right="740" w:hanging="644"/>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ability to identify suitable acquisition opportunities and our ability to acquire and lease the respective properties on favorable terms or operate and integrate the acquired businesses;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cash flows to service our outstanding indebtedness and fund our capital funding commitments;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debt and equity capital markets;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or the business of our customers as a result of credit rating downgrades and fluctuating interest rates;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key management personnel;</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status as a REIT;</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U.S. tax law and other federal, state or local laws, whether or not specific to REITs;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in our debt agreements that may limit our operational flexibility;</w:t>
      </w:r>
    </w:p>
    <w:p>
      <w:pPr>
        <w:spacing w:after="0" w:line="117"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experience equipment failures, natural disasters, cyber-attacks or terrorist attacks for which our insurance may not provide adequate coverage;</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fail to fully realize the potential benefits of or have difficulty in integrating the companies we acquire;</w:t>
      </w:r>
    </w:p>
    <w:p>
      <w:pPr>
        <w:spacing w:after="0" w:line="117" w:lineRule="exact"/>
        <w:rPr>
          <w:rFonts w:ascii="Times New Roman" w:cs="Times New Roman" w:eastAsia="Times New Roman" w:hAnsi="Times New Roman"/>
          <w:sz w:val="18"/>
          <w:szCs w:val="18"/>
          <w:color w:val="auto"/>
        </w:rPr>
      </w:pPr>
    </w:p>
    <w:p>
      <w:pPr>
        <w:ind w:left="1300" w:right="300" w:hanging="644"/>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inherent in the communications industry and in the ownership of communications distribution systems, including potential liability relating to environmental matters and illiquidity of real estate investments; and</w:t>
      </w:r>
    </w:p>
    <w:p>
      <w:pPr>
        <w:spacing w:after="0" w:line="53" w:lineRule="exact"/>
        <w:rPr>
          <w:rFonts w:ascii="Times New Roman" w:cs="Times New Roman" w:eastAsia="Times New Roman" w:hAnsi="Times New Roman"/>
          <w:sz w:val="18"/>
          <w:szCs w:val="18"/>
          <w:color w:val="auto"/>
        </w:rPr>
      </w:pPr>
    </w:p>
    <w:p>
      <w:pPr>
        <w:ind w:left="1300" w:right="40" w:hanging="644"/>
        <w:spacing w:after="0" w:line="255"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factors discussed in Part I, Item 2 “Management’s Discussion and Analysis of Financial Condition and Results of Operations” and Part II, Item 1A “Risk Factors” of this Quarterly Report on Form 10-Q, in Part II, Item 1A "Risk Factors" of our Quarterly Report on Form 10-Q for the quarters ended March 31, 2024 and June 30, 2024 filed with the U.S. Securities and Exchange Commission (the "SEC") on May 3, 2024, and on August 1, 2024, respectively, and in Part I, Item 1A "Risk Factors" of our Annual Report on Form 10-K filed with the SEC on February 29, 2024, as amended by Amendment No. 1 and Amendment No. 2 thereto filed on Form 10-K/A with the SEC on March 26, 2024, and March 27, 2024, respectively, as well as those described from time to time in our future reports filed with the SEC.</w:t>
      </w:r>
    </w:p>
    <w:p>
      <w:pPr>
        <w:spacing w:after="0" w:line="18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Forward-looking statements speak only as of the date of this Quarterly Report on Form 10-Q. Except in the normal course of our public disclosure obligations, we expressly disclaim any obligation to release publicly any updates or revisions to any forward-looking statements to reflect any change in our expectations or any change in events, conditions or circumstances on which any such statement is based.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40" w:type="dxa"/>
            <w:vAlign w:val="bottom"/>
            <w:gridSpan w:val="11"/>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w w:val="99"/>
              </w:rPr>
              <w:t>Uniti Group Inc.</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40" w:type="dxa"/>
            <w:vAlign w:val="bottom"/>
            <w:gridSpan w:val="11"/>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5"/>
        </w:trPr>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2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840" w:type="dxa"/>
            <w:vAlign w:val="bottom"/>
            <w:gridSpan w:val="35"/>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360" w:type="dxa"/>
            <w:vAlign w:val="bottom"/>
            <w:gridSpan w:val="2"/>
            <w:vMerge w:val="continue"/>
          </w:tcPr>
          <w:p>
            <w:pPr>
              <w:spacing w:after="0"/>
              <w:rPr>
                <w:sz w:val="15"/>
                <w:szCs w:val="15"/>
                <w:color w:val="auto"/>
              </w:rPr>
            </w:pPr>
          </w:p>
        </w:tc>
        <w:tc>
          <w:tcPr>
            <w:tcW w:w="8840" w:type="dxa"/>
            <w:vAlign w:val="bottom"/>
            <w:gridSpan w:val="35"/>
            <w:vMerge w:val="continue"/>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420" w:type="dxa"/>
            <w:vAlign w:val="bottom"/>
            <w:gridSpan w:val="18"/>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7"/>
        </w:trPr>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40" w:type="dxa"/>
            <w:vAlign w:val="bottom"/>
            <w:gridSpan w:val="35"/>
          </w:tcPr>
          <w:p>
            <w:pPr>
              <w:spacing w:after="0"/>
              <w:rPr>
                <w:sz w:val="20"/>
                <w:szCs w:val="20"/>
                <w:color w:val="auto"/>
              </w:rPr>
            </w:pPr>
            <w:r>
              <w:rPr>
                <w:rFonts w:ascii="Times New Roman" w:cs="Times New Roman" w:eastAsia="Times New Roman" w:hAnsi="Times New Roman"/>
                <w:sz w:val="18"/>
                <w:szCs w:val="18"/>
                <w:b w:val="1"/>
                <w:bCs w:val="1"/>
                <w:color w:val="auto"/>
              </w:rPr>
              <w:t>Uniti Group Inc.</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4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80" w:type="dxa"/>
            <w:vAlign w:val="bottom"/>
            <w:tcBorders>
              <w:top w:val="single" w:sz="8" w:color="0000FF"/>
            </w:tcBorders>
            <w:gridSpan w:val="32"/>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Deficit</w:t>
            </w:r>
          </w:p>
        </w:tc>
        <w:tc>
          <w:tcPr>
            <w:tcW w:w="3760" w:type="dxa"/>
            <w:vAlign w:val="bottom"/>
            <w:gridSpan w:val="3"/>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700" w:type="dxa"/>
            <w:vAlign w:val="bottom"/>
            <w:tcBorders>
              <w:top w:val="single" w:sz="8" w:color="0000FF"/>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Cash Flows</w:t>
            </w:r>
          </w:p>
        </w:tc>
        <w:tc>
          <w:tcPr>
            <w:tcW w:w="700" w:type="dxa"/>
            <w:vAlign w:val="bottom"/>
            <w:tcBorders>
              <w:top w:val="single" w:sz="8" w:color="0000FF"/>
            </w:tcBorders>
            <w:gridSpan w:val="6"/>
          </w:tcPr>
          <w:p>
            <w:pPr>
              <w:spacing w:after="0"/>
              <w:rPr>
                <w:sz w:val="20"/>
                <w:szCs w:val="20"/>
                <w:color w:val="auto"/>
              </w:rPr>
            </w:pPr>
          </w:p>
        </w:tc>
        <w:tc>
          <w:tcPr>
            <w:tcW w:w="4440" w:type="dxa"/>
            <w:vAlign w:val="bottom"/>
            <w:gridSpan w:val="4"/>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4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6"/>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3760" w:type="dxa"/>
            <w:vAlign w:val="bottom"/>
            <w:tcBorders>
              <w:top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rPr>
              <w:t>1.Organization and Description of Business</w:t>
            </w:r>
          </w:p>
        </w:tc>
        <w:tc>
          <w:tcPr>
            <w:tcW w:w="4860" w:type="dxa"/>
            <w:vAlign w:val="bottom"/>
            <w:gridSpan w:val="8"/>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8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9"/>
              </w:rPr>
              <w:t>2.</w:t>
            </w:r>
            <w:r>
              <w:rPr>
                <w:rFonts w:ascii="Times New Roman" w:cs="Times New Roman" w:eastAsia="Times New Roman" w:hAnsi="Times New Roman"/>
                <w:sz w:val="18"/>
                <w:szCs w:val="18"/>
                <w:u w:val="single" w:color="auto"/>
                <w:color w:val="0000FF"/>
                <w:w w:val="99"/>
              </w:rPr>
              <w:t>Restatement</w:t>
            </w:r>
            <w:r>
              <w:rPr>
                <w:rFonts w:ascii="Times New Roman" w:cs="Times New Roman" w:eastAsia="Times New Roman" w:hAnsi="Times New Roman"/>
                <w:sz w:val="18"/>
                <w:szCs w:val="18"/>
                <w:color w:val="0000FF"/>
                <w:w w:val="99"/>
              </w:rPr>
              <w:t xml:space="preserve"> of Previously Issued Financial Statements</w:t>
            </w:r>
          </w:p>
        </w:tc>
        <w:tc>
          <w:tcPr>
            <w:tcW w:w="4540" w:type="dxa"/>
            <w:vAlign w:val="bottom"/>
            <w:gridSpan w:val="7"/>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6"/>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2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3.Basis of Presentation and Summary of Significant Accounting Policies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2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4.Revenues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2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5.Leases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2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6.Fair Value of Financial Instruments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2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7.Property, Plant and Equipment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2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8.Derivative Instruments and Hedging Activities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2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9.Goodwill and Intangible Assets and Liabilities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2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10.Notes and Other Debt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2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11.Earnings Per Share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2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12.Segment Information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2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13.Commitments and Contingencies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2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14.Accumulated Other Comprehensive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2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15.Capital Stock</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34"/>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5"/>
          </w:tcPr>
          <w:p>
            <w:pPr>
              <w:ind w:left="160"/>
              <w:spacing w:after="0"/>
              <w:rPr>
                <w:sz w:val="20"/>
                <w:szCs w:val="20"/>
                <w:color w:val="auto"/>
              </w:rPr>
            </w:pPr>
            <w:r>
              <w:rPr>
                <w:rFonts w:ascii="Times New Roman" w:cs="Times New Roman" w:eastAsia="Times New Roman" w:hAnsi="Times New Roman"/>
                <w:sz w:val="18"/>
                <w:szCs w:val="18"/>
                <w:color w:val="0000FF"/>
              </w:rPr>
              <w:t>1.Overview</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5"/>
          </w:tcPr>
          <w:p>
            <w:pPr>
              <w:ind w:left="160"/>
              <w:spacing w:after="0"/>
              <w:rPr>
                <w:sz w:val="20"/>
                <w:szCs w:val="20"/>
                <w:color w:val="auto"/>
              </w:rPr>
            </w:pPr>
            <w:r>
              <w:rPr>
                <w:rFonts w:ascii="Times New Roman" w:cs="Times New Roman" w:eastAsia="Times New Roman" w:hAnsi="Times New Roman"/>
                <w:sz w:val="18"/>
                <w:szCs w:val="18"/>
                <w:color w:val="0000FF"/>
              </w:rPr>
              <w:t>2.Results of Operations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5"/>
          </w:tcPr>
          <w:p>
            <w:pPr>
              <w:ind w:left="160"/>
              <w:spacing w:after="0"/>
              <w:rPr>
                <w:sz w:val="20"/>
                <w:szCs w:val="20"/>
                <w:color w:val="auto"/>
              </w:rPr>
            </w:pPr>
            <w:r>
              <w:rPr>
                <w:rFonts w:ascii="Times New Roman" w:cs="Times New Roman" w:eastAsia="Times New Roman" w:hAnsi="Times New Roman"/>
                <w:sz w:val="18"/>
                <w:szCs w:val="18"/>
                <w:color w:val="0000FF"/>
              </w:rPr>
              <w:t>3.Non-GAAP Financial Measures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5"/>
          </w:tcPr>
          <w:p>
            <w:pPr>
              <w:ind w:left="160"/>
              <w:spacing w:after="0"/>
              <w:rPr>
                <w:sz w:val="20"/>
                <w:szCs w:val="20"/>
                <w:color w:val="auto"/>
              </w:rPr>
            </w:pPr>
            <w:r>
              <w:rPr>
                <w:rFonts w:ascii="Times New Roman" w:cs="Times New Roman" w:eastAsia="Times New Roman" w:hAnsi="Times New Roman"/>
                <w:sz w:val="18"/>
                <w:szCs w:val="18"/>
                <w:color w:val="0000FF"/>
              </w:rPr>
              <w:t>4.Liquidity and Capital Resources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17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480" w:type="dxa"/>
            <w:vAlign w:val="bottom"/>
            <w:gridSpan w:val="5"/>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6"/>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84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gridSpan w:val="6"/>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60" w:type="dxa"/>
            <w:vAlign w:val="bottom"/>
            <w:gridSpan w:val="13"/>
          </w:tcPr>
          <w:p>
            <w:pPr>
              <w:spacing w:after="0" w:line="20" w:lineRule="exact"/>
              <w:rPr>
                <w:sz w:val="1"/>
                <w:szCs w:val="1"/>
                <w:color w:val="auto"/>
              </w:rPr>
            </w:pPr>
          </w:p>
        </w:tc>
        <w:tc>
          <w:tcPr>
            <w:tcW w:w="450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b w:val="1"/>
                <w:bCs w:val="1"/>
                <w:color w:val="0000FF"/>
                <w:w w:val="95"/>
              </w:rPr>
              <w:t>OTHER INFORMATION</w:t>
            </w:r>
          </w:p>
        </w:tc>
        <w:tc>
          <w:tcPr>
            <w:tcW w:w="6860" w:type="dxa"/>
            <w:vAlign w:val="bottom"/>
            <w:gridSpan w:val="20"/>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84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7"/>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520" w:type="dxa"/>
            <w:vAlign w:val="bottom"/>
            <w:gridSpan w:val="24"/>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gridSpan w:val="6"/>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1960" w:type="dxa"/>
            <w:vAlign w:val="bottom"/>
            <w:gridSpan w:val="13"/>
          </w:tcPr>
          <w:p>
            <w:pPr>
              <w:spacing w:after="0" w:line="20" w:lineRule="exact"/>
              <w:rPr>
                <w:sz w:val="1"/>
                <w:szCs w:val="1"/>
                <w:color w:val="auto"/>
              </w:rPr>
            </w:pPr>
          </w:p>
        </w:tc>
        <w:tc>
          <w:tcPr>
            <w:tcW w:w="450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84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7"/>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8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960" w:type="dxa"/>
            <w:vAlign w:val="bottom"/>
            <w:tcBorders>
              <w:top w:val="single" w:sz="8" w:color="0000FF"/>
            </w:tcBorders>
            <w:gridSpan w:val="13"/>
          </w:tcPr>
          <w:p>
            <w:pPr>
              <w:spacing w:after="0"/>
              <w:rPr>
                <w:sz w:val="20"/>
                <w:szCs w:val="20"/>
                <w:color w:val="auto"/>
              </w:rPr>
            </w:pPr>
          </w:p>
        </w:tc>
        <w:tc>
          <w:tcPr>
            <w:tcW w:w="4500" w:type="dxa"/>
            <w:vAlign w:val="bottom"/>
            <w:gridSpan w:val="6"/>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6"/>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84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6"/>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080" w:type="dxa"/>
            <w:vAlign w:val="bottom"/>
            <w:gridSpan w:val="22"/>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7"/>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Exhibits</w:t>
            </w:r>
          </w:p>
        </w:tc>
        <w:tc>
          <w:tcPr>
            <w:tcW w:w="7540" w:type="dxa"/>
            <w:vAlign w:val="bottom"/>
            <w:gridSpan w:val="25"/>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399"/>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right"/>
        <w:ind w:right="293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 except par value)</w:t>
            </w:r>
          </w:p>
        </w:tc>
        <w:tc>
          <w:tcPr>
            <w:tcW w:w="18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8"/>
                <w:szCs w:val="18"/>
                <w:color w:val="auto"/>
              </w:rPr>
            </w:pPr>
          </w:p>
        </w:tc>
        <w:tc>
          <w:tcPr>
            <w:tcW w:w="152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4,156,542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3,982,069</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34,077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62,264</w:t>
            </w:r>
          </w:p>
        </w:tc>
        <w:tc>
          <w:tcPr>
            <w:tcW w:w="0" w:type="dxa"/>
            <w:vAlign w:val="bottom"/>
          </w:tcPr>
          <w:p>
            <w:pPr>
              <w:spacing w:after="0"/>
              <w:rPr>
                <w:sz w:val="1"/>
                <w:szCs w:val="1"/>
                <w:color w:val="auto"/>
              </w:rPr>
            </w:pPr>
          </w:p>
        </w:tc>
      </w:tr>
      <w:tr>
        <w:trPr>
          <w:trHeight w:val="210"/>
        </w:trPr>
        <w:tc>
          <w:tcPr>
            <w:tcW w:w="7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Restricted cash and cash equivalents</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51,604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46,358</w:t>
            </w:r>
          </w:p>
        </w:tc>
        <w:tc>
          <w:tcPr>
            <w:tcW w:w="0" w:type="dxa"/>
            <w:vAlign w:val="bottom"/>
          </w:tcPr>
          <w:p>
            <w:pPr>
              <w:spacing w:after="0"/>
              <w:rPr>
                <w:sz w:val="1"/>
                <w:szCs w:val="1"/>
                <w:color w:val="auto"/>
              </w:rPr>
            </w:pPr>
          </w:p>
        </w:tc>
      </w:tr>
      <w:tr>
        <w:trPr>
          <w:trHeight w:val="210"/>
        </w:trPr>
        <w:tc>
          <w:tcPr>
            <w:tcW w:w="7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157,380</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282,839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305,115</w:t>
            </w:r>
          </w:p>
        </w:tc>
        <w:tc>
          <w:tcPr>
            <w:tcW w:w="0" w:type="dxa"/>
            <w:vAlign w:val="bottom"/>
          </w:tcPr>
          <w:p>
            <w:pPr>
              <w:spacing w:after="0"/>
              <w:rPr>
                <w:sz w:val="1"/>
                <w:szCs w:val="1"/>
                <w:color w:val="auto"/>
              </w:rPr>
            </w:pPr>
          </w:p>
        </w:tc>
      </w:tr>
      <w:tr>
        <w:trPr>
          <w:trHeight w:val="210"/>
        </w:trPr>
        <w:tc>
          <w:tcPr>
            <w:tcW w:w="7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Straight-line revenue receivable</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90,988</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126,791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125,105</w:t>
            </w:r>
          </w:p>
        </w:tc>
        <w:tc>
          <w:tcPr>
            <w:tcW w:w="0" w:type="dxa"/>
            <w:vAlign w:val="bottom"/>
          </w:tcPr>
          <w:p>
            <w:pPr>
              <w:spacing w:after="0"/>
              <w:rPr>
                <w:sz w:val="1"/>
                <w:szCs w:val="1"/>
                <w:color w:val="auto"/>
              </w:rPr>
            </w:pPr>
          </w:p>
        </w:tc>
      </w:tr>
      <w:tr>
        <w:trPr>
          <w:trHeight w:val="210"/>
        </w:trPr>
        <w:tc>
          <w:tcPr>
            <w:tcW w:w="7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Derivative asset</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39,996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118,117</w:t>
            </w:r>
          </w:p>
        </w:tc>
        <w:tc>
          <w:tcPr>
            <w:tcW w:w="0" w:type="dxa"/>
            <w:vAlign w:val="bottom"/>
          </w:tcPr>
          <w:p>
            <w:pPr>
              <w:spacing w:after="0"/>
              <w:rPr>
                <w:sz w:val="1"/>
                <w:szCs w:val="1"/>
                <w:color w:val="auto"/>
              </w:rPr>
            </w:pPr>
          </w:p>
        </w:tc>
      </w:tr>
      <w:tr>
        <w:trPr>
          <w:trHeight w:val="210"/>
        </w:trPr>
        <w:tc>
          <w:tcPr>
            <w:tcW w:w="7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Deferred income tax assets, net</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109,128</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Assets held for sale</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28,605</w:t>
            </w:r>
          </w:p>
        </w:tc>
        <w:tc>
          <w:tcPr>
            <w:tcW w:w="0" w:type="dxa"/>
            <w:vAlign w:val="bottom"/>
          </w:tcPr>
          <w:p>
            <w:pPr>
              <w:spacing w:after="0"/>
              <w:rPr>
                <w:sz w:val="1"/>
                <w:szCs w:val="1"/>
                <w:color w:val="auto"/>
              </w:rPr>
            </w:pPr>
          </w:p>
        </w:tc>
      </w:tr>
      <w:tr>
        <w:trPr>
          <w:trHeight w:val="204"/>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5,098,671</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5,025,129</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40" w:type="dxa"/>
            <w:vAlign w:val="bottom"/>
            <w:tcBorders>
              <w:bottom w:val="single" w:sz="8" w:color="CCEEFF"/>
            </w:tcBorders>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Liabilities and Shareholders' Deficit:</w:t>
            </w: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95,844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119,340</w:t>
            </w:r>
          </w:p>
        </w:tc>
        <w:tc>
          <w:tcPr>
            <w:tcW w:w="0" w:type="dxa"/>
            <w:vAlign w:val="bottom"/>
          </w:tcPr>
          <w:p>
            <w:pPr>
              <w:spacing w:after="0"/>
              <w:rPr>
                <w:sz w:val="1"/>
                <w:szCs w:val="1"/>
                <w:color w:val="auto"/>
              </w:rPr>
            </w:pPr>
          </w:p>
        </w:tc>
      </w:tr>
      <w:tr>
        <w:trPr>
          <w:trHeight w:val="210"/>
        </w:trPr>
        <w:tc>
          <w:tcPr>
            <w:tcW w:w="7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Settlement payable (Note 13)</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163,583</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Intangible liabilities, net</w:t>
            </w: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148,377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156,397</w:t>
            </w:r>
          </w:p>
        </w:tc>
        <w:tc>
          <w:tcPr>
            <w:tcW w:w="0" w:type="dxa"/>
            <w:vAlign w:val="bottom"/>
          </w:tcPr>
          <w:p>
            <w:pPr>
              <w:spacing w:after="0"/>
              <w:rPr>
                <w:sz w:val="1"/>
                <w:szCs w:val="1"/>
                <w:color w:val="auto"/>
              </w:rPr>
            </w:pPr>
          </w:p>
        </w:tc>
      </w:tr>
      <w:tr>
        <w:trPr>
          <w:trHeight w:val="210"/>
        </w:trPr>
        <w:tc>
          <w:tcPr>
            <w:tcW w:w="7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Accrued interest payable</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133,683</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1,299,759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1,273,661</w:t>
            </w:r>
          </w:p>
        </w:tc>
        <w:tc>
          <w:tcPr>
            <w:tcW w:w="0" w:type="dxa"/>
            <w:vAlign w:val="bottom"/>
          </w:tcPr>
          <w:p>
            <w:pPr>
              <w:spacing w:after="0"/>
              <w:rPr>
                <w:sz w:val="1"/>
                <w:szCs w:val="1"/>
                <w:color w:val="auto"/>
              </w:rPr>
            </w:pPr>
          </w:p>
        </w:tc>
      </w:tr>
      <w:tr>
        <w:trPr>
          <w:trHeight w:val="210"/>
        </w:trPr>
        <w:tc>
          <w:tcPr>
            <w:tcW w:w="7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Dividends payable</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36,162</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78,785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84,404</w:t>
            </w:r>
          </w:p>
        </w:tc>
        <w:tc>
          <w:tcPr>
            <w:tcW w:w="0" w:type="dxa"/>
            <w:vAlign w:val="bottom"/>
          </w:tcPr>
          <w:p>
            <w:pPr>
              <w:spacing w:after="0"/>
              <w:rPr>
                <w:sz w:val="1"/>
                <w:szCs w:val="1"/>
                <w:color w:val="auto"/>
              </w:rPr>
            </w:pPr>
          </w:p>
        </w:tc>
      </w:tr>
      <w:tr>
        <w:trPr>
          <w:trHeight w:val="210"/>
        </w:trPr>
        <w:tc>
          <w:tcPr>
            <w:tcW w:w="7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Finance lease obligations</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18,110</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Notes and other debt, net</w:t>
            </w: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5,782,633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5,523,579</w:t>
            </w:r>
          </w:p>
        </w:tc>
        <w:tc>
          <w:tcPr>
            <w:tcW w:w="0" w:type="dxa"/>
            <w:vAlign w:val="bottom"/>
          </w:tcPr>
          <w:p>
            <w:pPr>
              <w:spacing w:after="0"/>
              <w:rPr>
                <w:sz w:val="1"/>
                <w:szCs w:val="1"/>
                <w:color w:val="auto"/>
              </w:rPr>
            </w:pPr>
          </w:p>
        </w:tc>
      </w:tr>
      <w:tr>
        <w:trPr>
          <w:trHeight w:val="210"/>
        </w:trPr>
        <w:tc>
          <w:tcPr>
            <w:tcW w:w="7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Liabilities held for sale</w:t>
            </w:r>
          </w:p>
        </w:tc>
        <w:tc>
          <w:tcPr>
            <w:tcW w:w="18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0" w:type="dxa"/>
            <w:vAlign w:val="bottom"/>
          </w:tcPr>
          <w:p>
            <w:pPr>
              <w:spacing w:after="0"/>
              <w:rPr>
                <w:sz w:val="1"/>
                <w:szCs w:val="1"/>
                <w:color w:val="auto"/>
              </w:rPr>
            </w:pPr>
          </w:p>
        </w:tc>
      </w:tr>
      <w:tr>
        <w:trPr>
          <w:trHeight w:val="33"/>
        </w:trPr>
        <w:tc>
          <w:tcPr>
            <w:tcW w:w="7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74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7,574,978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7,509,250</w:t>
            </w:r>
          </w:p>
        </w:tc>
        <w:tc>
          <w:tcPr>
            <w:tcW w:w="0" w:type="dxa"/>
            <w:vAlign w:val="bottom"/>
          </w:tcPr>
          <w:p>
            <w:pPr>
              <w:spacing w:after="0"/>
              <w:rPr>
                <w:sz w:val="1"/>
                <w:szCs w:val="1"/>
                <w:color w:val="auto"/>
              </w:rPr>
            </w:pPr>
          </w:p>
        </w:tc>
      </w:tr>
      <w:tr>
        <w:trPr>
          <w:trHeight w:val="142"/>
        </w:trPr>
        <w:tc>
          <w:tcPr>
            <w:tcW w:w="7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13)</w:t>
            </w: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7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Deficit:</w:t>
            </w: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Preferred stock, $0.0001 par value, 50,000 shares authorized; no shares issued and outstanding</w:t>
            </w:r>
          </w:p>
        </w:tc>
        <w:tc>
          <w:tcPr>
            <w:tcW w:w="18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stock, $0.0001 par value, 500,000 shares authorized; issued and outstanding: 237,488 shares at</w:t>
            </w:r>
          </w:p>
        </w:tc>
        <w:tc>
          <w:tcPr>
            <w:tcW w:w="180" w:type="dxa"/>
            <w:vAlign w:val="bottom"/>
            <w:shd w:val="clear" w:color="auto" w:fill="CCEEFF"/>
          </w:tcPr>
          <w:p>
            <w:pPr>
              <w:spacing w:after="0"/>
              <w:rPr>
                <w:sz w:val="16"/>
                <w:szCs w:val="16"/>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September 30, 2024 and 236,559 at December 31, 2023</w:t>
            </w:r>
          </w:p>
        </w:tc>
        <w:tc>
          <w:tcPr>
            <w:tcW w:w="18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1,232,228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1,221,824</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Distributions in excess of accumulated earnings</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(3,708,705)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(3,708,240)</w:t>
            </w:r>
          </w:p>
        </w:tc>
        <w:tc>
          <w:tcPr>
            <w:tcW w:w="0" w:type="dxa"/>
            <w:vAlign w:val="bottom"/>
          </w:tcPr>
          <w:p>
            <w:pPr>
              <w:spacing w:after="0"/>
              <w:rPr>
                <w:sz w:val="1"/>
                <w:szCs w:val="1"/>
                <w:color w:val="auto"/>
              </w:rPr>
            </w:pPr>
          </w:p>
        </w:tc>
      </w:tr>
      <w:tr>
        <w:trPr>
          <w:trHeight w:val="33"/>
        </w:trPr>
        <w:tc>
          <w:tcPr>
            <w:tcW w:w="7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Uniti shareholders' deficit</w:t>
            </w: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(2,477,273)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(2,486,392)</w:t>
            </w:r>
          </w:p>
        </w:tc>
        <w:tc>
          <w:tcPr>
            <w:tcW w:w="0" w:type="dxa"/>
            <w:vAlign w:val="bottom"/>
          </w:tcPr>
          <w:p>
            <w:pPr>
              <w:spacing w:after="0"/>
              <w:rPr>
                <w:sz w:val="1"/>
                <w:szCs w:val="1"/>
                <w:color w:val="auto"/>
              </w:rPr>
            </w:pPr>
          </w:p>
        </w:tc>
      </w:tr>
      <w:tr>
        <w:trPr>
          <w:trHeight w:val="210"/>
        </w:trPr>
        <w:tc>
          <w:tcPr>
            <w:tcW w:w="7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partnership units</w:t>
            </w: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0" w:type="dxa"/>
            <w:vAlign w:val="bottom"/>
          </w:tcPr>
          <w:p>
            <w:pPr>
              <w:spacing w:after="0"/>
              <w:rPr>
                <w:sz w:val="1"/>
                <w:szCs w:val="1"/>
                <w:color w:val="auto"/>
              </w:rPr>
            </w:pPr>
          </w:p>
        </w:tc>
      </w:tr>
      <w:tr>
        <w:trPr>
          <w:trHeight w:val="189"/>
        </w:trPr>
        <w:tc>
          <w:tcPr>
            <w:tcW w:w="77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Cumulative non-voting convertible preferred stock, $0.01 par value, 6 shares authorized, 3 issued and</w:t>
            </w:r>
          </w:p>
        </w:tc>
        <w:tc>
          <w:tcPr>
            <w:tcW w:w="180" w:type="dxa"/>
            <w:vAlign w:val="bottom"/>
          </w:tcPr>
          <w:p>
            <w:pPr>
              <w:spacing w:after="0"/>
              <w:rPr>
                <w:sz w:val="16"/>
                <w:szCs w:val="16"/>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23"/>
        </w:trPr>
        <w:tc>
          <w:tcPr>
            <w:tcW w:w="77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6"/>
                <w:szCs w:val="16"/>
                <w:color w:val="auto"/>
              </w:rPr>
              <w:t>outstanding</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4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shareholders' deficit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(2,476,307)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(2,484,121)</w:t>
            </w:r>
          </w:p>
        </w:tc>
        <w:tc>
          <w:tcPr>
            <w:tcW w:w="0" w:type="dxa"/>
            <w:vAlign w:val="bottom"/>
          </w:tcPr>
          <w:p>
            <w:pPr>
              <w:spacing w:after="0"/>
              <w:rPr>
                <w:sz w:val="1"/>
                <w:szCs w:val="1"/>
                <w:color w:val="auto"/>
              </w:rPr>
            </w:pPr>
          </w:p>
        </w:tc>
      </w:tr>
      <w:tr>
        <w:trPr>
          <w:trHeight w:val="204"/>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Deficit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5,098,671</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5,025,129</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2500" w:type="dxa"/>
            <w:vAlign w:val="bottom"/>
            <w:gridSpan w:val="4"/>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 except per share data)</w:t>
            </w: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7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5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as restated)</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3"/>
        </w:trPr>
        <w:tc>
          <w:tcPr>
            <w:tcW w:w="5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Revenue from rentals</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7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Uniti Leasing</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221,123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212,720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653,756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632,707</w:t>
            </w:r>
          </w:p>
        </w:tc>
        <w:tc>
          <w:tcPr>
            <w:tcW w:w="0" w:type="dxa"/>
            <w:vAlign w:val="bottom"/>
          </w:tcPr>
          <w:p>
            <w:pPr>
              <w:spacing w:after="0"/>
              <w:rPr>
                <w:sz w:val="1"/>
                <w:szCs w:val="1"/>
                <w:color w:val="auto"/>
              </w:rPr>
            </w:pPr>
          </w:p>
        </w:tc>
      </w:tr>
      <w:tr>
        <w:trPr>
          <w:trHeight w:val="250"/>
        </w:trPr>
        <w:tc>
          <w:tcPr>
            <w:tcW w:w="576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8"/>
                <w:szCs w:val="18"/>
                <w:color w:val="auto"/>
              </w:rPr>
              <w:t>Uniti Fiber</w:t>
            </w: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12,762</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16,913</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37,588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52,750</w:t>
            </w:r>
          </w:p>
        </w:tc>
        <w:tc>
          <w:tcPr>
            <w:tcW w:w="0" w:type="dxa"/>
            <w:vAlign w:val="bottom"/>
          </w:tcPr>
          <w:p>
            <w:pPr>
              <w:spacing w:after="0"/>
              <w:rPr>
                <w:sz w:val="1"/>
                <w:szCs w:val="1"/>
                <w:color w:val="auto"/>
              </w:rPr>
            </w:pPr>
          </w:p>
        </w:tc>
      </w:tr>
      <w:tr>
        <w:trPr>
          <w:trHeight w:val="257"/>
        </w:trPr>
        <w:tc>
          <w:tcPr>
            <w:tcW w:w="5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 from rentals</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233,885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229,633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691,344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685,457</w:t>
            </w:r>
          </w:p>
        </w:tc>
        <w:tc>
          <w:tcPr>
            <w:tcW w:w="0" w:type="dxa"/>
            <w:vAlign w:val="bottom"/>
          </w:tcPr>
          <w:p>
            <w:pPr>
              <w:spacing w:after="0"/>
              <w:rPr>
                <w:sz w:val="1"/>
                <w:szCs w:val="1"/>
                <w:color w:val="auto"/>
              </w:rPr>
            </w:pPr>
          </w:p>
        </w:tc>
      </w:tr>
      <w:tr>
        <w:trPr>
          <w:trHeight w:val="250"/>
        </w:trPr>
        <w:tc>
          <w:tcPr>
            <w:tcW w:w="5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Service revenues</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7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Uniti Leasing</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0" w:type="dxa"/>
            <w:vAlign w:val="bottom"/>
          </w:tcPr>
          <w:p>
            <w:pPr>
              <w:spacing w:after="0"/>
              <w:rPr>
                <w:sz w:val="1"/>
                <w:szCs w:val="1"/>
                <w:color w:val="auto"/>
              </w:rPr>
            </w:pPr>
          </w:p>
        </w:tc>
      </w:tr>
      <w:tr>
        <w:trPr>
          <w:trHeight w:val="250"/>
        </w:trPr>
        <w:tc>
          <w:tcPr>
            <w:tcW w:w="576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8"/>
                <w:szCs w:val="18"/>
                <w:color w:val="auto"/>
              </w:rPr>
              <w:t>Uniti Fiber</w:t>
            </w: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56,563</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59,154</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177,195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173,576</w:t>
            </w:r>
          </w:p>
        </w:tc>
        <w:tc>
          <w:tcPr>
            <w:tcW w:w="0" w:type="dxa"/>
            <w:vAlign w:val="bottom"/>
          </w:tcPr>
          <w:p>
            <w:pPr>
              <w:spacing w:after="0"/>
              <w:rPr>
                <w:sz w:val="1"/>
                <w:szCs w:val="1"/>
                <w:color w:val="auto"/>
              </w:rPr>
            </w:pPr>
          </w:p>
        </w:tc>
      </w:tr>
      <w:tr>
        <w:trPr>
          <w:trHeight w:val="257"/>
        </w:trPr>
        <w:tc>
          <w:tcPr>
            <w:tcW w:w="5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service revenues</w:t>
            </w:r>
          </w:p>
        </w:tc>
        <w:tc>
          <w:tcPr>
            <w:tcW w:w="1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58,362</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61,022</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182,268</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178,718</w:t>
            </w:r>
          </w:p>
        </w:tc>
        <w:tc>
          <w:tcPr>
            <w:tcW w:w="0" w:type="dxa"/>
            <w:vAlign w:val="bottom"/>
          </w:tcPr>
          <w:p>
            <w:pPr>
              <w:spacing w:after="0"/>
              <w:rPr>
                <w:sz w:val="1"/>
                <w:szCs w:val="1"/>
                <w:color w:val="auto"/>
              </w:rPr>
            </w:pPr>
          </w:p>
        </w:tc>
      </w:tr>
      <w:tr>
        <w:trPr>
          <w:trHeight w:val="243"/>
        </w:trPr>
        <w:tc>
          <w:tcPr>
            <w:tcW w:w="57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292,247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290,655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873,612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864,175</w:t>
            </w:r>
          </w:p>
        </w:tc>
        <w:tc>
          <w:tcPr>
            <w:tcW w:w="0" w:type="dxa"/>
            <w:vAlign w:val="bottom"/>
          </w:tcPr>
          <w:p>
            <w:pPr>
              <w:spacing w:after="0"/>
              <w:rPr>
                <w:sz w:val="1"/>
                <w:szCs w:val="1"/>
                <w:color w:val="auto"/>
              </w:rPr>
            </w:pPr>
          </w:p>
        </w:tc>
      </w:tr>
      <w:tr>
        <w:trPr>
          <w:trHeight w:val="263"/>
        </w:trPr>
        <w:tc>
          <w:tcPr>
            <w:tcW w:w="5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131,007</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120,691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381,693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389,243</w:t>
            </w:r>
          </w:p>
        </w:tc>
        <w:tc>
          <w:tcPr>
            <w:tcW w:w="0" w:type="dxa"/>
            <w:vAlign w:val="bottom"/>
          </w:tcPr>
          <w:p>
            <w:pPr>
              <w:spacing w:after="0"/>
              <w:rPr>
                <w:sz w:val="1"/>
                <w:szCs w:val="1"/>
                <w:color w:val="auto"/>
              </w:rPr>
            </w:pPr>
          </w:p>
        </w:tc>
      </w:tr>
      <w:tr>
        <w:trPr>
          <w:trHeight w:val="250"/>
        </w:trPr>
        <w:tc>
          <w:tcPr>
            <w:tcW w:w="5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79,325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77,337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231,379</w:t>
            </w:r>
          </w:p>
        </w:tc>
        <w:tc>
          <w:tcPr>
            <w:tcW w:w="0" w:type="dxa"/>
            <w:vAlign w:val="bottom"/>
          </w:tcPr>
          <w:p>
            <w:pPr>
              <w:spacing w:after="0"/>
              <w:rPr>
                <w:sz w:val="1"/>
                <w:szCs w:val="1"/>
                <w:color w:val="auto"/>
              </w:rPr>
            </w:pPr>
          </w:p>
        </w:tc>
      </w:tr>
      <w:tr>
        <w:trPr>
          <w:trHeight w:val="263"/>
        </w:trPr>
        <w:tc>
          <w:tcPr>
            <w:tcW w:w="5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26,697</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80,546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77,331</w:t>
            </w:r>
          </w:p>
        </w:tc>
        <w:tc>
          <w:tcPr>
            <w:tcW w:w="0" w:type="dxa"/>
            <w:vAlign w:val="bottom"/>
          </w:tcPr>
          <w:p>
            <w:pPr>
              <w:spacing w:after="0"/>
              <w:rPr>
                <w:sz w:val="1"/>
                <w:szCs w:val="1"/>
                <w:color w:val="auto"/>
              </w:rPr>
            </w:pPr>
          </w:p>
        </w:tc>
      </w:tr>
      <w:tr>
        <w:trPr>
          <w:trHeight w:val="250"/>
        </w:trPr>
        <w:tc>
          <w:tcPr>
            <w:tcW w:w="5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expense (exclusive of depreciation and amortization)</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37,392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109,878</w:t>
            </w:r>
          </w:p>
        </w:tc>
        <w:tc>
          <w:tcPr>
            <w:tcW w:w="0" w:type="dxa"/>
            <w:vAlign w:val="bottom"/>
          </w:tcPr>
          <w:p>
            <w:pPr>
              <w:spacing w:after="0"/>
              <w:rPr>
                <w:sz w:val="1"/>
                <w:szCs w:val="1"/>
                <w:color w:val="auto"/>
              </w:rPr>
            </w:pPr>
          </w:p>
        </w:tc>
      </w:tr>
      <w:tr>
        <w:trPr>
          <w:trHeight w:val="263"/>
        </w:trPr>
        <w:tc>
          <w:tcPr>
            <w:tcW w:w="5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14,404</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9,805</w:t>
            </w:r>
          </w:p>
        </w:tc>
        <w:tc>
          <w:tcPr>
            <w:tcW w:w="0" w:type="dxa"/>
            <w:vAlign w:val="bottom"/>
          </w:tcPr>
          <w:p>
            <w:pPr>
              <w:spacing w:after="0"/>
              <w:rPr>
                <w:sz w:val="1"/>
                <w:szCs w:val="1"/>
                <w:color w:val="auto"/>
              </w:rPr>
            </w:pPr>
          </w:p>
        </w:tc>
      </w:tr>
      <w:tr>
        <w:trPr>
          <w:trHeight w:val="250"/>
        </w:trPr>
        <w:tc>
          <w:tcPr>
            <w:tcW w:w="5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18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0" w:type="dxa"/>
            <w:vAlign w:val="bottom"/>
          </w:tcPr>
          <w:p>
            <w:pPr>
              <w:spacing w:after="0"/>
              <w:rPr>
                <w:sz w:val="1"/>
                <w:szCs w:val="1"/>
                <w:color w:val="auto"/>
              </w:rPr>
            </w:pPr>
          </w:p>
        </w:tc>
      </w:tr>
      <w:tr>
        <w:trPr>
          <w:trHeight w:val="263"/>
        </w:trPr>
        <w:tc>
          <w:tcPr>
            <w:tcW w:w="5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203,998</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203,998</w:t>
            </w:r>
          </w:p>
        </w:tc>
        <w:tc>
          <w:tcPr>
            <w:tcW w:w="0" w:type="dxa"/>
            <w:vAlign w:val="bottom"/>
          </w:tcPr>
          <w:p>
            <w:pPr>
              <w:spacing w:after="0"/>
              <w:rPr>
                <w:sz w:val="1"/>
                <w:szCs w:val="1"/>
                <w:color w:val="auto"/>
              </w:rPr>
            </w:pPr>
          </w:p>
        </w:tc>
      </w:tr>
      <w:tr>
        <w:trPr>
          <w:trHeight w:val="250"/>
        </w:trPr>
        <w:tc>
          <w:tcPr>
            <w:tcW w:w="5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21,323</w:t>
            </w:r>
          </w:p>
        </w:tc>
        <w:tc>
          <w:tcPr>
            <w:tcW w:w="0" w:type="dxa"/>
            <w:vAlign w:val="bottom"/>
          </w:tcPr>
          <w:p>
            <w:pPr>
              <w:spacing w:after="0"/>
              <w:rPr>
                <w:sz w:val="1"/>
                <w:szCs w:val="1"/>
                <w:color w:val="auto"/>
              </w:rPr>
            </w:pPr>
          </w:p>
        </w:tc>
      </w:tr>
      <w:tr>
        <w:trPr>
          <w:trHeight w:val="250"/>
        </w:trPr>
        <w:tc>
          <w:tcPr>
            <w:tcW w:w="5760" w:type="dxa"/>
            <w:vAlign w:val="bottom"/>
            <w:tcBorders>
              <w:top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285,952</w:t>
            </w: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466,351</w:t>
            </w: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815,622</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1,041,533</w:t>
            </w:r>
          </w:p>
        </w:tc>
        <w:tc>
          <w:tcPr>
            <w:tcW w:w="0" w:type="dxa"/>
            <w:vAlign w:val="bottom"/>
          </w:tcPr>
          <w:p>
            <w:pPr>
              <w:spacing w:after="0"/>
              <w:rPr>
                <w:sz w:val="1"/>
                <w:szCs w:val="1"/>
                <w:color w:val="auto"/>
              </w:rPr>
            </w:pPr>
          </w:p>
        </w:tc>
      </w:tr>
      <w:tr>
        <w:trPr>
          <w:trHeight w:val="256"/>
        </w:trPr>
        <w:tc>
          <w:tcPr>
            <w:tcW w:w="5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 and equity in earnings from</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unconsolidated entities</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(175,696)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(177,358)</w:t>
            </w:r>
          </w:p>
        </w:tc>
        <w:tc>
          <w:tcPr>
            <w:tcW w:w="0" w:type="dxa"/>
            <w:vAlign w:val="bottom"/>
          </w:tcPr>
          <w:p>
            <w:pPr>
              <w:spacing w:after="0"/>
              <w:rPr>
                <w:sz w:val="1"/>
                <w:szCs w:val="1"/>
                <w:color w:val="auto"/>
              </w:rPr>
            </w:pPr>
          </w:p>
        </w:tc>
      </w:tr>
      <w:tr>
        <w:trPr>
          <w:trHeight w:val="250"/>
        </w:trPr>
        <w:tc>
          <w:tcPr>
            <w:tcW w:w="5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(56,130)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(62,899)</w:t>
            </w:r>
          </w:p>
        </w:tc>
        <w:tc>
          <w:tcPr>
            <w:tcW w:w="0" w:type="dxa"/>
            <w:vAlign w:val="bottom"/>
          </w:tcPr>
          <w:p>
            <w:pPr>
              <w:spacing w:after="0"/>
              <w:rPr>
                <w:sz w:val="1"/>
                <w:szCs w:val="1"/>
                <w:color w:val="auto"/>
              </w:rPr>
            </w:pPr>
          </w:p>
        </w:tc>
      </w:tr>
      <w:tr>
        <w:trPr>
          <w:trHeight w:val="263"/>
        </w:trPr>
        <w:tc>
          <w:tcPr>
            <w:tcW w:w="5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 earnings from unconsolidated entities</w:t>
            </w: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0" w:type="dxa"/>
            <w:vAlign w:val="bottom"/>
          </w:tcPr>
          <w:p>
            <w:pPr>
              <w:spacing w:after="0"/>
              <w:rPr>
                <w:sz w:val="1"/>
                <w:szCs w:val="1"/>
                <w:color w:val="auto"/>
              </w:rPr>
            </w:pPr>
          </w:p>
        </w:tc>
      </w:tr>
      <w:tr>
        <w:trPr>
          <w:trHeight w:val="243"/>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12,230</w:t>
            </w:r>
          </w:p>
        </w:tc>
        <w:tc>
          <w:tcPr>
            <w:tcW w:w="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(118,896)</w:t>
            </w:r>
          </w:p>
        </w:tc>
        <w:tc>
          <w:tcPr>
            <w:tcW w:w="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71,859</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(112,469)</w:t>
            </w:r>
          </w:p>
        </w:tc>
        <w:tc>
          <w:tcPr>
            <w:tcW w:w="0" w:type="dxa"/>
            <w:vAlign w:val="bottom"/>
          </w:tcPr>
          <w:p>
            <w:pPr>
              <w:spacing w:after="0"/>
              <w:rPr>
                <w:sz w:val="1"/>
                <w:szCs w:val="1"/>
                <w:color w:val="auto"/>
              </w:rPr>
            </w:pPr>
          </w:p>
        </w:tc>
      </w:tr>
      <w:tr>
        <w:trPr>
          <w:trHeight w:val="263"/>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3"/>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shareholders</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(118,843)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(112,419)</w:t>
            </w:r>
          </w:p>
        </w:tc>
        <w:tc>
          <w:tcPr>
            <w:tcW w:w="0" w:type="dxa"/>
            <w:vAlign w:val="bottom"/>
          </w:tcPr>
          <w:p>
            <w:pPr>
              <w:spacing w:after="0"/>
              <w:rPr>
                <w:sz w:val="1"/>
                <w:szCs w:val="1"/>
                <w:color w:val="auto"/>
              </w:rPr>
            </w:pPr>
          </w:p>
        </w:tc>
      </w:tr>
      <w:tr>
        <w:trPr>
          <w:trHeight w:val="263"/>
        </w:trPr>
        <w:tc>
          <w:tcPr>
            <w:tcW w:w="5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Participating securities' share in earnings</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0" w:type="dxa"/>
            <w:vAlign w:val="bottom"/>
          </w:tcPr>
          <w:p>
            <w:pPr>
              <w:spacing w:after="0"/>
              <w:rPr>
                <w:sz w:val="1"/>
                <w:szCs w:val="1"/>
                <w:color w:val="auto"/>
              </w:rPr>
            </w:pPr>
          </w:p>
        </w:tc>
      </w:tr>
      <w:tr>
        <w:trPr>
          <w:trHeight w:val="250"/>
        </w:trPr>
        <w:tc>
          <w:tcPr>
            <w:tcW w:w="57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Dividends declared on convertible preferred stock</w:t>
            </w: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5"/>
        </w:trPr>
        <w:tc>
          <w:tcPr>
            <w:tcW w:w="5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common shareholders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11,890</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(119,169)</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(113,324)</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per common share:</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5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number of common shares outstanding:</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237,480</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236,533</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237,242</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236,352</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5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237,480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236,533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237,242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236,352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ind w:right="9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2500" w:type="dxa"/>
            <w:vAlign w:val="bottom"/>
            <w:gridSpan w:val="4"/>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5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(118,896)</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71,859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(112,469)</w:t>
            </w:r>
          </w:p>
        </w:tc>
        <w:tc>
          <w:tcPr>
            <w:tcW w:w="0" w:type="dxa"/>
            <w:vAlign w:val="bottom"/>
          </w:tcPr>
          <w:p>
            <w:pPr>
              <w:spacing w:after="0"/>
              <w:rPr>
                <w:sz w:val="1"/>
                <w:szCs w:val="1"/>
                <w:color w:val="auto"/>
              </w:rPr>
            </w:pPr>
          </w:p>
        </w:tc>
      </w:tr>
      <w:tr>
        <w:trPr>
          <w:trHeight w:val="25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 on valuation of interest rate cap</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7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Reclassification of realized interest on interest rate cap</w:t>
            </w: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11,274</w:t>
            </w:r>
          </w:p>
        </w:tc>
        <w:tc>
          <w:tcPr>
            <w:tcW w:w="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(118,896)</w:t>
            </w:r>
          </w:p>
        </w:tc>
        <w:tc>
          <w:tcPr>
            <w:tcW w:w="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71,039</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(112,469)</w:t>
            </w:r>
          </w:p>
        </w:tc>
        <w:tc>
          <w:tcPr>
            <w:tcW w:w="0" w:type="dxa"/>
            <w:vAlign w:val="bottom"/>
          </w:tcPr>
          <w:p>
            <w:pPr>
              <w:spacing w:after="0"/>
              <w:rPr>
                <w:sz w:val="1"/>
                <w:szCs w:val="1"/>
                <w:color w:val="auto"/>
              </w:rPr>
            </w:pPr>
          </w:p>
        </w:tc>
      </w:tr>
      <w:tr>
        <w:trPr>
          <w:trHeight w:val="263"/>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w:t>
            </w:r>
          </w:p>
        </w:tc>
        <w:tc>
          <w:tcPr>
            <w:tcW w:w="1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4"/>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shareholders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11,273</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(118,843)</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71,016</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(112,419)</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0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color w:val="auto"/>
              </w:rPr>
              <w:t>Distributions</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color w:val="auto"/>
              </w:rPr>
              <w:t>Noncontrolling</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Accumulated</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in</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Interest - Non-</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Additional</w:t>
            </w: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Other</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Excess of</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Noncontrolling</w:t>
            </w:r>
          </w:p>
        </w:tc>
        <w:tc>
          <w:tcPr>
            <w:tcW w:w="14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voting</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Paid-in</w:t>
            </w: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Comprehensive</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Accumulated</w:t>
            </w:r>
          </w:p>
        </w:tc>
        <w:tc>
          <w:tcPr>
            <w:tcW w:w="8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Interest - OP</w:t>
            </w:r>
          </w:p>
        </w:tc>
        <w:tc>
          <w:tcPr>
            <w:tcW w:w="1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Preferred</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Shareholders'</w:t>
            </w:r>
          </w:p>
        </w:tc>
        <w:tc>
          <w:tcPr>
            <w:tcW w:w="0" w:type="dxa"/>
            <w:vAlign w:val="bottom"/>
          </w:tcPr>
          <w:p>
            <w:pPr>
              <w:spacing w:after="0"/>
              <w:rPr>
                <w:sz w:val="1"/>
                <w:szCs w:val="1"/>
                <w:color w:val="auto"/>
              </w:rPr>
            </w:pPr>
          </w:p>
        </w:tc>
      </w:tr>
      <w:tr>
        <w:trPr>
          <w:trHeight w:val="202"/>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 except share data)</w:t>
            </w:r>
          </w:p>
        </w:tc>
        <w:tc>
          <w:tcPr>
            <w:tcW w:w="1440" w:type="dxa"/>
            <w:vAlign w:val="bottom"/>
            <w:gridSpan w:val="5"/>
          </w:tcPr>
          <w:p>
            <w:pPr>
              <w:ind w:left="220"/>
              <w:spacing w:after="0"/>
              <w:rPr>
                <w:sz w:val="20"/>
                <w:szCs w:val="20"/>
                <w:color w:val="auto"/>
              </w:rPr>
            </w:pPr>
            <w:r>
              <w:rPr>
                <w:rFonts w:ascii="Times New Roman" w:cs="Times New Roman" w:eastAsia="Times New Roman" w:hAnsi="Times New Roman"/>
                <w:sz w:val="14"/>
                <w:szCs w:val="14"/>
                <w:color w:val="auto"/>
              </w:rPr>
              <w:t>Preferred Stock</w:t>
            </w:r>
          </w:p>
        </w:tc>
        <w:tc>
          <w:tcPr>
            <w:tcW w:w="1620" w:type="dxa"/>
            <w:vAlign w:val="bottom"/>
            <w:gridSpan w:val="5"/>
          </w:tcPr>
          <w:p>
            <w:pPr>
              <w:ind w:left="320"/>
              <w:spacing w:after="0"/>
              <w:rPr>
                <w:sz w:val="20"/>
                <w:szCs w:val="20"/>
                <w:color w:val="auto"/>
              </w:rPr>
            </w:pPr>
            <w:r>
              <w:rPr>
                <w:rFonts w:ascii="Times New Roman" w:cs="Times New Roman" w:eastAsia="Times New Roman" w:hAnsi="Times New Roman"/>
                <w:sz w:val="14"/>
                <w:szCs w:val="14"/>
                <w:color w:val="auto"/>
              </w:rPr>
              <w:t>Common Stock</w:t>
            </w:r>
          </w:p>
        </w:tc>
        <w:tc>
          <w:tcPr>
            <w:tcW w:w="100" w:type="dxa"/>
            <w:vAlign w:val="bottom"/>
          </w:tcPr>
          <w:p>
            <w:pPr>
              <w:spacing w:after="0"/>
              <w:rPr>
                <w:sz w:val="17"/>
                <w:szCs w:val="17"/>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Capital</w:t>
            </w: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Income (Loss)</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Earnings</w:t>
            </w:r>
          </w:p>
        </w:tc>
        <w:tc>
          <w:tcPr>
            <w:tcW w:w="80" w:type="dxa"/>
            <w:vAlign w:val="bottom"/>
          </w:tcPr>
          <w:p>
            <w:pPr>
              <w:spacing w:after="0"/>
              <w:rPr>
                <w:sz w:val="17"/>
                <w:szCs w:val="17"/>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Units</w:t>
            </w:r>
          </w:p>
        </w:tc>
        <w:tc>
          <w:tcPr>
            <w:tcW w:w="14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Shares</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Deficit</w:t>
            </w:r>
          </w:p>
        </w:tc>
        <w:tc>
          <w:tcPr>
            <w:tcW w:w="0" w:type="dxa"/>
            <w:vAlign w:val="bottom"/>
          </w:tcPr>
          <w:p>
            <w:pPr>
              <w:spacing w:after="0"/>
              <w:rPr>
                <w:sz w:val="1"/>
                <w:szCs w:val="1"/>
                <w:color w:val="auto"/>
              </w:rPr>
            </w:pPr>
          </w:p>
        </w:tc>
      </w:tr>
      <w:tr>
        <w:trPr>
          <w:trHeight w:val="23"/>
        </w:trPr>
        <w:tc>
          <w:tcPr>
            <w:tcW w:w="2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6"/>
                <w:szCs w:val="16"/>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Amount</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Pr>
          <w:p>
            <w:pPr>
              <w:spacing w:after="0"/>
              <w:rPr>
                <w:sz w:val="16"/>
                <w:szCs w:val="16"/>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2023</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236,430,752</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1,215,260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(3,548,870)</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2,092</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(2,331,244)</w:t>
            </w:r>
          </w:p>
        </w:tc>
        <w:tc>
          <w:tcPr>
            <w:tcW w:w="0" w:type="dxa"/>
            <w:vAlign w:val="bottom"/>
          </w:tcPr>
          <w:p>
            <w:pPr>
              <w:spacing w:after="0"/>
              <w:rPr>
                <w:sz w:val="1"/>
                <w:szCs w:val="1"/>
                <w:color w:val="auto"/>
              </w:rPr>
            </w:pPr>
          </w:p>
        </w:tc>
      </w:tr>
      <w:tr>
        <w:trPr>
          <w:trHeight w:val="19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loss (as restated)</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(118,843)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(118,896)</w:t>
            </w: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dividends declared</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($0.15 per share)</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(35,802)</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(35,802)</w:t>
            </w:r>
          </w:p>
        </w:tc>
        <w:tc>
          <w:tcPr>
            <w:tcW w:w="0" w:type="dxa"/>
            <w:vAlign w:val="bottom"/>
          </w:tcPr>
          <w:p>
            <w:pPr>
              <w:spacing w:after="0"/>
              <w:rPr>
                <w:sz w:val="1"/>
                <w:szCs w:val="1"/>
                <w:color w:val="auto"/>
              </w:rPr>
            </w:pPr>
          </w:p>
        </w:tc>
      </w:tr>
      <w:tr>
        <w:trPr>
          <w:trHeight w:val="166"/>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declared</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related to tax withholding for</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3,148</w:t>
            </w: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 employee</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purchase plan</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105,737</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0" w:type="dxa"/>
            <w:vAlign w:val="bottom"/>
          </w:tcPr>
          <w:p>
            <w:pPr>
              <w:spacing w:after="0"/>
              <w:rPr>
                <w:sz w:val="1"/>
                <w:szCs w:val="1"/>
                <w:color w:val="auto"/>
              </w:rPr>
            </w:pPr>
          </w:p>
        </w:tc>
      </w:tr>
      <w:tr>
        <w:trPr>
          <w:trHeight w:val="119"/>
        </w:trPr>
        <w:tc>
          <w:tcPr>
            <w:tcW w:w="246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3"/>
                <w:szCs w:val="13"/>
                <w:color w:val="auto"/>
              </w:rPr>
              <w:t>Balance at September 30, 2023 (as</w:t>
            </w:r>
          </w:p>
        </w:tc>
        <w:tc>
          <w:tcPr>
            <w:tcW w:w="620" w:type="dxa"/>
            <w:vAlign w:val="bottom"/>
            <w:tcBorders>
              <w:top w:val="single" w:sz="8" w:color="auto"/>
            </w:tcBorders>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0"/>
                <w:szCs w:val="10"/>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236,539,716</w:t>
            </w:r>
          </w:p>
        </w:tc>
        <w:tc>
          <w:tcPr>
            <w:tcW w:w="80" w:type="dxa"/>
            <w:vAlign w:val="bottom"/>
          </w:tcPr>
          <w:p>
            <w:pPr>
              <w:spacing w:after="0"/>
              <w:rPr>
                <w:sz w:val="10"/>
                <w:szCs w:val="10"/>
                <w:color w:val="auto"/>
              </w:rPr>
            </w:pPr>
          </w:p>
        </w:tc>
        <w:tc>
          <w:tcPr>
            <w:tcW w:w="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0"/>
                <w:szCs w:val="10"/>
                <w:color w:val="auto"/>
              </w:rPr>
            </w:pPr>
          </w:p>
        </w:tc>
        <w:tc>
          <w:tcPr>
            <w:tcW w:w="1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1,218,815</w:t>
            </w:r>
          </w:p>
        </w:tc>
        <w:tc>
          <w:tcPr>
            <w:tcW w:w="80" w:type="dxa"/>
            <w:vAlign w:val="bottom"/>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0"/>
                <w:szCs w:val="10"/>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 (3,703,515)</w:t>
            </w:r>
          </w:p>
        </w:tc>
        <w:tc>
          <w:tcPr>
            <w:tcW w:w="80" w:type="dxa"/>
            <w:vAlign w:val="bottom"/>
          </w:tcPr>
          <w:p>
            <w:pPr>
              <w:spacing w:after="0"/>
              <w:rPr>
                <w:sz w:val="10"/>
                <w:szCs w:val="10"/>
                <w:color w:val="auto"/>
              </w:rPr>
            </w:pPr>
          </w:p>
        </w:tc>
        <w:tc>
          <w:tcPr>
            <w:tcW w:w="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0"/>
                <w:szCs w:val="10"/>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Pr>
          <w:p>
            <w:pPr>
              <w:spacing w:after="0"/>
              <w:rPr>
                <w:sz w:val="10"/>
                <w:szCs w:val="10"/>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 (2,482,403)</w:t>
            </w:r>
          </w:p>
        </w:tc>
        <w:tc>
          <w:tcPr>
            <w:tcW w:w="0" w:type="dxa"/>
            <w:vAlign w:val="bottom"/>
          </w:tcPr>
          <w:p>
            <w:pPr>
              <w:spacing w:after="0"/>
              <w:rPr>
                <w:sz w:val="1"/>
                <w:szCs w:val="1"/>
                <w:color w:val="auto"/>
              </w:rPr>
            </w:pPr>
          </w:p>
        </w:tc>
      </w:tr>
      <w:tr>
        <w:trPr>
          <w:trHeight w:val="176"/>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restated)</w:t>
            </w:r>
          </w:p>
        </w:tc>
        <w:tc>
          <w:tcPr>
            <w:tcW w:w="6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237,353,110</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1,228,527</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(3,722,066)</w:t>
            </w:r>
          </w:p>
        </w:tc>
        <w:tc>
          <w:tcPr>
            <w:tcW w:w="8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8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(2,492,414)</w:t>
            </w: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12,229</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12,230</w:t>
            </w:r>
          </w:p>
        </w:tc>
        <w:tc>
          <w:tcPr>
            <w:tcW w:w="0" w:type="dxa"/>
            <w:vAlign w:val="bottom"/>
          </w:tcPr>
          <w:p>
            <w:pPr>
              <w:spacing w:after="0"/>
              <w:rPr>
                <w:sz w:val="1"/>
                <w:szCs w:val="1"/>
                <w:color w:val="auto"/>
              </w:rPr>
            </w:pPr>
          </w:p>
        </w:tc>
      </w:tr>
      <w:tr>
        <w:trPr>
          <w:trHeight w:val="19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Performance award dividend</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w:t>
            </w:r>
          </w:p>
        </w:tc>
        <w:tc>
          <w:tcPr>
            <w:tcW w:w="0" w:type="dxa"/>
            <w:vAlign w:val="bottom"/>
          </w:tcPr>
          <w:p>
            <w:pPr>
              <w:spacing w:after="0"/>
              <w:rPr>
                <w:sz w:val="1"/>
                <w:szCs w:val="1"/>
                <w:color w:val="auto"/>
              </w:rPr>
            </w:pPr>
          </w:p>
        </w:tc>
      </w:tr>
      <w:tr>
        <w:trPr>
          <w:trHeight w:val="166"/>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Payments related to tax withholding for</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1,885</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3,375</w:t>
            </w:r>
          </w:p>
        </w:tc>
        <w:tc>
          <w:tcPr>
            <w:tcW w:w="0" w:type="dxa"/>
            <w:vAlign w:val="bottom"/>
          </w:tcPr>
          <w:p>
            <w:pPr>
              <w:spacing w:after="0"/>
              <w:rPr>
                <w:sz w:val="1"/>
                <w:szCs w:val="1"/>
                <w:color w:val="auto"/>
              </w:rPr>
            </w:pPr>
          </w:p>
        </w:tc>
      </w:tr>
      <w:tr>
        <w:trPr>
          <w:trHeight w:val="166"/>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common stock - employee</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 purchase plan</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133,136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0" w:type="dxa"/>
            <w:vAlign w:val="bottom"/>
          </w:tcPr>
          <w:p>
            <w:pPr>
              <w:spacing w:after="0"/>
              <w:rPr>
                <w:sz w:val="1"/>
                <w:szCs w:val="1"/>
                <w:color w:val="auto"/>
              </w:rPr>
            </w:pPr>
          </w:p>
        </w:tc>
      </w:tr>
      <w:tr>
        <w:trPr>
          <w:trHeight w:val="23"/>
        </w:trPr>
        <w:tc>
          <w:tcPr>
            <w:tcW w:w="2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2024</w:t>
            </w: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237,488,131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1,232,228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(3,708,705)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(2,476,307)</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1"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0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color w:val="auto"/>
              </w:rPr>
              <w:t>Distributions</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color w:val="auto"/>
              </w:rPr>
              <w:t>Noncontrolling</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Accumulated</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in</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Interest - Non-</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Additional</w:t>
            </w: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Other</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Excess of</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Noncontrolling</w:t>
            </w:r>
          </w:p>
        </w:tc>
        <w:tc>
          <w:tcPr>
            <w:tcW w:w="14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voting</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Paid-in</w:t>
            </w: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Comprehensive</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Accumulated</w:t>
            </w:r>
          </w:p>
        </w:tc>
        <w:tc>
          <w:tcPr>
            <w:tcW w:w="8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Interest - OP</w:t>
            </w:r>
          </w:p>
        </w:tc>
        <w:tc>
          <w:tcPr>
            <w:tcW w:w="1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Preferred</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Shareholders'</w:t>
            </w:r>
          </w:p>
        </w:tc>
        <w:tc>
          <w:tcPr>
            <w:tcW w:w="0" w:type="dxa"/>
            <w:vAlign w:val="bottom"/>
          </w:tcPr>
          <w:p>
            <w:pPr>
              <w:spacing w:after="0"/>
              <w:rPr>
                <w:sz w:val="1"/>
                <w:szCs w:val="1"/>
                <w:color w:val="auto"/>
              </w:rPr>
            </w:pPr>
          </w:p>
        </w:tc>
      </w:tr>
      <w:tr>
        <w:trPr>
          <w:trHeight w:val="202"/>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 except share data)</w:t>
            </w:r>
          </w:p>
        </w:tc>
        <w:tc>
          <w:tcPr>
            <w:tcW w:w="1440" w:type="dxa"/>
            <w:vAlign w:val="bottom"/>
            <w:gridSpan w:val="5"/>
          </w:tcPr>
          <w:p>
            <w:pPr>
              <w:ind w:left="220"/>
              <w:spacing w:after="0"/>
              <w:rPr>
                <w:sz w:val="20"/>
                <w:szCs w:val="20"/>
                <w:color w:val="auto"/>
              </w:rPr>
            </w:pPr>
            <w:r>
              <w:rPr>
                <w:rFonts w:ascii="Times New Roman" w:cs="Times New Roman" w:eastAsia="Times New Roman" w:hAnsi="Times New Roman"/>
                <w:sz w:val="14"/>
                <w:szCs w:val="14"/>
                <w:color w:val="auto"/>
              </w:rPr>
              <w:t>Preferred Stock</w:t>
            </w:r>
          </w:p>
        </w:tc>
        <w:tc>
          <w:tcPr>
            <w:tcW w:w="1620" w:type="dxa"/>
            <w:vAlign w:val="bottom"/>
            <w:gridSpan w:val="5"/>
          </w:tcPr>
          <w:p>
            <w:pPr>
              <w:ind w:left="320"/>
              <w:spacing w:after="0"/>
              <w:rPr>
                <w:sz w:val="20"/>
                <w:szCs w:val="20"/>
                <w:color w:val="auto"/>
              </w:rPr>
            </w:pPr>
            <w:r>
              <w:rPr>
                <w:rFonts w:ascii="Times New Roman" w:cs="Times New Roman" w:eastAsia="Times New Roman" w:hAnsi="Times New Roman"/>
                <w:sz w:val="14"/>
                <w:szCs w:val="14"/>
                <w:color w:val="auto"/>
              </w:rPr>
              <w:t>Common Stock</w:t>
            </w:r>
          </w:p>
        </w:tc>
        <w:tc>
          <w:tcPr>
            <w:tcW w:w="100" w:type="dxa"/>
            <w:vAlign w:val="bottom"/>
          </w:tcPr>
          <w:p>
            <w:pPr>
              <w:spacing w:after="0"/>
              <w:rPr>
                <w:sz w:val="17"/>
                <w:szCs w:val="17"/>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Capital</w:t>
            </w:r>
          </w:p>
        </w:tc>
        <w:tc>
          <w:tcPr>
            <w:tcW w:w="1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Income</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Earnings</w:t>
            </w:r>
          </w:p>
        </w:tc>
        <w:tc>
          <w:tcPr>
            <w:tcW w:w="80" w:type="dxa"/>
            <w:vAlign w:val="bottom"/>
          </w:tcPr>
          <w:p>
            <w:pPr>
              <w:spacing w:after="0"/>
              <w:rPr>
                <w:sz w:val="17"/>
                <w:szCs w:val="17"/>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Units</w:t>
            </w:r>
          </w:p>
        </w:tc>
        <w:tc>
          <w:tcPr>
            <w:tcW w:w="14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Shares</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Deficit</w:t>
            </w:r>
          </w:p>
        </w:tc>
        <w:tc>
          <w:tcPr>
            <w:tcW w:w="0" w:type="dxa"/>
            <w:vAlign w:val="bottom"/>
          </w:tcPr>
          <w:p>
            <w:pPr>
              <w:spacing w:after="0"/>
              <w:rPr>
                <w:sz w:val="1"/>
                <w:szCs w:val="1"/>
                <w:color w:val="auto"/>
              </w:rPr>
            </w:pPr>
          </w:p>
        </w:tc>
      </w:tr>
      <w:tr>
        <w:trPr>
          <w:trHeight w:val="23"/>
        </w:trPr>
        <w:tc>
          <w:tcPr>
            <w:tcW w:w="2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6"/>
                <w:szCs w:val="16"/>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Amount</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Pr>
          <w:p>
            <w:pPr>
              <w:spacing w:after="0"/>
              <w:rPr>
                <w:sz w:val="16"/>
                <w:szCs w:val="16"/>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235,829,485</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1,210,033</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(3,483,634)</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2,121</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(2,271,206)</w:t>
            </w:r>
          </w:p>
        </w:tc>
        <w:tc>
          <w:tcPr>
            <w:tcW w:w="0" w:type="dxa"/>
            <w:vAlign w:val="bottom"/>
          </w:tcPr>
          <w:p>
            <w:pPr>
              <w:spacing w:after="0"/>
              <w:rPr>
                <w:sz w:val="1"/>
                <w:szCs w:val="1"/>
                <w:color w:val="auto"/>
              </w:rPr>
            </w:pPr>
          </w:p>
        </w:tc>
      </w:tr>
      <w:tr>
        <w:trPr>
          <w:trHeight w:val="19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loss (as restated)</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(112,419)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(112,469)</w:t>
            </w: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dividends declared</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($0.45 per share)</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(107,462)</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(107,462)</w:t>
            </w:r>
          </w:p>
        </w:tc>
        <w:tc>
          <w:tcPr>
            <w:tcW w:w="0" w:type="dxa"/>
            <w:vAlign w:val="bottom"/>
          </w:tcPr>
          <w:p>
            <w:pPr>
              <w:spacing w:after="0"/>
              <w:rPr>
                <w:sz w:val="1"/>
                <w:szCs w:val="1"/>
                <w:color w:val="auto"/>
              </w:rPr>
            </w:pPr>
          </w:p>
        </w:tc>
      </w:tr>
      <w:tr>
        <w:trPr>
          <w:trHeight w:val="166"/>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declared</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for settlement of common</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warrant</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9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Termination of bond hedge option</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related to tax withholding for</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0" w:type="dxa"/>
            <w:vAlign w:val="bottom"/>
          </w:tcPr>
          <w:p>
            <w:pPr>
              <w:spacing w:after="0"/>
              <w:rPr>
                <w:sz w:val="1"/>
                <w:szCs w:val="1"/>
                <w:color w:val="auto"/>
              </w:rPr>
            </w:pPr>
          </w:p>
        </w:tc>
      </w:tr>
      <w:tr>
        <w:trPr>
          <w:trHeight w:val="19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537,590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9,408</w:t>
            </w: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 employee</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purchase plan</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172,641</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0" w:type="dxa"/>
            <w:vAlign w:val="bottom"/>
          </w:tcPr>
          <w:p>
            <w:pPr>
              <w:spacing w:after="0"/>
              <w:rPr>
                <w:sz w:val="1"/>
                <w:szCs w:val="1"/>
                <w:color w:val="auto"/>
              </w:rPr>
            </w:pPr>
          </w:p>
        </w:tc>
      </w:tr>
      <w:tr>
        <w:trPr>
          <w:trHeight w:val="119"/>
        </w:trPr>
        <w:tc>
          <w:tcPr>
            <w:tcW w:w="246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3"/>
                <w:szCs w:val="13"/>
                <w:color w:val="auto"/>
              </w:rPr>
              <w:t>Balance at September 30, 2023 (as</w:t>
            </w:r>
          </w:p>
        </w:tc>
        <w:tc>
          <w:tcPr>
            <w:tcW w:w="620" w:type="dxa"/>
            <w:vAlign w:val="bottom"/>
            <w:tcBorders>
              <w:top w:val="single" w:sz="8" w:color="auto"/>
            </w:tcBorders>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0"/>
                <w:szCs w:val="10"/>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236,539,716</w:t>
            </w:r>
          </w:p>
        </w:tc>
        <w:tc>
          <w:tcPr>
            <w:tcW w:w="80" w:type="dxa"/>
            <w:vAlign w:val="bottom"/>
          </w:tcPr>
          <w:p>
            <w:pPr>
              <w:spacing w:after="0"/>
              <w:rPr>
                <w:sz w:val="10"/>
                <w:szCs w:val="10"/>
                <w:color w:val="auto"/>
              </w:rPr>
            </w:pPr>
          </w:p>
        </w:tc>
        <w:tc>
          <w:tcPr>
            <w:tcW w:w="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0"/>
                <w:szCs w:val="10"/>
                <w:color w:val="auto"/>
              </w:rPr>
            </w:pPr>
          </w:p>
        </w:tc>
        <w:tc>
          <w:tcPr>
            <w:tcW w:w="1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1,218,815</w:t>
            </w:r>
          </w:p>
        </w:tc>
        <w:tc>
          <w:tcPr>
            <w:tcW w:w="80" w:type="dxa"/>
            <w:vAlign w:val="bottom"/>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vMerge w:val="restart"/>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0"/>
                <w:szCs w:val="10"/>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 (3,703,515)</w:t>
            </w:r>
          </w:p>
        </w:tc>
        <w:tc>
          <w:tcPr>
            <w:tcW w:w="80" w:type="dxa"/>
            <w:vAlign w:val="bottom"/>
          </w:tcPr>
          <w:p>
            <w:pPr>
              <w:spacing w:after="0"/>
              <w:rPr>
                <w:sz w:val="10"/>
                <w:szCs w:val="10"/>
                <w:color w:val="auto"/>
              </w:rPr>
            </w:pPr>
          </w:p>
        </w:tc>
        <w:tc>
          <w:tcPr>
            <w:tcW w:w="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0"/>
                <w:szCs w:val="10"/>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Pr>
          <w:p>
            <w:pPr>
              <w:spacing w:after="0"/>
              <w:rPr>
                <w:sz w:val="10"/>
                <w:szCs w:val="10"/>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 (2,482,403)</w:t>
            </w:r>
          </w:p>
        </w:tc>
        <w:tc>
          <w:tcPr>
            <w:tcW w:w="0" w:type="dxa"/>
            <w:vAlign w:val="bottom"/>
          </w:tcPr>
          <w:p>
            <w:pPr>
              <w:spacing w:after="0"/>
              <w:rPr>
                <w:sz w:val="1"/>
                <w:szCs w:val="1"/>
                <w:color w:val="auto"/>
              </w:rPr>
            </w:pPr>
          </w:p>
        </w:tc>
      </w:tr>
      <w:tr>
        <w:trPr>
          <w:trHeight w:val="176"/>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restated)</w:t>
            </w:r>
          </w:p>
        </w:tc>
        <w:tc>
          <w:tcPr>
            <w:tcW w:w="6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236,558,601</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1,221,824</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(3,708,240)</w:t>
            </w:r>
          </w:p>
        </w:tc>
        <w:tc>
          <w:tcPr>
            <w:tcW w:w="8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(2,484,121)</w:t>
            </w: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71,836</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71,859</w:t>
            </w:r>
          </w:p>
        </w:tc>
        <w:tc>
          <w:tcPr>
            <w:tcW w:w="0" w:type="dxa"/>
            <w:vAlign w:val="bottom"/>
          </w:tcPr>
          <w:p>
            <w:pPr>
              <w:spacing w:after="0"/>
              <w:rPr>
                <w:sz w:val="1"/>
                <w:szCs w:val="1"/>
                <w:color w:val="auto"/>
              </w:rPr>
            </w:pPr>
          </w:p>
        </w:tc>
      </w:tr>
      <w:tr>
        <w:trPr>
          <w:trHeight w:val="19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(820)</w:t>
            </w:r>
          </w:p>
        </w:tc>
        <w:tc>
          <w:tcPr>
            <w:tcW w:w="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dividends declared</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($0.30 per share)</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(72,301)</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(72,301)</w:t>
            </w:r>
          </w:p>
        </w:tc>
        <w:tc>
          <w:tcPr>
            <w:tcW w:w="0" w:type="dxa"/>
            <w:vAlign w:val="bottom"/>
          </w:tcPr>
          <w:p>
            <w:pPr>
              <w:spacing w:after="0"/>
              <w:rPr>
                <w:sz w:val="1"/>
                <w:szCs w:val="1"/>
                <w:color w:val="auto"/>
              </w:rPr>
            </w:pPr>
          </w:p>
        </w:tc>
      </w:tr>
      <w:tr>
        <w:trPr>
          <w:trHeight w:val="166"/>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declared</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Exchange of noncontrolling interest</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53,662</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66"/>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Payments related to tax withholding for</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(1,587)</w:t>
            </w: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659,685</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10,120</w:t>
            </w:r>
          </w:p>
        </w:tc>
        <w:tc>
          <w:tcPr>
            <w:tcW w:w="0" w:type="dxa"/>
            <w:vAlign w:val="bottom"/>
          </w:tcPr>
          <w:p>
            <w:pPr>
              <w:spacing w:after="0"/>
              <w:rPr>
                <w:sz w:val="1"/>
                <w:szCs w:val="1"/>
                <w:color w:val="auto"/>
              </w:rPr>
            </w:pPr>
          </w:p>
        </w:tc>
      </w:tr>
      <w:tr>
        <w:trPr>
          <w:trHeight w:val="166"/>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common stock - employee</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 purchase plan</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216,183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0" w:type="dxa"/>
            <w:vAlign w:val="bottom"/>
          </w:tcPr>
          <w:p>
            <w:pPr>
              <w:spacing w:after="0"/>
              <w:rPr>
                <w:sz w:val="1"/>
                <w:szCs w:val="1"/>
                <w:color w:val="auto"/>
              </w:rPr>
            </w:pPr>
          </w:p>
        </w:tc>
      </w:tr>
      <w:tr>
        <w:trPr>
          <w:trHeight w:val="23"/>
        </w:trPr>
        <w:tc>
          <w:tcPr>
            <w:tcW w:w="2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2024</w:t>
            </w: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237,488,131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1,232,228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(820)</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(3,708,705)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(2,476,307)</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4"/>
          </w:tcPr>
          <w:p>
            <w:pPr>
              <w:jc w:val="right"/>
              <w:ind w:right="511"/>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29"/>
        </w:trPr>
        <w:tc>
          <w:tcPr>
            <w:tcW w:w="818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67"/>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(Thousands)</w:t>
            </w:r>
          </w:p>
        </w:tc>
        <w:tc>
          <w:tcPr>
            <w:tcW w:w="340" w:type="dxa"/>
            <w:vAlign w:val="bottom"/>
          </w:tcPr>
          <w:p>
            <w:pPr>
              <w:spacing w:after="0"/>
              <w:rPr>
                <w:sz w:val="14"/>
                <w:szCs w:val="14"/>
                <w:color w:val="auto"/>
              </w:rPr>
            </w:pPr>
          </w:p>
        </w:tc>
        <w:tc>
          <w:tcPr>
            <w:tcW w:w="1140" w:type="dxa"/>
            <w:vAlign w:val="bottom"/>
          </w:tcPr>
          <w:p>
            <w:pPr>
              <w:jc w:val="right"/>
              <w:ind w:right="531"/>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531"/>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9"/>
        </w:trPr>
        <w:tc>
          <w:tcPr>
            <w:tcW w:w="8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7"/>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71,859</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(112,469)</w:t>
            </w:r>
          </w:p>
        </w:tc>
      </w:tr>
      <w:tr>
        <w:trPr>
          <w:trHeight w:val="26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231,379</w:t>
            </w:r>
          </w:p>
        </w:tc>
      </w:tr>
      <w:tr>
        <w:trPr>
          <w:trHeight w:val="26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costs and debt discount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13,975</w:t>
            </w: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31,187</w:t>
            </w:r>
          </w:p>
        </w:tc>
      </w:tr>
      <w:tr>
        <w:trPr>
          <w:trHeight w:val="26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cap amortization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(63,196)</w:t>
            </w:r>
          </w:p>
        </w:tc>
      </w:tr>
      <w:tr>
        <w:trPr>
          <w:trHeight w:val="26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 earnings of unconsolidated entities</w:t>
            </w: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Distributions of cumulative earnings from unconsolidated entities</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w:t>
            </w:r>
          </w:p>
        </w:tc>
      </w:tr>
      <w:tr>
        <w:trPr>
          <w:trHeight w:val="26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 rate cap</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Straight-line revenues and amortization of below-market lease intangibles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(28,795)</w:t>
            </w:r>
          </w:p>
        </w:tc>
      </w:tr>
      <w:tr>
        <w:trPr>
          <w:trHeight w:val="26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9,408</w:t>
            </w: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203,998</w:t>
            </w:r>
          </w:p>
        </w:tc>
      </w:tr>
      <w:tr>
        <w:trPr>
          <w:trHeight w:val="26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(gain) on asset disposals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r>
      <w:tr>
        <w:trPr>
          <w:trHeight w:val="26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settlement obligation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8,273</w:t>
            </w: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6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5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w:t>
            </w:r>
          </w:p>
        </w:tc>
      </w:tr>
      <w:tr>
        <w:trPr>
          <w:trHeight w:val="263"/>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10,530</w:t>
            </w:r>
          </w:p>
        </w:tc>
      </w:tr>
      <w:tr>
        <w:trPr>
          <w:trHeight w:val="250"/>
        </w:trPr>
        <w:tc>
          <w:tcPr>
            <w:tcW w:w="81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(105,475)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(108,826)</w:t>
            </w:r>
          </w:p>
        </w:tc>
      </w:tr>
      <w:tr>
        <w:trPr>
          <w:trHeight w:val="257"/>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181,080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190,575</w:t>
            </w: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from investing activities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6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(327,762)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(368,264)</w:t>
            </w: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sale of other equipment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r>
      <w:tr>
        <w:trPr>
          <w:trHeight w:val="26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real estate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r>
      <w:tr>
        <w:trPr>
          <w:trHeight w:val="250"/>
        </w:trPr>
        <w:tc>
          <w:tcPr>
            <w:tcW w:w="81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sale of unconsolidated entity</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(247,195)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(365,153)</w:t>
            </w: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from financing activities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6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debt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(122,942)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(2,263,662)</w:t>
            </w: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issuance of notes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2,600,000</w:t>
            </w:r>
          </w:p>
        </w:tc>
      </w:tr>
      <w:tr>
        <w:trPr>
          <w:trHeight w:val="26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paid</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(108,445)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(107,395)</w:t>
            </w: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Payments of settlement payable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(73,516)</w:t>
            </w:r>
          </w:p>
        </w:tc>
      </w:tr>
      <w:tr>
        <w:trPr>
          <w:trHeight w:val="26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Borrowings under revolving credit facility</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Payments under revolving credit facility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(367,000)</w:t>
            </w:r>
          </w:p>
        </w:tc>
      </w:tr>
      <w:tr>
        <w:trPr>
          <w:trHeight w:val="26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ABS Loan Facility</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Finance lease payments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r>
      <w:tr>
        <w:trPr>
          <w:trHeight w:val="26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for financing costs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(26,955)</w:t>
            </w: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 for settlement of common stock warrant</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6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Termination of bond hedge option</w:t>
            </w: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5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Costs related to the early repayment of debt</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(44,303)</w:t>
            </w:r>
          </w:p>
        </w:tc>
      </w:tr>
      <w:tr>
        <w:trPr>
          <w:trHeight w:val="26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paid to noncontrolling interests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729"/>
        </w:trPr>
        <w:tc>
          <w:tcPr>
            <w:tcW w:w="8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 for noncontrolling interest</w:t>
            </w: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stock purchase program</w:t>
            </w: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50"/>
        </w:trPr>
        <w:tc>
          <w:tcPr>
            <w:tcW w:w="82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Payments related to tax withholding for stock-based compensation</w:t>
            </w: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w:t>
            </w:r>
          </w:p>
        </w:tc>
      </w:tr>
      <w:tr>
        <w:trPr>
          <w:trHeight w:val="257"/>
        </w:trPr>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57,239</w:t>
            </w:r>
          </w:p>
        </w:tc>
        <w:tc>
          <w:tcPr>
            <w:tcW w:w="8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164,894</w:t>
            </w:r>
          </w:p>
        </w:tc>
      </w:tr>
      <w:tr>
        <w:trPr>
          <w:trHeight w:val="243"/>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decrease in cash, restricted cash and cash equivalents</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(8,876)</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(9,684)</w:t>
            </w:r>
          </w:p>
        </w:tc>
      </w:tr>
      <w:tr>
        <w:trPr>
          <w:trHeight w:val="263"/>
        </w:trPr>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restricted cash and cash equivalents at beginning of period</w:t>
            </w: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62,264</w:t>
            </w:r>
          </w:p>
        </w:tc>
        <w:tc>
          <w:tcPr>
            <w:tcW w:w="8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43,803</w:t>
            </w:r>
          </w:p>
        </w:tc>
      </w:tr>
      <w:tr>
        <w:trPr>
          <w:trHeight w:val="244"/>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restricted cash and cash equivalents at end of period</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53,388</w:t>
            </w:r>
          </w:p>
        </w:tc>
        <w:tc>
          <w:tcPr>
            <w:tcW w:w="80" w:type="dxa"/>
            <w:vAlign w:val="bottom"/>
          </w:tcPr>
          <w:p>
            <w:pPr>
              <w:spacing w:after="0"/>
              <w:rPr>
                <w:sz w:val="21"/>
                <w:szCs w:val="21"/>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34,119</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69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7"/>
        </w:trPr>
        <w:tc>
          <w:tcPr>
            <w:tcW w:w="1280" w:type="dxa"/>
            <w:vAlign w:val="bottom"/>
            <w:shd w:val="clear" w:color="auto" w:fill="CCEEFF"/>
          </w:tcPr>
          <w:p>
            <w:pPr>
              <w:spacing w:after="0"/>
              <w:rPr>
                <w:sz w:val="22"/>
                <w:szCs w:val="22"/>
                <w:color w:val="auto"/>
              </w:rPr>
            </w:pPr>
          </w:p>
        </w:tc>
        <w:tc>
          <w:tcPr>
            <w:tcW w:w="69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50"/>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63"/>
        </w:trPr>
        <w:tc>
          <w:tcPr>
            <w:tcW w:w="8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acquired but not yet paid</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7,371</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12,134</w:t>
            </w:r>
          </w:p>
        </w:tc>
      </w:tr>
      <w:tr>
        <w:trPr>
          <w:trHeight w:val="243"/>
        </w:trPr>
        <w:tc>
          <w:tcPr>
            <w:tcW w:w="8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Tenant capital improvements</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163,592</w:t>
            </w:r>
          </w:p>
        </w:tc>
        <w:tc>
          <w:tcPr>
            <w:tcW w:w="8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94,322</w:t>
            </w: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Description of Business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Uniti Group Inc. (the “Company,” “Uniti,” “we,” “us,” or “our”) was incorporated in the state of Maryland on September 4, 2014. We are an independent internally managed real estate investment trust (“REIT”) engaged in the acquisition, construction and leasing of mission critical infrastructure in the communications industry. We are principally focused on acquiring and constructing fiber optic, copper and coaxial broadband networks and data centers. We manage our operations focused on our two primary lines of business: Uniti Fiber and Uniti Leasing.</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operates through a customary “up-REIT” structure, pursuant to which we hold substantially all of our assets through a partnership, Uniti Group LP, a Delaware limited partnership (the “Operating Partnership”) that we control as general partner. The up-REIT structure is intended to facilitate future acquisition opportunities by providing the Company with the ability to use common units of the Operating Partnership as a tax-efficient acquisition currency. As of September 30, 2024, we are the sole general partner of the Operating Partnership and own approximately 99.98% of the partnership interests in the Operating Partnership.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Proposed Merger with Windstream</w:t>
      </w:r>
    </w:p>
    <w:p>
      <w:pPr>
        <w:spacing w:after="0" w:line="212"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On May 3, 2024, the Company entered into an Agreement and Plan of Merger with Windstream Holdings II, LLC (the “Merger Agreement”) providing for a combination of the Company and Windstream Holdings, Inc. (together with Windstream Holdings II, LLC, its successor in interest, and its subsidiaries, “Windstream”) such that, following a pre-closing reorganization of Windstream and the merger of the Company into an entity formed in such reorganization (the "Merger"), both the Company and Windstream will be indirect wholly owned subsidiaries of a recently formed company that in the reorganization will become the parent company of Windstream (“New Uniti”). Following the Merger, the common stock of New Uniti (“New Uniti Common Stock”) is expected to be listed on the Nasdaq.</w:t>
      </w:r>
    </w:p>
    <w:p>
      <w:pPr>
        <w:spacing w:after="0" w:line="19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Merger intends to reunite Windstream’s business with the underlying fiber infrastructure owned by the Company to create a premier digital infrastructure company with a strong platform for value creation. Upon consummation of the Merger, the board of directors of New Uniti will initially comprise nine members, including five directors to be appointed by Uniti. It is expected that Uniti’s existing officers will serve as initial officers of New Uniti.</w:t>
      </w:r>
    </w:p>
    <w:p>
      <w:pPr>
        <w:spacing w:after="0" w:line="207"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At the effective time of the Merger, each share of Uniti’s common stock that is issued and outstanding will automatically be cancelled and retired and converted into the right to a number of shares of New Uniti Common Stock pursuant to an exchange ratio set forth in the Merger Agreement such that the Company's and Windstream's stockholders are expected to hold approximately 62% and 38%, respectively, of the combined company before giving effect to the conversion of any outstanding convertible securities or the issuance of warrants to purchase New Uniti Common Stock referenced below.</w:t>
      </w:r>
    </w:p>
    <w:p>
      <w:pPr>
        <w:spacing w:after="0" w:line="19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In addition, at the closing of the Merger, we will fund an aggregate cash payment of $425 million (less certain transaction expenses) that will be distributed to Windstream equityholders on a pro-rata basis (the “Merger Cash Consideration”). Windstream equityholders will also be entitled to pro rata distributions of (i) new shares of non-voting preferred stock of New Uniti with a dividend rate of 11% per year for the first six years, subject to an additional 0.5% per year during each of the seventh and eighth year after the initial issuance and further increased by an additional 1% per year during each subsequent year, subject to a cap of 16% per year and with an aggregate liquidation preference of $575 million, and (ii) warrants to purchase New Uniti Common Stock, with an exercise price of $0.01 per share, subject to customary adjustments, representing in the aggregate approximately 6.9% of the pro forma share total of New Uniti. We intend to fund the Merger Cash Consideration with cash on hand and borrowings under the Revolving Credit Facility (as defined herein).</w:t>
      </w:r>
    </w:p>
    <w:p>
      <w:pPr>
        <w:spacing w:after="0" w:line="218"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Our Merger with Windstream is subject to customary closing conditions, including, among others, approval by our stockholders and receipt of required regulatory approvals, including the expiration or early termination of the waiting period under the Hart-Scott Rodino Antitrust Improvements Act of 1976 and the receipt of approvals from the Federal Communications Commission and certain state public utility commissions. We currently expect our Merger with Windstream to close in 2025.</w:t>
      </w:r>
    </w:p>
    <w:p>
      <w:pPr>
        <w:spacing w:after="0" w:line="21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Upon consummation of the Merger, New Uniti will become an integrated telecommunications company. Initially, the legacy Uniti and Windstream organizational structures will remain separate, and the existing agreements and arrangements presently in effect between Uniti and Windstream, such as the Windstream Leases and the settlement agreement with</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Windstream, which requires Uniti to fund periodic settlement payments and reimburse Windstream for certain growth capital improvements, will remain in place. All Windstream debt obligations would remain obligations of Windstream and our debt obligations would remain as ours, with no cross-guarantees or credit support between the Company and Windstream. In September and October 2024, Windstream undertook a series of transactions through which it amended the terms of its outstanding debt to, among other things, allow for the consolidation of Uniti's and Windstream's debt following the completion of the Merger into a single silo under a common parent entity (the "Post-Closing Reorganization"). As a result, following the completion of the Merger, Uniti may, but is not required to, consummate the Post-Closing Reorganization. If the Post-Closing Reorganization is completed, certain existing agreements and arrangements presently in effect between Uniti and Windstream, including the Windstream Leases and the settlement agreement described above, could be (but are not required to be) terminated. In addition, if the Post-Closing Reorganization is completed, each obligor under Uniti's outstanding debt (other than the ABS Loan Facility) would become an obligor under Windstream's outstanding debt, and each obligor under Windstream's outstanding debt would become an obligor under Uniti's outstanding debt (other than the ABS Loan Facility).</w:t>
      </w:r>
    </w:p>
    <w:p>
      <w:pPr>
        <w:spacing w:after="0" w:line="213"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In addition, we have agreed to suspend dividend payments or other distributions until the consummation of the Merger, except for the dividend paid on June 28, 2024 and those dividends reasonably required for us or our subsidiaries to maintain our status as a REIT or to avoid the payment or imposition of income or excise tax, among other customary exceptions. Finally, it is expected that, following consummation of the Merger, Uniti will cease to be a REIT for U.S. federal income tax purposes.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Restatement of Previously Issued Financial Statements</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7"/>
          <w:szCs w:val="17"/>
          <w:color w:val="auto"/>
        </w:rPr>
        <w:t>During the third quarter of 2023, the Company recorded a goodwill impairment and related income tax benefits, which it reflected in its unaudited condensed consolidated financial statements as of and for the three and nine months ended September 30, 2023 (the “2023 Interim Financial Statements”) included in the Company’s Quarterly Report on Form 10-Q for the quarter ended September 30, 2023 filed with the SEC on November 2, 2023. As previously disclosed in the Company’s Annual Report on Form 10-K filed with the SEC on February 29, 2024, as amended by Amendment No. 1 and Amendment No. 2 thereto filed on Form 10-K/A with the SEC on March 26, 2024, and March 27, 2024, respectively (the “Annual Report”), during the fourth quarter of 2023, the Company identified certain errors with respect to the income tax benefit it recorded associated with the goodwill impairment. As a result, the goodwill impairment and income tax benefit were understated, netting to a $38.0 million increase in the net loss for the three and nine months ended September 30, 2023. As discussed in Note 2 to the Company’s consolidated financial statements included in the Annual Report, the Company had previously concluded that the error was immaterial, and the error was corrected as an immaterial correction to the 2023 Interim Financial Statements.</w:t>
      </w:r>
    </w:p>
    <w:p>
      <w:pPr>
        <w:spacing w:after="0" w:line="21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On October 30, 2024, the audit committee of the board of directors of the Company, in consultation with senior management of the Company, concluded that the error was material to the 2023 Interim Financial Statements and should have been reflected as a restatement of the 2023 Interim Financial Statements.</w:t>
      </w:r>
    </w:p>
    <w:p>
      <w:pPr>
        <w:spacing w:after="0" w:line="196"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8"/>
          <w:szCs w:val="18"/>
          <w:color w:val="auto"/>
        </w:rPr>
        <w:t>The impact of the restatement on our prior period unaudited condensed consolidated balance sheet, condensed consolidated statement of loss, condensed consolidated statement of comprehensive loss, and condensed consolidated statement of cash flows is presented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6"/>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As of September 30, 2023</w:t>
            </w:r>
          </w:p>
        </w:tc>
        <w:tc>
          <w:tcPr>
            <w:tcW w:w="1280" w:type="dxa"/>
            <w:vAlign w:val="bottom"/>
            <w:tcBorders>
              <w:bottom w:val="single" w:sz="8" w:color="auto"/>
            </w:tcBorders>
          </w:tcPr>
          <w:p>
            <w:pPr>
              <w:spacing w:after="0"/>
              <w:rPr>
                <w:sz w:val="20"/>
                <w:szCs w:val="20"/>
                <w:color w:val="auto"/>
              </w:rPr>
            </w:pPr>
          </w:p>
        </w:tc>
      </w:tr>
      <w:tr>
        <w:trPr>
          <w:trHeight w:val="22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80" w:type="dxa"/>
            <w:vAlign w:val="bottom"/>
          </w:tcPr>
          <w:p>
            <w:pPr>
              <w:spacing w:after="0"/>
              <w:rPr>
                <w:sz w:val="19"/>
                <w:szCs w:val="19"/>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0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 Restated</w:t>
            </w:r>
          </w:p>
        </w:tc>
      </w:tr>
      <w:tr>
        <w:trPr>
          <w:trHeight w:val="223"/>
        </w:trPr>
        <w:tc>
          <w:tcPr>
            <w:tcW w:w="65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208,378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157,380</w:t>
            </w:r>
          </w:p>
        </w:tc>
      </w:tr>
      <w:tr>
        <w:trPr>
          <w:trHeight w:val="230"/>
        </w:trPr>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90,792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103,827</w:t>
            </w:r>
          </w:p>
        </w:tc>
      </w:tr>
      <w:tr>
        <w:trPr>
          <w:trHeight w:val="229"/>
        </w:trPr>
        <w:tc>
          <w:tcPr>
            <w:tcW w:w="6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4,981,325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4,943,362</w:t>
            </w:r>
          </w:p>
        </w:tc>
      </w:tr>
      <w:tr>
        <w:trPr>
          <w:trHeight w:val="230"/>
        </w:trPr>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Distributions in excess of accumulated earnings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(3,665,569)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(3,703,515)</w:t>
            </w:r>
          </w:p>
        </w:tc>
      </w:tr>
      <w:tr>
        <w:trPr>
          <w:trHeight w:val="230"/>
        </w:trPr>
        <w:tc>
          <w:tcPr>
            <w:tcW w:w="6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Uniti shareholders' deficit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(2,446,730)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(2,484,676)</w:t>
            </w:r>
          </w:p>
        </w:tc>
      </w:tr>
      <w:tr>
        <w:trPr>
          <w:trHeight w:val="230"/>
        </w:trPr>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partnership units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r>
      <w:tr>
        <w:trPr>
          <w:trHeight w:val="229"/>
        </w:trPr>
        <w:tc>
          <w:tcPr>
            <w:tcW w:w="6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shareholders' deficit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(2,444,440)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(2,482,403)</w:t>
            </w:r>
          </w:p>
        </w:tc>
      </w:tr>
      <w:tr>
        <w:trPr>
          <w:trHeight w:val="234"/>
        </w:trPr>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Liabilities and Shareholders' Deficit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4,981,325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(37,963)</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4,943,362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6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871"/>
        </w:trPr>
        <w:tc>
          <w:tcPr>
            <w:tcW w:w="1280" w:type="dxa"/>
            <w:vAlign w:val="bottom"/>
            <w:tcBorders>
              <w:top w:val="single" w:sz="8" w:color="0000FF"/>
            </w:tcBorders>
          </w:tcPr>
          <w:p>
            <w:pPr>
              <w:spacing w:after="0"/>
              <w:rPr>
                <w:sz w:val="24"/>
                <w:szCs w:val="24"/>
                <w:color w:val="auto"/>
              </w:rPr>
            </w:pPr>
          </w:p>
        </w:tc>
        <w:tc>
          <w:tcPr>
            <w:tcW w:w="5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7"/>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2023</w:t>
            </w:r>
          </w:p>
        </w:tc>
      </w:tr>
      <w:tr>
        <w:trPr>
          <w:trHeight w:val="223"/>
        </w:trPr>
        <w:tc>
          <w:tcPr>
            <w:tcW w:w="6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(Thousands)</w:t>
            </w:r>
          </w:p>
        </w:tc>
        <w:tc>
          <w:tcPr>
            <w:tcW w:w="180" w:type="dxa"/>
            <w:vAlign w:val="bottom"/>
          </w:tcPr>
          <w:p>
            <w:pPr>
              <w:spacing w:after="0"/>
              <w:rPr>
                <w:sz w:val="19"/>
                <w:szCs w:val="19"/>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80" w:type="dxa"/>
            <w:vAlign w:val="bottom"/>
          </w:tcPr>
          <w:p>
            <w:pPr>
              <w:spacing w:after="0"/>
              <w:rPr>
                <w:sz w:val="19"/>
                <w:szCs w:val="19"/>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0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 Restated</w:t>
            </w:r>
          </w:p>
        </w:tc>
      </w:tr>
      <w:tr>
        <w:trPr>
          <w:trHeight w:val="223"/>
        </w:trPr>
        <w:tc>
          <w:tcPr>
            <w:tcW w:w="6500" w:type="dxa"/>
            <w:vAlign w:val="bottom"/>
            <w:tcBorders>
              <w:top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 impairment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203,998</w:t>
            </w:r>
          </w:p>
        </w:tc>
      </w:tr>
      <w:tr>
        <w:trPr>
          <w:trHeight w:val="230"/>
        </w:trPr>
        <w:tc>
          <w:tcPr>
            <w:tcW w:w="6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Loss before income taxes and equity in earnings from unconsolidated entities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(124,698)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(50,998)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(175,696)</w:t>
            </w:r>
          </w:p>
        </w:tc>
      </w:tr>
      <w:tr>
        <w:trPr>
          <w:trHeight w:val="229"/>
        </w:trPr>
        <w:tc>
          <w:tcPr>
            <w:tcW w:w="66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benefit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(56,130)</w:t>
            </w:r>
          </w:p>
        </w:tc>
      </w:tr>
      <w:tr>
        <w:trPr>
          <w:trHeight w:val="230"/>
        </w:trPr>
        <w:tc>
          <w:tcPr>
            <w:tcW w:w="6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(80,933)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(118,896)</w:t>
            </w:r>
          </w:p>
        </w:tc>
      </w:tr>
      <w:tr>
        <w:trPr>
          <w:trHeight w:val="229"/>
        </w:trPr>
        <w:tc>
          <w:tcPr>
            <w:tcW w:w="66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6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Net loss attributable to shareholders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(80,897)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(118,843)</w:t>
            </w:r>
          </w:p>
        </w:tc>
      </w:tr>
      <w:tr>
        <w:trPr>
          <w:trHeight w:val="230"/>
        </w:trPr>
        <w:tc>
          <w:tcPr>
            <w:tcW w:w="66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(119,169)</w:t>
            </w:r>
          </w:p>
        </w:tc>
      </w:tr>
      <w:tr>
        <w:trPr>
          <w:trHeight w:val="229"/>
        </w:trPr>
        <w:tc>
          <w:tcPr>
            <w:tcW w:w="6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Earnings per share - 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r>
      <w:tr>
        <w:trPr>
          <w:trHeight w:val="229"/>
        </w:trPr>
        <w:tc>
          <w:tcPr>
            <w:tcW w:w="66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r>
      <w:tr>
        <w:trPr>
          <w:trHeight w:val="270"/>
        </w:trPr>
        <w:tc>
          <w:tcPr>
            <w:tcW w:w="650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0"/>
        </w:trPr>
        <w:tc>
          <w:tcPr>
            <w:tcW w:w="6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6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(80,933)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(118,896)</w:t>
            </w:r>
          </w:p>
        </w:tc>
      </w:tr>
      <w:tr>
        <w:trPr>
          <w:trHeight w:val="230"/>
        </w:trPr>
        <w:tc>
          <w:tcPr>
            <w:tcW w:w="66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Comprehensive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(118,896)</w:t>
            </w:r>
          </w:p>
        </w:tc>
      </w:tr>
      <w:tr>
        <w:trPr>
          <w:trHeight w:val="229"/>
        </w:trPr>
        <w:tc>
          <w:tcPr>
            <w:tcW w:w="6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66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Comprehensive loss attributable to shareholders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(118,843)</w:t>
            </w: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7"/>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2023</w:t>
            </w:r>
          </w:p>
        </w:tc>
      </w:tr>
      <w:tr>
        <w:trPr>
          <w:trHeight w:val="22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(Thousands)</w:t>
            </w:r>
          </w:p>
        </w:tc>
        <w:tc>
          <w:tcPr>
            <w:tcW w:w="180" w:type="dxa"/>
            <w:vAlign w:val="bottom"/>
          </w:tcPr>
          <w:p>
            <w:pPr>
              <w:spacing w:after="0"/>
              <w:rPr>
                <w:sz w:val="19"/>
                <w:szCs w:val="19"/>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80" w:type="dxa"/>
            <w:vAlign w:val="bottom"/>
          </w:tcPr>
          <w:p>
            <w:pPr>
              <w:spacing w:after="0"/>
              <w:rPr>
                <w:sz w:val="19"/>
                <w:szCs w:val="19"/>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0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 Restated</w:t>
            </w:r>
          </w:p>
        </w:tc>
      </w:tr>
      <w:tr>
        <w:trPr>
          <w:trHeight w:val="223"/>
        </w:trPr>
        <w:tc>
          <w:tcPr>
            <w:tcW w:w="65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 impairment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203,998</w:t>
            </w:r>
          </w:p>
        </w:tc>
      </w:tr>
      <w:tr>
        <w:trPr>
          <w:trHeight w:val="230"/>
        </w:trPr>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Loss before income taxes and equity in earnings from unconsolidated entities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(126,360)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(50,998)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(177,358)</w:t>
            </w:r>
          </w:p>
        </w:tc>
      </w:tr>
      <w:tr>
        <w:trPr>
          <w:trHeight w:val="229"/>
        </w:trPr>
        <w:tc>
          <w:tcPr>
            <w:tcW w:w="6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benefit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(62,899)</w:t>
            </w:r>
          </w:p>
        </w:tc>
      </w:tr>
      <w:tr>
        <w:trPr>
          <w:trHeight w:val="230"/>
        </w:trPr>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(74,506)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(112,469)</w:t>
            </w:r>
          </w:p>
        </w:tc>
      </w:tr>
      <w:tr>
        <w:trPr>
          <w:trHeight w:val="229"/>
        </w:trPr>
        <w:tc>
          <w:tcPr>
            <w:tcW w:w="6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loss attributable to shareholders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(74,473)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(112,419)</w:t>
            </w:r>
          </w:p>
        </w:tc>
      </w:tr>
      <w:tr>
        <w:trPr>
          <w:trHeight w:val="230"/>
        </w:trPr>
        <w:tc>
          <w:tcPr>
            <w:tcW w:w="6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(113,324)</w:t>
            </w:r>
          </w:p>
        </w:tc>
      </w:tr>
      <w:tr>
        <w:trPr>
          <w:trHeight w:val="230"/>
        </w:trPr>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Earnings per share - 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r>
      <w:tr>
        <w:trPr>
          <w:trHeight w:val="229"/>
        </w:trPr>
        <w:tc>
          <w:tcPr>
            <w:tcW w:w="6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r>
      <w:tr>
        <w:trPr>
          <w:trHeight w:val="270"/>
        </w:trPr>
        <w:tc>
          <w:tcPr>
            <w:tcW w:w="6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0"/>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(74,506)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(112,469)</w:t>
            </w:r>
          </w:p>
        </w:tc>
      </w:tr>
      <w:tr>
        <w:trPr>
          <w:trHeight w:val="230"/>
        </w:trPr>
        <w:tc>
          <w:tcPr>
            <w:tcW w:w="6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Comprehensive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(112,469)</w:t>
            </w:r>
          </w:p>
        </w:tc>
      </w:tr>
      <w:tr>
        <w:trPr>
          <w:trHeight w:val="229"/>
        </w:trPr>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6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Comprehensive loss attributable to shareholders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(112,419)</w:t>
            </w: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7"/>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2023</w:t>
            </w:r>
          </w:p>
        </w:tc>
      </w:tr>
      <w:tr>
        <w:trPr>
          <w:trHeight w:val="22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(Thousands)</w:t>
            </w:r>
          </w:p>
        </w:tc>
        <w:tc>
          <w:tcPr>
            <w:tcW w:w="180" w:type="dxa"/>
            <w:vAlign w:val="bottom"/>
          </w:tcPr>
          <w:p>
            <w:pPr>
              <w:spacing w:after="0"/>
              <w:rPr>
                <w:sz w:val="19"/>
                <w:szCs w:val="19"/>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80" w:type="dxa"/>
            <w:vAlign w:val="bottom"/>
          </w:tcPr>
          <w:p>
            <w:pPr>
              <w:spacing w:after="0"/>
              <w:rPr>
                <w:sz w:val="19"/>
                <w:szCs w:val="19"/>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0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 Restated</w:t>
            </w:r>
          </w:p>
        </w:tc>
      </w:tr>
      <w:tr>
        <w:trPr>
          <w:trHeight w:val="223"/>
        </w:trPr>
        <w:tc>
          <w:tcPr>
            <w:tcW w:w="6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r>
      <w:tr>
        <w:trPr>
          <w:trHeight w:val="229"/>
        </w:trPr>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(74,506)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(112,469)</w:t>
            </w:r>
          </w:p>
        </w:tc>
      </w:tr>
      <w:tr>
        <w:trPr>
          <w:trHeight w:val="230"/>
        </w:trPr>
        <w:tc>
          <w:tcPr>
            <w:tcW w:w="6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6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(50,161)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(63,196)</w:t>
            </w:r>
          </w:p>
        </w:tc>
      </w:tr>
      <w:tr>
        <w:trPr>
          <w:trHeight w:val="230"/>
        </w:trPr>
        <w:tc>
          <w:tcPr>
            <w:tcW w:w="6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Goodwill impairment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153,000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203,998</w:t>
            </w:r>
          </w:p>
        </w:tc>
      </w:tr>
      <w:tr>
        <w:trPr>
          <w:trHeight w:val="234"/>
        </w:trPr>
        <w:tc>
          <w:tcPr>
            <w:tcW w:w="6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190,575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190,575</w:t>
            </w:r>
          </w:p>
        </w:tc>
      </w:tr>
      <w:tr>
        <w:trPr>
          <w:trHeight w:val="913"/>
        </w:trPr>
        <w:tc>
          <w:tcPr>
            <w:tcW w:w="65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01"/>
        </w:trPr>
        <w:tc>
          <w:tcPr>
            <w:tcW w:w="65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Basis of Presentation and Summary of Significant Accounting Policies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The accompanying Condensed Consolidated Financial Statements include all accounts of the Company and its wholly-owned and/or controlled subsidiaries, including the Operating Partnership. Under the Accounting Standards Codification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(“ASC 810”), the Operating Partnership is considered a variable interest entity and is consolidated in the Condensed Consolidated Financial Statements of Uniti Group Inc. because the Company is the primary beneficiary. All material intercompany balances and transactions have been eliminated.</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ASC 810 provides guidance on the identification of entities for which control is achieved through means other than voting rights (“variable interest entities” or “VIEs”) and the determination of which business enterprise, if any, should consolidate the VIEs. Generally, the consideration of whether an entity is a VIE applies when either: (1) the equity investors (if any) lack (i) the ability to make decisions about the entity’s activities through voting or similar rights, (ii) the obligation to absorb the expected losses of the entity, or (iii) the right to receive the expected residual returns of the entity; (2) the equity investment at risk is insufficient to finance that entity’s activities without additional subordinated financial support; or (3) the equity investors have voting rights that are not proportionate to their economic interests and substantially all of the activities of the entity involve or are conducted on behalf of an investor with a disproportionately small voting interest. The Company consolidates VIEs in which it is considered to be the primary beneficiary. The primary beneficiary is defined as the entity having both of the following characteristics: (1) the power to direct the activities that, when taken together, most significantly impact the VIE’s performance; and (2) the obligation to absorb losses and right to receive the returns from the VIE that would be significant to the VIE.</w:t>
      </w:r>
    </w:p>
    <w:p>
      <w:pPr>
        <w:spacing w:after="0" w:line="194"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 Securities and Exchange Commission (“SEC”). Accordingly, they do not include all of the information and footnotes required by GAAP for complete financial statements. In the opinion of management, all adjustments (consisting of normal recurring accruals) considered necessary for a fair statement of results for the interim period have been included. Operating results from any interim period are not necessarily indicative of the results that may be expected for the full fiscal year. The accompanying Condensed Consolidated Financial Statements and related notes should be read in conjunction with the audited consolidated financial statements and notes thereto included in our Annual Report. Accordingly, significant accounting policies and other disclosures normally provided have been omitted from the accompanying Condensed Consolidated Financial Statements and related notes since such items are disclosed in our Annual Report.</w:t>
      </w:r>
    </w:p>
    <w:p>
      <w:pPr>
        <w:spacing w:after="0" w:line="18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u w:val="single" w:color="auto"/>
          <w:color w:val="auto"/>
        </w:rPr>
        <w:t>Restricted Cash and Cash Equivalents</w:t>
      </w:r>
      <w:r>
        <w:rPr>
          <w:rFonts w:ascii="Times New Roman" w:cs="Times New Roman" w:eastAsia="Times New Roman" w:hAnsi="Times New Roman"/>
          <w:sz w:val="18"/>
          <w:szCs w:val="18"/>
          <w:color w:val="auto"/>
        </w:rPr>
        <w:t xml:space="preserve">—Restricted cash and cash equivalents represent funds that are restricted for an obligation under the ABS Loan Facility (as defined in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auto"/>
        </w:rPr>
        <w:t>) to maintain three months of interest and other expenses.</w:t>
      </w:r>
    </w:p>
    <w:p>
      <w:pPr>
        <w:spacing w:after="0" w:line="16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and cash equivalents within the Condensed Consolidated Balance Sheets to the total cash and cash equivalents and restricted cash and cash equivalents within the Condensed Consolidated Statements of Cash Flows.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2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6"/>
                <w:szCs w:val="16"/>
                <w:color w:val="auto"/>
              </w:rPr>
            </w:pPr>
          </w:p>
        </w:tc>
        <w:tc>
          <w:tcPr>
            <w:tcW w:w="136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62,264</w:t>
            </w:r>
          </w:p>
        </w:tc>
      </w:tr>
      <w:tr>
        <w:trPr>
          <w:trHeight w:val="230"/>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restricted cash and cash equivalents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62,264</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u w:val="single" w:color="auto"/>
          <w:color w:val="auto"/>
        </w:rPr>
        <w:t>Concentration of Credit Risks</w:t>
      </w:r>
      <w:r>
        <w:rPr>
          <w:rFonts w:ascii="Times New Roman" w:cs="Times New Roman" w:eastAsia="Times New Roman" w:hAnsi="Times New Roman"/>
          <w:sz w:val="18"/>
          <w:szCs w:val="18"/>
          <w:color w:val="auto"/>
        </w:rPr>
        <w:t>—Prior to September 2020, we were party to a long-term exclusive triple-net lease (the “Master Lease”) with Windstream pursuant to which a substantial portion of our real property was leased to Windstream and from which a substantial portion of our leasing revenues were derived. On September 18, 2020, Uniti and Windstream bifurcated the Master Lease and entered into two structurally similar master leases (collectively, the “Windstream Leases”), which amended and restated the Master Lease in its entirety. The Windstream Leases consist of (a) a master lease (the "ILEC MLA") that governs Uniti owned assets used for Windstream's incumbent local exchange carrier ("ILEC") operations and (b) a master lease (the "CLEC MLA") that governs Uniti owned assets used for Windstream's consumer competitive local exchange carrier ("CLEC") operations. Revenue under the Windstream Leases provided 68.2% and 66.9% of our revenue for the nine months ended September 30, 2024 and 2023, respectively. Because a substantial portion of our revenue and cash flows are derived from lease payments by Windstream pursuant to the Windstream Leases, there could be a material adverse impact on our consolidated results of operations, liquidity, financial condition and/or ability to</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service debt if Windstream were to default under the Windstream Leases or otherwise experiences operating or liquidity difficulties and becomes unable to generate sufficient cash to make payments to us.</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monitor the credit quality of Windstream through numerous methods, including by (i) reviewing credit ratings of Windstream by nationally recognized credit agencies, (ii) reviewing the financial statements of Windstream that are required to be delivered to us pursuant to the Windstream Leases, (iii) monitoring news reports regarding Windstream and its business, (iv) conducting research to ascertain industry trends potentially affecting Windstream, (v) monitoring Windstream’s compliance with the terms of the Windstream Leases and (vi) monitoring the timeliness of its payments under the Windstream Leases.</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the date of this Quarterly Report on Form 10-Q, Windstream is current on all lease payments. We note that in August 2020, Moody’s Investor Service assigned a B3 corporate family rating with a stable outlook to Windstream in connection with its post-emergence exit financing. At the same time, S&amp;P Global Ratings assigned Windstream a B- issuer rating with a stable outlook. Both ratings remain current as of the date of this filing. In order to assist us in our continuing assessment of Windstream’s creditworthiness, we periodically receive certain confidential financial information and metrics from Windstream.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Pronouncements Not Yet Adopted</w:t>
      </w:r>
    </w:p>
    <w:p>
      <w:pPr>
        <w:spacing w:after="0" w:line="22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Accounting Standards Update ("ASU") 2023-07, </w:t>
      </w:r>
      <w:r>
        <w:rPr>
          <w:rFonts w:ascii="Times New Roman" w:cs="Times New Roman" w:eastAsia="Times New Roman" w:hAnsi="Times New Roman"/>
          <w:sz w:val="18"/>
          <w:szCs w:val="18"/>
          <w:i w:val="1"/>
          <w:iCs w:val="1"/>
          <w:color w:val="auto"/>
        </w:rPr>
        <w:t>Segment Reporting—Improvements to Reportable 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2023-07"), which requires incremental disclosures related to reportable segments. Specifically, the ASU requires disclosure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segment expense categories and amounts for each reportable segment. The ASU is effective for fiscal years beginning after December 15, 2023, and interim periods in fiscal years beginning after December 15, 2024, with early adoption permitted. The Company is currently evaluating this guidance to determine the impact it will have on our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Disaggregation of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revenues disaggregated by revenue stream.</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8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2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0" w:type="dxa"/>
            <w:vAlign w:val="bottom"/>
          </w:tcPr>
          <w:p>
            <w:pPr>
              <w:spacing w:after="0"/>
              <w:rPr>
                <w:sz w:val="1"/>
                <w:szCs w:val="1"/>
                <w:color w:val="auto"/>
              </w:rPr>
            </w:pPr>
          </w:p>
        </w:tc>
      </w:tr>
      <w:tr>
        <w:trPr>
          <w:trHeight w:val="23"/>
        </w:trPr>
        <w:tc>
          <w:tcPr>
            <w:tcW w:w="5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Revenue disaggregated by revenue stream</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Uniti Fiber</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Lit backhaul</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17,938</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18,246</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58,305</w:t>
            </w:r>
          </w:p>
        </w:tc>
        <w:tc>
          <w:tcPr>
            <w:tcW w:w="10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57,221</w:t>
            </w:r>
          </w:p>
        </w:tc>
        <w:tc>
          <w:tcPr>
            <w:tcW w:w="0" w:type="dxa"/>
            <w:vAlign w:val="bottom"/>
          </w:tcPr>
          <w:p>
            <w:pPr>
              <w:spacing w:after="0"/>
              <w:rPr>
                <w:sz w:val="1"/>
                <w:szCs w:val="1"/>
                <w:color w:val="auto"/>
              </w:rPr>
            </w:pPr>
          </w:p>
        </w:tc>
      </w:tr>
      <w:tr>
        <w:trPr>
          <w:trHeight w:val="263"/>
        </w:trPr>
        <w:tc>
          <w:tcPr>
            <w:tcW w:w="5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Enterprise and wholesale</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26,381</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24,211</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77,601</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70,144</w:t>
            </w:r>
          </w:p>
        </w:tc>
        <w:tc>
          <w:tcPr>
            <w:tcW w:w="0" w:type="dxa"/>
            <w:vAlign w:val="bottom"/>
          </w:tcPr>
          <w:p>
            <w:pPr>
              <w:spacing w:after="0"/>
              <w:rPr>
                <w:sz w:val="1"/>
                <w:szCs w:val="1"/>
                <w:color w:val="auto"/>
              </w:rPr>
            </w:pPr>
          </w:p>
        </w:tc>
      </w:tr>
      <w:tr>
        <w:trPr>
          <w:trHeight w:val="250"/>
        </w:trPr>
        <w:tc>
          <w:tcPr>
            <w:tcW w:w="5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E-Rate and government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43,947</w:t>
            </w:r>
          </w:p>
        </w:tc>
        <w:tc>
          <w:tcPr>
            <w:tcW w:w="0" w:type="dxa"/>
            <w:vAlign w:val="bottom"/>
          </w:tcPr>
          <w:p>
            <w:pPr>
              <w:spacing w:after="0"/>
              <w:rPr>
                <w:sz w:val="1"/>
                <w:szCs w:val="1"/>
                <w:color w:val="auto"/>
              </w:rPr>
            </w:pPr>
          </w:p>
        </w:tc>
      </w:tr>
      <w:tr>
        <w:trPr>
          <w:trHeight w:val="263"/>
        </w:trPr>
        <w:tc>
          <w:tcPr>
            <w:tcW w:w="5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0" w:type="dxa"/>
            <w:vAlign w:val="bottom"/>
          </w:tcPr>
          <w:p>
            <w:pPr>
              <w:spacing w:after="0"/>
              <w:rPr>
                <w:sz w:val="1"/>
                <w:szCs w:val="1"/>
                <w:color w:val="auto"/>
              </w:rPr>
            </w:pPr>
          </w:p>
        </w:tc>
      </w:tr>
      <w:tr>
        <w:trPr>
          <w:trHeight w:val="243"/>
        </w:trPr>
        <w:tc>
          <w:tcPr>
            <w:tcW w:w="5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Uniti Fiber</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56,563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59,154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177,195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173,576</w:t>
            </w:r>
          </w:p>
        </w:tc>
        <w:tc>
          <w:tcPr>
            <w:tcW w:w="0" w:type="dxa"/>
            <w:vAlign w:val="bottom"/>
          </w:tcPr>
          <w:p>
            <w:pPr>
              <w:spacing w:after="0"/>
              <w:rPr>
                <w:sz w:val="1"/>
                <w:szCs w:val="1"/>
                <w:color w:val="auto"/>
              </w:rPr>
            </w:pPr>
          </w:p>
        </w:tc>
      </w:tr>
      <w:tr>
        <w:trPr>
          <w:trHeight w:val="263"/>
        </w:trPr>
        <w:tc>
          <w:tcPr>
            <w:tcW w:w="5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Uniti Leasing</w:t>
            </w: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0" w:type="dxa"/>
            <w:vAlign w:val="bottom"/>
          </w:tcPr>
          <w:p>
            <w:pPr>
              <w:spacing w:after="0"/>
              <w:rPr>
                <w:sz w:val="1"/>
                <w:szCs w:val="1"/>
                <w:color w:val="auto"/>
              </w:rPr>
            </w:pPr>
          </w:p>
        </w:tc>
      </w:tr>
      <w:tr>
        <w:trPr>
          <w:trHeight w:val="24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58,362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61,022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182,268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178,718</w:t>
            </w:r>
          </w:p>
        </w:tc>
        <w:tc>
          <w:tcPr>
            <w:tcW w:w="0" w:type="dxa"/>
            <w:vAlign w:val="bottom"/>
          </w:tcPr>
          <w:p>
            <w:pPr>
              <w:spacing w:after="0"/>
              <w:rPr>
                <w:sz w:val="1"/>
                <w:szCs w:val="1"/>
                <w:color w:val="auto"/>
              </w:rPr>
            </w:pPr>
          </w:p>
        </w:tc>
      </w:tr>
      <w:tr>
        <w:trPr>
          <w:trHeight w:val="263"/>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accounted for under leasing guidance</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Uniti Leasing</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221,123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212,720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653,756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632,707</w:t>
            </w:r>
          </w:p>
        </w:tc>
        <w:tc>
          <w:tcPr>
            <w:tcW w:w="0" w:type="dxa"/>
            <w:vAlign w:val="bottom"/>
          </w:tcPr>
          <w:p>
            <w:pPr>
              <w:spacing w:after="0"/>
              <w:rPr>
                <w:sz w:val="1"/>
                <w:szCs w:val="1"/>
                <w:color w:val="auto"/>
              </w:rPr>
            </w:pPr>
          </w:p>
        </w:tc>
      </w:tr>
      <w:tr>
        <w:trPr>
          <w:trHeight w:val="263"/>
        </w:trPr>
        <w:tc>
          <w:tcPr>
            <w:tcW w:w="5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Uniti Fiber</w:t>
            </w: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12,762</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16,913</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37,588</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52,750</w:t>
            </w:r>
          </w:p>
        </w:tc>
        <w:tc>
          <w:tcPr>
            <w:tcW w:w="0" w:type="dxa"/>
            <w:vAlign w:val="bottom"/>
          </w:tcPr>
          <w:p>
            <w:pPr>
              <w:spacing w:after="0"/>
              <w:rPr>
                <w:sz w:val="1"/>
                <w:szCs w:val="1"/>
                <w:color w:val="auto"/>
              </w:rPr>
            </w:pPr>
          </w:p>
        </w:tc>
      </w:tr>
      <w:tr>
        <w:trPr>
          <w:trHeight w:val="244"/>
        </w:trPr>
        <w:tc>
          <w:tcPr>
            <w:tcW w:w="5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 accounted for under leasing guidance</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233,885</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229,633</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691,344</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685,457</w:t>
            </w:r>
          </w:p>
        </w:tc>
        <w:tc>
          <w:tcPr>
            <w:tcW w:w="0" w:type="dxa"/>
            <w:vAlign w:val="bottom"/>
          </w:tcPr>
          <w:p>
            <w:pPr>
              <w:spacing w:after="0"/>
              <w:rPr>
                <w:sz w:val="1"/>
                <w:szCs w:val="1"/>
                <w:color w:val="auto"/>
              </w:rPr>
            </w:pPr>
          </w:p>
        </w:tc>
      </w:tr>
      <w:tr>
        <w:trPr>
          <w:trHeight w:val="275"/>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292,247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290,655</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873,612</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864,175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At September 30, 2024 and December 31, 2023, lease receivables were $27.3 million and $22.0 million, respectively, and receivables from contracts with customers were $21.1 million and $18.8 million,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Assets (Unbilled Revenue) and Liabilities (Deferred Revenue)</w:t>
      </w:r>
    </w:p>
    <w:p>
      <w:pPr>
        <w:spacing w:after="0" w:line="22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Contract assets primarily consist of unbilled construction revenue where we are utilizing our costs incurred as the measure of progress of satisfying our performance obligation. Contract assets are reported within accounts receivable, net on our Condensed Consolidated Balance Sheets. When the contract price is invoiced, the related unbilled receivable is reclassified to trade accounts receivable, where the balance will be settled upon the collection of the invoiced amount. Contract liabilities are generally comprised of upfront fees charged to the customer for the cost of establishing the necessary components of the Company’s network prior to the commencement of use by the customer. Fees charged to customers for the recurring use of the Company’s network are recognized during the related periods of service. Upfront fees that are billed in advance of providing services are deferred until such time the customer accepts the Company’s network and then are recognized as service revenues ratably over a period in which substantive services required under the revenue arrangement are expected to be performed, which is the initial term of the arrangement. During the three and nine months ended September 30, 2024, we recognized revenues of $0.8 million and $3.4 million, respectively, which were included in the December 31, 2023 contract liabilities balance.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assets and contract liabilities accounted for under ASC 606.</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 Assets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Contract Liabilities</w:t>
            </w:r>
          </w:p>
        </w:tc>
      </w:tr>
      <w:tr>
        <w:trPr>
          <w:trHeight w:val="23"/>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20" w:type="dxa"/>
            <w:vAlign w:val="bottom"/>
            <w:tcBorders>
              <w:bottom w:val="single" w:sz="8" w:color="auto"/>
            </w:tcBorders>
            <w:shd w:val="clear" w:color="auto" w:fill="CCEEFF"/>
          </w:tcPr>
          <w:p>
            <w:pPr>
              <w:jc w:val="right"/>
              <w:ind w:right="103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26</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11,109</w:t>
            </w: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220" w:type="dxa"/>
            <w:vAlign w:val="bottom"/>
          </w:tcPr>
          <w:p>
            <w:pPr>
              <w:jc w:val="right"/>
              <w:ind w:right="103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10,613</w:t>
            </w: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360" w:type="dxa"/>
            <w:vAlign w:val="bottom"/>
            <w:tcBorders>
              <w:top w:val="single" w:sz="8" w:color="auto"/>
              <w:bottom w:val="single" w:sz="8" w:color="auto"/>
            </w:tcBorders>
          </w:tcPr>
          <w:p>
            <w:pPr>
              <w:spacing w:after="0"/>
              <w:rPr>
                <w:sz w:val="2"/>
                <w:szCs w:val="2"/>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Transaction Price Allocated to Remaining Performance Obligations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Performance obligations within contracts to stand ready to provide services are typically satisfied over time or as those services are provided. Contract liabilities primarily relate to deferred revenue from upfront customer payments. The deferred revenue is recognized, and the liability reduced, over the contract term as the Company completes the performance obligation. As of September 30, 2024, our future revenues (i.e., transaction price related to remaining performance obligations) under contract accounted for under ASC 606 totaled $624.7 million, of which $552.5 million is related to contracts that are currently being invoiced and have an average remaining contract term of 3.1 years, while $72.2 million represents our backlog for sales bookings which</w:t>
      </w:r>
    </w:p>
    <w:p>
      <w:pPr>
        <w:spacing w:after="0" w:line="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have yet to be installed and have an average contract term of 5.3 years. We do not disclose the value of unsatisfied performance obligations for contracts that have an original expected duration of one year or less.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Accounting</w:t>
      </w:r>
    </w:p>
    <w:p>
      <w:pPr>
        <w:spacing w:after="0" w:line="227" w:lineRule="exact"/>
        <w:rPr>
          <w:sz w:val="20"/>
          <w:szCs w:val="20"/>
          <w:color w:val="auto"/>
        </w:rPr>
      </w:pPr>
    </w:p>
    <w:p>
      <w:pPr>
        <w:ind w:right="300"/>
        <w:spacing w:after="0" w:line="257" w:lineRule="auto"/>
        <w:rPr>
          <w:sz w:val="20"/>
          <w:szCs w:val="20"/>
          <w:color w:val="auto"/>
        </w:rPr>
      </w:pPr>
      <w:r>
        <w:rPr>
          <w:rFonts w:ascii="Times New Roman" w:cs="Times New Roman" w:eastAsia="Times New Roman" w:hAnsi="Times New Roman"/>
          <w:sz w:val="18"/>
          <w:szCs w:val="18"/>
          <w:color w:val="auto"/>
        </w:rPr>
        <w:t>We lease communications towers, ground space, colocation space and dark fiber to tenants under operating leases. Our leases have initial lease terms ranging from less than one year to 35 years, most of which include options to extend or renew the leases for less than one year to 20 years (based on the satisfaction of certain conditions as defined in the lease agreements), and some of which may include options to terminate the leases within one to six</w:t>
      </w:r>
    </w:p>
    <w:p>
      <w:pPr>
        <w:spacing w:after="0" w:line="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months</w:t>
      </w:r>
      <w:r>
        <w:rPr>
          <w:rFonts w:ascii="Arial" w:cs="Arial" w:eastAsia="Arial" w:hAnsi="Arial"/>
          <w:sz w:val="21"/>
          <w:szCs w:val="21"/>
          <w:color w:val="auto"/>
        </w:rPr>
        <w:t>.</w:t>
      </w:r>
      <w:r>
        <w:rPr>
          <w:rFonts w:ascii="Times New Roman" w:cs="Times New Roman" w:eastAsia="Times New Roman" w:hAnsi="Times New Roman"/>
          <w:sz w:val="18"/>
          <w:szCs w:val="18"/>
          <w:color w:val="auto"/>
        </w:rPr>
        <w:t xml:space="preserve"> Certain lease agreements contain provisions for future rent increases. Payments due under the lease contracts include fixed payments plus, for some of our leases, variable payments.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income for the three and nine months ended September 30, 2024 and 2023 respectively, are as follows:</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60" w:type="dxa"/>
            <w:vAlign w:val="bottom"/>
            <w:gridSpan w:val="4"/>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income - operating leases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233,885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229,633</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691,344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Lease payments to be received under non-cancellable operating leases where we are the lessor for the remainder of the lease terms as of September 30, 2024 are as follows:</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9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48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4"/>
                <w:szCs w:val="14"/>
                <w:b w:val="1"/>
                <w:bCs w:val="1"/>
                <w:color w:val="auto"/>
              </w:rPr>
              <w:t>September 30, 2024</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¹</w:t>
            </w:r>
            <w:r>
              <w:rPr>
                <w:rFonts w:ascii="MS PGothic" w:cs="MS PGothic" w:eastAsia="MS PGothic" w:hAnsi="MS PGothic"/>
                <w:sz w:val="14"/>
                <w:szCs w:val="14"/>
                <w:color w:val="auto"/>
              </w:rPr>
              <w:t>⁾</w:t>
            </w:r>
          </w:p>
        </w:tc>
      </w:tr>
      <w:tr>
        <w:trPr>
          <w:trHeight w:val="251"/>
        </w:trPr>
        <w:tc>
          <w:tcPr>
            <w:tcW w:w="9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204,518</w:t>
            </w:r>
          </w:p>
        </w:tc>
      </w:tr>
      <w:tr>
        <w:trPr>
          <w:trHeight w:val="250"/>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836,266</w:t>
            </w:r>
          </w:p>
        </w:tc>
      </w:tr>
      <w:tr>
        <w:trPr>
          <w:trHeight w:val="263"/>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842,822</w:t>
            </w:r>
          </w:p>
        </w:tc>
      </w:tr>
      <w:tr>
        <w:trPr>
          <w:trHeight w:val="250"/>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843,315</w:t>
            </w:r>
          </w:p>
        </w:tc>
      </w:tr>
      <w:tr>
        <w:trPr>
          <w:trHeight w:val="263"/>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843,309</w:t>
            </w:r>
          </w:p>
        </w:tc>
      </w:tr>
      <w:tr>
        <w:trPr>
          <w:trHeight w:val="250"/>
        </w:trPr>
        <w:tc>
          <w:tcPr>
            <w:tcW w:w="9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1,593,415</w:t>
            </w:r>
          </w:p>
        </w:tc>
      </w:tr>
      <w:tr>
        <w:trPr>
          <w:trHeight w:val="275"/>
        </w:trPr>
        <w:tc>
          <w:tcPr>
            <w:tcW w:w="9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receivables</w:t>
            </w: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5,163,645</w:t>
            </w: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6991985</wp:posOffset>
            </wp:positionH>
            <wp:positionV relativeFrom="paragraph">
              <wp:posOffset>-1318895</wp:posOffset>
            </wp:positionV>
            <wp:extent cx="94615" cy="749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4615" cy="74930"/>
                    </a:xfrm>
                    <a:prstGeom prst="rect">
                      <a:avLst/>
                    </a:prstGeom>
                    <a:noFill/>
                  </pic:spPr>
                </pic:pic>
              </a:graphicData>
            </a:graphic>
          </wp:anchor>
        </w:drawing>
      </w:r>
    </w:p>
    <w:p>
      <w:pPr>
        <w:ind w:left="220" w:hanging="181"/>
        <w:spacing w:after="0" w:line="208" w:lineRule="auto"/>
        <w:tabs>
          <w:tab w:leader="none" w:pos="22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Total future minimum lease payments to be received include $4.3 billion relating to the Windstream Leases.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underlying assets under operating leases where we are the lessor are summarized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2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6"/>
                <w:szCs w:val="16"/>
                <w:color w:val="auto"/>
              </w:rPr>
            </w:pPr>
          </w:p>
        </w:tc>
        <w:tc>
          <w:tcPr>
            <w:tcW w:w="136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26,533</w:t>
            </w: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347,700</w:t>
            </w:r>
          </w:p>
        </w:tc>
      </w:tr>
      <w:tr>
        <w:trPr>
          <w:trHeight w:val="26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Poles</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333,447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314,488</w:t>
            </w: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Fiber</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4,128,677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3,862,635</w:t>
            </w:r>
          </w:p>
        </w:tc>
      </w:tr>
      <w:tr>
        <w:trPr>
          <w:trHeight w:val="26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Copper</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3,973,887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3,974,410</w:t>
            </w:r>
          </w:p>
        </w:tc>
      </w:tr>
      <w:tr>
        <w:trPr>
          <w:trHeight w:val="26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Conduit</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90,117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90,087</w:t>
            </w: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Tower assets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6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r>
      <w:tr>
        <w:trPr>
          <w:trHeight w:val="250"/>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10,434</w:t>
            </w:r>
          </w:p>
        </w:tc>
      </w:tr>
      <w:tr>
        <w:trPr>
          <w:trHeight w:val="256"/>
        </w:trPr>
        <w:tc>
          <w:tcPr>
            <w:tcW w:w="8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8,914,145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8,628,671</w:t>
            </w:r>
          </w:p>
        </w:tc>
      </w:tr>
      <w:tr>
        <w:trPr>
          <w:trHeight w:val="250"/>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(5,812,265)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(5,690,066)</w:t>
            </w:r>
          </w:p>
        </w:tc>
      </w:tr>
      <w:tr>
        <w:trPr>
          <w:trHeight w:val="275"/>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Underlying assets under operating leases,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3,101,880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2,938,605</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Depreciation expense for the underlying assets under operating leases where we are the lessor for the three and nine months ended September 30, 2024 and 2023, respectively, is summarized as follows:</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60" w:type="dxa"/>
            <w:vAlign w:val="bottom"/>
            <w:gridSpan w:val="4"/>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 for underlying assets under operating leases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45,795</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137,955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136,640</w:t>
            </w: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Accounting</w:t>
      </w:r>
    </w:p>
    <w:p>
      <w:pPr>
        <w:spacing w:after="0" w:line="227"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7"/>
          <w:szCs w:val="17"/>
          <w:color w:val="auto"/>
        </w:rPr>
        <w:t>We have commitments under operating leases for communications towers, ground space, colocation space, dark fiber and buildings. We also have finance leases for dark fiber, equipment, and automobiles. Our leases have initial lease terms ranging from less than one year to 30 years, most of which include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to extend or renew the leases for less than one year to 20 years</w:t>
      </w:r>
      <w:r>
        <w:rPr>
          <w:rFonts w:ascii="Arial" w:cs="Arial" w:eastAsia="Arial" w:hAnsi="Arial"/>
          <w:sz w:val="21"/>
          <w:szCs w:val="21"/>
          <w:color w:val="auto"/>
        </w:rPr>
        <w:t>,</w:t>
      </w:r>
      <w:r>
        <w:rPr>
          <w:rFonts w:ascii="Times New Roman" w:cs="Times New Roman" w:eastAsia="Times New Roman" w:hAnsi="Times New Roman"/>
          <w:sz w:val="18"/>
          <w:szCs w:val="18"/>
          <w:color w:val="auto"/>
        </w:rPr>
        <w:t xml:space="preserve"> and some of which may include options to terminate the leases within one to six</w:t>
      </w:r>
    </w:p>
    <w:p>
      <w:pPr>
        <w:spacing w:after="0" w:line="24"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18"/>
          <w:szCs w:val="18"/>
          <w:color w:val="auto"/>
        </w:rPr>
        <w:t>months</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Certain lease agreements contain provisions for future rent increases. Payments due under the lease contracts include fixed payments plus, for some of our leases, variable payments.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we have short term lease commitments amounting to approximately $4.2 million.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lease payments under non-cancellable leases as of September 30, 2024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80" w:type="dxa"/>
            <w:vAlign w:val="bottom"/>
          </w:tcPr>
          <w:p>
            <w:pPr>
              <w:spacing w:after="0"/>
              <w:rPr>
                <w:sz w:val="16"/>
                <w:szCs w:val="16"/>
                <w:color w:val="auto"/>
              </w:rPr>
            </w:pPr>
          </w:p>
        </w:tc>
        <w:tc>
          <w:tcPr>
            <w:tcW w:w="13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3"/>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r>
      <w:tr>
        <w:trPr>
          <w:trHeight w:val="25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4,241</w:t>
            </w:r>
          </w:p>
        </w:tc>
      </w:tr>
      <w:tr>
        <w:trPr>
          <w:trHeight w:val="26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w:t>
            </w:r>
          </w:p>
        </w:tc>
      </w:tr>
      <w:tr>
        <w:trPr>
          <w:trHeight w:val="25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w:t>
            </w:r>
          </w:p>
        </w:tc>
      </w:tr>
      <w:tr>
        <w:trPr>
          <w:trHeight w:val="26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r>
      <w:tr>
        <w:trPr>
          <w:trHeight w:val="250"/>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102,944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9,327</w:t>
            </w:r>
          </w:p>
        </w:tc>
      </w:tr>
      <w:tr>
        <w:trPr>
          <w:trHeight w:val="257"/>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157,763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24,732</w:t>
            </w:r>
          </w:p>
        </w:tc>
      </w:tr>
      <w:tr>
        <w:trPr>
          <w:trHeight w:val="250"/>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(78,978)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(6,863)</w:t>
            </w:r>
          </w:p>
        </w:tc>
      </w:tr>
      <w:tr>
        <w:trPr>
          <w:trHeight w:val="275"/>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78,785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17,869</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Fair Value of Financial Instruments</w:t>
      </w:r>
    </w:p>
    <w:p>
      <w:pPr>
        <w:spacing w:after="0" w:line="227"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color w:val="auto"/>
        </w:rPr>
        <w:t xml:space="preserve">FASB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establishes a hierarchy of valuation techniques based on the observability of inputs utilized in measuring assets and liabilities at fair values. This hierarchy establishes market-based or observable inputs as the preferred source of values, followed by valuation models using management assumptions in the absence of market inputs. The three levels of the hierarchy are as follows:</w:t>
      </w:r>
    </w:p>
    <w:p>
      <w:pPr>
        <w:spacing w:after="0" w:line="63" w:lineRule="exact"/>
        <w:rPr>
          <w:sz w:val="20"/>
          <w:szCs w:val="20"/>
          <w:color w:val="auto"/>
        </w:rPr>
      </w:pPr>
    </w:p>
    <w:p>
      <w:pPr>
        <w:ind w:right="780"/>
        <w:spacing w:after="0" w:line="39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Level 1 </w:t>
      </w:r>
      <w:r>
        <w:rPr>
          <w:rFonts w:ascii="Times New Roman" w:cs="Times New Roman" w:eastAsia="Times New Roman" w:hAnsi="Times New Roman"/>
          <w:sz w:val="18"/>
          <w:szCs w:val="18"/>
          <w:color w:val="auto"/>
        </w:rPr>
        <w:t>– Quoted prices (unadjusted) in active markets for identical assets or liabilities that the reporting entity can access at the assessment date;</w:t>
      </w:r>
      <w:r>
        <w:rPr>
          <w:rFonts w:ascii="Times New Roman" w:cs="Times New Roman" w:eastAsia="Times New Roman" w:hAnsi="Times New Roman"/>
          <w:sz w:val="18"/>
          <w:szCs w:val="18"/>
          <w:b w:val="1"/>
          <w:bCs w:val="1"/>
          <w:i w:val="1"/>
          <w:iCs w:val="1"/>
          <w:color w:val="auto"/>
        </w:rPr>
        <w:t xml:space="preserve"> Level 2 </w:t>
      </w:r>
      <w:r>
        <w:rPr>
          <w:rFonts w:ascii="Times New Roman" w:cs="Times New Roman" w:eastAsia="Times New Roman" w:hAnsi="Times New Roman"/>
          <w:sz w:val="18"/>
          <w:szCs w:val="18"/>
          <w:color w:val="auto"/>
        </w:rPr>
        <w:t>– Inputs other than quoted prices included within Level 1 that are observable for the asset or liability, either directly or indirectly; and</w:t>
      </w:r>
      <w:r>
        <w:rPr>
          <w:rFonts w:ascii="Times New Roman" w:cs="Times New Roman" w:eastAsia="Times New Roman" w:hAnsi="Times New Roman"/>
          <w:sz w:val="18"/>
          <w:szCs w:val="18"/>
          <w:b w:val="1"/>
          <w:bCs w:val="1"/>
          <w:i w:val="1"/>
          <w:iCs w:val="1"/>
          <w:color w:val="auto"/>
        </w:rPr>
        <w:t xml:space="preserve"> Level 3 </w:t>
      </w:r>
      <w:r>
        <w:rPr>
          <w:rFonts w:ascii="Times New Roman" w:cs="Times New Roman" w:eastAsia="Times New Roman" w:hAnsi="Times New Roman"/>
          <w:sz w:val="18"/>
          <w:szCs w:val="18"/>
          <w:color w:val="auto"/>
        </w:rPr>
        <w:t>– Unobservable inputs for the asset or liability.</w:t>
      </w:r>
    </w:p>
    <w:p>
      <w:pPr>
        <w:spacing w:after="0" w:line="6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financial instruments consist of cash and cash equivalents, accounts and other receivables, our outstanding notes and other debt, settlement payable, interest and dividends payable.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our financial instruments at September 30, 2024 and December 31, 2023:</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Prices with Other</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Active</w:t>
            </w: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6"/>
                <w:szCs w:val="16"/>
                <w:color w:val="auto"/>
              </w:rPr>
            </w:pP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Prices with</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40" w:type="dxa"/>
            <w:vAlign w:val="bottom"/>
          </w:tcPr>
          <w:p>
            <w:pPr>
              <w:spacing w:after="0"/>
              <w:rPr>
                <w:sz w:val="15"/>
                <w:szCs w:val="15"/>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5"/>
                <w:szCs w:val="15"/>
                <w:color w:val="auto"/>
              </w:rPr>
            </w:pP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0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(Thousands)</w:t>
            </w:r>
          </w:p>
        </w:tc>
        <w:tc>
          <w:tcPr>
            <w:tcW w:w="34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6"/>
                <w:szCs w:val="16"/>
                <w:color w:val="auto"/>
              </w:rPr>
            </w:pP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50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At September 30, 2024</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02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 asset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7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02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Senior secured notes - 10.50%, due February 15, 2028 (see Note</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3960" w:type="dxa"/>
            <w:vAlign w:val="bottom"/>
            <w:tcBorders>
              <w:top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10)</w:t>
            </w:r>
          </w:p>
        </w:tc>
        <w:tc>
          <w:tcPr>
            <w:tcW w:w="6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jc w:val="right"/>
              <w:ind w:right="130"/>
              <w:spacing w:after="0" w:line="15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3,100,886</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CCEEFF"/>
            </w:tcBorders>
            <w:gridSpan w:val="2"/>
            <w:shd w:val="clear" w:color="auto" w:fill="CCEEFF"/>
          </w:tcPr>
          <w:p>
            <w:pPr>
              <w:ind w:left="1040"/>
              <w:spacing w:after="0" w:line="15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3,100,886</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CCEEFF"/>
            </w:tcBorders>
            <w:shd w:val="clear" w:color="auto" w:fill="CCEEFF"/>
          </w:tcPr>
          <w:p>
            <w:pPr>
              <w:ind w:left="1040"/>
              <w:spacing w:after="0" w:line="15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auto"/>
            </w:tcBorders>
            <w:shd w:val="clear" w:color="auto" w:fill="CCEEFF"/>
          </w:tcPr>
          <w:p>
            <w:pPr>
              <w:spacing w:after="0"/>
              <w:rPr>
                <w:sz w:val="2"/>
                <w:szCs w:val="2"/>
                <w:color w:val="auto"/>
              </w:rPr>
            </w:pPr>
          </w:p>
        </w:tc>
        <w:tc>
          <w:tcPr>
            <w:tcW w:w="37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2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Senior secured notes - 4.75%, due April 15, 2028</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526,462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526,462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502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Senior unsecured notes - 6.50%, due February 15, 2029</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974,565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974,565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2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Senior unsecured notes - 6.00%, due January 15, 2030</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604,480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604,480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502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Convertible senior notes - 7.50% due December 1, 2027</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345,783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345,783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2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ABS Loan Facility, variable rate, due September 1, 2025</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273,625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5020" w:type="dxa"/>
            <w:vAlign w:val="bottom"/>
            <w:gridSpan w:val="5"/>
            <w:shd w:val="clear" w:color="auto" w:fill="CCEEFF"/>
          </w:tcPr>
          <w:p>
            <w:pPr>
              <w:ind w:left="80"/>
              <w:spacing w:after="0" w:line="182" w:lineRule="exact"/>
              <w:rPr>
                <w:sz w:val="20"/>
                <w:szCs w:val="20"/>
                <w:color w:val="auto"/>
              </w:rPr>
            </w:pPr>
            <w:r>
              <w:rPr>
                <w:rFonts w:ascii="Times New Roman" w:cs="Times New Roman" w:eastAsia="Times New Roman" w:hAnsi="Times New Roman"/>
                <w:sz w:val="18"/>
                <w:szCs w:val="18"/>
                <w:color w:val="auto"/>
              </w:rPr>
              <w:t>Senior secured revolving credit facility, variable rate, due</w:t>
            </w:r>
          </w:p>
        </w:tc>
        <w:tc>
          <w:tcPr>
            <w:tcW w:w="3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02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September 24, 2027</w:t>
            </w:r>
          </w:p>
        </w:tc>
        <w:tc>
          <w:tcPr>
            <w:tcW w:w="34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5020" w:type="dxa"/>
            <w:vAlign w:val="bottom"/>
            <w:tcBorders>
              <w:bottom w:val="single" w:sz="8" w:color="CCEEFF"/>
            </w:tcBorders>
            <w:gridSpan w:val="5"/>
          </w:tcPr>
          <w:p>
            <w:pPr>
              <w:ind w:left="80"/>
              <w:spacing w:after="0"/>
              <w:rPr>
                <w:sz w:val="20"/>
                <w:szCs w:val="20"/>
                <w:color w:val="auto"/>
              </w:rPr>
            </w:pPr>
            <w:r>
              <w:rPr>
                <w:rFonts w:ascii="Times New Roman" w:cs="Times New Roman" w:eastAsia="Times New Roman" w:hAnsi="Times New Roman"/>
                <w:sz w:val="18"/>
                <w:szCs w:val="18"/>
                <w:color w:val="auto"/>
              </w:rPr>
              <w:t>Settlement payable</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94,465</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94,465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0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5,925,265</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5,925,265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6"/>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Prices with Other</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Active</w:t>
            </w: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6"/>
                <w:szCs w:val="16"/>
                <w:color w:val="auto"/>
              </w:rPr>
            </w:pP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Prices with</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4"/>
                <w:szCs w:val="14"/>
                <w:color w:val="auto"/>
              </w:rPr>
            </w:pP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(Thousands)</w:t>
            </w:r>
          </w:p>
        </w:tc>
        <w:tc>
          <w:tcPr>
            <w:tcW w:w="340" w:type="dxa"/>
            <w:vAlign w:val="bottom"/>
          </w:tcPr>
          <w:p>
            <w:pPr>
              <w:spacing w:after="0"/>
              <w:rPr>
                <w:sz w:val="17"/>
                <w:szCs w:val="17"/>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7"/>
                <w:szCs w:val="17"/>
                <w:color w:val="auto"/>
              </w:rPr>
            </w:pP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49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50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502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Senior secured notes - 10.50%, due February 15, 2028</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2,624,596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2,624,596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2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Senior secured notes - 4.75%, due April 15, 2028</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488,205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488,205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502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Senior unsecured notes - 6.50% , due February 15, 2029</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796,125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796,125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2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Senior unsecured notes - 6.00%, due January 15, 2030</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486,675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486,675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502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Exchangeable senior notes - 4.00%, due June 15, 2024</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122,140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122,140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2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Convertible senior notes - 7.50%, due December 1, 2027</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301,755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502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Senior secured revolving credit facility, variable rate, due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shd w:val="clear" w:color="auto" w:fill="CCEEFF"/>
          </w:tcPr>
          <w:p>
            <w:pPr>
              <w:spacing w:after="0"/>
              <w:rPr>
                <w:sz w:val="21"/>
                <w:szCs w:val="21"/>
                <w:color w:val="auto"/>
              </w:rPr>
            </w:pPr>
          </w:p>
        </w:tc>
        <w:tc>
          <w:tcPr>
            <w:tcW w:w="502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September 24, 2027</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207,979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207,979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5020" w:type="dxa"/>
            <w:vAlign w:val="bottom"/>
            <w:tcBorders>
              <w:bottom w:val="single" w:sz="8" w:color="CCEEFF"/>
            </w:tcBorders>
            <w:gridSpan w:val="5"/>
          </w:tcPr>
          <w:p>
            <w:pPr>
              <w:ind w:left="80"/>
              <w:spacing w:after="0"/>
              <w:rPr>
                <w:sz w:val="20"/>
                <w:szCs w:val="20"/>
                <w:color w:val="auto"/>
              </w:rPr>
            </w:pPr>
            <w:r>
              <w:rPr>
                <w:rFonts w:ascii="Times New Roman" w:cs="Times New Roman" w:eastAsia="Times New Roman" w:hAnsi="Times New Roman"/>
                <w:sz w:val="18"/>
                <w:szCs w:val="18"/>
                <w:color w:val="auto"/>
              </w:rPr>
              <w:t>Settlement payable</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160,550</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160,550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50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5,188,025</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5,188,025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carrying value of cash and cash equivalents, accounts and other receivables, and accounts, interest and dividends payable approximate fair values due to the short-term nature of these financial instruments.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680"/>
        <w:spacing w:after="0" w:line="266" w:lineRule="auto"/>
        <w:rPr>
          <w:sz w:val="20"/>
          <w:szCs w:val="20"/>
          <w:color w:val="auto"/>
        </w:rPr>
      </w:pPr>
      <w:r>
        <w:rPr>
          <w:rFonts w:ascii="Times New Roman" w:cs="Times New Roman" w:eastAsia="Times New Roman" w:hAnsi="Times New Roman"/>
          <w:sz w:val="18"/>
          <w:szCs w:val="18"/>
          <w:color w:val="auto"/>
        </w:rPr>
        <w:t>The total principal balance of our outstanding notes and other debt was $5.87 billion at September 30, 2024, with a fair value of $5.83 billion. The estimated fair value of our outstanding notes and other debt was based on available external pricing data and current market rates for similar debt instruments, among other factors, which are classified as Level 2 inputs within the fair value hierarchy.</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Uniti is required to make $490.1 million of cash payments to Windstream in equal installments over 20 consecutive quarters beginning October 2020 (the “Settlement Payable”). </w:t>
      </w:r>
      <w:r>
        <w:rPr>
          <w:rFonts w:ascii="Times New Roman" w:cs="Times New Roman" w:eastAsia="Times New Roman" w:hAnsi="Times New Roman"/>
          <w:sz w:val="18"/>
          <w:szCs w:val="18"/>
          <w:u w:val="single" w:color="auto"/>
          <w:color w:val="0000FF"/>
        </w:rPr>
        <w:t>See Note 13</w:t>
      </w:r>
      <w:r>
        <w:rPr>
          <w:rFonts w:ascii="Times New Roman" w:cs="Times New Roman" w:eastAsia="Times New Roman" w:hAnsi="Times New Roman"/>
          <w:sz w:val="18"/>
          <w:szCs w:val="18"/>
          <w:color w:val="auto"/>
        </w:rPr>
        <w:t>. The Settlement Payable was initially recorded at fair value, using the present value of future cash flows. The future cash flows are discounted using discount rate input based on observable market data. Accordingly, we classify inputs used as Level 2 in the fair value hierarchy. As of September 30, 2024, the remaining Settlement Payable is $95.1 million. There have been no changes in the valuation methodologies used since the initial recording.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Property, Plant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property, plant and equipment is as follows:</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72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Depreciable Lives</w:t>
            </w:r>
          </w:p>
        </w:tc>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6"/>
                <w:szCs w:val="16"/>
                <w:color w:val="auto"/>
              </w:rPr>
            </w:pPr>
          </w:p>
        </w:tc>
        <w:tc>
          <w:tcPr>
            <w:tcW w:w="150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6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Indefinite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30,099</w:t>
            </w:r>
          </w:p>
        </w:tc>
      </w:tr>
      <w:tr>
        <w:trPr>
          <w:trHeight w:val="250"/>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7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3 - 40 years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366,490</w:t>
            </w:r>
          </w:p>
        </w:tc>
      </w:tr>
      <w:tr>
        <w:trPr>
          <w:trHeight w:val="263"/>
        </w:trPr>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Poles</w:t>
            </w:r>
          </w:p>
        </w:tc>
        <w:tc>
          <w:tcPr>
            <w:tcW w:w="17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 years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333,447</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314,489</w:t>
            </w:r>
          </w:p>
        </w:tc>
      </w:tr>
      <w:tr>
        <w:trPr>
          <w:trHeight w:val="250"/>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Fiber</w:t>
            </w:r>
          </w:p>
        </w:tc>
        <w:tc>
          <w:tcPr>
            <w:tcW w:w="17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30 years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5,148,425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4,835,623</w:t>
            </w:r>
          </w:p>
        </w:tc>
      </w:tr>
      <w:tr>
        <w:trPr>
          <w:trHeight w:val="263"/>
        </w:trPr>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17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5 - 7 years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493,096</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460,463</w:t>
            </w:r>
          </w:p>
        </w:tc>
      </w:tr>
      <w:tr>
        <w:trPr>
          <w:trHeight w:val="250"/>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Copper</w:t>
            </w:r>
          </w:p>
        </w:tc>
        <w:tc>
          <w:tcPr>
            <w:tcW w:w="17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20 years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3,973,887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3,974,410</w:t>
            </w:r>
          </w:p>
        </w:tc>
      </w:tr>
      <w:tr>
        <w:trPr>
          <w:trHeight w:val="263"/>
        </w:trPr>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Conduit</w:t>
            </w:r>
          </w:p>
        </w:tc>
        <w:tc>
          <w:tcPr>
            <w:tcW w:w="17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 years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90,117</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90,087</w:t>
            </w:r>
          </w:p>
        </w:tc>
      </w:tr>
      <w:tr>
        <w:trPr>
          <w:trHeight w:val="250"/>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Tower assets</w:t>
            </w:r>
          </w:p>
        </w:tc>
        <w:tc>
          <w:tcPr>
            <w:tcW w:w="17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20 years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r>
      <w:tr>
        <w:trPr>
          <w:trHeight w:val="263"/>
        </w:trPr>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52,824</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52,589</w:t>
            </w:r>
          </w:p>
        </w:tc>
      </w:tr>
      <w:tr>
        <w:trPr>
          <w:trHeight w:val="250"/>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7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15 - 20 years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10,436</w:t>
            </w:r>
          </w:p>
        </w:tc>
      </w:tr>
      <w:tr>
        <w:trPr>
          <w:trHeight w:val="263"/>
        </w:trPr>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49,771</w:t>
            </w:r>
          </w:p>
        </w:tc>
      </w:tr>
      <w:tr>
        <w:trPr>
          <w:trHeight w:val="250"/>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assets</w:t>
            </w:r>
          </w:p>
        </w:tc>
        <w:tc>
          <w:tcPr>
            <w:tcW w:w="17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3 - 7 years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15,731</w:t>
            </w:r>
          </w:p>
        </w:tc>
      </w:tr>
      <w:tr>
        <w:trPr>
          <w:trHeight w:val="257"/>
        </w:trPr>
        <w:tc>
          <w:tcPr>
            <w:tcW w:w="62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50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10,566,494</w:t>
            </w:r>
          </w:p>
        </w:tc>
        <w:tc>
          <w:tcPr>
            <w:tcW w:w="8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10,201,409</w:t>
            </w:r>
          </w:p>
        </w:tc>
      </w:tr>
      <w:tr>
        <w:trPr>
          <w:trHeight w:val="250"/>
        </w:trPr>
        <w:tc>
          <w:tcPr>
            <w:tcW w:w="6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5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(6,409,952)</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(6,219,340)</w:t>
            </w:r>
          </w:p>
        </w:tc>
      </w:tr>
      <w:tr>
        <w:trPr>
          <w:trHeight w:val="270"/>
        </w:trPr>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1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4,156,542</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3,982,069</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our Annual Report for property, plant and equipment accounting policies.</w:t>
      </w:r>
    </w:p>
    <w:p>
      <w:pPr>
        <w:spacing w:after="0" w:line="19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Depreciation expense for the three and nine months ended September 30, 2024 was $71.9 million and $212.6 million, respectively. Depreciation expense for the three and nine months ended September 30, 2023 was $69.9 million and $209.1 million,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CableSouth Transaction</w:t>
      </w:r>
    </w:p>
    <w:p>
      <w:pPr>
        <w:spacing w:after="0" w:line="22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2018, we acquired certain fiber assets from CableSouth Media, LLC (“CableSouth”) and leased back certain of those acquired assets to CableSouth pursuant to a triple-net lease.</w:t>
      </w:r>
    </w:p>
    <w:p>
      <w:pPr>
        <w:spacing w:after="0" w:line="189"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7"/>
          <w:szCs w:val="17"/>
          <w:color w:val="auto"/>
        </w:rPr>
        <w:t>During the fourth quarter of 2023, the Company entered into an agreement with a fund managed by Macquarie Asset Management ("MAM") pursuant to which MAM would make a structured equity investment into CableSouth in order to assist CableSouth in the acquisition of all of our previously acquired CableSouth fiber assets and the buyout of their triple-net lease for cash consideration of $40.0 million (the "CableSouth Transaction"). The Company</w:t>
      </w:r>
    </w:p>
    <w:p>
      <w:pPr>
        <w:ind w:right="640"/>
        <w:spacing w:after="0" w:line="282" w:lineRule="auto"/>
        <w:rPr>
          <w:sz w:val="20"/>
          <w:szCs w:val="20"/>
          <w:color w:val="auto"/>
        </w:rPr>
      </w:pPr>
      <w:r>
        <w:rPr>
          <w:rFonts w:ascii="Times New Roman" w:cs="Times New Roman" w:eastAsia="Times New Roman" w:hAnsi="Times New Roman"/>
          <w:sz w:val="18"/>
          <w:szCs w:val="18"/>
          <w:color w:val="auto"/>
        </w:rPr>
        <w:t>completed the CableSouth Transaction on January 31, 2024 and recorded a $19.0 million gain on sale of real estate in the Condensed Consolidated Statements of Income (Loss).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CableSouth Transaction is included in the results of the Uniti Leasing segment, and because the sale does not represent a strategic shift that will have a major effect on operations and financial results, it does not qualify for presentation as a discontinued operation.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Derivative Instruments and Hedging Activities</w:t>
      </w:r>
    </w:p>
    <w:p>
      <w:pPr>
        <w:spacing w:after="0" w:line="243" w:lineRule="exact"/>
        <w:rPr>
          <w:sz w:val="20"/>
          <w:szCs w:val="20"/>
          <w:color w:val="auto"/>
        </w:rPr>
      </w:pPr>
    </w:p>
    <w:p>
      <w:pPr>
        <w:ind w:right="540"/>
        <w:spacing w:after="0" w:line="279" w:lineRule="auto"/>
        <w:rPr>
          <w:sz w:val="20"/>
          <w:szCs w:val="20"/>
          <w:color w:val="auto"/>
        </w:rPr>
      </w:pPr>
      <w:r>
        <w:rPr>
          <w:rFonts w:ascii="Times New Roman" w:cs="Times New Roman" w:eastAsia="Times New Roman" w:hAnsi="Times New Roman"/>
          <w:sz w:val="17"/>
          <w:szCs w:val="17"/>
          <w:color w:val="auto"/>
        </w:rPr>
        <w:t>The Company uses derivative instruments to mitigate the effects of interest rate volatility inherent in our variable rate debt, which could unfavorably impact our future earnings and forecasted cash flows. The Company does not use derivative instruments for speculative or trading purposes.</w:t>
      </w:r>
    </w:p>
    <w:p>
      <w:pPr>
        <w:spacing w:after="0" w:line="180"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8"/>
          <w:szCs w:val="18"/>
          <w:color w:val="auto"/>
        </w:rPr>
        <w:t xml:space="preserve">On March 1, 2024, the Company entered into an interest rate cap agreement (the "ABS Loan Interest Rate Cap") related to the ABS Loan Facility (as defined in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auto"/>
        </w:rPr>
        <w:t>). This interest rate cap was designated as a cash flow hedge, has a notional value of $275.0 million, and effectively caps the one-month term secured overnight financing rate ("SOFR ") at 4.50%.</w:t>
      </w:r>
    </w:p>
    <w:p>
      <w:pPr>
        <w:spacing w:after="0" w:line="14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fair value of the Company’s derivatives designated as hedging instruments as of September 30, 2024 and December 31, 2023:</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Location on Condensed</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5700" w:type="dxa"/>
            <w:vAlign w:val="bottom"/>
            <w:gridSpan w:val="2"/>
            <w:vMerge w:val="continue"/>
          </w:tcPr>
          <w:p>
            <w:pPr>
              <w:spacing w:after="0"/>
              <w:rPr>
                <w:sz w:val="9"/>
                <w:szCs w:val="9"/>
                <w:color w:val="auto"/>
              </w:rPr>
            </w:pPr>
          </w:p>
        </w:tc>
        <w:tc>
          <w:tcPr>
            <w:tcW w:w="2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120" w:type="dxa"/>
            <w:vAlign w:val="bottom"/>
          </w:tcPr>
          <w:p>
            <w:pPr>
              <w:spacing w:after="0"/>
              <w:rPr>
                <w:sz w:val="9"/>
                <w:szCs w:val="9"/>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Pr>
          <w:p>
            <w:pPr>
              <w:spacing w:after="0"/>
              <w:rPr>
                <w:sz w:val="9"/>
                <w:szCs w:val="9"/>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81"/>
        </w:trPr>
        <w:tc>
          <w:tcPr>
            <w:tcW w:w="5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3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5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caps</w:t>
            </w:r>
          </w:p>
        </w:tc>
        <w:tc>
          <w:tcPr>
            <w:tcW w:w="23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Derivative asset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The following table presents the effects of the Company’s derivative financial instrument on the Condensed Consolidated Statements of Income (Loss) for the periods presented: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80" w:type="dxa"/>
            <w:vAlign w:val="bottom"/>
          </w:tcPr>
          <w:p>
            <w:pPr>
              <w:spacing w:after="0"/>
              <w:rPr>
                <w:sz w:val="16"/>
                <w:szCs w:val="16"/>
                <w:color w:val="auto"/>
              </w:rPr>
            </w:pPr>
          </w:p>
        </w:tc>
        <w:tc>
          <w:tcPr>
            <w:tcW w:w="29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0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69"/>
        </w:trPr>
        <w:tc>
          <w:tcPr>
            <w:tcW w:w="482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Derivatives in Cash Flow Hedging Relationships (Interest</w:t>
            </w:r>
          </w:p>
        </w:tc>
        <w:tc>
          <w:tcPr>
            <w:tcW w:w="1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r>
      <w:tr>
        <w:trPr>
          <w:trHeight w:val="241"/>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Rate Caps)</w:t>
            </w:r>
          </w:p>
        </w:tc>
        <w:tc>
          <w:tcPr>
            <w:tcW w:w="280" w:type="dxa"/>
            <w:vAlign w:val="bottom"/>
          </w:tcPr>
          <w:p>
            <w:pPr>
              <w:spacing w:after="0"/>
              <w:rPr>
                <w:sz w:val="20"/>
                <w:szCs w:val="20"/>
                <w:color w:val="auto"/>
              </w:rPr>
            </w:pPr>
          </w:p>
        </w:tc>
        <w:tc>
          <w:tcPr>
            <w:tcW w:w="120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4820" w:type="dxa"/>
            <w:vAlign w:val="bottom"/>
            <w:tcBorders>
              <w:top w:val="single" w:sz="8" w:color="auto"/>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Amount of loss recognized on derivative in Other Comprehensive</w:t>
            </w:r>
          </w:p>
        </w:tc>
        <w:tc>
          <w:tcPr>
            <w:tcW w:w="1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r>
      <w:tr>
        <w:trPr>
          <w:trHeight w:val="243"/>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50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into Interest Expense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50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Total Amount of Interest Expense Presented in the Condensed</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3"/>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Statements of Income (Loss)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131,007</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120,691</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381,693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389,243</w:t>
            </w:r>
          </w:p>
        </w:tc>
      </w:tr>
    </w:tbl>
    <w:p>
      <w:pPr>
        <w:spacing w:after="0" w:line="346"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18"/>
          <w:szCs w:val="18"/>
          <w:color w:val="auto"/>
        </w:rPr>
        <w:t>The company estimates that an additional $0.9 million will be reclassified from accumulated other comprehensive income as a decrease to interest expense over the next twelve months</w:t>
      </w:r>
      <w:r>
        <w:rPr>
          <w:rFonts w:ascii="Times New Roman" w:cs="Times New Roman" w:eastAsia="Times New Roman" w:hAnsi="Times New Roman"/>
          <w:sz w:val="19"/>
          <w:szCs w:val="19"/>
          <w:color w:val="auto"/>
        </w:rPr>
        <w: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Exchangeable Notes Hedge Transactions</w:t>
      </w:r>
    </w:p>
    <w:p>
      <w:pPr>
        <w:spacing w:after="0" w:line="24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On June 25, 2019, concurrently with the pricing of the 4.00% Exchangeable Notes due June 15, 2024 (the "Exchangeable Notes"), and on June 27, 2019, concurrently with the exercise by the initial purchasers involved in the offering of the Exchangeable Notes (the “Initial Purchasers”) of their option to purchase additional Exchangeable Notes, Uniti Fiber Holdings Inc., the issuer of the Exchangeable Notes, entered into exchangeable note hedge transactions with respect to the Company’s common stock (the “Note Hedge Transactions”) with certain of the Initial Purchasers or their respective affiliates (collectively, the “Counterparties”). The Note Hedge Transactions covered, subject to anti-dilution adjustments substantially similar to those applicable to the Exchangeable Notes, the same number of shares of the Company’s common stock that initially underlie the Exchangeable Notes in the aggregate and were exercisable upon exchange of the Exchangeable Notes. The Note Hedge Transactions had an initial strike price that corresponded to the initial exchange price of the Exchangeable Notes, subject to anti-dilution adjustments substantially similar to those applicable to the Exchangeable Notes. The Note Hedge Transactions expired on June 15, 2024, upon the maturity and repayment of the Exchangeable Notes (</w:t>
      </w:r>
      <w:r>
        <w:rPr>
          <w:rFonts w:ascii="Times New Roman" w:cs="Times New Roman" w:eastAsia="Times New Roman" w:hAnsi="Times New Roman"/>
          <w:sz w:val="18"/>
          <w:szCs w:val="18"/>
          <w:u w:val="single" w:color="auto"/>
          <w:color w:val="0000FF"/>
        </w:rPr>
        <w:t>see Note 10</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Warrant Transactions</w:t>
      </w:r>
    </w:p>
    <w:p>
      <w:pPr>
        <w:spacing w:after="0" w:line="21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June 25, 2019, concurrently with the pricing of the Exchangeable Notes, and on June 27, 2019 concurrently with the exercise by the Initial Purchasers of their option to purchase additional Exchangeable Notes, the Company entered into warrant transactions to sell to the Counterparties warrants (the “Warrants”) to acquire, subject to anti-dilution adjustments, up to approximately 27.8 million shares of the Company’s common stock in the aggregate at an exercise price of approximately $16.42 per share. The initial maximum number of shares of the Company’s common stock that could be issued pursuant to the Warrants was approximately 55.5 million. The maximum number of shares of the Company's common stock that could be issued pursuant to the Warrants subsequently decreased due to the partial unwind agreements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that the Company entered into with the Counterparties in connection with each repurchase of Exchangeable Notes. The Warrants terminated in June 2024 and are no longer outstanding.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Capped Call Transactions</w:t>
      </w:r>
    </w:p>
    <w:p>
      <w:pPr>
        <w:spacing w:after="0" w:line="18"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On December 7, 2022, in connection with the pricing of the 7.50% Convertible Notes due December 1, 2027 (the "Convertible 2027 Notes"), the Company entered into privately negotiated capped call transactions (the “Capped Calls”) with certain financial institutions at a cost of $21.1 million. The Capped Calls cover the same number of shares of the Company’s common stock that initially underlie the Convertible 2027 Notes in the aggregate. By entering into the Capped Calls, the Company expects to reduce the potential dilution to its common stock (or, in the event a conversion of the Convertible 2027 Notes is settled in cash, to reduce its cash payment obligation) in the event that at the time of conversion of the Convertible 2027 Notes its common stock price exceeds the conversion price of the Convertible 2027 Notes. The cap price of the Capped Calls will initially be $10.63 per share of common stock, which represents a premium of 75% over the last reported sale price of the Company’s common stock of $6.075 per share on December 7, 2022 and is subject to customary anti-dilution adjustments substantially similar to those applicable to the Convertible 2027 Notes. The Company used approximately $21.1 million of the net proceeds from the offering of the Convertible 2027 Notes to pay for the cost of the Capped Calls. The Capped Calls meet the criteria for classification in equity, are not remeasured each reporting period and are included as a reduction to additional paid-in-capital within stockholders’ equity.</w:t>
      </w:r>
    </w:p>
    <w:p>
      <w:pPr>
        <w:spacing w:after="0" w:line="178"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8"/>
          <w:szCs w:val="18"/>
          <w:color w:val="auto"/>
        </w:rPr>
        <w:t>Additionally on December 7, 2022, in connection with the Company’s repurchase of the Exchangeable Notes, the Company entered into partial unwind agreements with the Counterparties to unwind a portion of the Note Hedge Transactions and the Warrants described above (collectively, the “Unwind Transactions”). In connection with the Unwind Transactions, the Company received cash as a termination payment for the portion of the Note Hedge Transactions that were unwound, and the Company delivered cash as a termination payment in respect of the portion of the Warrants that were unwound. The amount of cash that was received, which was approximately $1.2 million, and the amount of cash that was delivered to the Counterparties, which was approximately $0.5 million, were based generally on the termination values of the unwound portions of such instruments.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Goodwill and Intangible Assets and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occurring during the nine months ended September 30, 2024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40" w:type="dxa"/>
            <w:vAlign w:val="bottom"/>
          </w:tcPr>
          <w:p>
            <w:pPr>
              <w:spacing w:after="0"/>
              <w:rPr>
                <w:sz w:val="16"/>
                <w:szCs w:val="16"/>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Uniti Fiber</w:t>
            </w:r>
          </w:p>
        </w:tc>
        <w:tc>
          <w:tcPr>
            <w:tcW w:w="340" w:type="dxa"/>
            <w:vAlign w:val="bottom"/>
          </w:tcPr>
          <w:p>
            <w:pPr>
              <w:spacing w:after="0"/>
              <w:rPr>
                <w:sz w:val="16"/>
                <w:szCs w:val="16"/>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at December 31, 2023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center"/>
              <w:ind w:left="413"/>
              <w:spacing w:after="0"/>
              <w:rPr>
                <w:sz w:val="20"/>
                <w:szCs w:val="20"/>
                <w:color w:val="auto"/>
              </w:rPr>
            </w:pPr>
            <w:r>
              <w:rPr>
                <w:rFonts w:ascii="Times New Roman" w:cs="Times New Roman" w:eastAsia="Times New Roman" w:hAnsi="Times New Roman"/>
                <w:sz w:val="18"/>
                <w:szCs w:val="18"/>
                <w:color w:val="auto"/>
                <w:w w:val="99"/>
              </w:rPr>
              <w:t>672,878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center"/>
              <w:ind w:left="313"/>
              <w:spacing w:after="0"/>
              <w:rPr>
                <w:sz w:val="20"/>
                <w:szCs w:val="20"/>
                <w:color w:val="auto"/>
              </w:rPr>
            </w:pPr>
            <w:r>
              <w:rPr>
                <w:rFonts w:ascii="Times New Roman" w:cs="Times New Roman" w:eastAsia="Times New Roman" w:hAnsi="Times New Roman"/>
                <w:sz w:val="18"/>
                <w:szCs w:val="18"/>
                <w:color w:val="auto"/>
                <w:w w:val="99"/>
              </w:rPr>
              <w:t>672,878</w:t>
            </w:r>
          </w:p>
        </w:tc>
      </w:tr>
      <w:tr>
        <w:trPr>
          <w:trHeight w:val="250"/>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Accumulated impairment charges as of December 31, 2023</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left="393"/>
              <w:spacing w:after="0"/>
              <w:rPr>
                <w:sz w:val="20"/>
                <w:szCs w:val="20"/>
                <w:color w:val="auto"/>
              </w:rPr>
            </w:pPr>
            <w:r>
              <w:rPr>
                <w:rFonts w:ascii="Times New Roman" w:cs="Times New Roman" w:eastAsia="Times New Roman" w:hAnsi="Times New Roman"/>
                <w:sz w:val="18"/>
                <w:szCs w:val="18"/>
                <w:color w:val="auto"/>
              </w:rPr>
              <w:t>(515,498)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left="293"/>
              <w:spacing w:after="0"/>
              <w:rPr>
                <w:sz w:val="20"/>
                <w:szCs w:val="20"/>
                <w:color w:val="auto"/>
              </w:rPr>
            </w:pPr>
            <w:r>
              <w:rPr>
                <w:rFonts w:ascii="Times New Roman" w:cs="Times New Roman" w:eastAsia="Times New Roman" w:hAnsi="Times New Roman"/>
                <w:sz w:val="18"/>
                <w:szCs w:val="18"/>
                <w:color w:val="auto"/>
              </w:rPr>
              <w:t>(515,498)</w:t>
            </w:r>
          </w:p>
        </w:tc>
      </w:tr>
      <w:tr>
        <w:trPr>
          <w:trHeight w:val="256"/>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center"/>
              <w:ind w:left="413"/>
              <w:spacing w:after="0"/>
              <w:rPr>
                <w:sz w:val="20"/>
                <w:szCs w:val="20"/>
                <w:color w:val="auto"/>
              </w:rPr>
            </w:pPr>
            <w:r>
              <w:rPr>
                <w:rFonts w:ascii="Times New Roman" w:cs="Times New Roman" w:eastAsia="Times New Roman" w:hAnsi="Times New Roman"/>
                <w:sz w:val="18"/>
                <w:szCs w:val="18"/>
                <w:color w:val="auto"/>
                <w:w w:val="99"/>
              </w:rPr>
              <w:t>157,380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center"/>
              <w:ind w:left="313"/>
              <w:spacing w:after="0"/>
              <w:rPr>
                <w:sz w:val="20"/>
                <w:szCs w:val="20"/>
                <w:color w:val="auto"/>
              </w:rPr>
            </w:pPr>
            <w:r>
              <w:rPr>
                <w:rFonts w:ascii="Times New Roman" w:cs="Times New Roman" w:eastAsia="Times New Roman" w:hAnsi="Times New Roman"/>
                <w:sz w:val="18"/>
                <w:szCs w:val="18"/>
                <w:color w:val="auto"/>
                <w:w w:val="99"/>
              </w:rPr>
              <w:t>157,380</w:t>
            </w:r>
          </w:p>
        </w:tc>
      </w:tr>
      <w:tr>
        <w:trPr>
          <w:trHeight w:val="270"/>
        </w:trPr>
        <w:tc>
          <w:tcPr>
            <w:tcW w:w="8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7"/>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at September 30, 2024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center"/>
              <w:ind w:left="413"/>
              <w:spacing w:after="0"/>
              <w:rPr>
                <w:sz w:val="20"/>
                <w:szCs w:val="20"/>
                <w:color w:val="auto"/>
              </w:rPr>
            </w:pPr>
            <w:r>
              <w:rPr>
                <w:rFonts w:ascii="Times New Roman" w:cs="Times New Roman" w:eastAsia="Times New Roman" w:hAnsi="Times New Roman"/>
                <w:sz w:val="18"/>
                <w:szCs w:val="18"/>
                <w:color w:val="auto"/>
                <w:w w:val="99"/>
              </w:rPr>
              <w:t>672,878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center"/>
              <w:ind w:left="313"/>
              <w:spacing w:after="0"/>
              <w:rPr>
                <w:sz w:val="20"/>
                <w:szCs w:val="20"/>
                <w:color w:val="auto"/>
              </w:rPr>
            </w:pPr>
            <w:r>
              <w:rPr>
                <w:rFonts w:ascii="Times New Roman" w:cs="Times New Roman" w:eastAsia="Times New Roman" w:hAnsi="Times New Roman"/>
                <w:sz w:val="18"/>
                <w:szCs w:val="18"/>
                <w:color w:val="auto"/>
                <w:w w:val="99"/>
              </w:rPr>
              <w:t>672,878</w:t>
            </w:r>
          </w:p>
        </w:tc>
      </w:tr>
      <w:tr>
        <w:trPr>
          <w:trHeight w:val="256"/>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Accumulated impairment charges as of September 30, 2024</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left="393"/>
              <w:spacing w:after="0"/>
              <w:rPr>
                <w:sz w:val="20"/>
                <w:szCs w:val="20"/>
                <w:color w:val="auto"/>
              </w:rPr>
            </w:pPr>
            <w:r>
              <w:rPr>
                <w:rFonts w:ascii="Times New Roman" w:cs="Times New Roman" w:eastAsia="Times New Roman" w:hAnsi="Times New Roman"/>
                <w:sz w:val="18"/>
                <w:szCs w:val="18"/>
                <w:color w:val="auto"/>
              </w:rPr>
              <w:t>(515,498)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left="293"/>
              <w:spacing w:after="0"/>
              <w:rPr>
                <w:sz w:val="20"/>
                <w:szCs w:val="20"/>
                <w:color w:val="auto"/>
              </w:rPr>
            </w:pPr>
            <w:r>
              <w:rPr>
                <w:rFonts w:ascii="Times New Roman" w:cs="Times New Roman" w:eastAsia="Times New Roman" w:hAnsi="Times New Roman"/>
                <w:sz w:val="18"/>
                <w:szCs w:val="18"/>
                <w:color w:val="auto"/>
              </w:rPr>
              <w:t>(515,498)</w:t>
            </w: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center"/>
              <w:ind w:left="413"/>
              <w:spacing w:after="0"/>
              <w:rPr>
                <w:sz w:val="20"/>
                <w:szCs w:val="20"/>
                <w:color w:val="auto"/>
              </w:rPr>
            </w:pPr>
            <w:r>
              <w:rPr>
                <w:rFonts w:ascii="Times New Roman" w:cs="Times New Roman" w:eastAsia="Times New Roman" w:hAnsi="Times New Roman"/>
                <w:sz w:val="18"/>
                <w:szCs w:val="18"/>
                <w:color w:val="auto"/>
                <w:w w:val="99"/>
              </w:rPr>
              <w:t>157,380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center"/>
              <w:ind w:left="313"/>
              <w:spacing w:after="0"/>
              <w:rPr>
                <w:sz w:val="20"/>
                <w:szCs w:val="20"/>
                <w:color w:val="auto"/>
              </w:rPr>
            </w:pPr>
            <w:r>
              <w:rPr>
                <w:rFonts w:ascii="Times New Roman" w:cs="Times New Roman" w:eastAsia="Times New Roman" w:hAnsi="Times New Roman"/>
                <w:sz w:val="18"/>
                <w:szCs w:val="18"/>
                <w:color w:val="auto"/>
                <w:w w:val="99"/>
              </w:rPr>
              <w:t>157,380</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ASC 350-20, Intangibles-Goodwill and Other ("ASC 350-20"), we evaluate goodwill for impairment</w:t>
      </w:r>
    </w:p>
    <w:p>
      <w:pPr>
        <w:spacing w:after="0" w:line="27"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color w:val="auto"/>
        </w:rPr>
        <w:t>between annual impairment tests if an event occurs or circumstances change that would more likely than not reduce the fair value of a reporting unit below its carrying amount (a “Triggering Event”). During the three months ended September 30, 2023, the Company identified a Triggering Event and, therefore, performed a qualitative and quantitative goodwill impairment test. The Triggering Event was a result of macroeconomic and financial market factors, specifically increased interest rates, impacting our discount rate. As a result of this interim assessment of goodwill, we concluded that the fair value of the Uniti Fiber segment, estimated using a combination of the income approach and market approach, was less than its carrying amount. Accordingly, we recorded a $204.0 million ($151.9 million net of tax) goodwill impairment charge in the Uniti Fiber segment during the three months ended September 30, 2023 (as restated).</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Carrying value of intangible assets and liabilities at September 30, 2024 and December 31, 2023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00" w:type="dxa"/>
            <w:vAlign w:val="bottom"/>
          </w:tcPr>
          <w:p>
            <w:pPr>
              <w:spacing w:after="0"/>
              <w:rPr>
                <w:sz w:val="16"/>
                <w:szCs w:val="16"/>
                <w:color w:val="auto"/>
              </w:rPr>
            </w:pPr>
          </w:p>
        </w:tc>
        <w:tc>
          <w:tcPr>
            <w:tcW w:w="2760" w:type="dxa"/>
            <w:vAlign w:val="bottom"/>
            <w:gridSpan w:val="4"/>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4"/>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49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42"/>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 life intangible assets:</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lists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416,104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(168,630)</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416,104</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(151,542)</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52,536</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(26,268)</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(21,343)</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Underlying Rights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0" w:type="dxa"/>
            <w:vAlign w:val="bottom"/>
          </w:tcPr>
          <w:p>
            <w:pPr>
              <w:spacing w:after="0"/>
              <w:rPr>
                <w:sz w:val="1"/>
                <w:szCs w:val="1"/>
                <w:color w:val="auto"/>
              </w:rPr>
            </w:pPr>
          </w:p>
        </w:tc>
      </w:tr>
      <w:tr>
        <w:trPr>
          <w:trHeight w:val="263"/>
        </w:trPr>
        <w:tc>
          <w:tcPr>
            <w:tcW w:w="4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479,137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(196,298)</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(174,022)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282,839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Finite life intangible liabilities: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Below-market leases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191,154</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(42,777)</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191,154</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(34,757)</w:t>
            </w:r>
          </w:p>
        </w:tc>
        <w:tc>
          <w:tcPr>
            <w:tcW w:w="0" w:type="dxa"/>
            <w:vAlign w:val="bottom"/>
          </w:tcPr>
          <w:p>
            <w:pPr>
              <w:spacing w:after="0"/>
              <w:rPr>
                <w:sz w:val="1"/>
                <w:szCs w:val="1"/>
                <w:color w:val="auto"/>
              </w:rPr>
            </w:pPr>
          </w:p>
        </w:tc>
      </w:tr>
      <w:tr>
        <w:trPr>
          <w:trHeight w:val="257"/>
        </w:trPr>
        <w:tc>
          <w:tcPr>
            <w:tcW w:w="4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 life intangible liabilities: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Below-market leases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191,154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(42,777)</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intangible liabilities, net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148,377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As of September 30, 2024, the remaining weighted average amortization period of the Company’s intangible assets was 13.4 years, 4 years, and 26 years for customer lists, contracts, and underlying rights, respectively. As of September 30, 2024, the total remaining weighted average amortization period for total intangible assets was 13 years.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Amortization expense for the three and nine months ended September 30, 2024 was $7.4 million and $22.3 million, respectively. Amortization expense for the three and nine months ended September 30, 2023 was $7.4 million and $22.3 million, respectively. Amortization expense is estimated to be $29.7 million for the full year of 2024, $29.7 million in 2025, $29.7 million in 2026, $29.7 million in 2027, and $28.1 million for 2028.</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recognize the amortization of below-market leases in revenue. Revenue related to the amortization of the below-market leases for the three and nine months ended September 30, 2024 was $2.7 million and $8.0 million, respectively. Revenue related to the amortization of the below-market leases for the three and nine months ended September 30, 2023 was $2.7 million and $8.0 million, respectively. As of September 30, 2024, the remaining weighted average amortization period of the Company’s intangible liabilities was 15.4 years. Revenue due to the amortization of the below-market leases is estimated to be $10.7 million for the full year of 2024, $10.7 million in 2025, $10.7 million in 2026, $10.7 million in 2027, and $10.2 million in 2028.</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Notes and Other Debt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debt, including the senior secured credit facility and notes described below, are obligations of the Operating Partnership and/or certain of its subsidiaries as discussed below. The Company is, however, a guarantor of such debt.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and other debt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2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6"/>
                <w:szCs w:val="16"/>
                <w:color w:val="auto"/>
              </w:rPr>
            </w:pPr>
          </w:p>
        </w:tc>
        <w:tc>
          <w:tcPr>
            <w:tcW w:w="136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amount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5,866,500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5,617,442</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unamortized discount, premium and debt issuance costs</w:t>
            </w: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(83,867)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(93,863)</w:t>
            </w:r>
          </w:p>
        </w:tc>
        <w:tc>
          <w:tcPr>
            <w:tcW w:w="0" w:type="dxa"/>
            <w:vAlign w:val="bottom"/>
          </w:tcPr>
          <w:p>
            <w:pPr>
              <w:spacing w:after="0"/>
              <w:rPr>
                <w:sz w:val="1"/>
                <w:szCs w:val="1"/>
                <w:color w:val="auto"/>
              </w:rPr>
            </w:pPr>
          </w:p>
        </w:tc>
      </w:tr>
      <w:tr>
        <w:trPr>
          <w:trHeight w:val="275"/>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and other debt less unamortized discount, premium and debt issuance costs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5,782,633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5,523,579</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8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80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and other debt at September 30, 2024 and December 31, 2023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6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80" w:type="dxa"/>
            <w:vAlign w:val="bottom"/>
          </w:tcPr>
          <w:p>
            <w:pPr>
              <w:spacing w:after="0"/>
              <w:rPr>
                <w:sz w:val="16"/>
                <w:szCs w:val="16"/>
                <w:color w:val="auto"/>
              </w:rPr>
            </w:pPr>
          </w:p>
        </w:tc>
        <w:tc>
          <w:tcPr>
            <w:tcW w:w="2780" w:type="dxa"/>
            <w:vAlign w:val="bottom"/>
            <w:gridSpan w:val="4"/>
          </w:tcPr>
          <w:p>
            <w:pPr>
              <w:jc w:val="right"/>
              <w:ind w:right="876"/>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5"/>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Unamortized</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Unamortized</w:t>
            </w:r>
          </w:p>
        </w:tc>
      </w:tr>
      <w:tr>
        <w:trPr>
          <w:trHeight w:val="189"/>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Discount,</w:t>
            </w:r>
          </w:p>
        </w:tc>
      </w:tr>
      <w:tr>
        <w:trPr>
          <w:trHeight w:val="176"/>
        </w:trPr>
        <w:tc>
          <w:tcPr>
            <w:tcW w:w="4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Premium and</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Premium and</w:t>
            </w:r>
          </w:p>
        </w:tc>
      </w:tr>
      <w:tr>
        <w:trPr>
          <w:trHeight w:val="175"/>
        </w:trPr>
        <w:tc>
          <w:tcPr>
            <w:tcW w:w="4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Debt Issuance</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Debt Issuance</w:t>
            </w:r>
          </w:p>
        </w:tc>
      </w:tr>
      <w:tr>
        <w:trPr>
          <w:trHeight w:val="19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8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28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6"/>
                <w:szCs w:val="16"/>
                <w:color w:val="auto"/>
              </w:rPr>
            </w:pPr>
          </w:p>
        </w:tc>
        <w:tc>
          <w:tcPr>
            <w:tcW w:w="128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Costs</w:t>
            </w: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5"/>
        </w:trPr>
        <w:tc>
          <w:tcPr>
            <w:tcW w:w="5040" w:type="dxa"/>
            <w:vAlign w:val="bottom"/>
            <w:gridSpan w:val="2"/>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Senior secured notes - 10.50% due February 15, 2028</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61"/>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is based on imputed interest rate of 10.99%)</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2,900,000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(48,290)</w:t>
            </w:r>
          </w:p>
        </w:tc>
      </w:tr>
      <w:tr>
        <w:trPr>
          <w:trHeight w:val="238"/>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secured notes - 4.75%, due April 15, 2028</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5"/>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is based on imputed interest rate of 5.04%)</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570,000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(6,360)</w:t>
            </w:r>
          </w:p>
        </w:tc>
      </w:tr>
      <w:tr>
        <w:trPr>
          <w:trHeight w:val="245"/>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 - 6.50%, due February 15, 2029</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61"/>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is based on imputed interest rate of 6.83%)</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1,110,000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1,110,000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(15,761)</w:t>
            </w:r>
          </w:p>
        </w:tc>
      </w:tr>
      <w:tr>
        <w:trPr>
          <w:trHeight w:val="238"/>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unsecured notes - 6.00% due January 15, 2030</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5"/>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is based on imputed interest rate of 6.27%)</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(9,307)</w:t>
            </w:r>
          </w:p>
        </w:tc>
      </w:tr>
      <w:tr>
        <w:trPr>
          <w:trHeight w:val="245"/>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Exchangeable senior notes - 4.00%, due June 15, 2024</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61"/>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is based on imputed interest rate of 4.77%)</w:t>
            </w:r>
          </w:p>
        </w:tc>
        <w:tc>
          <w:tcPr>
            <w:tcW w:w="2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122,942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11"/>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Convertible senior notes - 7.50%, due December 1, 2027</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55"/>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is based on imputed interest rate of 8.29%)</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306,500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(8,092)</w:t>
            </w:r>
          </w:p>
        </w:tc>
      </w:tr>
      <w:tr>
        <w:trPr>
          <w:trHeight w:val="218"/>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 Loan Facility, variable rate, due September 1, 2025</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48"/>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is based on imputed interest rate of 10.33%)</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secured revolving credit facility, variable rate, due</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2"/>
        </w:trPr>
        <w:tc>
          <w:tcPr>
            <w:tcW w:w="50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September 24, 2027</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55"/>
        </w:trPr>
        <w:tc>
          <w:tcPr>
            <w:tcW w:w="5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(discount is based on imputed interest rate of 11.16%)</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208,000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(5,625)</w:t>
            </w:r>
          </w:p>
        </w:tc>
      </w:tr>
      <w:tr>
        <w:trPr>
          <w:trHeight w:val="275"/>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5,866,500</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(83,867)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5,617,442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(93,863)</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00"/>
        <w:spacing w:after="0" w:line="226" w:lineRule="auto"/>
        <w:rPr>
          <w:sz w:val="20"/>
          <w:szCs w:val="20"/>
          <w:color w:val="auto"/>
        </w:rPr>
      </w:pPr>
      <w:r>
        <w:rPr>
          <w:rFonts w:ascii="Times New Roman" w:cs="Times New Roman" w:eastAsia="Times New Roman" w:hAnsi="Times New Roman"/>
          <w:sz w:val="18"/>
          <w:szCs w:val="18"/>
          <w:color w:val="auto"/>
        </w:rPr>
        <w:t>At September 30, 2024, notes and other debt included the following: (i) $5.0 million balance under the Revolving Credit Facility (as defined below) pursuant to that certain credit agreement, dated as of April 24, 2015, by and among the Operating Partnership, Uniti Group Finance 2019 Inc. and CSL Capital, LLC (hereinafter, the “Borrowers”), the guarantors party thereto, Bank of America, N.A., as administrative agent, collateral agent, swing line lender and an L/C issuer and certain other lenders named therein, as amended (the “Credit Agreement”); (ii) $275.0 million under the bridge loan and security agreement (the "ABS Loan Agreement"), a multi-draw term loan facility dated February 23, 2024, entered into by and among Uniti Fiber Bridge Borrower LLC (the “ABS Bridge Borrower”), Uniti Fiber Bridge HoldCo LLC and Uniti Fiber GulfCo LLC (together, the “ABS Bridge Loan Parties”), each an indirect subsidiary of the Company, Wilmington Trust, National Association, as administrative agent, collateral agent, account bank and verification agent, Barclays Bank PLC, as facility agent, and the lenders identified therein; (iii) $2.9 billion aggregate principal amount of 10.50% Senior Secured Notes due February 15, 2028 (the “February 2028 Secured Notes”); (iv) $570.0 million aggregate principal amount of 4.75% Senior Secured Notes due April 15, 2028 (the “April 2028 Secured Notes”); (v) $1.1 billion aggregate principal amount of 6.50% Senior Unsecured Notes due February 15, 2029 (the “2029 Notes”); (vi) $700.0 million aggregate principal amount of 6.00% Senior Notes due January 15, 2030 (the “2030 Notes”); and (vii) $306.5 million aggregate principal amount of Convertible 2027 Notes and, together with the February 2028 Secured Notes, April 2028 Secured Notes, 2029 Notes, and the 2030 Notes, the "Notes". The terms of the Notes are as described in the Company’s Annual Report.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Agreement</w:t>
      </w:r>
    </w:p>
    <w:p>
      <w:pPr>
        <w:spacing w:after="0" w:line="239"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color w:val="auto"/>
        </w:rPr>
        <w:t>The Borrowers are party to the Credit Agreement, which provides for a $500 million revolving credit facility that will mature on September 24, 2027 (the “Revolving Credit Facility”) and provides us with the ability to obtain revolving loans as well as swingline loans and letters of credit from time to time. On June 17, 2024, the Borrowers, each a subsidiary of the Company, entered into Amendment No. 9 (the “Amendment”) to the Credit Agreement. Pursuant to the Amendment, the Credit Agreement’s requirement for the Operating Partnership to use commercially reasonable efforts to maintain its status as a REIT will now terminate (i) at the end of the taxable year in which the Company’s proposed merger with Windstream is consummated or, (ii) at December 31, 2024, if the Company determines that by reason of such proposed merger, the Company will cease to qualify as a REIT for the year during which the Merger is consummated.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All obligations under the Credit Agreement are guaranteed by (i) the Company and (ii) certain of the Operating Partnership’s subsidiaries (the “Subsidiary Guarantors”) and are secured by substantially all of the assets of the Borrowers and the Subsidiary Guarantors.</w:t>
      </w:r>
    </w:p>
    <w:p>
      <w:pPr>
        <w:spacing w:after="0" w:line="16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Borrowers are subject to customary covenants under the Credit Agreement, including an obligation to maintain a consolidated secured leverage ratio, as defined in the Credit Agreement, not to exceed 5.00 to 1.00. We are permitted, subject to customary conditions, to incur other indebtedness, so long as, on a pro forma basis after giving effect to any such indebtedness, our consolidated total leverage ratio, as defined in the Credit Agreement, does not exceed 6.50 to 1.00 and, if such debt is secured, our consolidated secured leverage ratio, as defined in the Credit Agreement, does not exceed 4.00 to 1.00. In addition, the Credit Agreement contains customary events of default, including a cross default provision whereby the failure of the Borrowers or certain of their subsidiaries to make payments under other debt obligations, or the occurrence of certain events affecting those other borrowing arrangements, could trigger an obligation to repay any amounts outstanding under the Credit Agreement. In particular, a repayment obligation could be triggered if (i) the Borrowers or certain of their subsidiaries fail to make a payment when due of any principal or interest on any other indebtedness aggregating $75.0 million or more, or (ii) an event occurs that causes, or would permit the holders of any other indebtedness aggregating $75.0 million or more to cause, such indebtedness to become due prior to its stated maturity. As of September 30, 2024, the Borrowers were in compliance with all of the covenants under the Credit Agreement.</w:t>
      </w:r>
    </w:p>
    <w:p>
      <w:pPr>
        <w:spacing w:after="0" w:line="1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termination of either Windstream Lease would result in an “event of default” under the Credit Agreement if a replacement lease is not entered into within ninety (90) calendar days and we do not maintain pro forma compliance with a consolidated secured leverage ratio, as defined in the Credit Agreement, of 5.00 to 1.00.</w:t>
      </w:r>
    </w:p>
    <w:p>
      <w:pPr>
        <w:spacing w:after="0" w:line="1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at a rate equal to either a base rate plus an applicable margin ranging from 2.75% to 3.50% or a Term SOFR rate plus an applicable margin ranging from 3.75% to 4.50% in each case, calculated in a customary manner and determined based on our consolidated secured leverage ratio. We are required to pay a quarterly commitment fee under the Revolving Credit Facility equal to 0.50% of the average amount of unused commitments during the applicable quarter (subject to a step-down to 0.40% per annum of the average amount of unused commitments during the applicable quarter upon achievement of a consolidated secured leverage ratio not to exceed a certain level), as well as quarterly letter of credit fees equal to the product of (A) the applicable margin with respect to Term SOFR borrowings and (B) the average amount available to be drawn under outstanding letters of credit during such quarter.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Mandatory Exchange of Additional February 2028 Secured Notes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previously disclosed, on May 17, 2024, the Operating Partnership, CSL Capital, LLC, Uniti Group Finance 2019 Inc. and Uniti Fiber Holdings Inc. (collectively, the “Issuers”) completed a private offering of $300.0 million aggregate principal amount of February 2028 Secured Notes (the "Additional February 2028 Secured Notes"). In accordance with the terms of the indenture governing the Additional February 2028 Secured Notes, following the receipt of regulatory approval to enable certain subsidiaries of the Operating Partnership to guarantee the Additional February 2028 Secured Notes, the Issuers caused the Additional February 2028 Notes to be mandatorily exchanged for February 2028 Secured Notes issued as “additional notes” under the Indenture dated as of February 14, 2023, as amended and supplemented among the Issuers, the guarantors party thereto and the trustee and collateral agent party thereto (the “2023 Indenture”). The mandatory exchange occurred on November 1, 2024, and the additional notes comprise part of the same series as the February 2028 Secured Notes issued under the 2023 Indenture and have the same CUSIP numbers as, and are fungible with, the February 2028 Secured Notes issued under the 2023 Indenture.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February 2028 Secured Notes</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February 14, 2023, the Issuers completed a private offering of $2.6 billion aggregate principal amount of the February 2028 Secured Notes. The Issuers used the net proceeds from the offering to fund the redemption in full of the Issuers’ outstanding 7.875% senior secured notes due 2025 (the "2025 Secured Notes"), to repay outstanding borrowings under the Revolving Credit Facility and to pay any related premiums, fees and expenses in connection with the foregoing. On February 14, 2023, the Issuers deposited the full redemption price of $2.25 billion for the 2025 Secured Notes with the trustee and satisfied and discharged their obligations with respect to the 2025 Secured Notes at such time. During the first quarter of 2023, we recorded $32.3 million of loss on the extinguishment of the 2025 Secured Notes within interest expense, net on the Condensed Consolidation Statements of Income (Loss), which includes $10.3 million of non-cash</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interest expense for the write off of the unamortized discount and deferred financing costs and $22.0 million of cash interest expense for the redemption premium.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Exchangeable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Exchangeable Notes matured on June 15, 2024, and the principal balance of $122.9 million was repaid.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Asset-Backed Bridge Loan Facility</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February 23, 2024, ABS Bridge Borrower and the other ABS Bridge Loan Parties entered into the ABS Loan Agreement, which provides for a secured, multi-draw term loan facility of up to $350 million (the “ABS Loan Facility”). On March 1, 2024 (the “ABS Loan Closing Date”), the ABS Bridge Borrower made an initial drawing under the ABS Loan Facility in a principal amount of $275 million. Amounts borrowed under the ABS Loan Facility may not be reborrowed. Unless otherwise terminated pursuant to the terms of the ABS Loan Agreement, the ABS Loan Facility matures on the date that is 18 months from the ABS Loan Closing Date. The Company intends to refinance the ABS Loan Facility in full with proceeds from a long-term asset-backed securitized debt offering secured primarily by certain Uniti Fiber network assets.</w:t>
      </w:r>
    </w:p>
    <w:p>
      <w:pPr>
        <w:spacing w:after="0" w:line="201"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 xml:space="preserve">Amounts outstanding under the ABS Loan Facility bear interest at a floating rate equal to, at the Company’s option, either (i) the one-month or three-month SOFR, plus a spread of 3.75% per annum or (ii) Base Rate (as defined in the ABS Loan Agreement), plus a spread of 2.75% per annum; provided that the spread will automatically increase to (a) 4.50% per annum in the case of loans bearing interest based on SOFR and 3.50% per annum in the case of loans bearing interest based on Base Rate, in each case to the extent outstanding on and after the date that is 12 months following the ABS Loan Closing Date and (b) 5.25% per annum in the case of loans bearing interest based on SOFR and 4.25% per annum in the case of loans bearing interest based on Base Rate, in each case to the extent outstanding on and after the date that is 15 months following the ABS Loan Closing Date. The Company capped SOFR interest expense at 4.50% for the duration of the ABS Loan Facility pursuant to the ABS Loan Interest Rate Cap (see </w:t>
      </w:r>
      <w:r>
        <w:rPr>
          <w:rFonts w:ascii="Times New Roman" w:cs="Times New Roman" w:eastAsia="Times New Roman" w:hAnsi="Times New Roman"/>
          <w:sz w:val="18"/>
          <w:szCs w:val="18"/>
          <w:u w:val="single" w:color="auto"/>
          <w:color w:val="0000FF"/>
        </w:rPr>
        <w:t>Note 8</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In connection with the ABS Loan Facility, the Company formed Uniti Fiber ABS Parent LLC, an indirect subsidiary of the Company that qualifies as a bankruptcy-remote special purpose entity (“ABS Parent”) and directed the formation of the ABS Bridge Loan Parties, which are direct or indirect wholly-owned subsidiaries of ABS Parent. Each of the ABS Bridge Loan Parties is a special purpose, bankruptcy-remote, indirect subsidiary of the Company. The ABS Loan Facility is secured by equity in the ABS Bridge Borrower and substantially all of the assets of the ABS Bridge Loan Parties (subject to certain customary limited exceptions) and is non-recourse to the Company. Each of the ABS Bridge Loan Parties and ABS Parent was designated as an unrestricted subsidiary under the Credit Agreement and the applicable indentures governing the Company’s outstanding senior notes. The assets of the ABS Bridge Loan Parties will only be available for payment of the obligations arising under the ABS Loan Agreement and will not be available to pay any obligations or claims of the Company’s other creditors.</w:t>
      </w:r>
    </w:p>
    <w:p>
      <w:pPr>
        <w:spacing w:after="0" w:line="214"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color w:val="auto"/>
        </w:rPr>
        <w:t>In connection with the initial funding under the ABS Loan Facility on the ABS Loan Closing Date, the Company, directly or indirectly, (i) transferred certain Uniti Fiber non-regulated and interstate customer contracts and related equipment to the ABS Bridge Loan Parties and (ii) granted an indefeasible right of use in the related fiber network assets to such ABS Bridge Loan Parties. In addition, certain of the ABS Bridge Loan Parties entered into a management agreement (the “Management Agreement”) with Uniti Fiber Holdings Inc. (in its capacity as manager thereunder, the “Manager”), pursuant to which the Manager is responsible for servicing and administering the assets securing the ABS Loan Facility and is permitted to make reimbursable servicing advances in respect of the collateral securing the ABS Loan Facility under certain circumstances.</w:t>
      </w:r>
    </w:p>
    <w:p>
      <w:pPr>
        <w:spacing w:after="0" w:line="213"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8"/>
          <w:szCs w:val="18"/>
          <w:color w:val="auto"/>
        </w:rPr>
        <w:t>The ABS Loan Agreement contains customary covenants limiting the ability of the ABS Bridge Loan Parties to: incur or guarantee additional indebtedness; pay dividends or distributions on, or redeem or repurchase, capital stock; make certain investments or other restricted payments; sell fiber network assets; enter into transactions with the Company and other affiliates; and create restrictions on the ability of the ABS Bridge Loan Parties to incur liens on their assets constituting collateral to secure obligations under the ABS Loan Agreement. These covenants are subject to a number of limitations, qualifications and exceptions. The ABS Loan Agreement also contains a maximum leverage financial maintenance covenant and customary events of default.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Financing Cost</w:t>
      </w:r>
    </w:p>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Deferred financing costs were incurred in connection with the issuance of the Notes and our entry into the Revolving Credit Facility and the ABS Loan Facility. These costs are amortized using the effective interest method over the term of the related indebtedness and are included in interest expense in our Condensed Consolidated Statements of Income (Loss).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2024, we recognized $6.3 million and $17.4 million, respectively, of non-cash interest expense related to the amortization of deferred financing costs. For the three and nine months ended September 30, 2023, we recognized $4.4 million and $13.6 million, respectively, of non-cash interest expense related to the amortization of deferred financing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Earnings Per Share</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Our time-based restricted stock awards are considered participating securities as they receive non-forfeitable rights to dividends at the same rate as common stock. As participating securities, we included these instruments in the computation of earnings per share under the two-class method described in FASB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(“ASC 260”).</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also have outstanding performance-based restricted stock units that contain forfeitable rights to receive dividends. Therefore, the awards are considered non-participating restrictive shares and are not dilutive under the two-class method until performance conditions are met.</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dilutive effect of the Exchangeable Notes, which were repaid on June 15, 2024 (</w:t>
      </w:r>
      <w:r>
        <w:rPr>
          <w:rFonts w:ascii="Times New Roman" w:cs="Times New Roman" w:eastAsia="Times New Roman" w:hAnsi="Times New Roman"/>
          <w:sz w:val="18"/>
          <w:szCs w:val="18"/>
          <w:u w:val="single" w:color="auto"/>
          <w:color w:val="0000FF"/>
        </w:rPr>
        <w:t>see Note 10</w:t>
      </w:r>
      <w:r>
        <w:rPr>
          <w:rFonts w:ascii="Times New Roman" w:cs="Times New Roman" w:eastAsia="Times New Roman" w:hAnsi="Times New Roman"/>
          <w:sz w:val="18"/>
          <w:szCs w:val="18"/>
          <w:color w:val="auto"/>
        </w:rPr>
        <w:t>), and the Convertible 2027 Notes is calculated by using the “if-converted” method. This assumes an add-back of interest, net of income taxes, to net income attributable to shareholders as if the securities were converted at the beginning of the reporting period (or at time of issuance, if later) and the resulting common shares included in number of weighted average shares. The dilutive effect of the Warrants (</w:t>
      </w:r>
      <w:r>
        <w:rPr>
          <w:rFonts w:ascii="Times New Roman" w:cs="Times New Roman" w:eastAsia="Times New Roman" w:hAnsi="Times New Roman"/>
          <w:sz w:val="18"/>
          <w:szCs w:val="18"/>
          <w:u w:val="single" w:color="auto"/>
          <w:color w:val="0000FF"/>
        </w:rPr>
        <w:t>see Note 8</w:t>
      </w:r>
      <w:r>
        <w:rPr>
          <w:rFonts w:ascii="Times New Roman" w:cs="Times New Roman" w:eastAsia="Times New Roman" w:hAnsi="Times New Roman"/>
          <w:sz w:val="18"/>
          <w:szCs w:val="18"/>
          <w:color w:val="auto"/>
        </w:rPr>
        <w:t>) is calculated using the treasury-stock method. During the three and nine months ended September 30, 2024 and 2023, the Warrants were excluded from diluted shares outstanding because the exercise price exceeded the average market price of our common stock for the reporting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sets forth the computation of basic and diluted earnings per share under the two-class method:</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60" w:type="dxa"/>
            <w:vAlign w:val="bottom"/>
            <w:gridSpan w:val="4"/>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 except per share data)</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4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4"/>
        </w:trPr>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shareholders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12,229</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(118,843)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71,836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(112,419)</w:t>
            </w:r>
          </w:p>
        </w:tc>
        <w:tc>
          <w:tcPr>
            <w:tcW w:w="0" w:type="dxa"/>
            <w:vAlign w:val="bottom"/>
          </w:tcPr>
          <w:p>
            <w:pPr>
              <w:spacing w:after="0"/>
              <w:rPr>
                <w:sz w:val="1"/>
                <w:szCs w:val="1"/>
                <w:color w:val="auto"/>
              </w:rPr>
            </w:pPr>
          </w:p>
        </w:tc>
      </w:tr>
      <w:tr>
        <w:trPr>
          <w:trHeight w:val="250"/>
        </w:trPr>
        <w:tc>
          <w:tcPr>
            <w:tcW w:w="5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Less: Income allocated to participating securities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0" w:type="dxa"/>
            <w:vAlign w:val="bottom"/>
          </w:tcPr>
          <w:p>
            <w:pPr>
              <w:spacing w:after="0"/>
              <w:rPr>
                <w:sz w:val="1"/>
                <w:szCs w:val="1"/>
                <w:color w:val="auto"/>
              </w:rPr>
            </w:pPr>
          </w:p>
        </w:tc>
      </w:tr>
      <w:tr>
        <w:trPr>
          <w:trHeight w:val="263"/>
        </w:trPr>
        <w:tc>
          <w:tcPr>
            <w:tcW w:w="5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Dividends declared on convertible preferred stock</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5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common shares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11,890</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(119,169)</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70,328</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(113,324)</w:t>
            </w:r>
          </w:p>
        </w:tc>
        <w:tc>
          <w:tcPr>
            <w:tcW w:w="0" w:type="dxa"/>
            <w:vAlign w:val="bottom"/>
          </w:tcPr>
          <w:p>
            <w:pPr>
              <w:spacing w:after="0"/>
              <w:rPr>
                <w:sz w:val="1"/>
                <w:szCs w:val="1"/>
                <w:color w:val="auto"/>
              </w:rPr>
            </w:pPr>
          </w:p>
        </w:tc>
      </w:tr>
      <w:tr>
        <w:trPr>
          <w:trHeight w:val="26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237,480</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236,533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237,242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236,352</w:t>
            </w:r>
          </w:p>
        </w:tc>
        <w:tc>
          <w:tcPr>
            <w:tcW w:w="0" w:type="dxa"/>
            <w:vAlign w:val="bottom"/>
          </w:tcPr>
          <w:p>
            <w:pPr>
              <w:spacing w:after="0"/>
              <w:rPr>
                <w:sz w:val="1"/>
                <w:szCs w:val="1"/>
                <w:color w:val="auto"/>
              </w:rPr>
            </w:pPr>
          </w:p>
        </w:tc>
      </w:tr>
      <w:tr>
        <w:trPr>
          <w:trHeight w:val="275"/>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income (loss) earnings per common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60" w:type="dxa"/>
            <w:vAlign w:val="bottom"/>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 except per share data)</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4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3"/>
        </w:trPr>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shareholders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12,229</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(118,843)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71,836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(112,419)</w:t>
            </w:r>
          </w:p>
        </w:tc>
        <w:tc>
          <w:tcPr>
            <w:tcW w:w="0" w:type="dxa"/>
            <w:vAlign w:val="bottom"/>
          </w:tcPr>
          <w:p>
            <w:pPr>
              <w:spacing w:after="0"/>
              <w:rPr>
                <w:sz w:val="1"/>
                <w:szCs w:val="1"/>
                <w:color w:val="auto"/>
              </w:rPr>
            </w:pPr>
          </w:p>
        </w:tc>
      </w:tr>
      <w:tr>
        <w:trPr>
          <w:trHeight w:val="250"/>
        </w:trPr>
        <w:tc>
          <w:tcPr>
            <w:tcW w:w="5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Less: Income allocated to participating securities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0" w:type="dxa"/>
            <w:vAlign w:val="bottom"/>
          </w:tcPr>
          <w:p>
            <w:pPr>
              <w:spacing w:after="0"/>
              <w:rPr>
                <w:sz w:val="1"/>
                <w:szCs w:val="1"/>
                <w:color w:val="auto"/>
              </w:rPr>
            </w:pPr>
          </w:p>
        </w:tc>
      </w:tr>
      <w:tr>
        <w:trPr>
          <w:trHeight w:val="263"/>
        </w:trPr>
        <w:tc>
          <w:tcPr>
            <w:tcW w:w="5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Dividends declared on convertible preferred stock</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50"/>
        </w:trPr>
        <w:tc>
          <w:tcPr>
            <w:tcW w:w="50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Impact on if-converted dilutive securities</w:t>
            </w:r>
          </w:p>
        </w:tc>
        <w:tc>
          <w:tcPr>
            <w:tcW w:w="2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02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common shares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11,890</w:t>
            </w:r>
          </w:p>
        </w:tc>
        <w:tc>
          <w:tcPr>
            <w:tcW w:w="8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(119,169)</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70,328</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(113,324)</w:t>
            </w:r>
          </w:p>
        </w:tc>
        <w:tc>
          <w:tcPr>
            <w:tcW w:w="0" w:type="dxa"/>
            <w:vAlign w:val="bottom"/>
          </w:tcPr>
          <w:p>
            <w:pPr>
              <w:spacing w:after="0"/>
              <w:rPr>
                <w:sz w:val="1"/>
                <w:szCs w:val="1"/>
                <w:color w:val="auto"/>
              </w:rPr>
            </w:pPr>
          </w:p>
        </w:tc>
      </w:tr>
      <w:tr>
        <w:trPr>
          <w:trHeight w:val="25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237,480</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236,533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237,242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236,352</w:t>
            </w:r>
          </w:p>
        </w:tc>
        <w:tc>
          <w:tcPr>
            <w:tcW w:w="0" w:type="dxa"/>
            <w:vAlign w:val="bottom"/>
          </w:tcPr>
          <w:p>
            <w:pPr>
              <w:spacing w:after="0"/>
              <w:rPr>
                <w:sz w:val="1"/>
                <w:szCs w:val="1"/>
                <w:color w:val="auto"/>
              </w:rPr>
            </w:pPr>
          </w:p>
        </w:tc>
      </w:tr>
      <w:tr>
        <w:trPr>
          <w:trHeight w:val="250"/>
        </w:trPr>
        <w:tc>
          <w:tcPr>
            <w:tcW w:w="5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Effect of dilutive non-participating securities</w:t>
            </w:r>
          </w:p>
        </w:tc>
        <w:tc>
          <w:tcPr>
            <w:tcW w:w="2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Impact on if-converted dilutive securities</w:t>
            </w: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Weighted-average shares for dilutive earnings per common share</w:t>
            </w:r>
          </w:p>
        </w:tc>
        <w:tc>
          <w:tcPr>
            <w:tcW w:w="2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237,480</w:t>
            </w:r>
          </w:p>
        </w:tc>
        <w:tc>
          <w:tcPr>
            <w:tcW w:w="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236,533</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237,242</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236,352</w:t>
            </w:r>
          </w:p>
        </w:tc>
        <w:tc>
          <w:tcPr>
            <w:tcW w:w="0" w:type="dxa"/>
            <w:vAlign w:val="bottom"/>
          </w:tcPr>
          <w:p>
            <w:pPr>
              <w:spacing w:after="0"/>
              <w:rPr>
                <w:sz w:val="1"/>
                <w:szCs w:val="1"/>
                <w:color w:val="auto"/>
              </w:rPr>
            </w:pPr>
          </w:p>
        </w:tc>
      </w:tr>
      <w:tr>
        <w:trPr>
          <w:trHeight w:val="275"/>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earnings (loss) per common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the three and nine months ended September 30, 2024, 1,412,563 non-participating securities were excluded from the computation of earnings per share, as their performance conditions have not been met. For the three and nine months ended September 30, 2024, we excluded 42,043,892 and 50,032,050 potential common shares related to the Exchangeable Notes and the Convertible 2027 Notes, respectively, from the computation of earnings per share, as their effect would have been anti-dilutive. For the three and nine months ended September 30, 2023, 1,053,189 non-participating securities were excluded from the computation of earnings per share, as their performance conditions have not been met. For the three and nine months ended September 30, 2023, we excluded 53,427,833 and 53,836,845 potential common shares related to the Exchangeable Notes and the Convertible 2027 Notes, respectively, from the computation of earnings per share, as their effect would have been anti-dilutive.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Segment Information</w:t>
      </w:r>
    </w:p>
    <w:p>
      <w:pPr>
        <w:spacing w:after="0" w:line="229"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Our management, including our chief executive officer, who is our chief operating decision maker, manages our operations as two reportable segments, in addition to our corporate operations, which include:</w:t>
      </w:r>
    </w:p>
    <w:p>
      <w:pPr>
        <w:spacing w:after="0" w:line="160"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Uniti Leasing</w:t>
      </w:r>
      <w:r>
        <w:rPr>
          <w:rFonts w:ascii="Times New Roman" w:cs="Times New Roman" w:eastAsia="Times New Roman" w:hAnsi="Times New Roman"/>
          <w:sz w:val="18"/>
          <w:szCs w:val="18"/>
          <w:color w:val="auto"/>
        </w:rPr>
        <w:t>: Represents the operations of our leasing business which is engaged in the acquisition and construction of mission-critical communications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and leasing them to anchor customers on either an exclusive or shared-tenant basis, in addition to the leasing of dark fiber on our existing dark fiber network assets that we either constructed or acquired. While the Leasing segment represents our REIT operations, certain aspects of the Leasing segment are also operated through taxable REIT subsidiaries.</w:t>
      </w:r>
    </w:p>
    <w:p>
      <w:pPr>
        <w:spacing w:after="0" w:line="180"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Uniti Fiber</w:t>
      </w:r>
      <w:r>
        <w:rPr>
          <w:rFonts w:ascii="Times New Roman" w:cs="Times New Roman" w:eastAsia="Times New Roman" w:hAnsi="Times New Roman"/>
          <w:sz w:val="18"/>
          <w:szCs w:val="18"/>
          <w:color w:val="auto"/>
        </w:rPr>
        <w:t>: Represents the operations of our fiber business which is a leading provider of infrastructure solutions, including cell site backhaul and dark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fiber, to the telecommunications industry.</w:t>
      </w:r>
    </w:p>
    <w:p>
      <w:pPr>
        <w:spacing w:after="0" w:line="158"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Represents our corporate office and shared service functions. Certain costs and expenses, primarily related to headcount,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systems, insurance, professional fees and similar charges, that are directly attributable to operations of our business segments are allocated to the respective segments.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Management evaluates the performance of each segment using Adjusted EBITDA, which is a segment performance measure we define as net income determined in accordance with GAAP, before interest expense, provision for income taxes, depreciation and amortization, stock-based compensation expense and the impact, which may be recurring in nature, of transaction and integration related costs, costs associated with Windstream’s bankruptcy, costs associated with litigation claims made against us, costs associated with the implementation of our enterprise resource planning system, goodwill impairment charges, severance costs, costs related to the settlement with Windstream, amortization of non-cash rights-of-use assets, the write off of unamortized deferred financing costs, costs incurred as a result of the early repayment of debt, including early tender and redemption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The Company believes that net income, as defined by GAAP, is the most appropriate earnings metric; however, we believe that Adjusted EBITDA serves as a useful supplement to net income because it allows investors, analysts and management to evaluate the performance of our segments in a manner that is comparable period over period. Adjusted EBITDA should not be considered as an alternative to net income as determined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financial data related to our segments is presented below for the three and nine months ended September 30, 2024 and 2023:</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Subtotal of Reportable</w:t>
            </w:r>
          </w:p>
        </w:tc>
        <w:tc>
          <w:tcPr>
            <w:tcW w:w="0" w:type="dxa"/>
            <w:vAlign w:val="bottom"/>
          </w:tcPr>
          <w:p>
            <w:pPr>
              <w:spacing w:after="0"/>
              <w:rPr>
                <w:sz w:val="1"/>
                <w:szCs w:val="1"/>
                <w:color w:val="auto"/>
              </w:rPr>
            </w:pPr>
          </w:p>
        </w:tc>
      </w:tr>
      <w:tr>
        <w:trPr>
          <w:trHeight w:val="19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Uniti Leasing</w:t>
            </w:r>
          </w:p>
        </w:tc>
        <w:tc>
          <w:tcPr>
            <w:tcW w:w="180" w:type="dxa"/>
            <w:vAlign w:val="bottom"/>
          </w:tcPr>
          <w:p>
            <w:pPr>
              <w:spacing w:after="0"/>
              <w:rPr>
                <w:sz w:val="16"/>
                <w:szCs w:val="16"/>
                <w:color w:val="auto"/>
              </w:rPr>
            </w:pP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Uniti Fiber</w:t>
            </w:r>
          </w:p>
        </w:tc>
        <w:tc>
          <w:tcPr>
            <w:tcW w:w="38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80" w:type="dxa"/>
            <w:vAlign w:val="bottom"/>
          </w:tcPr>
          <w:p>
            <w:pPr>
              <w:spacing w:after="0"/>
              <w:rPr>
                <w:sz w:val="16"/>
                <w:szCs w:val="16"/>
                <w:color w:val="auto"/>
              </w:rPr>
            </w:pPr>
          </w:p>
        </w:tc>
        <w:tc>
          <w:tcPr>
            <w:tcW w:w="1200" w:type="dxa"/>
            <w:vAlign w:val="bottom"/>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3"/>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222,922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69,325</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292,247</w:t>
            </w:r>
          </w:p>
        </w:tc>
        <w:tc>
          <w:tcPr>
            <w:tcW w:w="0" w:type="dxa"/>
            <w:vAlign w:val="bottom"/>
          </w:tcPr>
          <w:p>
            <w:pPr>
              <w:spacing w:after="0"/>
              <w:rPr>
                <w:sz w:val="1"/>
                <w:szCs w:val="1"/>
                <w:color w:val="auto"/>
              </w:rPr>
            </w:pPr>
          </w:p>
        </w:tc>
      </w:tr>
      <w:tr>
        <w:trPr>
          <w:trHeight w:val="270"/>
        </w:trPr>
        <w:tc>
          <w:tcPr>
            <w:tcW w:w="4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215,188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25,557</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(5,421)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235,324</w:t>
            </w:r>
          </w:p>
        </w:tc>
        <w:tc>
          <w:tcPr>
            <w:tcW w:w="0" w:type="dxa"/>
            <w:vAlign w:val="bottom"/>
          </w:tcPr>
          <w:p>
            <w:pPr>
              <w:spacing w:after="0"/>
              <w:rPr>
                <w:sz w:val="1"/>
                <w:szCs w:val="1"/>
                <w:color w:val="auto"/>
              </w:rPr>
            </w:pPr>
          </w:p>
        </w:tc>
      </w:tr>
      <w:tr>
        <w:trPr>
          <w:trHeight w:val="25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131,007</w:t>
            </w:r>
          </w:p>
        </w:tc>
        <w:tc>
          <w:tcPr>
            <w:tcW w:w="0" w:type="dxa"/>
            <w:vAlign w:val="bottom"/>
          </w:tcPr>
          <w:p>
            <w:pPr>
              <w:spacing w:after="0"/>
              <w:rPr>
                <w:sz w:val="1"/>
                <w:szCs w:val="1"/>
                <w:color w:val="auto"/>
              </w:rPr>
            </w:pPr>
          </w:p>
        </w:tc>
      </w:tr>
      <w:tr>
        <w:trPr>
          <w:trHeight w:val="250"/>
        </w:trPr>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79,325</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14,404</w:t>
            </w:r>
          </w:p>
        </w:tc>
        <w:tc>
          <w:tcPr>
            <w:tcW w:w="0" w:type="dxa"/>
            <w:vAlign w:val="bottom"/>
          </w:tcPr>
          <w:p>
            <w:pPr>
              <w:spacing w:after="0"/>
              <w:rPr>
                <w:sz w:val="1"/>
                <w:szCs w:val="1"/>
                <w:color w:val="auto"/>
              </w:rPr>
            </w:pPr>
          </w:p>
        </w:tc>
      </w:tr>
      <w:tr>
        <w:trPr>
          <w:trHeight w:val="250"/>
        </w:trPr>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Income tax benefit</w:t>
            </w:r>
          </w:p>
        </w:tc>
        <w:tc>
          <w:tcPr>
            <w:tcW w:w="22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3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(5,935)</w:t>
            </w:r>
          </w:p>
        </w:tc>
        <w:tc>
          <w:tcPr>
            <w:tcW w:w="0" w:type="dxa"/>
            <w:vAlign w:val="bottom"/>
          </w:tcPr>
          <w:p>
            <w:pPr>
              <w:spacing w:after="0"/>
              <w:rPr>
                <w:sz w:val="1"/>
                <w:szCs w:val="1"/>
                <w:color w:val="auto"/>
              </w:rPr>
            </w:pPr>
          </w:p>
        </w:tc>
      </w:tr>
      <w:tr>
        <w:trPr>
          <w:trHeight w:val="275"/>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12,230</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bottom w:val="single" w:sz="8" w:color="CCEEFF"/>
            </w:tcBorders>
            <w:gridSpan w:val="5"/>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60" w:type="dxa"/>
            <w:vAlign w:val="bottom"/>
            <w:gridSpan w:val="5"/>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3"/>
          </w:tcPr>
          <w:p>
            <w:pPr>
              <w:jc w:val="center"/>
              <w:ind w:left="858"/>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Subtotal of Reportable</w:t>
            </w:r>
          </w:p>
        </w:tc>
        <w:tc>
          <w:tcPr>
            <w:tcW w:w="0" w:type="dxa"/>
            <w:vAlign w:val="bottom"/>
          </w:tcPr>
          <w:p>
            <w:pPr>
              <w:spacing w:after="0"/>
              <w:rPr>
                <w:sz w:val="1"/>
                <w:szCs w:val="1"/>
                <w:color w:val="auto"/>
              </w:rPr>
            </w:pPr>
          </w:p>
        </w:tc>
      </w:tr>
      <w:tr>
        <w:trPr>
          <w:trHeight w:val="19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Uniti Leasing</w:t>
            </w:r>
          </w:p>
        </w:tc>
        <w:tc>
          <w:tcPr>
            <w:tcW w:w="180" w:type="dxa"/>
            <w:vAlign w:val="bottom"/>
          </w:tcPr>
          <w:p>
            <w:pPr>
              <w:spacing w:after="0"/>
              <w:rPr>
                <w:sz w:val="16"/>
                <w:szCs w:val="16"/>
                <w:color w:val="auto"/>
              </w:rPr>
            </w:pP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Uniti Fiber</w:t>
            </w:r>
          </w:p>
        </w:tc>
        <w:tc>
          <w:tcPr>
            <w:tcW w:w="38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80" w:type="dxa"/>
            <w:vAlign w:val="bottom"/>
          </w:tcPr>
          <w:p>
            <w:pPr>
              <w:spacing w:after="0"/>
              <w:rPr>
                <w:sz w:val="16"/>
                <w:szCs w:val="16"/>
                <w:color w:val="auto"/>
              </w:rPr>
            </w:pPr>
          </w:p>
        </w:tc>
        <w:tc>
          <w:tcPr>
            <w:tcW w:w="1200" w:type="dxa"/>
            <w:vAlign w:val="bottom"/>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3"/>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214,588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76,067</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290,655</w:t>
            </w:r>
          </w:p>
        </w:tc>
        <w:tc>
          <w:tcPr>
            <w:tcW w:w="0" w:type="dxa"/>
            <w:vAlign w:val="bottom"/>
          </w:tcPr>
          <w:p>
            <w:pPr>
              <w:spacing w:after="0"/>
              <w:rPr>
                <w:sz w:val="1"/>
                <w:szCs w:val="1"/>
                <w:color w:val="auto"/>
              </w:rPr>
            </w:pPr>
          </w:p>
        </w:tc>
      </w:tr>
      <w:tr>
        <w:trPr>
          <w:trHeight w:val="270"/>
        </w:trPr>
        <w:tc>
          <w:tcPr>
            <w:tcW w:w="506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208,561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29,857</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(5,408)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233,010</w:t>
            </w:r>
          </w:p>
        </w:tc>
        <w:tc>
          <w:tcPr>
            <w:tcW w:w="0" w:type="dxa"/>
            <w:vAlign w:val="bottom"/>
          </w:tcPr>
          <w:p>
            <w:pPr>
              <w:spacing w:after="0"/>
              <w:rPr>
                <w:sz w:val="1"/>
                <w:szCs w:val="1"/>
                <w:color w:val="auto"/>
              </w:rPr>
            </w:pPr>
          </w:p>
        </w:tc>
      </w:tr>
      <w:tr>
        <w:trPr>
          <w:trHeight w:val="25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120,691</w:t>
            </w:r>
          </w:p>
        </w:tc>
        <w:tc>
          <w:tcPr>
            <w:tcW w:w="0" w:type="dxa"/>
            <w:vAlign w:val="bottom"/>
          </w:tcPr>
          <w:p>
            <w:pPr>
              <w:spacing w:after="0"/>
              <w:rPr>
                <w:sz w:val="1"/>
                <w:szCs w:val="1"/>
                <w:color w:val="auto"/>
              </w:rPr>
            </w:pPr>
          </w:p>
        </w:tc>
      </w:tr>
      <w:tr>
        <w:trPr>
          <w:trHeight w:val="250"/>
        </w:trPr>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77,337</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0" w:type="dxa"/>
            <w:vAlign w:val="bottom"/>
          </w:tcPr>
          <w:p>
            <w:pPr>
              <w:spacing w:after="0"/>
              <w:rPr>
                <w:sz w:val="1"/>
                <w:szCs w:val="1"/>
                <w:color w:val="auto"/>
              </w:rPr>
            </w:pPr>
          </w:p>
        </w:tc>
      </w:tr>
      <w:tr>
        <w:trPr>
          <w:trHeight w:val="250"/>
        </w:trPr>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Goodwill impairment</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203,998</w:t>
            </w:r>
          </w:p>
        </w:tc>
        <w:tc>
          <w:tcPr>
            <w:tcW w:w="0" w:type="dxa"/>
            <w:vAlign w:val="bottom"/>
          </w:tcPr>
          <w:p>
            <w:pPr>
              <w:spacing w:after="0"/>
              <w:rPr>
                <w:sz w:val="1"/>
                <w:szCs w:val="1"/>
                <w:color w:val="auto"/>
              </w:rPr>
            </w:pPr>
          </w:p>
        </w:tc>
      </w:tr>
      <w:tr>
        <w:trPr>
          <w:trHeight w:val="250"/>
        </w:trPr>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0" w:type="dxa"/>
            <w:vAlign w:val="bottom"/>
          </w:tcPr>
          <w:p>
            <w:pPr>
              <w:spacing w:after="0"/>
              <w:rPr>
                <w:sz w:val="1"/>
                <w:szCs w:val="1"/>
                <w:color w:val="auto"/>
              </w:rPr>
            </w:pPr>
          </w:p>
        </w:tc>
      </w:tr>
      <w:tr>
        <w:trPr>
          <w:trHeight w:val="250"/>
        </w:trPr>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Income tax benefit</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(56,130)</w:t>
            </w: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Adjustments for equity in earnings from unconsolidated entities</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25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(118,896)</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vMerge w:val="restart"/>
          </w:tcPr>
          <w:p>
            <w:pPr>
              <w:jc w:val="right"/>
              <w:ind w:right="714"/>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17"/>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Subtotal of Reportable</w:t>
            </w:r>
          </w:p>
        </w:tc>
        <w:tc>
          <w:tcPr>
            <w:tcW w:w="0" w:type="dxa"/>
            <w:vAlign w:val="bottom"/>
          </w:tcPr>
          <w:p>
            <w:pPr>
              <w:spacing w:after="0"/>
              <w:rPr>
                <w:sz w:val="1"/>
                <w:szCs w:val="1"/>
                <w:color w:val="auto"/>
              </w:rPr>
            </w:pPr>
          </w:p>
        </w:tc>
      </w:tr>
      <w:tr>
        <w:trPr>
          <w:trHeight w:val="19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Uniti Leasing</w:t>
            </w:r>
          </w:p>
        </w:tc>
        <w:tc>
          <w:tcPr>
            <w:tcW w:w="200" w:type="dxa"/>
            <w:vAlign w:val="bottom"/>
          </w:tcPr>
          <w:p>
            <w:pPr>
              <w:spacing w:after="0"/>
              <w:rPr>
                <w:sz w:val="16"/>
                <w:szCs w:val="16"/>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Uniti Fiber</w:t>
            </w:r>
          </w:p>
        </w:tc>
        <w:tc>
          <w:tcPr>
            <w:tcW w:w="38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80" w:type="dxa"/>
            <w:vAlign w:val="bottom"/>
          </w:tcPr>
          <w:p>
            <w:pPr>
              <w:spacing w:after="0"/>
              <w:rPr>
                <w:sz w:val="16"/>
                <w:szCs w:val="16"/>
                <w:color w:val="auto"/>
              </w:rPr>
            </w:pPr>
          </w:p>
        </w:tc>
        <w:tc>
          <w:tcPr>
            <w:tcW w:w="1200" w:type="dxa"/>
            <w:vAlign w:val="bottom"/>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3"/>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658,829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214,783</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873,612</w:t>
            </w:r>
          </w:p>
        </w:tc>
        <w:tc>
          <w:tcPr>
            <w:tcW w:w="0" w:type="dxa"/>
            <w:vAlign w:val="bottom"/>
          </w:tcPr>
          <w:p>
            <w:pPr>
              <w:spacing w:after="0"/>
              <w:rPr>
                <w:sz w:val="1"/>
                <w:szCs w:val="1"/>
                <w:color w:val="auto"/>
              </w:rPr>
            </w:pPr>
          </w:p>
        </w:tc>
      </w:tr>
      <w:tr>
        <w:trPr>
          <w:trHeight w:val="270"/>
        </w:trPr>
        <w:tc>
          <w:tcPr>
            <w:tcW w:w="4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636,718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80,486</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(16,593)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700,611</w:t>
            </w:r>
          </w:p>
        </w:tc>
        <w:tc>
          <w:tcPr>
            <w:tcW w:w="0" w:type="dxa"/>
            <w:vAlign w:val="bottom"/>
          </w:tcPr>
          <w:p>
            <w:pPr>
              <w:spacing w:after="0"/>
              <w:rPr>
                <w:sz w:val="1"/>
                <w:szCs w:val="1"/>
                <w:color w:val="auto"/>
              </w:rPr>
            </w:pPr>
          </w:p>
        </w:tc>
      </w:tr>
      <w:tr>
        <w:trPr>
          <w:trHeight w:val="25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381,693</w:t>
            </w:r>
          </w:p>
        </w:tc>
        <w:tc>
          <w:tcPr>
            <w:tcW w:w="0" w:type="dxa"/>
            <w:vAlign w:val="bottom"/>
          </w:tcPr>
          <w:p>
            <w:pPr>
              <w:spacing w:after="0"/>
              <w:rPr>
                <w:sz w:val="1"/>
                <w:szCs w:val="1"/>
                <w:color w:val="auto"/>
              </w:rPr>
            </w:pPr>
          </w:p>
        </w:tc>
      </w:tr>
      <w:tr>
        <w:trPr>
          <w:trHeight w:val="250"/>
        </w:trPr>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99,948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234,862</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31,068</w:t>
            </w:r>
          </w:p>
        </w:tc>
        <w:tc>
          <w:tcPr>
            <w:tcW w:w="0" w:type="dxa"/>
            <w:vAlign w:val="bottom"/>
          </w:tcPr>
          <w:p>
            <w:pPr>
              <w:spacing w:after="0"/>
              <w:rPr>
                <w:sz w:val="1"/>
                <w:szCs w:val="1"/>
                <w:color w:val="auto"/>
              </w:rPr>
            </w:pPr>
          </w:p>
        </w:tc>
      </w:tr>
      <w:tr>
        <w:trPr>
          <w:trHeight w:val="250"/>
        </w:trPr>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(18,999)</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0" w:type="dxa"/>
            <w:vAlign w:val="bottom"/>
          </w:tcPr>
          <w:p>
            <w:pPr>
              <w:spacing w:after="0"/>
              <w:rPr>
                <w:sz w:val="1"/>
                <w:szCs w:val="1"/>
                <w:color w:val="auto"/>
              </w:rPr>
            </w:pPr>
          </w:p>
        </w:tc>
      </w:tr>
      <w:tr>
        <w:trPr>
          <w:trHeight w:val="250"/>
        </w:trPr>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10,120</w:t>
            </w: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benefit</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(13,869)</w:t>
            </w:r>
          </w:p>
        </w:tc>
        <w:tc>
          <w:tcPr>
            <w:tcW w:w="0" w:type="dxa"/>
            <w:vAlign w:val="bottom"/>
          </w:tcPr>
          <w:p>
            <w:pPr>
              <w:spacing w:after="0"/>
              <w:rPr>
                <w:sz w:val="1"/>
                <w:szCs w:val="1"/>
                <w:color w:val="auto"/>
              </w:rPr>
            </w:pPr>
          </w:p>
        </w:tc>
      </w:tr>
      <w:tr>
        <w:trPr>
          <w:trHeight w:val="25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71,859</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940" w:type="dxa"/>
            <w:vAlign w:val="bottom"/>
            <w:gridSpan w:val="5"/>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9"/>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40" w:type="dxa"/>
            <w:vAlign w:val="bottom"/>
            <w:gridSpan w:val="5"/>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3"/>
          </w:tcPr>
          <w:p>
            <w:pPr>
              <w:jc w:val="center"/>
              <w:ind w:left="838"/>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Subtotal of Reportable</w:t>
            </w:r>
          </w:p>
        </w:tc>
        <w:tc>
          <w:tcPr>
            <w:tcW w:w="0" w:type="dxa"/>
            <w:vAlign w:val="bottom"/>
          </w:tcPr>
          <w:p>
            <w:pPr>
              <w:spacing w:after="0"/>
              <w:rPr>
                <w:sz w:val="1"/>
                <w:szCs w:val="1"/>
                <w:color w:val="auto"/>
              </w:rPr>
            </w:pPr>
          </w:p>
        </w:tc>
      </w:tr>
      <w:tr>
        <w:trPr>
          <w:trHeight w:val="19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Uniti Leasing</w:t>
            </w:r>
          </w:p>
        </w:tc>
        <w:tc>
          <w:tcPr>
            <w:tcW w:w="200" w:type="dxa"/>
            <w:vAlign w:val="bottom"/>
          </w:tcPr>
          <w:p>
            <w:pPr>
              <w:spacing w:after="0"/>
              <w:rPr>
                <w:sz w:val="16"/>
                <w:szCs w:val="16"/>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Uniti Fiber</w:t>
            </w:r>
          </w:p>
        </w:tc>
        <w:tc>
          <w:tcPr>
            <w:tcW w:w="38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80" w:type="dxa"/>
            <w:vAlign w:val="bottom"/>
          </w:tcPr>
          <w:p>
            <w:pPr>
              <w:spacing w:after="0"/>
              <w:rPr>
                <w:sz w:val="16"/>
                <w:szCs w:val="16"/>
                <w:color w:val="auto"/>
              </w:rPr>
            </w:pPr>
          </w:p>
        </w:tc>
        <w:tc>
          <w:tcPr>
            <w:tcW w:w="1200" w:type="dxa"/>
            <w:vAlign w:val="bottom"/>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3"/>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637,849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226,326</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864,175</w:t>
            </w:r>
          </w:p>
        </w:tc>
        <w:tc>
          <w:tcPr>
            <w:tcW w:w="0" w:type="dxa"/>
            <w:vAlign w:val="bottom"/>
          </w:tcPr>
          <w:p>
            <w:pPr>
              <w:spacing w:after="0"/>
              <w:rPr>
                <w:sz w:val="1"/>
                <w:szCs w:val="1"/>
                <w:color w:val="auto"/>
              </w:rPr>
            </w:pPr>
          </w:p>
        </w:tc>
      </w:tr>
      <w:tr>
        <w:trPr>
          <w:trHeight w:val="270"/>
        </w:trPr>
        <w:tc>
          <w:tcPr>
            <w:tcW w:w="506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620,079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88,712</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(16,413)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692,378</w:t>
            </w:r>
          </w:p>
        </w:tc>
        <w:tc>
          <w:tcPr>
            <w:tcW w:w="0" w:type="dxa"/>
            <w:vAlign w:val="bottom"/>
          </w:tcPr>
          <w:p>
            <w:pPr>
              <w:spacing w:after="0"/>
              <w:rPr>
                <w:sz w:val="1"/>
                <w:szCs w:val="1"/>
                <w:color w:val="auto"/>
              </w:rPr>
            </w:pPr>
          </w:p>
        </w:tc>
      </w:tr>
      <w:tr>
        <w:trPr>
          <w:trHeight w:val="25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389,243</w:t>
            </w:r>
          </w:p>
        </w:tc>
        <w:tc>
          <w:tcPr>
            <w:tcW w:w="0" w:type="dxa"/>
            <w:vAlign w:val="bottom"/>
          </w:tcPr>
          <w:p>
            <w:pPr>
              <w:spacing w:after="0"/>
              <w:rPr>
                <w:sz w:val="1"/>
                <w:szCs w:val="1"/>
                <w:color w:val="auto"/>
              </w:rPr>
            </w:pPr>
          </w:p>
        </w:tc>
      </w:tr>
      <w:tr>
        <w:trPr>
          <w:trHeight w:val="250"/>
        </w:trPr>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97,719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231,379</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9,805</w:t>
            </w:r>
          </w:p>
        </w:tc>
        <w:tc>
          <w:tcPr>
            <w:tcW w:w="0" w:type="dxa"/>
            <w:vAlign w:val="bottom"/>
          </w:tcPr>
          <w:p>
            <w:pPr>
              <w:spacing w:after="0"/>
              <w:rPr>
                <w:sz w:val="1"/>
                <w:szCs w:val="1"/>
                <w:color w:val="auto"/>
              </w:rPr>
            </w:pPr>
          </w:p>
        </w:tc>
      </w:tr>
      <w:tr>
        <w:trPr>
          <w:trHeight w:val="250"/>
        </w:trPr>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Goodwill impairment</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203,998</w:t>
            </w:r>
          </w:p>
        </w:tc>
        <w:tc>
          <w:tcPr>
            <w:tcW w:w="0" w:type="dxa"/>
            <w:vAlign w:val="bottom"/>
          </w:tcPr>
          <w:p>
            <w:pPr>
              <w:spacing w:after="0"/>
              <w:rPr>
                <w:sz w:val="1"/>
                <w:szCs w:val="1"/>
                <w:color w:val="auto"/>
              </w:rPr>
            </w:pPr>
          </w:p>
        </w:tc>
      </w:tr>
      <w:tr>
        <w:trPr>
          <w:trHeight w:val="250"/>
        </w:trPr>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23,073</w:t>
            </w: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9,408</w:t>
            </w:r>
          </w:p>
        </w:tc>
        <w:tc>
          <w:tcPr>
            <w:tcW w:w="0" w:type="dxa"/>
            <w:vAlign w:val="bottom"/>
          </w:tcPr>
          <w:p>
            <w:pPr>
              <w:spacing w:after="0"/>
              <w:rPr>
                <w:sz w:val="1"/>
                <w:szCs w:val="1"/>
                <w:color w:val="auto"/>
              </w:rPr>
            </w:pPr>
          </w:p>
        </w:tc>
      </w:tr>
      <w:tr>
        <w:trPr>
          <w:trHeight w:val="250"/>
        </w:trPr>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Income tax benefit</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(62,899)</w:t>
            </w: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Adjustments for equity in earnings from unconsolidated entities</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0" w:type="dxa"/>
            <w:vAlign w:val="bottom"/>
          </w:tcPr>
          <w:p>
            <w:pPr>
              <w:spacing w:after="0"/>
              <w:rPr>
                <w:sz w:val="1"/>
                <w:szCs w:val="1"/>
                <w:color w:val="auto"/>
              </w:rPr>
            </w:pPr>
          </w:p>
        </w:tc>
      </w:tr>
      <w:tr>
        <w:trPr>
          <w:trHeight w:val="25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(112,469)</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vMerge w:val="restart"/>
          </w:tcPr>
          <w:p>
            <w:pPr>
              <w:jc w:val="right"/>
              <w:ind w:right="714"/>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1"/>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229" w:lineRule="exact"/>
        <w:rPr>
          <w:sz w:val="20"/>
          <w:szCs w:val="20"/>
          <w:color w:val="auto"/>
        </w:rPr>
      </w:pPr>
    </w:p>
    <w:p>
      <w:pPr>
        <w:jc w:val="both"/>
        <w:ind w:right="580"/>
        <w:spacing w:after="0" w:line="312" w:lineRule="auto"/>
        <w:rPr>
          <w:sz w:val="20"/>
          <w:szCs w:val="20"/>
          <w:color w:val="auto"/>
        </w:rPr>
      </w:pPr>
      <w:r>
        <w:rPr>
          <w:rFonts w:ascii="Times New Roman" w:cs="Times New Roman" w:eastAsia="Times New Roman" w:hAnsi="Times New Roman"/>
          <w:sz w:val="17"/>
          <w:szCs w:val="17"/>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Windstream Commitments</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Following the consummation of our settlement agreement with Windstream, including entry into the Windstream Leases, we are obligated to make $490.1 million of cash payments to Windstream in equal installments over 20 consecutive quarters beginning in October 2020, and Uniti may prepay any installments due on or after the first anniversary of the settlement agreement (discounted at a 9% rate). As of September 30, 2024, the Company has made payments totaling $386.9 million.</w:t>
      </w:r>
    </w:p>
    <w:p>
      <w:pPr>
        <w:spacing w:after="0" w:line="180"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Further, beginning in October 2020, we became obligated to reimburse Windstream for up to an aggregate of $1.75 billion for certain growth capital improvements in long-term fiber and related assets made by Windstream (“Growth Capital Improvements”) through 2029. Uniti’s reimbursement commitment for Growth Capital Improvements does not require Uniti to reimburse Windstream for maintenance or repair expenditures (except for costs incurred for fiber replacements to the property leased under the competitive local exchange carrier master lease agreement, up to $70 million during the term), and each such reimbursement is subject to underwriting standards. Uniti’s total annual reimbursement commitments for the Growth Capital Improvements under both Windstream Leases (and under separate equipment loan facilities) were limited to $225 million in 2023, and are limited to $225 million per year in 2024; $175 million per year in 2025 and 2026; and $125 million per year in 2027 through 2029. If the cost incurred by Windstream (or the successor tenant under a Windstream Lease) for Growth Capital Improvements in any calendar year exceeds the annual limit for such calendar year, Windstream (or such tenant, as the case may be) may submit such excess costs for reimbursement in any subsequent year and such excess costs shall be funded from the annual commitment amounts in such subsequent period. In addition, to the extent that reimbursements for Growth Capital Improvements funded in any calendar year during the term is less than the annual limit for such calendar year, the unfunded amount in any calendar year will carry-over and may be added to the annual limits for subsequent calendar years, subject to an annual limit of $250 million in any calendar year. During the nine months ended September 30, 2024, Uniti reimbursed $230.8 million of Growth Capital Improvements, of which $104.6 million represented the reimbursement of capital improvements completed in 2023 that were previously classified as tenant funded capital improvements. As of the date of this Quarterly Report on Form 10-Q, we have reimbursed a total of $1.0 billion of Growth Capital Improvements.</w:t>
      </w:r>
    </w:p>
    <w:p>
      <w:pPr>
        <w:spacing w:after="0" w:line="19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Starting on the first anniversary of each installment of reimbursement for a Growth Capital Improvement, the rent payable by Windstream under the applicable Windstream Lease will increase by an amount equal to 8.0% (the “Rent Rate”) of such installment of reimbursement. The Rent Rate will thereafter increase to 100.5% of the prior Rent Rate on each anniversary of each reimbursement. In the event that the tenant’s interest in either Windstream Lease is transferred by Windstream under the terms thereof (unless transferred to the same transferee), or if Uniti transfers its interests as landlord under either Windstream Lease (unless to the same transferee), the reimbursement rights and obligations will be allocated between the ILEC MLA and the CLEC MLA by Windstream, provided that the maximum that may be allocated to the CLEC MLA following such transfer is $20 million per year. If Uniti fails to reimburse any Growth Capital Improvement reimbursement payment or equipment loan funding request as and when it is required to do so under the terms of the Windstream Leases, and such failure continues for thirty (30) days, then such unreimbursed amounts may be applied as an offset against the rent owed by Windstream under the Windstream Leases (and such amounts will thereafter be treated as if Uniti had reimbursed them).</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Uniti and Windstream have entered into separate ILEC and CLEC Equipment Loan and Security Agreements (collectively “Equipment Loan Agreement”) in which Uniti will provide up to $125 million (limited to $25 million in any calendar year) of the $1.75 billion of Growth Capital Improvements commitments discussed above in the form of loans for Windstream to purchase equipment related to network upgrades or to be used in connection with the Windstream Leases. Interest on these loans will accrue at 8% from the date of the borrowing. All equipment financed through the Equipment Loan Agreement is the sole property of Windstream; however, Uniti will receive a first-lien security interest in the equipment purchased with the loans. No loans have been made under the Equipment Loan Agreement.</w:t>
      </w: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Accumulated Other Comprehensive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accumulated other comprehensive loss by component is as follows for the three and nine months ended September 30, 2024 and 2023:</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14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hedge:</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Balance at beginning of period attributable to shareholders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fair value of derivative asset</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0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income</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Less: Other comprehensive income attributable to noncontrolling</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0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interest</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at end of period attributable to shareholders</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at end of period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Pr>
          <w:p>
            <w:pPr>
              <w:spacing w:after="0"/>
              <w:rPr>
                <w:sz w:val="21"/>
                <w:szCs w:val="21"/>
                <w:color w:val="auto"/>
              </w:rPr>
            </w:pPr>
          </w:p>
        </w:tc>
        <w:tc>
          <w:tcPr>
            <w:tcW w:w="1140" w:type="dxa"/>
            <w:vAlign w:val="bottom"/>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Capital Stock</w:t>
      </w:r>
    </w:p>
    <w:p>
      <w:pPr>
        <w:spacing w:after="0" w:line="243"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color w:val="auto"/>
        </w:rPr>
        <w:t>The limited partnership interests in our operating partnership (commonly called “OP Units”), are exchangeable on a one-for-one basis for shares of our common stock or, at our election, cash of equivalent value. No OP Units held by third parties were exchanged during the three months ended September</w:t>
      </w:r>
    </w:p>
    <w:p>
      <w:pPr>
        <w:spacing w:after="0" w:line="2" w:lineRule="exact"/>
        <w:rPr>
          <w:sz w:val="20"/>
          <w:szCs w:val="20"/>
          <w:color w:val="auto"/>
        </w:rPr>
      </w:pPr>
    </w:p>
    <w:p>
      <w:pPr>
        <w:ind w:right="240"/>
        <w:spacing w:after="0" w:line="247" w:lineRule="auto"/>
        <w:rPr>
          <w:sz w:val="20"/>
          <w:szCs w:val="20"/>
          <w:color w:val="auto"/>
        </w:rPr>
      </w:pPr>
      <w:r>
        <w:rPr>
          <w:rFonts w:ascii="Times New Roman" w:cs="Times New Roman" w:eastAsia="Times New Roman" w:hAnsi="Times New Roman"/>
          <w:sz w:val="18"/>
          <w:szCs w:val="18"/>
          <w:color w:val="auto"/>
        </w:rPr>
        <w:t>30, 2024. During the nine months ended September 30, 2024, the Company exchanged 68,384 OP Units held by third parties, of which 53,662 OP Units were exchanged for an equal number of shares of our common stock and 14,722 OP Units were purchased for cash consideration of $0.1 million, representing approximately 65% of the OP Units held by third parties with a carrying value of $1.3 million as of the exchange dates.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describes the principal factors affecting the results of our operations, financial condition, and changes in financial condition for the three and nine months ended September 30, 2024. This discussion should be read in conjunction with the accompanying Condensed Consolidated Financial Statements, and the notes thereto set forth in Part I, Item 1 "Financial Statements" of this Quarterly Report on Form 10-Q and our Annual Report on Form 10-K filed with the U.S. Securities and Exchange Commission (“SEC”) on February 29, 2024, as amended by Amendment No. 1 and Amendment No. 2 thereto filed on Form 10-K/A with the SEC on March 26, 2024</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March 27, 2024</w:t>
      </w:r>
      <w:r>
        <w:rPr>
          <w:rFonts w:ascii="Arial" w:cs="Arial" w:eastAsia="Arial" w:hAnsi="Arial"/>
          <w:sz w:val="21"/>
          <w:szCs w:val="21"/>
          <w:color w:val="auto"/>
        </w:rPr>
        <w:t>,</w:t>
      </w:r>
      <w:r>
        <w:rPr>
          <w:rFonts w:ascii="Times New Roman" w:cs="Times New Roman" w:eastAsia="Times New Roman" w:hAnsi="Times New Roman"/>
          <w:sz w:val="18"/>
          <w:szCs w:val="18"/>
          <w:color w:val="auto"/>
        </w:rPr>
        <w:t xml:space="preserve"> respectively (the “Annual Report”).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Description</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Uniti Group Inc. (the “Company”, “Uniti”, “we”, “us” or “our”) is an independent, internally managed real estate investment trust (“REIT”) engaged in the acquisition, construction and leasing of mission critical infrastructure in the communications industry. We are principally focused on acquiring and constructing fiber optic, copper and coaxial broadband networks and data centers.</w:t>
      </w:r>
    </w:p>
    <w:p>
      <w:pPr>
        <w:spacing w:after="0" w:line="176"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On April 24, 2015, we were separated and spun-off (the “Spin-Off”) from Windstream Holdings, Inc. (“Windstream Holdings” and together with Windstream Holdings II, LLC, its successor in interest, and its subsidiaries, “Windstream”) pursuant to which Windstream contributed certain telecommunications network assets, including fiber and copper networks and other real estate (the “Distribution Systems”) and a small consumer competitive local exchange carrier (“CLEC”) business (the “Consumer CLEC Business”) to Uniti and Uniti issued common stock and indebtedness and paid cash obtained from borrowings under Uniti’s senior credit facilities to Windstream. In connection with the Spin-Off, we entered</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into a long-term exclusive triple-net lease (the “Master Lease”) with Windstream, pursuant to which a substantial portion of our real property is leased to Windstream and from which a substantial portion of our leasing revenues are currently derived. In connection with Windstream’s emergence from bankruptcy, Uniti and Windstream bifurcated the Master Lease and entered into two structurally similar master leases (collectively, the “Windstream Leases”), which amended and restated the Master Lease in its entirety. The Windstream Leases consist of (a) a master lease (the “ILEC MLA”) that governs Uniti owned assets used for Windstream’s incumbent local exchange carrier (“ILEC”) operations and (b) a master lease (the “CLEC MLA”) that governs Uniti owned assets used for Windstream’s CLEC operations.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Uniti operates as a REIT for U.S. federal income tax purposes. As a REIT, the Company is generally not subject to U.S. federal income taxes on income generated by its REIT operations, which includes income derived from the Windstream Leases. We have elected to treat the subsidiaries through which we operate our fiber business, Uniti Fiber, and certain aspects of our leasing business, Uniti Leasing, as taxable REIT subsidiaries (“TRSs”). TRSs enable us to engage in activities that result in income that does not constitute qualifying income for a REIT. Our TRSs are subject to U.S. federal, state and local corporate income taxes.</w:t>
      </w:r>
    </w:p>
    <w:p>
      <w:pPr>
        <w:spacing w:after="0" w:line="18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operates through a customary "up-REIT" structure, pursuant to which we hold substantially all of our assets through a partnership, Uniti Group LP, a Delaware limited partnership (the “Operating Partnership”), that we control as general partner. The up-REIT structure is intended to facilitate future acquisition opportunities by providing the Company with the ability to use common units of the Operating Partnership as a tax-efficient acquisition currency. As of September 30, 2024, we are the sole general partner of the Operating Partnership and own approximately 99.98% of the partnership interests in the Operating Partnership. In addition, we have undertaken a series of transactions to permit us to hold certain assets through subsidiaries that are taxed as REITs, which may also facilitate future acquisition opportunities.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aim to grow and diversify our portfolio and tenant base by pursuing a range of transaction structures with communication service providers, including</w:t>
      </w:r>
    </w:p>
    <w:p>
      <w:pPr>
        <w:spacing w:after="0" w:line="27" w:lineRule="exact"/>
        <w:rPr>
          <w:sz w:val="20"/>
          <w:szCs w:val="20"/>
          <w:color w:val="auto"/>
        </w:rPr>
      </w:pPr>
    </w:p>
    <w:p>
      <w:pPr>
        <w:ind w:right="60" w:firstLine="8"/>
        <w:spacing w:after="0" w:line="252" w:lineRule="auto"/>
        <w:tabs>
          <w:tab w:leader="none" w:pos="2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sale-leaseback transactions, whereby we acquire existing infrastructure assets from third parties, including communication service providers, and lease them back on a long-term triple-net basis; (ii) leasing of dark fiber and selling of lit services on our existing fiber network assets that we either constructed or acquired; (iii) whole company acquisitions, which may include the use of one or more TRSs that are permitted under the tax laws to acquire and operate non-REIT businesses and assets subject to certain limitations; (iv) capital investment financing, whereby we offer communication service providers a cost efficient method of raising funds for discrete capital investments to upgrade or expand their network; and (v) mergers and acquisitions financing, whereby we facilitate mergers and acquisition transactions as a capital partner, including through operating company-property company (“OpCo-PropCo”) structures.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manage our operations as two reportable business segments, in addition to our corporate operations, which include:</w:t>
      </w:r>
    </w:p>
    <w:p>
      <w:pPr>
        <w:spacing w:after="0" w:line="223"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Uniti Leasing</w:t>
      </w:r>
      <w:r>
        <w:rPr>
          <w:rFonts w:ascii="Times New Roman" w:cs="Times New Roman" w:eastAsia="Times New Roman" w:hAnsi="Times New Roman"/>
          <w:sz w:val="18"/>
          <w:szCs w:val="18"/>
          <w:color w:val="auto"/>
        </w:rPr>
        <w:t>: Represents the operations of our leasing business, which is engaged in the acquisition and construction of mission-critical communications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and leasing them to anchor customers on either an exclusive or shared-tenant basis, in addition to the leasing of dark fiber on our existing dark fiber network assets that we either constructed or acquired. While the Leasing segment represents our REIT operations, certain aspects of the Leasing segment are also operated through TRSs.</w:t>
      </w:r>
    </w:p>
    <w:p>
      <w:pPr>
        <w:spacing w:after="0" w:line="180"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Uniti Fiber</w:t>
      </w:r>
      <w:r>
        <w:rPr>
          <w:rFonts w:ascii="Times New Roman" w:cs="Times New Roman" w:eastAsia="Times New Roman" w:hAnsi="Times New Roman"/>
          <w:sz w:val="18"/>
          <w:szCs w:val="18"/>
          <w:color w:val="auto"/>
        </w:rPr>
        <w:t>: Represents the operations of our fiber business which is a leading provider of infrastructure solutions, including cell site backhaul and dark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fiber, to the telecommunications industry.</w:t>
      </w:r>
    </w:p>
    <w:p>
      <w:pPr>
        <w:spacing w:after="0" w:line="158"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Corporate</w:t>
      </w:r>
      <w:r>
        <w:rPr>
          <w:rFonts w:ascii="Times New Roman" w:cs="Times New Roman" w:eastAsia="Times New Roman" w:hAnsi="Times New Roman"/>
          <w:sz w:val="18"/>
          <w:szCs w:val="18"/>
          <w:color w:val="auto"/>
        </w:rPr>
        <w:t>: Represents our corporate office and shared service functions. Certain costs and expenses, primarily related to headcount,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systems, insurance, professional fees and similar charges, that are directly attributable to operations of our business segments are allocated to the respective segments.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evaluate the performance of each segment based on Adjusted EBITDA, which is a segment performance measure we define as net income determined in accordance with GAAP, before interest expense, provision for income taxes, depreciation and amortization, stock-based compensation expense and the impact, which may be recurring in nature, of transaction and integration related costs, costs associated with Windstream’s bankruptcy, costs associated with litigation claims made against us, costs associated with the implementation of our enterprise resource planning system, goodwill impairment charges, severance costs, costs related to the settlement with Windstream, amortization of non-cash rights-of-use assets, the write off of unamortized deferred financing costs, costs incurred as a result of the early repayment of debt,</w:t>
      </w: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including early tender and redemption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For more information on Adjusted EBITDA, see “Non-GAAP Financial Measures.” Detailed information about our segments can be found in Note 12 to our accompanying Condensed Consolidated Financial Statements contained in Part I, Item 1 "Financial Statements" of this Quarterly Report on Form 10-Q.</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Business Developments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Proposed Merger with Windstream</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May 3, 2024, the Company entered into an Agreement and Plan of Merger with Windstream Holdings II, LLC (the “Merger Agreement”) providing for a combination of the Company and Windstream such that, following a pre-closing reorganization of Windstream and the merger of the Company into an entity formed in such reorganization (the "Merger"), both the Company and Windstream will be indirect wholly owned subsidiaries of a recently formed company that in the reorganization will become the parent company of Windstream (“New Uniti”). Following the Merger, the common stock of New Uniti (“New Uniti Common Stock”) is expected to be listed on the Nasdaq.</w:t>
      </w:r>
    </w:p>
    <w:p>
      <w:pPr>
        <w:spacing w:after="0" w:line="18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Merger intends to reunite Windstream’s business with the underlying fiber infrastructure owned by the Company to create a premier digital infrastructure company with a strong platform for value creation. Upon consummation of the Merger, the board of directors of New Uniti will initially comprise nine members, including five directors to be appointed by Uniti. It is expected that Uniti’s existing officers will serve as initial officers of New Uniti.</w:t>
      </w:r>
    </w:p>
    <w:p>
      <w:pPr>
        <w:spacing w:after="0" w:line="207"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At the effective time of the Merger, each share of Uniti’s common stock that is issued and outstanding will automatically be cancelled and retired and converted into the right to a number of shares of New Uniti Common Stock pursuant to an exchange ratio set forth in the Merger Agreement such that the Company's and Windstream's stockholders are expected to hold approximately 62% and 38%, respectively, of the combined company before giving effect to the conversion of any outstanding convertible securities or the issuance of warrants to purchase New Uniti Common Stock referenced below.</w:t>
      </w:r>
    </w:p>
    <w:p>
      <w:pPr>
        <w:spacing w:after="0" w:line="20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In addition, at the closing of the Merger, we will fund an aggregate cash payment of $425 million (less certain transaction expenses) that will be distributed to Windstream equityholders on a pro-rata basis (the “Merger Cash Consideration”). Windstream equityholders will also be entitled to pro rata distributions of (i) new shares of non-voting preferred stock of New Uniti with a dividend rate of 11% per year for the first six years, subject to an additional 0.5% per year during each of the seventh and eighth year after the initial issuance and further increased by an additional 1% per year during each subsequent year, subject to a cap of 16% per year and with an aggregate liquidation preference of $575 million, and (ii) warrants to purchase New Uniti Common Stock, with an exercise price of $0.01 per share, subject to customary adjustments, representing in the aggregate approximately 6.9% of the pro forma share total of New Uniti. We intend to fund the Merger Cash Consideration with cash on hand and borrowings under the Revolving Credit Facility (as defined herein).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Merger with Windstream is subject to customary closing conditions, including, among others, approval by our</w:t>
      </w:r>
    </w:p>
    <w:p>
      <w:pPr>
        <w:spacing w:after="0" w:line="16"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18"/>
          <w:szCs w:val="18"/>
          <w:color w:val="auto"/>
        </w:rPr>
        <w:t>stockholders and receipt of required regulatory approvals, including the expiration or early termination of the waiting period under the Hart-Scott Rodino Antitrust Improvements Act of 1976 and the receipt of approvals from the Federal Communications Commission and certain state public utility commissions. We currently expect our Merger with Windstream to close in 2025.</w:t>
      </w:r>
    </w:p>
    <w:p>
      <w:pPr>
        <w:spacing w:after="0" w:line="208"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Upon consummation of the Merger, New Uniti will become an integrated telecommunications company. Initially, the legacy Uniti and Windstream organizational structures will remain separate, and the existing agreements and arrangements presently in effect between Uniti and Windstream, such as the Windstream Leases and the settlement agreement with Windstream, which requires Uniti to fund periodic settlement payments and reimburse Windstream for certain growth capital improvements, will remain in place. All Windstream debt obligations would remain obligations of Windstream and our debt obligations would remain as ours, with no cross-guarantees or credit support between the Company and Windstream. For a description of the Windstream Leases and the settlement agreement with Windstream, refer to “Liquidity and Capital Resources—Windstream Leases” within Part I, Item 2 "Management’s Discussion and Analysis of Financial Condition and Results of Operations" in this Quarterly Report on Form 10-Q. In September and October 2024, Windstream undertook a series of transactions through which it amended the terms of its outstanding debt to, among other things, allow for the consolidation of Uniti's and Windstream's debt following the completion of the Merger into a single silo under a common parent entity (the "Post-Closing Reorganization"). As a result, following the completion of the Merger, Uniti may, but is not required to, consummate the Post-Closing Reorganization. If the Post-Closing Reorganization</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is completed, certain existing agreements and arrangements presently in effect between Uniti and Windstream, including the Windstream Leases and the settlement agreement described above, could be (but are not required to be) terminated. In addition, if the Post-Closing Reorganization is completed, each obligor under Uniti's outstanding debt (other than the ABS Loan Facility) would become an obligor under Windstream's outstanding debt, and each obligor under Windstream's outstanding debt would become an obligor under Uniti's outstanding debt (other than the ABS Loan Facility).</w:t>
      </w:r>
    </w:p>
    <w:p>
      <w:pPr>
        <w:spacing w:after="0" w:line="204"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In addition, we have agreed to suspend dividend payments or other distributions until the consummation of the Merger, except for the dividend paid on June 28, 2024 and those dividends reasonably required for us or our subsidiaries to maintain our status as a REIT or to avoid the payment or imposition of income or excise tax, among other customary exceptions. Finally, it is expected that, following consummation of the Merger, Uniti will cease to be a REIT for U.S. federal income tax purposes.</w:t>
      </w: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September 30, 2024 and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expressed as dollars and as a percentage of total revenues for the periods indicated: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8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60" w:type="dxa"/>
            <w:vAlign w:val="bottom"/>
          </w:tcPr>
          <w:p>
            <w:pPr>
              <w:spacing w:after="0"/>
              <w:rPr>
                <w:sz w:val="16"/>
                <w:szCs w:val="16"/>
                <w:color w:val="auto"/>
              </w:rPr>
            </w:pPr>
          </w:p>
        </w:tc>
      </w:tr>
      <w:tr>
        <w:trPr>
          <w:trHeight w:val="23"/>
        </w:trPr>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6"/>
        </w:trPr>
        <w:tc>
          <w:tcPr>
            <w:tcW w:w="4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60" w:type="dxa"/>
            <w:vAlign w:val="bottom"/>
          </w:tcPr>
          <w:p>
            <w:pPr>
              <w:spacing w:after="0"/>
              <w:rPr>
                <w:sz w:val="16"/>
                <w:szCs w:val="16"/>
                <w:color w:val="auto"/>
              </w:rPr>
            </w:pPr>
          </w:p>
        </w:tc>
      </w:tr>
      <w:tr>
        <w:trPr>
          <w:trHeight w:val="216"/>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40" w:type="dxa"/>
            <w:vAlign w:val="bottom"/>
          </w:tcPr>
          <w:p>
            <w:pPr>
              <w:spacing w:after="0"/>
              <w:rPr>
                <w:sz w:val="18"/>
                <w:szCs w:val="18"/>
                <w:color w:val="auto"/>
              </w:rPr>
            </w:pPr>
          </w:p>
        </w:tc>
        <w:tc>
          <w:tcPr>
            <w:tcW w:w="148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of Revenues</w:t>
            </w:r>
          </w:p>
        </w:tc>
        <w:tc>
          <w:tcPr>
            <w:tcW w:w="220" w:type="dxa"/>
            <w:vAlign w:val="bottom"/>
          </w:tcPr>
          <w:p>
            <w:pPr>
              <w:spacing w:after="0"/>
              <w:rPr>
                <w:sz w:val="18"/>
                <w:szCs w:val="18"/>
                <w:color w:val="auto"/>
              </w:rPr>
            </w:pPr>
          </w:p>
        </w:tc>
        <w:tc>
          <w:tcPr>
            <w:tcW w:w="150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 of Revenues</w:t>
            </w:r>
          </w:p>
        </w:tc>
      </w:tr>
      <w:tr>
        <w:trPr>
          <w:trHeight w:val="23"/>
        </w:trPr>
        <w:tc>
          <w:tcPr>
            <w:tcW w:w="49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6"/>
        </w:trPr>
        <w:tc>
          <w:tcPr>
            <w:tcW w:w="4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60" w:type="dxa"/>
            <w:vAlign w:val="bottom"/>
          </w:tcPr>
          <w:p>
            <w:pPr>
              <w:spacing w:after="0"/>
              <w:rPr>
                <w:sz w:val="16"/>
                <w:szCs w:val="16"/>
                <w:color w:val="auto"/>
              </w:rPr>
            </w:pPr>
          </w:p>
        </w:tc>
      </w:tr>
      <w:tr>
        <w:trPr>
          <w:trHeight w:val="23"/>
        </w:trPr>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Revenue from rentals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5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Uniti Leasing</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rPr>
              <w:t>73.3%</w:t>
            </w:r>
          </w:p>
        </w:tc>
      </w:tr>
      <w:tr>
        <w:trPr>
          <w:trHeight w:val="230"/>
        </w:trPr>
        <w:tc>
          <w:tcPr>
            <w:tcW w:w="51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Uniti Fiber</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w w:val="95"/>
              </w:rPr>
              <w:t>4.4%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w w:val="95"/>
              </w:rPr>
              <w:t>5.8%</w:t>
            </w:r>
          </w:p>
        </w:tc>
      </w:tr>
      <w:tr>
        <w:trPr>
          <w:trHeight w:val="223"/>
        </w:trPr>
        <w:tc>
          <w:tcPr>
            <w:tcW w:w="5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 from rentals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rPr>
              <w:t>79.1%</w:t>
            </w:r>
          </w:p>
        </w:tc>
      </w:tr>
      <w:tr>
        <w:trPr>
          <w:trHeight w:val="229"/>
        </w:trPr>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Service revenues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5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Uniti Leasing</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w w:val="95"/>
              </w:rPr>
              <w:t>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w w:val="95"/>
              </w:rPr>
              <w:t>0.6%</w:t>
            </w:r>
          </w:p>
        </w:tc>
      </w:tr>
      <w:tr>
        <w:trPr>
          <w:trHeight w:val="229"/>
        </w:trPr>
        <w:tc>
          <w:tcPr>
            <w:tcW w:w="51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Uniti Fiber</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56,563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59,154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rPr>
              <w:t>20.3%</w:t>
            </w:r>
          </w:p>
        </w:tc>
      </w:tr>
      <w:tr>
        <w:trPr>
          <w:trHeight w:val="223"/>
        </w:trPr>
        <w:tc>
          <w:tcPr>
            <w:tcW w:w="5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service revenues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rPr>
              <w:t>20.9%</w:t>
            </w:r>
          </w:p>
        </w:tc>
      </w:tr>
      <w:tr>
        <w:trPr>
          <w:trHeight w:val="223"/>
        </w:trPr>
        <w:tc>
          <w:tcPr>
            <w:tcW w:w="5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5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rPr>
              <w:t>41.5%</w:t>
            </w:r>
          </w:p>
        </w:tc>
      </w:tr>
      <w:tr>
        <w:trPr>
          <w:trHeight w:val="230"/>
        </w:trPr>
        <w:tc>
          <w:tcPr>
            <w:tcW w:w="5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rPr>
              <w:t>26.6%</w:t>
            </w:r>
          </w:p>
        </w:tc>
      </w:tr>
      <w:tr>
        <w:trPr>
          <w:trHeight w:val="230"/>
        </w:trPr>
        <w:tc>
          <w:tcPr>
            <w:tcW w:w="5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5"/>
              </w:rPr>
              <w:t>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5"/>
              </w:rPr>
              <w:t>8.8%</w:t>
            </w:r>
          </w:p>
        </w:tc>
      </w:tr>
      <w:tr>
        <w:trPr>
          <w:trHeight w:val="230"/>
        </w:trPr>
        <w:tc>
          <w:tcPr>
            <w:tcW w:w="5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expense (exclusive of depreciation and amortization)</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w w:val="94"/>
              </w:rPr>
              <w:t>11.8%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rPr>
              <w:t>12.9%</w:t>
            </w:r>
          </w:p>
        </w:tc>
      </w:tr>
      <w:tr>
        <w:trPr>
          <w:trHeight w:val="229"/>
        </w:trPr>
        <w:tc>
          <w:tcPr>
            <w:tcW w:w="5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5"/>
              </w:rPr>
              <w:t>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5"/>
              </w:rPr>
              <w:t>0.5%</w:t>
            </w:r>
          </w:p>
        </w:tc>
      </w:tr>
      <w:tr>
        <w:trPr>
          <w:trHeight w:val="230"/>
        </w:trPr>
        <w:tc>
          <w:tcPr>
            <w:tcW w:w="5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4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w w:val="95"/>
              </w:rPr>
              <w:t>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w w:val="96"/>
              </w:rPr>
              <w:t>(0.5%)</w:t>
            </w:r>
          </w:p>
        </w:tc>
      </w:tr>
      <w:tr>
        <w:trPr>
          <w:trHeight w:val="230"/>
        </w:trPr>
        <w:tc>
          <w:tcPr>
            <w:tcW w:w="5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Goodwill impairment</w:t>
            </w:r>
          </w:p>
        </w:tc>
        <w:tc>
          <w:tcPr>
            <w:tcW w:w="240" w:type="dxa"/>
            <w:vAlign w:val="bottom"/>
          </w:tcPr>
          <w:p>
            <w:pPr>
              <w:spacing w:after="0"/>
              <w:rPr>
                <w:sz w:val="19"/>
                <w:szCs w:val="19"/>
                <w:color w:val="auto"/>
              </w:rPr>
            </w:pPr>
          </w:p>
        </w:tc>
        <w:tc>
          <w:tcPr>
            <w:tcW w:w="14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5"/>
              </w:rPr>
              <w:t>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rPr>
              <w:t>70.2%</w:t>
            </w:r>
          </w:p>
        </w:tc>
      </w:tr>
      <w:tr>
        <w:trPr>
          <w:trHeight w:val="230"/>
        </w:trPr>
        <w:tc>
          <w:tcPr>
            <w:tcW w:w="5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w w:val="95"/>
              </w:rPr>
              <w:t>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w w:val="95"/>
              </w:rPr>
              <w:t>0.5%</w:t>
            </w:r>
          </w:p>
        </w:tc>
      </w:tr>
      <w:tr>
        <w:trPr>
          <w:trHeight w:val="223"/>
        </w:trPr>
        <w:tc>
          <w:tcPr>
            <w:tcW w:w="518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285,952</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466,351</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rPr>
              <w:t>160.5%</w:t>
            </w:r>
          </w:p>
        </w:tc>
      </w:tr>
      <w:tr>
        <w:trPr>
          <w:trHeight w:val="155"/>
        </w:trPr>
        <w:tc>
          <w:tcPr>
            <w:tcW w:w="518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Income (loss) before income taxes and equity in earnings from</w:t>
            </w: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243"/>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unconsolidated entities</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w w:val="95"/>
              </w:rPr>
              <w:t>2.2%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(175,696)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rPr>
              <w:t>(60.5%)</w:t>
            </w:r>
          </w:p>
        </w:tc>
      </w:tr>
      <w:tr>
        <w:trPr>
          <w:trHeight w:val="230"/>
        </w:trPr>
        <w:tc>
          <w:tcPr>
            <w:tcW w:w="5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6"/>
              </w:rPr>
              <w:t>(2.0%)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rPr>
              <w:t>(19.3%)</w:t>
            </w:r>
          </w:p>
        </w:tc>
      </w:tr>
      <w:tr>
        <w:trPr>
          <w:trHeight w:val="230"/>
        </w:trPr>
        <w:tc>
          <w:tcPr>
            <w:tcW w:w="5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Equity in earnings from unconsolidated entities</w:t>
            </w:r>
          </w:p>
        </w:tc>
        <w:tc>
          <w:tcPr>
            <w:tcW w:w="24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6"/>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w w:val="96"/>
              </w:rPr>
              <w:t>(0.2%)</w:t>
            </w:r>
          </w:p>
        </w:tc>
      </w:tr>
      <w:tr>
        <w:trPr>
          <w:trHeight w:val="223"/>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12,230</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w w:val="95"/>
              </w:rPr>
              <w:t>4.2%</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(118,896)</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rPr>
              <w:t>(41.0%)</w:t>
            </w:r>
          </w:p>
        </w:tc>
      </w:tr>
      <w:tr>
        <w:trPr>
          <w:trHeight w:val="230"/>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w w:val="95"/>
              </w:rPr>
              <w:t>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w w:val="96"/>
              </w:rPr>
              <w:t>(0.0%)</w:t>
            </w:r>
          </w:p>
        </w:tc>
      </w:tr>
      <w:tr>
        <w:trPr>
          <w:trHeight w:val="223"/>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shareholders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5"/>
              </w:rPr>
              <w:t>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rPr>
              <w:t>(40.9%)</w:t>
            </w:r>
          </w:p>
        </w:tc>
      </w:tr>
      <w:tr>
        <w:trPr>
          <w:trHeight w:val="229"/>
        </w:trPr>
        <w:tc>
          <w:tcPr>
            <w:tcW w:w="5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Participating securities' share in earnings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w w:val="96"/>
              </w:rPr>
              <w:t>(0.1%)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w w:val="96"/>
              </w:rPr>
              <w:t>(0.1%)</w:t>
            </w:r>
          </w:p>
        </w:tc>
      </w:tr>
      <w:tr>
        <w:trPr>
          <w:trHeight w:val="230"/>
        </w:trPr>
        <w:tc>
          <w:tcPr>
            <w:tcW w:w="518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Dividends declared on convertible preferred stock</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w w:val="96"/>
              </w:rPr>
              <w:t>(0.0%)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w w:val="96"/>
              </w:rPr>
              <w:t>(0.0%)</w:t>
            </w:r>
          </w:p>
        </w:tc>
      </w:tr>
      <w:tr>
        <w:trPr>
          <w:trHeight w:val="248"/>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common shareholders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w w:val="95"/>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center"/>
              <w:ind w:right="91"/>
              <w:spacing w:after="0"/>
              <w:rPr>
                <w:sz w:val="20"/>
                <w:szCs w:val="20"/>
                <w:color w:val="auto"/>
              </w:rPr>
            </w:pPr>
            <w:r>
              <w:rPr>
                <w:rFonts w:ascii="Times New Roman" w:cs="Times New Roman" w:eastAsia="Times New Roman" w:hAnsi="Times New Roman"/>
                <w:sz w:val="18"/>
                <w:szCs w:val="18"/>
                <w:color w:val="auto"/>
              </w:rPr>
              <w:t>(41.0%)</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879"/>
        </w:trPr>
        <w:tc>
          <w:tcPr>
            <w:tcW w:w="4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ind w:right="811"/>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tables set forth revenues, Adjusted EBITDA and net income of our reportable segments for the three months ended September 30, 2024 and 2023:</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0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162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58"/>
        </w:trPr>
        <w:tc>
          <w:tcPr>
            <w:tcW w:w="5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20" w:type="dxa"/>
            <w:vAlign w:val="bottom"/>
          </w:tcPr>
          <w:p>
            <w:pPr>
              <w:jc w:val="center"/>
              <w:ind w:left="68"/>
              <w:spacing w:after="0" w:line="158" w:lineRule="exact"/>
              <w:rPr>
                <w:sz w:val="20"/>
                <w:szCs w:val="20"/>
                <w:color w:val="auto"/>
              </w:rPr>
            </w:pPr>
            <w:r>
              <w:rPr>
                <w:rFonts w:ascii="Times New Roman" w:cs="Times New Roman" w:eastAsia="Times New Roman" w:hAnsi="Times New Roman"/>
                <w:sz w:val="14"/>
                <w:szCs w:val="14"/>
                <w:b w:val="1"/>
                <w:bCs w:val="1"/>
                <w:color w:val="auto"/>
              </w:rPr>
              <w:t>Subtotal of Reportable</w:t>
            </w:r>
          </w:p>
        </w:tc>
      </w:tr>
      <w:tr>
        <w:trPr>
          <w:trHeight w:val="190"/>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(Thousands)</w:t>
            </w:r>
          </w:p>
        </w:tc>
        <w:tc>
          <w:tcPr>
            <w:tcW w:w="14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Uniti Leasing</w:t>
            </w:r>
          </w:p>
        </w:tc>
        <w:tc>
          <w:tcPr>
            <w:tcW w:w="16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Uniti Fiber</w:t>
            </w:r>
          </w:p>
        </w:tc>
        <w:tc>
          <w:tcPr>
            <w:tcW w:w="146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62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Segments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Revenues</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Adjusted EBITDA</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Transaction related and other costs</w:t>
      </w:r>
    </w:p>
    <w:p>
      <w:pPr>
        <w:spacing w:after="0" w:line="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net</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Income tax benefit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(Thousands)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222,922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69,325</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292,247</w:t>
            </w:r>
          </w:p>
        </w:tc>
        <w:tc>
          <w:tcPr>
            <w:tcW w:w="0" w:type="dxa"/>
            <w:vAlign w:val="bottom"/>
          </w:tcPr>
          <w:p>
            <w:pPr>
              <w:spacing w:after="0"/>
              <w:rPr>
                <w:sz w:val="1"/>
                <w:szCs w:val="1"/>
                <w:color w:val="auto"/>
              </w:rPr>
            </w:pPr>
          </w:p>
        </w:tc>
      </w:tr>
      <w:tr>
        <w:trPr>
          <w:trHeight w:val="526"/>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215,188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25,557</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(5,421)</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235,324</w:t>
            </w:r>
          </w:p>
        </w:tc>
        <w:tc>
          <w:tcPr>
            <w:tcW w:w="0" w:type="dxa"/>
            <w:vAlign w:val="bottom"/>
          </w:tcPr>
          <w:p>
            <w:pPr>
              <w:spacing w:after="0"/>
              <w:rPr>
                <w:sz w:val="1"/>
                <w:szCs w:val="1"/>
                <w:color w:val="auto"/>
              </w:rPr>
            </w:pPr>
          </w:p>
        </w:tc>
      </w:tr>
      <w:tr>
        <w:trPr>
          <w:trHeight w:val="513"/>
        </w:trPr>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131,007</w:t>
            </w: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45,281</w:t>
            </w:r>
          </w:p>
        </w:tc>
        <w:tc>
          <w:tcPr>
            <w:tcW w:w="2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34,031</w:t>
            </w:r>
          </w:p>
        </w:tc>
        <w:tc>
          <w:tcPr>
            <w:tcW w:w="440" w:type="dxa"/>
            <w:vAlign w:val="bottom"/>
          </w:tcPr>
          <w:p>
            <w:pPr>
              <w:spacing w:after="0"/>
              <w:rPr>
                <w:sz w:val="22"/>
                <w:szCs w:val="22"/>
                <w:color w:val="auto"/>
              </w:rPr>
            </w:pPr>
          </w:p>
        </w:tc>
        <w:tc>
          <w:tcPr>
            <w:tcW w:w="12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79,325</w:t>
            </w:r>
          </w:p>
        </w:tc>
        <w:tc>
          <w:tcPr>
            <w:tcW w:w="0" w:type="dxa"/>
            <w:vAlign w:val="bottom"/>
          </w:tcPr>
          <w:p>
            <w:pPr>
              <w:spacing w:after="0"/>
              <w:rPr>
                <w:sz w:val="1"/>
                <w:szCs w:val="1"/>
                <w:color w:val="auto"/>
              </w:rPr>
            </w:pPr>
          </w:p>
        </w:tc>
      </w:tr>
      <w:tr>
        <w:trPr>
          <w:trHeight w:val="256"/>
        </w:trPr>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14,404</w:t>
            </w: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0" w:type="dxa"/>
            <w:vAlign w:val="bottom"/>
          </w:tcPr>
          <w:p>
            <w:pPr>
              <w:spacing w:after="0"/>
              <w:rPr>
                <w:sz w:val="1"/>
                <w:szCs w:val="1"/>
                <w:color w:val="auto"/>
              </w:rPr>
            </w:pPr>
          </w:p>
        </w:tc>
      </w:tr>
      <w:tr>
        <w:trPr>
          <w:trHeight w:val="256"/>
        </w:trPr>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(5,935)</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12,230</w:t>
            </w: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60" w:type="dxa"/>
            <w:vAlign w:val="bottom"/>
            <w:gridSpan w:val="3"/>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0"/>
        </w:trPr>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6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Subtotal of Reportable</w:t>
            </w:r>
          </w:p>
        </w:tc>
        <w:tc>
          <w:tcPr>
            <w:tcW w:w="0" w:type="dxa"/>
            <w:vAlign w:val="bottom"/>
          </w:tcPr>
          <w:p>
            <w:pPr>
              <w:spacing w:after="0"/>
              <w:rPr>
                <w:sz w:val="1"/>
                <w:szCs w:val="1"/>
                <w:color w:val="auto"/>
              </w:rPr>
            </w:pPr>
          </w:p>
        </w:tc>
      </w:tr>
      <w:tr>
        <w:trPr>
          <w:trHeight w:val="190"/>
        </w:trPr>
        <w:tc>
          <w:tcPr>
            <w:tcW w:w="220" w:type="dxa"/>
            <w:vAlign w:val="bottom"/>
          </w:tcPr>
          <w:p>
            <w:pPr>
              <w:spacing w:after="0"/>
              <w:rPr>
                <w:sz w:val="16"/>
                <w:szCs w:val="16"/>
                <w:color w:val="auto"/>
              </w:rPr>
            </w:pP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Uniti Leasing</w:t>
            </w:r>
          </w:p>
        </w:tc>
        <w:tc>
          <w:tcPr>
            <w:tcW w:w="260" w:type="dxa"/>
            <w:vAlign w:val="bottom"/>
          </w:tcPr>
          <w:p>
            <w:pPr>
              <w:spacing w:after="0"/>
              <w:rPr>
                <w:sz w:val="16"/>
                <w:szCs w:val="16"/>
                <w:color w:val="auto"/>
              </w:rPr>
            </w:pPr>
          </w:p>
        </w:tc>
        <w:tc>
          <w:tcPr>
            <w:tcW w:w="132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Uniti Fiber</w:t>
            </w:r>
          </w:p>
        </w:tc>
        <w:tc>
          <w:tcPr>
            <w:tcW w:w="440" w:type="dxa"/>
            <w:vAlign w:val="bottom"/>
          </w:tcPr>
          <w:p>
            <w:pPr>
              <w:spacing w:after="0"/>
              <w:rPr>
                <w:sz w:val="16"/>
                <w:szCs w:val="16"/>
                <w:color w:val="auto"/>
              </w:rPr>
            </w:pPr>
          </w:p>
        </w:tc>
        <w:tc>
          <w:tcPr>
            <w:tcW w:w="1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80" w:type="dxa"/>
            <w:vAlign w:val="bottom"/>
          </w:tcPr>
          <w:p>
            <w:pPr>
              <w:spacing w:after="0"/>
              <w:rPr>
                <w:sz w:val="16"/>
                <w:szCs w:val="16"/>
                <w:color w:val="auto"/>
              </w:rPr>
            </w:pPr>
          </w:p>
        </w:tc>
        <w:tc>
          <w:tcPr>
            <w:tcW w:w="120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-2204720</wp:posOffset>
            </wp:positionV>
            <wp:extent cx="7132320"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-1878965</wp:posOffset>
            </wp:positionV>
            <wp:extent cx="713232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-1553210</wp:posOffset>
            </wp:positionV>
            <wp:extent cx="7132320"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-1227455</wp:posOffset>
            </wp:positionV>
            <wp:extent cx="7132320"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-901700</wp:posOffset>
            </wp:positionV>
            <wp:extent cx="71323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 w:lineRule="exact"/>
        <w:rPr>
          <w:sz w:val="20"/>
          <w:szCs w:val="20"/>
          <w:color w:val="auto"/>
        </w:rPr>
      </w:pPr>
    </w:p>
    <w:p>
      <w:pPr>
        <w:sectPr>
          <w:pgSz w:w="11900" w:h="16838" w:orient="portrait"/>
          <w:cols w:equalWidth="0" w:num="2">
            <w:col w:w="4340" w:space="720"/>
            <w:col w:w="6180"/>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4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214,588</w:t>
            </w:r>
          </w:p>
        </w:tc>
        <w:tc>
          <w:tcPr>
            <w:tcW w:w="100" w:type="dxa"/>
            <w:vAlign w:val="bottom"/>
            <w:tcBorders>
              <w:top w:val="single" w:sz="8" w:color="CCEEFF"/>
            </w:tcBorders>
            <w:shd w:val="clear" w:color="auto" w:fill="CCEEFF"/>
          </w:tcPr>
          <w:p>
            <w:pPr>
              <w:spacing w:after="0"/>
              <w:rPr>
                <w:sz w:val="23"/>
                <w:szCs w:val="23"/>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76,067</w:t>
            </w:r>
          </w:p>
        </w:tc>
        <w:tc>
          <w:tcPr>
            <w:tcW w:w="80" w:type="dxa"/>
            <w:vAlign w:val="bottom"/>
            <w:tcBorders>
              <w:top w:val="single" w:sz="8" w:color="CCEEFF"/>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290,655</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208,561</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29,857</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233,010</w:t>
            </w:r>
          </w:p>
        </w:tc>
        <w:tc>
          <w:tcPr>
            <w:tcW w:w="0" w:type="dxa"/>
            <w:vAlign w:val="bottom"/>
          </w:tcPr>
          <w:p>
            <w:pPr>
              <w:spacing w:after="0"/>
              <w:rPr>
                <w:sz w:val="1"/>
                <w:szCs w:val="1"/>
                <w:color w:val="auto"/>
              </w:rPr>
            </w:pPr>
          </w:p>
        </w:tc>
      </w:tr>
      <w:tr>
        <w:trPr>
          <w:trHeight w:val="25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120,691</w:t>
            </w:r>
          </w:p>
        </w:tc>
        <w:tc>
          <w:tcPr>
            <w:tcW w:w="0" w:type="dxa"/>
            <w:vAlign w:val="bottom"/>
          </w:tcPr>
          <w:p>
            <w:pPr>
              <w:spacing w:after="0"/>
              <w:rPr>
                <w:sz w:val="1"/>
                <w:szCs w:val="1"/>
                <w:color w:val="auto"/>
              </w:rPr>
            </w:pPr>
          </w:p>
        </w:tc>
      </w:tr>
      <w:tr>
        <w:trPr>
          <w:trHeight w:val="256"/>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44,754</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32,570</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77,337</w:t>
            </w: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0" w:type="dxa"/>
            <w:vAlign w:val="bottom"/>
          </w:tcPr>
          <w:p>
            <w:pPr>
              <w:spacing w:after="0"/>
              <w:rPr>
                <w:sz w:val="1"/>
                <w:szCs w:val="1"/>
                <w:color w:val="auto"/>
              </w:rPr>
            </w:pPr>
          </w:p>
        </w:tc>
      </w:tr>
      <w:tr>
        <w:trPr>
          <w:trHeight w:val="257"/>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0" w:type="dxa"/>
            <w:vAlign w:val="bottom"/>
          </w:tcPr>
          <w:p>
            <w:pPr>
              <w:spacing w:after="0"/>
              <w:rPr>
                <w:sz w:val="1"/>
                <w:szCs w:val="1"/>
                <w:color w:val="auto"/>
              </w:rPr>
            </w:pPr>
          </w:p>
        </w:tc>
      </w:tr>
      <w:tr>
        <w:trPr>
          <w:trHeight w:val="256"/>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203,998</w:t>
            </w:r>
          </w:p>
        </w:tc>
        <w:tc>
          <w:tcPr>
            <w:tcW w:w="0" w:type="dxa"/>
            <w:vAlign w:val="bottom"/>
          </w:tcPr>
          <w:p>
            <w:pPr>
              <w:spacing w:after="0"/>
              <w:rPr>
                <w:sz w:val="1"/>
                <w:szCs w:val="1"/>
                <w:color w:val="auto"/>
              </w:rPr>
            </w:pPr>
          </w:p>
        </w:tc>
      </w:tr>
      <w:tr>
        <w:trPr>
          <w:trHeight w:val="257"/>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0" w:type="dxa"/>
            <w:vAlign w:val="bottom"/>
          </w:tcPr>
          <w:p>
            <w:pPr>
              <w:spacing w:after="0"/>
              <w:rPr>
                <w:sz w:val="1"/>
                <w:szCs w:val="1"/>
                <w:color w:val="auto"/>
              </w:rPr>
            </w:pPr>
          </w:p>
        </w:tc>
      </w:tr>
      <w:tr>
        <w:trPr>
          <w:trHeight w:val="256"/>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0" w:type="dxa"/>
            <w:vAlign w:val="bottom"/>
          </w:tcPr>
          <w:p>
            <w:pPr>
              <w:spacing w:after="0"/>
              <w:rPr>
                <w:sz w:val="1"/>
                <w:szCs w:val="1"/>
                <w:color w:val="auto"/>
              </w:rPr>
            </w:pPr>
          </w:p>
        </w:tc>
      </w:tr>
      <w:tr>
        <w:trPr>
          <w:trHeight w:val="257"/>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(56,130)</w:t>
            </w:r>
          </w:p>
        </w:tc>
        <w:tc>
          <w:tcPr>
            <w:tcW w:w="0" w:type="dxa"/>
            <w:vAlign w:val="bottom"/>
          </w:tcPr>
          <w:p>
            <w:pPr>
              <w:spacing w:after="0"/>
              <w:rPr>
                <w:sz w:val="1"/>
                <w:szCs w:val="1"/>
                <w:color w:val="auto"/>
              </w:rPr>
            </w:pPr>
          </w:p>
        </w:tc>
      </w:tr>
      <w:tr>
        <w:trPr>
          <w:trHeight w:val="256"/>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for equity in earnings from unconsolidated entities</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223"/>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(118,896)</w:t>
            </w:r>
          </w:p>
        </w:tc>
        <w:tc>
          <w:tcPr>
            <w:tcW w:w="0" w:type="dxa"/>
            <w:vAlign w:val="bottom"/>
          </w:tcPr>
          <w:p>
            <w:pPr>
              <w:spacing w:after="0"/>
              <w:rPr>
                <w:sz w:val="1"/>
                <w:szCs w:val="1"/>
                <w:color w:val="auto"/>
              </w:rPr>
            </w:pPr>
          </w:p>
        </w:tc>
      </w:tr>
      <w:tr>
        <w:trPr>
          <w:trHeight w:val="21"/>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vMerge w:val="restart"/>
          </w:tcPr>
          <w:p>
            <w:pPr>
              <w:jc w:val="right"/>
              <w:ind w:right="71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Operating Metrics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Operating Metrics</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vMerge w:val="restart"/>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jc w:val="center"/>
              <w:ind w:right="57"/>
              <w:spacing w:after="0" w:line="131" w:lineRule="exact"/>
              <w:rPr>
                <w:sz w:val="20"/>
                <w:szCs w:val="20"/>
                <w:color w:val="auto"/>
              </w:rPr>
            </w:pPr>
            <w:r>
              <w:rPr>
                <w:rFonts w:ascii="Times New Roman" w:cs="Times New Roman" w:eastAsia="Times New Roman" w:hAnsi="Times New Roman"/>
                <w:sz w:val="14"/>
                <w:szCs w:val="14"/>
                <w:b w:val="1"/>
                <w:bCs w:val="1"/>
                <w:color w:val="auto"/>
              </w:rPr>
              <w:t>% Increase /</w:t>
            </w:r>
          </w:p>
        </w:tc>
        <w:tc>
          <w:tcPr>
            <w:tcW w:w="0" w:type="dxa"/>
            <w:vAlign w:val="bottom"/>
          </w:tcPr>
          <w:p>
            <w:pPr>
              <w:spacing w:after="0"/>
              <w:rPr>
                <w:sz w:val="1"/>
                <w:szCs w:val="1"/>
                <w:color w:val="auto"/>
              </w:rPr>
            </w:pPr>
          </w:p>
        </w:tc>
      </w:tr>
      <w:tr>
        <w:trPr>
          <w:trHeight w:val="195"/>
        </w:trPr>
        <w:tc>
          <w:tcPr>
            <w:tcW w:w="49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14"/>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metrics: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Uniti Leasing:</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Fiber strand miles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right="57"/>
              <w:spacing w:after="0"/>
              <w:rPr>
                <w:sz w:val="20"/>
                <w:szCs w:val="20"/>
                <w:color w:val="auto"/>
              </w:rPr>
            </w:pPr>
            <w:r>
              <w:rPr>
                <w:rFonts w:ascii="Times New Roman" w:cs="Times New Roman" w:eastAsia="Times New Roman" w:hAnsi="Times New Roman"/>
                <w:sz w:val="18"/>
                <w:szCs w:val="18"/>
                <w:color w:val="auto"/>
                <w:w w:val="95"/>
              </w:rPr>
              <w:t>3.5%</w:t>
            </w:r>
          </w:p>
        </w:tc>
        <w:tc>
          <w:tcPr>
            <w:tcW w:w="0" w:type="dxa"/>
            <w:vAlign w:val="bottom"/>
          </w:tcPr>
          <w:p>
            <w:pPr>
              <w:spacing w:after="0"/>
              <w:rPr>
                <w:sz w:val="1"/>
                <w:szCs w:val="1"/>
                <w:color w:val="auto"/>
              </w:rPr>
            </w:pPr>
          </w:p>
        </w:tc>
      </w:tr>
      <w:tr>
        <w:trPr>
          <w:trHeight w:val="229"/>
        </w:trPr>
        <w:tc>
          <w:tcPr>
            <w:tcW w:w="50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Copper strand miles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57"/>
              <w:spacing w:after="0"/>
              <w:rPr>
                <w:sz w:val="20"/>
                <w:szCs w:val="20"/>
                <w:color w:val="auto"/>
              </w:rPr>
            </w:pPr>
            <w:r>
              <w:rPr>
                <w:rFonts w:ascii="Times New Roman" w:cs="Times New Roman" w:eastAsia="Times New Roman" w:hAnsi="Times New Roman"/>
                <w:sz w:val="18"/>
                <w:szCs w:val="18"/>
                <w:color w:val="auto"/>
                <w:w w:val="95"/>
              </w:rPr>
              <w:t>0.4%</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Uniti Fiber:</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Fiber strand miles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57"/>
              <w:spacing w:after="0"/>
              <w:rPr>
                <w:sz w:val="20"/>
                <w:szCs w:val="20"/>
                <w:color w:val="auto"/>
              </w:rPr>
            </w:pPr>
            <w:r>
              <w:rPr>
                <w:rFonts w:ascii="Times New Roman" w:cs="Times New Roman" w:eastAsia="Times New Roman" w:hAnsi="Times New Roman"/>
                <w:sz w:val="18"/>
                <w:szCs w:val="18"/>
                <w:color w:val="auto"/>
                <w:w w:val="95"/>
              </w:rPr>
              <w:t>3.4%</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Customer connections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right="57"/>
              <w:spacing w:after="0"/>
              <w:rPr>
                <w:sz w:val="20"/>
                <w:szCs w:val="20"/>
                <w:color w:val="auto"/>
              </w:rPr>
            </w:pPr>
            <w:r>
              <w:rPr>
                <w:rFonts w:ascii="Times New Roman" w:cs="Times New Roman" w:eastAsia="Times New Roman" w:hAnsi="Times New Roman"/>
                <w:sz w:val="18"/>
                <w:szCs w:val="18"/>
                <w:color w:val="auto"/>
                <w:w w:val="95"/>
              </w:rPr>
              <w:t>4.1%</w:t>
            </w:r>
          </w:p>
        </w:tc>
        <w:tc>
          <w:tcPr>
            <w:tcW w:w="0" w:type="dxa"/>
            <w:vAlign w:val="bottom"/>
          </w:tcPr>
          <w:p>
            <w:pPr>
              <w:spacing w:after="0"/>
              <w:rPr>
                <w:sz w:val="1"/>
                <w:szCs w:val="1"/>
                <w:color w:val="auto"/>
              </w:rPr>
            </w:pPr>
          </w:p>
        </w:tc>
      </w:tr>
      <w:tr>
        <w:trPr>
          <w:trHeight w:val="527"/>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gridSpan w:val="8"/>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00" w:type="dxa"/>
            <w:vAlign w:val="bottom"/>
            <w:vMerge w:val="restart"/>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vMerge w:val="restart"/>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top w:val="single" w:sz="8" w:color="auto"/>
            </w:tcBorders>
            <w:vMerge w:val="restart"/>
          </w:tcPr>
          <w:p>
            <w:pPr>
              <w:spacing w:after="0"/>
              <w:rPr>
                <w:sz w:val="11"/>
                <w:szCs w:val="11"/>
                <w:color w:val="auto"/>
              </w:rPr>
            </w:pPr>
          </w:p>
        </w:tc>
        <w:tc>
          <w:tcPr>
            <w:tcW w:w="140" w:type="dxa"/>
            <w:vAlign w:val="bottom"/>
            <w:tcBorders>
              <w:top w:val="single" w:sz="8" w:color="auto"/>
            </w:tcBorders>
            <w:vMerge w:val="restart"/>
          </w:tcPr>
          <w:p>
            <w:pPr>
              <w:spacing w:after="0"/>
              <w:rPr>
                <w:sz w:val="11"/>
                <w:szCs w:val="11"/>
                <w:color w:val="auto"/>
              </w:rPr>
            </w:pPr>
          </w:p>
        </w:tc>
        <w:tc>
          <w:tcPr>
            <w:tcW w:w="1360" w:type="dxa"/>
            <w:vAlign w:val="bottom"/>
            <w:tcBorders>
              <w:top w:val="single" w:sz="8" w:color="auto"/>
            </w:tcBorders>
            <w:gridSpan w:val="2"/>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 of Consolidated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top w:val="single" w:sz="8" w:color="auto"/>
            </w:tcBorders>
            <w:vMerge w:val="restart"/>
          </w:tcPr>
          <w:p>
            <w:pPr>
              <w:spacing w:after="0"/>
              <w:rPr>
                <w:sz w:val="11"/>
                <w:szCs w:val="11"/>
                <w:color w:val="auto"/>
              </w:rPr>
            </w:pPr>
          </w:p>
        </w:tc>
        <w:tc>
          <w:tcPr>
            <w:tcW w:w="140" w:type="dxa"/>
            <w:vAlign w:val="bottom"/>
            <w:tcBorders>
              <w:top w:val="single" w:sz="8" w:color="auto"/>
            </w:tcBorders>
            <w:vMerge w:val="restart"/>
          </w:tcPr>
          <w:p>
            <w:pPr>
              <w:spacing w:after="0"/>
              <w:rPr>
                <w:sz w:val="11"/>
                <w:szCs w:val="11"/>
                <w:color w:val="auto"/>
              </w:rPr>
            </w:pPr>
          </w:p>
        </w:tc>
        <w:tc>
          <w:tcPr>
            <w:tcW w:w="1340" w:type="dxa"/>
            <w:vAlign w:val="bottom"/>
            <w:tcBorders>
              <w:top w:val="single" w:sz="8" w:color="auto"/>
            </w:tcBorders>
          </w:tcPr>
          <w:p>
            <w:pPr>
              <w:jc w:val="center"/>
              <w:ind w:right="77"/>
              <w:spacing w:after="0" w:line="129" w:lineRule="exact"/>
              <w:rPr>
                <w:sz w:val="20"/>
                <w:szCs w:val="20"/>
                <w:color w:val="auto"/>
              </w:rPr>
            </w:pPr>
            <w:r>
              <w:rPr>
                <w:rFonts w:ascii="Times New Roman" w:cs="Times New Roman" w:eastAsia="Times New Roman" w:hAnsi="Times New Roman"/>
                <w:sz w:val="14"/>
                <w:szCs w:val="14"/>
                <w:b w:val="1"/>
                <w:bCs w:val="1"/>
                <w:color w:val="auto"/>
              </w:rPr>
              <w:t>% of Consolidated</w:t>
            </w:r>
          </w:p>
        </w:tc>
        <w:tc>
          <w:tcPr>
            <w:tcW w:w="0" w:type="dxa"/>
            <w:vAlign w:val="bottom"/>
          </w:tcPr>
          <w:p>
            <w:pPr>
              <w:spacing w:after="0"/>
              <w:rPr>
                <w:sz w:val="1"/>
                <w:szCs w:val="1"/>
                <w:color w:val="auto"/>
              </w:rPr>
            </w:pPr>
          </w:p>
        </w:tc>
      </w:tr>
      <w:tr>
        <w:trPr>
          <w:trHeight w:val="196"/>
        </w:trPr>
        <w:tc>
          <w:tcPr>
            <w:tcW w:w="49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3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92"/>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Uniti Leasing</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222,922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37"/>
              <w:spacing w:after="0"/>
              <w:rPr>
                <w:sz w:val="20"/>
                <w:szCs w:val="20"/>
                <w:color w:val="auto"/>
              </w:rPr>
            </w:pPr>
            <w:r>
              <w:rPr>
                <w:rFonts w:ascii="Times New Roman" w:cs="Times New Roman" w:eastAsia="Times New Roman" w:hAnsi="Times New Roman"/>
                <w:sz w:val="18"/>
                <w:szCs w:val="18"/>
                <w:color w:val="auto"/>
                <w:w w:val="98"/>
              </w:rPr>
              <w:t>76.3%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77"/>
              <w:spacing w:after="0"/>
              <w:rPr>
                <w:sz w:val="20"/>
                <w:szCs w:val="20"/>
                <w:color w:val="auto"/>
              </w:rPr>
            </w:pPr>
            <w:r>
              <w:rPr>
                <w:rFonts w:ascii="Times New Roman" w:cs="Times New Roman" w:eastAsia="Times New Roman" w:hAnsi="Times New Roman"/>
                <w:sz w:val="18"/>
                <w:szCs w:val="18"/>
                <w:color w:val="auto"/>
                <w:w w:val="98"/>
              </w:rPr>
              <w:t>73.8%</w:t>
            </w: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Uniti Fiber</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69,325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right="37"/>
              <w:spacing w:after="0"/>
              <w:rPr>
                <w:sz w:val="20"/>
                <w:szCs w:val="20"/>
                <w:color w:val="auto"/>
              </w:rPr>
            </w:pPr>
            <w:r>
              <w:rPr>
                <w:rFonts w:ascii="Times New Roman" w:cs="Times New Roman" w:eastAsia="Times New Roman" w:hAnsi="Times New Roman"/>
                <w:sz w:val="18"/>
                <w:szCs w:val="18"/>
                <w:color w:val="auto"/>
                <w:w w:val="98"/>
              </w:rPr>
              <w:t>23.7%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76,067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right="77"/>
              <w:spacing w:after="0"/>
              <w:rPr>
                <w:sz w:val="20"/>
                <w:szCs w:val="20"/>
                <w:color w:val="auto"/>
              </w:rPr>
            </w:pPr>
            <w:r>
              <w:rPr>
                <w:rFonts w:ascii="Times New Roman" w:cs="Times New Roman" w:eastAsia="Times New Roman" w:hAnsi="Times New Roman"/>
                <w:sz w:val="18"/>
                <w:szCs w:val="18"/>
                <w:color w:val="auto"/>
                <w:w w:val="98"/>
              </w:rPr>
              <w:t>26.2%</w:t>
            </w:r>
          </w:p>
        </w:tc>
        <w:tc>
          <w:tcPr>
            <w:tcW w:w="0" w:type="dxa"/>
            <w:vAlign w:val="bottom"/>
          </w:tcPr>
          <w:p>
            <w:pPr>
              <w:spacing w:after="0"/>
              <w:rPr>
                <w:sz w:val="1"/>
                <w:szCs w:val="1"/>
                <w:color w:val="auto"/>
              </w:rPr>
            </w:pPr>
          </w:p>
        </w:tc>
      </w:tr>
      <w:tr>
        <w:trPr>
          <w:trHeight w:val="223"/>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292,247</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8"/>
                <w:szCs w:val="18"/>
                <w:color w:val="auto"/>
                <w:w w:val="97"/>
              </w:rPr>
              <w:t>100.0%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290,655</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Uniti Leasing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Uniti Leasing revenues are primarily attributable to rental revenue from leasing our Distribution Systems to Windstream pursuant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Windstream Leases. Under the Windstream Leases, Windstream is responsible for the costs related to operating the Distribution Systems, including property taxes, insurance, and maintenance and repair costs. As a result, we do not record an obligation related to the payment of property taxes, as Windstream makes direct payments to the taxing authorities. The initial term of the Windstream Leases expires on April 30, 2030. Annual rent under the Windstream Leases for the full year 2024 is $675.6 million and is subject to annual escalation at a rate of 0.5%. For a description of the Windstream Leases, see “Liquidity and Capital Resources— Windstream Leases” below.</w:t>
      </w:r>
    </w:p>
    <w:p>
      <w:pPr>
        <w:spacing w:after="0" w:line="1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rent for the first year of each renewal term under the Windstream Leases will be an amount agreed to by us and Windstream. While the agreements require that the renewal rent be "Fair Market Rent," if we are unable to agree, the renewal Fair Market Rent will be determined by an independent appraisal process. Commencing with the second year of each renewal term, the renewal rent will increase at an escalation rate of 0.5%.</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Pursuant to the Windstream Leases, Windstream (or any successor tenant under a Windstream Lease) has the right to cause Uniti to reimburse up to an aggregate $1.75 billion for certain growth capital improvements in long-term value accretive fiber and related assets made by Windstream (or the applicable tenant under the Windstream Lease) to certain ILEC and CLEC properties (the “Growth Capital Improvements” or “GCIs”). Uniti’s total annual reimbursement commitments to Windstream for the Growth Capital Improvements is discussed below in “Liquidity and Capital Resources—Windstream Leases.”</w:t>
      </w:r>
    </w:p>
    <w:p>
      <w:pPr>
        <w:spacing w:after="0" w:line="18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Starting on the first anniversary of each installment of reimbursement for a Growth Capital Improvement, the rent payable by Windstream under the applicable Windstream Lease will increase by an amount equal to 8.0% (the “Rent Rate”) of such installment of reimbursement. The Rent Rate will thereafter increase to 100.5% of the prior Rent Rate on each anniversary of each reimbursement. In the event that the tenant’s interest in either Windstream Lease is transferred by Windstream under the terms thereof (unless transferred to the same transferee), or if Uniti transfers its interests as landlord under either Windstream Lease (unless to the same transferee), the reimbursement rights and obligations will be allocated between the ILEC MLA and the CLEC MLA by Windstream, provided that the maximum that may be allocated to the CLEC MLA following such transfer is $20.0 million per year. If Uniti fails to reimburse any Growth Capital Improvement payment or</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equipment loan funding request as and when it is required to do so under the terms of the Windstream Leases, and such failure continues for thirty (30) days, then such unreimbursed amounts may be applied as an offset against the rent owed by Windstream under the Windstream Leases (and such amounts will thereafter be treated as if Uniti had reimbursed them).</w:t>
      </w:r>
    </w:p>
    <w:p>
      <w:pPr>
        <w:spacing w:after="0" w:line="20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The Windstream Leases provide that tenant funded capital improvements (“TCIs”), defined as maintenance, repair, overbuild, upgrade or replacement to the Distribution Systems, including without limitation, the replacement of copper distribution systems with fiber distribution systems, automatically become property of Uniti upon their construction by Windstream. We receive non-monetary consideration related to TCIs as they automatically become our property, and we recognize the cost basis of TCIs that are capital in nature as property, plant, and equipment and deferred revenue. We depreciate the property, plant, and equipment over their estimated useful lives and amortize the deferred revenue as additional leasing revenues over the same depreciable life of the TCI assets. TCIs exclude Growth Capital Improvements as and when reimbursed by Uniti.</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4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00" w:type="dxa"/>
            <w:vAlign w:val="bottom"/>
            <w:vMerge w:val="restart"/>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top w:val="single" w:sz="8" w:color="auto"/>
            </w:tcBorders>
            <w:vMerge w:val="restart"/>
          </w:tcPr>
          <w:p>
            <w:pPr>
              <w:spacing w:after="0"/>
              <w:rPr>
                <w:sz w:val="11"/>
                <w:szCs w:val="11"/>
                <w:color w:val="auto"/>
              </w:rPr>
            </w:pPr>
          </w:p>
        </w:tc>
        <w:tc>
          <w:tcPr>
            <w:tcW w:w="200" w:type="dxa"/>
            <w:vAlign w:val="bottom"/>
            <w:tcBorders>
              <w:top w:val="single" w:sz="8" w:color="auto"/>
            </w:tcBorders>
            <w:vMerge w:val="restart"/>
          </w:tcPr>
          <w:p>
            <w:pPr>
              <w:spacing w:after="0"/>
              <w:rPr>
                <w:sz w:val="11"/>
                <w:szCs w:val="11"/>
                <w:color w:val="auto"/>
              </w:rPr>
            </w:pPr>
          </w:p>
        </w:tc>
        <w:tc>
          <w:tcPr>
            <w:tcW w:w="1280" w:type="dxa"/>
            <w:vAlign w:val="bottom"/>
            <w:tcBorders>
              <w:top w:val="single" w:sz="8" w:color="auto"/>
            </w:tcBorders>
          </w:tcPr>
          <w:p>
            <w:pPr>
              <w:jc w:val="center"/>
              <w:ind w:right="114"/>
              <w:spacing w:after="0" w:line="131"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vMerge w:val="restart"/>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top w:val="single" w:sz="8" w:color="auto"/>
            </w:tcBorders>
            <w:vMerge w:val="restart"/>
          </w:tcPr>
          <w:p>
            <w:pPr>
              <w:spacing w:after="0"/>
              <w:rPr>
                <w:sz w:val="11"/>
                <w:szCs w:val="11"/>
                <w:color w:val="auto"/>
              </w:rPr>
            </w:pPr>
          </w:p>
        </w:tc>
        <w:tc>
          <w:tcPr>
            <w:tcW w:w="200" w:type="dxa"/>
            <w:vAlign w:val="bottom"/>
            <w:tcBorders>
              <w:top w:val="single" w:sz="8" w:color="auto"/>
            </w:tcBorders>
            <w:vMerge w:val="restart"/>
          </w:tcPr>
          <w:p>
            <w:pPr>
              <w:spacing w:after="0"/>
              <w:rPr>
                <w:sz w:val="11"/>
                <w:szCs w:val="11"/>
                <w:color w:val="auto"/>
              </w:rPr>
            </w:pPr>
          </w:p>
        </w:tc>
        <w:tc>
          <w:tcPr>
            <w:tcW w:w="1280" w:type="dxa"/>
            <w:vAlign w:val="bottom"/>
            <w:tcBorders>
              <w:top w:val="single" w:sz="8" w:color="auto"/>
            </w:tcBorders>
          </w:tcPr>
          <w:p>
            <w:pPr>
              <w:jc w:val="center"/>
              <w:ind w:right="133"/>
              <w:spacing w:after="0" w:line="131"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0" w:type="dxa"/>
            <w:vAlign w:val="bottom"/>
          </w:tcPr>
          <w:p>
            <w:pPr>
              <w:spacing w:after="0"/>
              <w:rPr>
                <w:sz w:val="1"/>
                <w:szCs w:val="1"/>
                <w:color w:val="auto"/>
              </w:rPr>
            </w:pPr>
          </w:p>
        </w:tc>
      </w:tr>
      <w:tr>
        <w:trPr>
          <w:trHeight w:val="195"/>
        </w:trPr>
        <w:tc>
          <w:tcPr>
            <w:tcW w:w="49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91"/>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60" w:type="dxa"/>
            <w:vAlign w:val="bottom"/>
            <w:gridSpan w:val="2"/>
            <w:shd w:val="clear" w:color="auto" w:fill="CCEEFF"/>
          </w:tcPr>
          <w:p>
            <w:pPr>
              <w:jc w:val="center"/>
              <w:ind w:right="3200"/>
              <w:spacing w:after="0"/>
              <w:rPr>
                <w:sz w:val="20"/>
                <w:szCs w:val="20"/>
                <w:color w:val="auto"/>
              </w:rPr>
            </w:pPr>
            <w:r>
              <w:rPr>
                <w:rFonts w:ascii="Times New Roman" w:cs="Times New Roman" w:eastAsia="Times New Roman" w:hAnsi="Times New Roman"/>
                <w:sz w:val="18"/>
                <w:szCs w:val="18"/>
                <w:b w:val="1"/>
                <w:bCs w:val="1"/>
                <w:color w:val="auto"/>
                <w:w w:val="99"/>
              </w:rPr>
              <w:t>Uniti Leasing revenues: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gridSpan w:val="2"/>
          </w:tcPr>
          <w:p>
            <w:pPr>
              <w:jc w:val="center"/>
              <w:ind w:right="3240"/>
              <w:spacing w:after="0"/>
              <w:rPr>
                <w:sz w:val="20"/>
                <w:szCs w:val="20"/>
                <w:color w:val="auto"/>
              </w:rPr>
            </w:pPr>
            <w:r>
              <w:rPr>
                <w:rFonts w:ascii="Times New Roman" w:cs="Times New Roman" w:eastAsia="Times New Roman" w:hAnsi="Times New Roman"/>
                <w:sz w:val="18"/>
                <w:szCs w:val="18"/>
                <w:color w:val="auto"/>
                <w:w w:val="99"/>
              </w:rPr>
              <w:t>Windstream Leases: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revenue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Cash rent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4"/>
              <w:spacing w:after="0"/>
              <w:rPr>
                <w:sz w:val="20"/>
                <w:szCs w:val="20"/>
                <w:color w:val="auto"/>
              </w:rPr>
            </w:pPr>
            <w:r>
              <w:rPr>
                <w:rFonts w:ascii="Times New Roman" w:cs="Times New Roman" w:eastAsia="Times New Roman" w:hAnsi="Times New Roman"/>
                <w:sz w:val="18"/>
                <w:szCs w:val="18"/>
                <w:color w:val="auto"/>
              </w:rPr>
              <w:t>75.9%</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w w:val="98"/>
              </w:rPr>
              <w:t>78.5%</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GCI revenue</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114"/>
              <w:spacing w:after="0"/>
              <w:rPr>
                <w:sz w:val="20"/>
                <w:szCs w:val="20"/>
                <w:color w:val="auto"/>
              </w:rPr>
            </w:pPr>
            <w:r>
              <w:rPr>
                <w:rFonts w:ascii="Times New Roman" w:cs="Times New Roman" w:eastAsia="Times New Roman" w:hAnsi="Times New Roman"/>
                <w:sz w:val="18"/>
                <w:szCs w:val="18"/>
                <w:color w:val="auto"/>
                <w:w w:val="95"/>
              </w:rPr>
              <w:t>6.6%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113"/>
              <w:spacing w:after="0"/>
              <w:rPr>
                <w:sz w:val="20"/>
                <w:szCs w:val="20"/>
                <w:color w:val="auto"/>
              </w:rPr>
            </w:pPr>
            <w:r>
              <w:rPr>
                <w:rFonts w:ascii="Times New Roman" w:cs="Times New Roman" w:eastAsia="Times New Roman" w:hAnsi="Times New Roman"/>
                <w:sz w:val="18"/>
                <w:szCs w:val="18"/>
                <w:color w:val="auto"/>
                <w:w w:val="95"/>
              </w:rPr>
              <w:t>3.9%</w:t>
            </w:r>
          </w:p>
        </w:tc>
        <w:tc>
          <w:tcPr>
            <w:tcW w:w="0" w:type="dxa"/>
            <w:vAlign w:val="bottom"/>
          </w:tcPr>
          <w:p>
            <w:pPr>
              <w:spacing w:after="0"/>
              <w:rPr>
                <w:sz w:val="1"/>
                <w:szCs w:val="1"/>
                <w:color w:val="auto"/>
              </w:rPr>
            </w:pPr>
          </w:p>
        </w:tc>
      </w:tr>
      <w:tr>
        <w:trPr>
          <w:trHeight w:val="223"/>
        </w:trPr>
        <w:tc>
          <w:tcPr>
            <w:tcW w:w="5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cash revenue</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4"/>
              <w:spacing w:after="0"/>
              <w:rPr>
                <w:sz w:val="20"/>
                <w:szCs w:val="20"/>
                <w:color w:val="auto"/>
              </w:rPr>
            </w:pPr>
            <w:r>
              <w:rPr>
                <w:rFonts w:ascii="Times New Roman" w:cs="Times New Roman" w:eastAsia="Times New Roman" w:hAnsi="Times New Roman"/>
                <w:sz w:val="18"/>
                <w:szCs w:val="18"/>
                <w:color w:val="auto"/>
              </w:rPr>
              <w:t>82.5%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w w:val="98"/>
              </w:rPr>
              <w:t>82.4%</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revenue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jc w:val="center"/>
              <w:ind w:right="3200"/>
              <w:spacing w:after="0"/>
              <w:rPr>
                <w:sz w:val="20"/>
                <w:szCs w:val="20"/>
                <w:color w:val="auto"/>
              </w:rPr>
            </w:pPr>
            <w:r>
              <w:rPr>
                <w:rFonts w:ascii="Times New Roman" w:cs="Times New Roman" w:eastAsia="Times New Roman" w:hAnsi="Times New Roman"/>
                <w:sz w:val="18"/>
                <w:szCs w:val="18"/>
                <w:color w:val="auto"/>
                <w:w w:val="99"/>
              </w:rPr>
              <w:t>TCI revenue</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4"/>
              <w:spacing w:after="0"/>
              <w:rPr>
                <w:sz w:val="20"/>
                <w:szCs w:val="20"/>
                <w:color w:val="auto"/>
              </w:rPr>
            </w:pPr>
            <w:r>
              <w:rPr>
                <w:rFonts w:ascii="Times New Roman" w:cs="Times New Roman" w:eastAsia="Times New Roman" w:hAnsi="Times New Roman"/>
                <w:sz w:val="18"/>
                <w:szCs w:val="18"/>
                <w:color w:val="auto"/>
                <w:w w:val="95"/>
              </w:rPr>
              <w:t>5.7%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w w:val="95"/>
              </w:rPr>
              <w:t>5.4%</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jc w:val="center"/>
              <w:ind w:right="3180"/>
              <w:spacing w:after="0"/>
              <w:rPr>
                <w:sz w:val="20"/>
                <w:szCs w:val="20"/>
                <w:color w:val="auto"/>
              </w:rPr>
            </w:pPr>
            <w:r>
              <w:rPr>
                <w:rFonts w:ascii="Times New Roman" w:cs="Times New Roman" w:eastAsia="Times New Roman" w:hAnsi="Times New Roman"/>
                <w:sz w:val="18"/>
                <w:szCs w:val="18"/>
                <w:color w:val="auto"/>
                <w:w w:val="99"/>
              </w:rPr>
              <w:t>GCI revenue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114"/>
              <w:spacing w:after="0"/>
              <w:rPr>
                <w:sz w:val="20"/>
                <w:szCs w:val="20"/>
                <w:color w:val="auto"/>
              </w:rPr>
            </w:pPr>
            <w:r>
              <w:rPr>
                <w:rFonts w:ascii="Times New Roman" w:cs="Times New Roman" w:eastAsia="Times New Roman" w:hAnsi="Times New Roman"/>
                <w:sz w:val="18"/>
                <w:szCs w:val="18"/>
                <w:color w:val="auto"/>
                <w:w w:val="95"/>
              </w:rPr>
              <w:t>1.4%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113"/>
              <w:spacing w:after="0"/>
              <w:rPr>
                <w:sz w:val="20"/>
                <w:szCs w:val="20"/>
                <w:color w:val="auto"/>
              </w:rPr>
            </w:pPr>
            <w:r>
              <w:rPr>
                <w:rFonts w:ascii="Times New Roman" w:cs="Times New Roman" w:eastAsia="Times New Roman" w:hAnsi="Times New Roman"/>
                <w:sz w:val="18"/>
                <w:szCs w:val="18"/>
                <w:color w:val="auto"/>
                <w:w w:val="95"/>
              </w:rPr>
              <w:t>2.1%</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8"/>
                <w:szCs w:val="18"/>
                <w:color w:val="auto"/>
              </w:rPr>
              <w:t>Other straight-line revenue</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8"/>
                <w:szCs w:val="18"/>
                <w:color w:val="auto"/>
                <w:w w:val="95"/>
              </w:rPr>
              <w:t>0.2%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8"/>
                <w:szCs w:val="18"/>
                <w:color w:val="auto"/>
                <w:w w:val="95"/>
              </w:rPr>
              <w:t>0.7%</w:t>
            </w:r>
          </w:p>
        </w:tc>
        <w:tc>
          <w:tcPr>
            <w:tcW w:w="0" w:type="dxa"/>
            <w:vAlign w:val="bottom"/>
          </w:tcPr>
          <w:p>
            <w:pPr>
              <w:spacing w:after="0"/>
              <w:rPr>
                <w:sz w:val="1"/>
                <w:szCs w:val="1"/>
                <w:color w:val="auto"/>
              </w:rPr>
            </w:pPr>
          </w:p>
        </w:tc>
      </w:tr>
      <w:tr>
        <w:trPr>
          <w:trHeight w:val="223"/>
        </w:trPr>
        <w:tc>
          <w:tcPr>
            <w:tcW w:w="50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non-cash revenue</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114"/>
              <w:spacing w:after="0"/>
              <w:rPr>
                <w:sz w:val="20"/>
                <w:szCs w:val="20"/>
                <w:color w:val="auto"/>
              </w:rPr>
            </w:pPr>
            <w:r>
              <w:rPr>
                <w:rFonts w:ascii="Times New Roman" w:cs="Times New Roman" w:eastAsia="Times New Roman" w:hAnsi="Times New Roman"/>
                <w:sz w:val="18"/>
                <w:szCs w:val="18"/>
                <w:color w:val="auto"/>
                <w:w w:val="95"/>
              </w:rPr>
              <w:t>7.3%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113"/>
              <w:spacing w:after="0"/>
              <w:rPr>
                <w:sz w:val="20"/>
                <w:szCs w:val="20"/>
                <w:color w:val="auto"/>
              </w:rPr>
            </w:pPr>
            <w:r>
              <w:rPr>
                <w:rFonts w:ascii="Times New Roman" w:cs="Times New Roman" w:eastAsia="Times New Roman" w:hAnsi="Times New Roman"/>
                <w:sz w:val="18"/>
                <w:szCs w:val="18"/>
                <w:color w:val="auto"/>
                <w:w w:val="95"/>
              </w:rPr>
              <w:t>8.2%</w:t>
            </w:r>
          </w:p>
        </w:tc>
        <w:tc>
          <w:tcPr>
            <w:tcW w:w="0" w:type="dxa"/>
            <w:vAlign w:val="bottom"/>
          </w:tcPr>
          <w:p>
            <w:pPr>
              <w:spacing w:after="0"/>
              <w:rPr>
                <w:sz w:val="1"/>
                <w:szCs w:val="1"/>
                <w:color w:val="auto"/>
              </w:rPr>
            </w:pPr>
          </w:p>
        </w:tc>
      </w:tr>
      <w:tr>
        <w:trPr>
          <w:trHeight w:val="223"/>
        </w:trPr>
        <w:tc>
          <w:tcPr>
            <w:tcW w:w="5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Windstream revenue</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4"/>
              <w:spacing w:after="0"/>
              <w:rPr>
                <w:sz w:val="20"/>
                <w:szCs w:val="20"/>
                <w:color w:val="auto"/>
              </w:rPr>
            </w:pPr>
            <w:r>
              <w:rPr>
                <w:rFonts w:ascii="Times New Roman" w:cs="Times New Roman" w:eastAsia="Times New Roman" w:hAnsi="Times New Roman"/>
                <w:sz w:val="18"/>
                <w:szCs w:val="18"/>
                <w:color w:val="auto"/>
              </w:rPr>
              <w:t>89.8%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w w:val="98"/>
              </w:rPr>
              <w:t>90.6%</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services</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114"/>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113"/>
              <w:spacing w:after="0"/>
              <w:rPr>
                <w:sz w:val="20"/>
                <w:szCs w:val="20"/>
                <w:color w:val="auto"/>
              </w:rPr>
            </w:pPr>
            <w:r>
              <w:rPr>
                <w:rFonts w:ascii="Times New Roman" w:cs="Times New Roman" w:eastAsia="Times New Roman" w:hAnsi="Times New Roman"/>
                <w:sz w:val="18"/>
                <w:szCs w:val="18"/>
                <w:color w:val="auto"/>
                <w:w w:val="95"/>
              </w:rPr>
              <w:t>9.4%</w:t>
            </w:r>
          </w:p>
        </w:tc>
        <w:tc>
          <w:tcPr>
            <w:tcW w:w="0" w:type="dxa"/>
            <w:vAlign w:val="bottom"/>
          </w:tcPr>
          <w:p>
            <w:pPr>
              <w:spacing w:after="0"/>
              <w:rPr>
                <w:sz w:val="1"/>
                <w:szCs w:val="1"/>
                <w:color w:val="auto"/>
              </w:rPr>
            </w:pPr>
          </w:p>
        </w:tc>
      </w:tr>
      <w:tr>
        <w:trPr>
          <w:trHeight w:val="223"/>
        </w:trPr>
        <w:tc>
          <w:tcPr>
            <w:tcW w:w="5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Uniti Leasing revenues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222,922</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214,588</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increase in TCI revenue is attributable to continued investment by Windstream. Windstream invested $69.6 million in TCIs during the quarter ended September 30, 2024. The total amount invested in TCIs by Windstream since the inception of the Windstream Leases (including the Master Lease) was $1.3 billion as of September 30, 2024 and $1.1 billion as of September 30, 2023.</w:t>
      </w:r>
    </w:p>
    <w:p>
      <w:pPr>
        <w:spacing w:after="0" w:line="176"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increase in GCI revenue is attributable to Uniti’s continued reimbursement of Growth Capital Improvements. During the three months ended September 30, 2024, Uniti reimbursed $34.2 million of Growth Capital Improvements. As of the date of this Quarterly Report on Form 10-Q, we have reimbursed a total of $1.0 billion of Growth Capital Improvements.</w:t>
      </w:r>
    </w:p>
    <w:p>
      <w:pPr>
        <w:spacing w:after="0" w:line="17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We recognized $22.6 million and $20.3 million of revenues from other services including non-Windstream triple-net leasing and dark fiber indefeasible rights of use (“IRU”) arrangements for the three months ended September 30, 2024 and 2023, respectively. The increase is primarily driven by revenues from new customer arrangements.</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Because a substantial portion of our revenue and cash flows are derived from lease payments by Windstream pursuant to the Windstream Leases, there could be a material adverse impact on our consolidated results of operations, liquidity, financial condition and/or ability to maintain our status as a REIT and service debt if Windstream were to become unable to generate sufficient cash to make payments to us.</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monitor the credit quality of Windstream through numerous methods, including by (i) reviewing credit ratings of Windstream by nationally recognized credit agencies, (ii) reviewing the financial statements of Windstream that are required to be delivered to us pursuant to the Windstream Leases, (iii) monitoring new reports regarding Windstream and its business, (iv) conducting research to ascertain industry trends potentially affecting Windstream, (v) monitoring</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Windstream’s compliance with the terms of the Windstream Leases and (vi) monitoring the timeliness of its payments under the Windstream Leases.</w:t>
      </w:r>
    </w:p>
    <w:p>
      <w:pPr>
        <w:spacing w:after="0" w:line="22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As of the date of this Quarterly Report on Form 10-Q, Windstream is current on all lease payments. Moody's Investor Service's current corporate family rating for Windstream is B3 with a stable outlook. S&amp;P Global Ratings' current issuer rating for Windstream is B- with a stable outlook. In addition, in order to assist us in our continuing assessment of Windstream’s creditworthiness, we periodically receive certain confidential financial information and metrics from Windstream.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Uniti Fiber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Uniti Fiber revenues for the three months ended September 30, 2024 and 2023 consisted of the following:</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4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00" w:type="dxa"/>
            <w:vAlign w:val="bottom"/>
            <w:vMerge w:val="restart"/>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top w:val="single" w:sz="8" w:color="auto"/>
            </w:tcBorders>
            <w:vMerge w:val="restart"/>
          </w:tcPr>
          <w:p>
            <w:pPr>
              <w:spacing w:after="0"/>
              <w:rPr>
                <w:sz w:val="11"/>
                <w:szCs w:val="11"/>
                <w:color w:val="auto"/>
              </w:rPr>
            </w:pPr>
          </w:p>
        </w:tc>
        <w:tc>
          <w:tcPr>
            <w:tcW w:w="200" w:type="dxa"/>
            <w:vAlign w:val="bottom"/>
            <w:tcBorders>
              <w:top w:val="single" w:sz="8" w:color="auto"/>
            </w:tcBorders>
            <w:vMerge w:val="restart"/>
          </w:tcPr>
          <w:p>
            <w:pPr>
              <w:spacing w:after="0"/>
              <w:rPr>
                <w:sz w:val="11"/>
                <w:szCs w:val="11"/>
                <w:color w:val="auto"/>
              </w:rPr>
            </w:pPr>
          </w:p>
        </w:tc>
        <w:tc>
          <w:tcPr>
            <w:tcW w:w="1280" w:type="dxa"/>
            <w:vAlign w:val="bottom"/>
            <w:tcBorders>
              <w:top w:val="single" w:sz="8" w:color="auto"/>
            </w:tcBorders>
          </w:tcPr>
          <w:p>
            <w:pPr>
              <w:jc w:val="center"/>
              <w:ind w:right="116"/>
              <w:spacing w:after="0" w:line="131"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top w:val="single" w:sz="8" w:color="auto"/>
            </w:tcBorders>
            <w:vMerge w:val="restart"/>
          </w:tcPr>
          <w:p>
            <w:pPr>
              <w:spacing w:after="0"/>
              <w:rPr>
                <w:sz w:val="11"/>
                <w:szCs w:val="11"/>
                <w:color w:val="auto"/>
              </w:rPr>
            </w:pPr>
          </w:p>
        </w:tc>
        <w:tc>
          <w:tcPr>
            <w:tcW w:w="200" w:type="dxa"/>
            <w:vAlign w:val="bottom"/>
            <w:tcBorders>
              <w:top w:val="single" w:sz="8" w:color="auto"/>
            </w:tcBorders>
            <w:vMerge w:val="restart"/>
          </w:tcPr>
          <w:p>
            <w:pPr>
              <w:spacing w:after="0"/>
              <w:rPr>
                <w:sz w:val="11"/>
                <w:szCs w:val="11"/>
                <w:color w:val="auto"/>
              </w:rPr>
            </w:pPr>
          </w:p>
        </w:tc>
        <w:tc>
          <w:tcPr>
            <w:tcW w:w="1280" w:type="dxa"/>
            <w:vAlign w:val="bottom"/>
            <w:tcBorders>
              <w:top w:val="single" w:sz="8" w:color="auto"/>
            </w:tcBorders>
          </w:tcPr>
          <w:p>
            <w:pPr>
              <w:jc w:val="center"/>
              <w:ind w:right="135"/>
              <w:spacing w:after="0" w:line="131"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0" w:type="dxa"/>
            <w:vAlign w:val="bottom"/>
          </w:tcPr>
          <w:p>
            <w:pPr>
              <w:spacing w:after="0"/>
              <w:rPr>
                <w:sz w:val="1"/>
                <w:szCs w:val="1"/>
                <w:color w:val="auto"/>
              </w:rPr>
            </w:pPr>
          </w:p>
        </w:tc>
      </w:tr>
      <w:tr>
        <w:trPr>
          <w:trHeight w:val="195"/>
        </w:trPr>
        <w:tc>
          <w:tcPr>
            <w:tcW w:w="49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91"/>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Uniti Fiber revenues: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Lit backhaul services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6"/>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35"/>
              <w:spacing w:after="0"/>
              <w:rPr>
                <w:sz w:val="20"/>
                <w:szCs w:val="20"/>
                <w:color w:val="auto"/>
              </w:rPr>
            </w:pPr>
            <w:r>
              <w:rPr>
                <w:rFonts w:ascii="Times New Roman" w:cs="Times New Roman" w:eastAsia="Times New Roman" w:hAnsi="Times New Roman"/>
                <w:sz w:val="18"/>
                <w:szCs w:val="18"/>
                <w:color w:val="auto"/>
                <w:w w:val="98"/>
              </w:rPr>
              <w:t>24.0%</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Enterprise and wholesale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116"/>
              <w:spacing w:after="0"/>
              <w:rPr>
                <w:sz w:val="20"/>
                <w:szCs w:val="20"/>
                <w:color w:val="auto"/>
              </w:rPr>
            </w:pPr>
            <w:r>
              <w:rPr>
                <w:rFonts w:ascii="Times New Roman" w:cs="Times New Roman" w:eastAsia="Times New Roman" w:hAnsi="Times New Roman"/>
                <w:sz w:val="18"/>
                <w:szCs w:val="18"/>
                <w:color w:val="auto"/>
              </w:rPr>
              <w:t>38.1%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135"/>
              <w:spacing w:after="0"/>
              <w:rPr>
                <w:sz w:val="20"/>
                <w:szCs w:val="20"/>
                <w:color w:val="auto"/>
              </w:rPr>
            </w:pPr>
            <w:r>
              <w:rPr>
                <w:rFonts w:ascii="Times New Roman" w:cs="Times New Roman" w:eastAsia="Times New Roman" w:hAnsi="Times New Roman"/>
                <w:sz w:val="18"/>
                <w:szCs w:val="18"/>
                <w:color w:val="auto"/>
                <w:w w:val="98"/>
              </w:rPr>
              <w:t>31.9%</w:t>
            </w:r>
          </w:p>
        </w:tc>
        <w:tc>
          <w:tcPr>
            <w:tcW w:w="0" w:type="dxa"/>
            <w:vAlign w:val="bottom"/>
          </w:tcPr>
          <w:p>
            <w:pPr>
              <w:spacing w:after="0"/>
              <w:rPr>
                <w:sz w:val="1"/>
                <w:szCs w:val="1"/>
                <w:color w:val="auto"/>
              </w:rPr>
            </w:pPr>
          </w:p>
        </w:tc>
      </w:tr>
      <w:tr>
        <w:trPr>
          <w:trHeight w:val="229"/>
        </w:trPr>
        <w:tc>
          <w:tcPr>
            <w:tcW w:w="50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E-Rate and government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6"/>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35"/>
              <w:spacing w:after="0"/>
              <w:rPr>
                <w:sz w:val="20"/>
                <w:szCs w:val="20"/>
                <w:color w:val="auto"/>
              </w:rPr>
            </w:pPr>
            <w:r>
              <w:rPr>
                <w:rFonts w:ascii="Times New Roman" w:cs="Times New Roman" w:eastAsia="Times New Roman" w:hAnsi="Times New Roman"/>
                <w:sz w:val="18"/>
                <w:szCs w:val="18"/>
                <w:color w:val="auto"/>
                <w:w w:val="98"/>
              </w:rPr>
              <w:t>20.9%</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Dark fiber and small cells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116"/>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135"/>
              <w:spacing w:after="0"/>
              <w:rPr>
                <w:sz w:val="20"/>
                <w:szCs w:val="20"/>
                <w:color w:val="auto"/>
              </w:rPr>
            </w:pPr>
            <w:r>
              <w:rPr>
                <w:rFonts w:ascii="Times New Roman" w:cs="Times New Roman" w:eastAsia="Times New Roman" w:hAnsi="Times New Roman"/>
                <w:sz w:val="18"/>
                <w:szCs w:val="18"/>
                <w:color w:val="auto"/>
                <w:w w:val="98"/>
              </w:rPr>
              <w:t>22.2%</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Other services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8"/>
                <w:szCs w:val="18"/>
                <w:color w:val="auto"/>
                <w:w w:val="95"/>
              </w:rPr>
              <w:t>1.3%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8"/>
                <w:szCs w:val="18"/>
                <w:color w:val="auto"/>
                <w:w w:val="95"/>
              </w:rPr>
              <w:t>1.0%</w:t>
            </w:r>
          </w:p>
        </w:tc>
        <w:tc>
          <w:tcPr>
            <w:tcW w:w="0" w:type="dxa"/>
            <w:vAlign w:val="bottom"/>
          </w:tcPr>
          <w:p>
            <w:pPr>
              <w:spacing w:after="0"/>
              <w:rPr>
                <w:sz w:val="1"/>
                <w:szCs w:val="1"/>
                <w:color w:val="auto"/>
              </w:rPr>
            </w:pPr>
          </w:p>
        </w:tc>
      </w:tr>
      <w:tr>
        <w:trPr>
          <w:trHeight w:val="248"/>
        </w:trPr>
        <w:tc>
          <w:tcPr>
            <w:tcW w:w="50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Uniti Fiber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center"/>
              <w:ind w:right="116"/>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center"/>
              <w:ind w:right="115"/>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17"/>
          <w:szCs w:val="17"/>
          <w:color w:val="auto"/>
        </w:rPr>
        <w:t>For the three months ended September 30, 2024, Uniti Fiber revenues totaled $69.3 million as compared to $76.1 million for the three months ended September 30, 2023. Uniti Fiber revenues decreased $6.7 million, primarily attributable to a $4.6 million decrease in E-rate and government, driven primarily by non-recurring equipment and installation sales, and a $4.2 million decrease in dark fiber and small cells, driven primarily by one-time cancellation revenues, partially offset by a $2.2 million increase in enterprise and wholesale, driven primarily by increased customer connections.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300" w:type="dxa"/>
            <w:vAlign w:val="bottom"/>
            <w:gridSpan w:val="7"/>
          </w:tcPr>
          <w:p>
            <w:pPr>
              <w:jc w:val="center"/>
              <w:ind w:right="27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23"/>
        </w:trPr>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Increase / (Decrease)</w:t>
            </w:r>
          </w:p>
        </w:tc>
        <w:tc>
          <w:tcPr>
            <w:tcW w:w="0" w:type="dxa"/>
            <w:vAlign w:val="bottom"/>
          </w:tcPr>
          <w:p>
            <w:pPr>
              <w:spacing w:after="0"/>
              <w:rPr>
                <w:sz w:val="1"/>
                <w:szCs w:val="1"/>
                <w:color w:val="auto"/>
              </w:rPr>
            </w:pPr>
          </w:p>
        </w:tc>
      </w:tr>
      <w:tr>
        <w:trPr>
          <w:trHeight w:val="23"/>
        </w:trPr>
        <w:tc>
          <w:tcPr>
            <w:tcW w:w="6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Cash:</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Senior secured notes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75,019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9,392</w:t>
            </w:r>
          </w:p>
        </w:tc>
        <w:tc>
          <w:tcPr>
            <w:tcW w:w="0" w:type="dxa"/>
            <w:vAlign w:val="bottom"/>
          </w:tcPr>
          <w:p>
            <w:pPr>
              <w:spacing w:after="0"/>
              <w:rPr>
                <w:sz w:val="1"/>
                <w:szCs w:val="1"/>
                <w:color w:val="auto"/>
              </w:rPr>
            </w:pPr>
          </w:p>
        </w:tc>
      </w:tr>
      <w:tr>
        <w:trPr>
          <w:trHeight w:val="229"/>
        </w:trPr>
        <w:tc>
          <w:tcPr>
            <w:tcW w:w="66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Senior unsecured notes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Senior secured revolving credit facility - variable rate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0" w:type="dxa"/>
            <w:vAlign w:val="bottom"/>
          </w:tcPr>
          <w:p>
            <w:pPr>
              <w:spacing w:after="0"/>
              <w:rPr>
                <w:sz w:val="1"/>
                <w:szCs w:val="1"/>
                <w:color w:val="auto"/>
              </w:rPr>
            </w:pPr>
          </w:p>
        </w:tc>
      </w:tr>
      <w:tr>
        <w:trPr>
          <w:trHeight w:val="230"/>
        </w:trPr>
        <w:tc>
          <w:tcPr>
            <w:tcW w:w="66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ABS Loan Facility</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5,672</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Interest rate cap</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0" w:type="dxa"/>
            <w:vAlign w:val="bottom"/>
          </w:tcPr>
          <w:p>
            <w:pPr>
              <w:spacing w:after="0"/>
              <w:rPr>
                <w:sz w:val="1"/>
                <w:szCs w:val="1"/>
                <w:color w:val="auto"/>
              </w:rPr>
            </w:pPr>
          </w:p>
        </w:tc>
      </w:tr>
      <w:tr>
        <w:trPr>
          <w:trHeight w:val="223"/>
        </w:trPr>
        <w:tc>
          <w:tcPr>
            <w:tcW w:w="66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cash interest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114,092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9,960</w:t>
            </w:r>
          </w:p>
        </w:tc>
        <w:tc>
          <w:tcPr>
            <w:tcW w:w="0" w:type="dxa"/>
            <w:vAlign w:val="bottom"/>
          </w:tcPr>
          <w:p>
            <w:pPr>
              <w:spacing w:after="0"/>
              <w:rPr>
                <w:sz w:val="1"/>
                <w:szCs w:val="1"/>
                <w:color w:val="auto"/>
              </w:rPr>
            </w:pPr>
          </w:p>
        </w:tc>
      </w:tr>
      <w:tr>
        <w:trPr>
          <w:trHeight w:val="229"/>
        </w:trPr>
        <w:tc>
          <w:tcPr>
            <w:tcW w:w="66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Non-cash:</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Amortization of deferred financing costs and debt discount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0" w:type="dxa"/>
            <w:vAlign w:val="bottom"/>
          </w:tcPr>
          <w:p>
            <w:pPr>
              <w:spacing w:after="0"/>
              <w:rPr>
                <w:sz w:val="1"/>
                <w:szCs w:val="1"/>
                <w:color w:val="auto"/>
              </w:rPr>
            </w:pPr>
          </w:p>
        </w:tc>
      </w:tr>
      <w:tr>
        <w:trPr>
          <w:trHeight w:val="229"/>
        </w:trPr>
        <w:tc>
          <w:tcPr>
            <w:tcW w:w="66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Accretion of settlement payable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Interest rate cap</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8"/>
                <w:szCs w:val="18"/>
                <w:color w:val="auto"/>
              </w:rPr>
              <w:t>Capitalized interest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23"/>
        </w:trPr>
        <w:tc>
          <w:tcPr>
            <w:tcW w:w="66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non-cash interest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23"/>
        </w:trPr>
        <w:tc>
          <w:tcPr>
            <w:tcW w:w="66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131,007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120,691</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10,316</w:t>
            </w:r>
          </w:p>
        </w:tc>
        <w:tc>
          <w:tcPr>
            <w:tcW w:w="0" w:type="dxa"/>
            <w:vAlign w:val="bottom"/>
          </w:tcPr>
          <w:p>
            <w:pPr>
              <w:spacing w:after="0"/>
              <w:rPr>
                <w:sz w:val="1"/>
                <w:szCs w:val="1"/>
                <w:color w:val="auto"/>
              </w:rPr>
            </w:pPr>
          </w:p>
        </w:tc>
      </w:tr>
      <w:tr>
        <w:trPr>
          <w:trHeight w:val="21"/>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Interest expense for the three months ended September 30, 2024 increased $10.3 million compared to the three months ended September 30, 2023. The increase is primarily attributable to an increase in cash interest of $10.0 million driven by the Additional February 2028 Secured Notes issued on May 17, 2024 and the March 1, 2024 initial drawing of $275 million on the ABS Loan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300" w:type="dxa"/>
            <w:vAlign w:val="bottom"/>
            <w:gridSpan w:val="7"/>
          </w:tcPr>
          <w:p>
            <w:pPr>
              <w:jc w:val="center"/>
              <w:ind w:right="27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23"/>
        </w:trPr>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Increase / (Decrease)</w:t>
            </w:r>
          </w:p>
        </w:tc>
        <w:tc>
          <w:tcPr>
            <w:tcW w:w="0" w:type="dxa"/>
            <w:vAlign w:val="bottom"/>
          </w:tcPr>
          <w:p>
            <w:pPr>
              <w:spacing w:after="0"/>
              <w:rPr>
                <w:sz w:val="1"/>
                <w:szCs w:val="1"/>
                <w:color w:val="auto"/>
              </w:rPr>
            </w:pPr>
          </w:p>
        </w:tc>
      </w:tr>
      <w:tr>
        <w:trPr>
          <w:trHeight w:val="23"/>
        </w:trPr>
        <w:tc>
          <w:tcPr>
            <w:tcW w:w="6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 expense by segment: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Depreciation expense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Uniti Leasing</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30"/>
        </w:trPr>
        <w:tc>
          <w:tcPr>
            <w:tcW w:w="6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Uniti Fiber</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Corporate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69,911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Amortization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Uniti Leasing</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Uniti Fiber</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depreciation and amortization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77,337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Uniti Leasing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Uniti Leasing depreciation expense increased $0.5 million for the three months ended September 30, 2024 compared to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2023, primarily attributable to asset additions since September 30, 2023, offset by the decrease associated with the CableSouth network sale in the first quarter of 2024.</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Uniti Fiber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Uniti Fiber depreciation expense increased $1.5 million for the three months ended September 30, 2024 compared to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2023, primarily attributable to asset additions since September 30, 2023.</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include compensation costs, including stock-based compensation awards, professional and legal services, corporate office costs and other costs associated with administrative activities of our segments.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6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00" w:type="dxa"/>
            <w:vAlign w:val="bottom"/>
            <w:vMerge w:val="restart"/>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vMerge w:val="restart"/>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top w:val="single" w:sz="8" w:color="auto"/>
            </w:tcBorders>
            <w:vMerge w:val="restart"/>
          </w:tcPr>
          <w:p>
            <w:pPr>
              <w:spacing w:after="0"/>
              <w:rPr>
                <w:sz w:val="11"/>
                <w:szCs w:val="11"/>
                <w:color w:val="auto"/>
              </w:rPr>
            </w:pPr>
          </w:p>
        </w:tc>
        <w:tc>
          <w:tcPr>
            <w:tcW w:w="140" w:type="dxa"/>
            <w:vAlign w:val="bottom"/>
            <w:tcBorders>
              <w:top w:val="single" w:sz="8" w:color="auto"/>
            </w:tcBorders>
            <w:vMerge w:val="restart"/>
          </w:tcPr>
          <w:p>
            <w:pPr>
              <w:spacing w:after="0"/>
              <w:rPr>
                <w:sz w:val="11"/>
                <w:szCs w:val="11"/>
                <w:color w:val="auto"/>
              </w:rPr>
            </w:pPr>
          </w:p>
        </w:tc>
        <w:tc>
          <w:tcPr>
            <w:tcW w:w="1360" w:type="dxa"/>
            <w:vAlign w:val="bottom"/>
            <w:tcBorders>
              <w:top w:val="single" w:sz="8" w:color="auto"/>
            </w:tcBorders>
          </w:tcPr>
          <w:p>
            <w:pPr>
              <w:jc w:val="center"/>
              <w:ind w:right="58"/>
              <w:spacing w:after="0" w:line="131" w:lineRule="exact"/>
              <w:rPr>
                <w:sz w:val="20"/>
                <w:szCs w:val="20"/>
                <w:color w:val="auto"/>
              </w:rPr>
            </w:pPr>
            <w:r>
              <w:rPr>
                <w:rFonts w:ascii="Times New Roman" w:cs="Times New Roman" w:eastAsia="Times New Roman" w:hAnsi="Times New Roman"/>
                <w:sz w:val="14"/>
                <w:szCs w:val="14"/>
                <w:b w:val="1"/>
                <w:bCs w:val="1"/>
                <w:color w:val="auto"/>
              </w:rPr>
              <w:t>% of Consolidated</w:t>
            </w: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vMerge w:val="restart"/>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top w:val="single" w:sz="8" w:color="auto"/>
            </w:tcBorders>
            <w:vMerge w:val="restart"/>
          </w:tcPr>
          <w:p>
            <w:pPr>
              <w:spacing w:after="0"/>
              <w:rPr>
                <w:sz w:val="11"/>
                <w:szCs w:val="11"/>
                <w:color w:val="auto"/>
              </w:rPr>
            </w:pPr>
          </w:p>
        </w:tc>
        <w:tc>
          <w:tcPr>
            <w:tcW w:w="140" w:type="dxa"/>
            <w:vAlign w:val="bottom"/>
            <w:tcBorders>
              <w:top w:val="single" w:sz="8" w:color="auto"/>
            </w:tcBorders>
            <w:vMerge w:val="restart"/>
          </w:tcPr>
          <w:p>
            <w:pPr>
              <w:spacing w:after="0"/>
              <w:rPr>
                <w:sz w:val="11"/>
                <w:szCs w:val="11"/>
                <w:color w:val="auto"/>
              </w:rPr>
            </w:pPr>
          </w:p>
        </w:tc>
        <w:tc>
          <w:tcPr>
            <w:tcW w:w="1340" w:type="dxa"/>
            <w:vAlign w:val="bottom"/>
            <w:tcBorders>
              <w:top w:val="single" w:sz="8" w:color="auto"/>
            </w:tcBorders>
          </w:tcPr>
          <w:p>
            <w:pPr>
              <w:jc w:val="center"/>
              <w:ind w:right="76"/>
              <w:spacing w:after="0" w:line="131" w:lineRule="exact"/>
              <w:rPr>
                <w:sz w:val="20"/>
                <w:szCs w:val="20"/>
                <w:color w:val="auto"/>
              </w:rPr>
            </w:pPr>
            <w:r>
              <w:rPr>
                <w:rFonts w:ascii="Times New Roman" w:cs="Times New Roman" w:eastAsia="Times New Roman" w:hAnsi="Times New Roman"/>
                <w:sz w:val="14"/>
                <w:szCs w:val="14"/>
                <w:b w:val="1"/>
                <w:bCs w:val="1"/>
                <w:color w:val="auto"/>
              </w:rPr>
              <w:t>% of Consolidated</w:t>
            </w:r>
          </w:p>
        </w:tc>
        <w:tc>
          <w:tcPr>
            <w:tcW w:w="0" w:type="dxa"/>
            <w:vAlign w:val="bottom"/>
          </w:tcPr>
          <w:p>
            <w:pPr>
              <w:spacing w:after="0"/>
              <w:rPr>
                <w:sz w:val="1"/>
                <w:szCs w:val="1"/>
                <w:color w:val="auto"/>
              </w:rPr>
            </w:pPr>
          </w:p>
        </w:tc>
      </w:tr>
      <w:tr>
        <w:trPr>
          <w:trHeight w:val="195"/>
        </w:trPr>
        <w:tc>
          <w:tcPr>
            <w:tcW w:w="49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91"/>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General and administrative expense by segment: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Uniti Leasing</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center"/>
              <w:ind w:right="58"/>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56"/>
              <w:spacing w:after="0"/>
              <w:rPr>
                <w:sz w:val="20"/>
                <w:szCs w:val="20"/>
                <w:color w:val="auto"/>
              </w:rPr>
            </w:pPr>
            <w:r>
              <w:rPr>
                <w:rFonts w:ascii="Times New Roman" w:cs="Times New Roman" w:eastAsia="Times New Roman" w:hAnsi="Times New Roman"/>
                <w:sz w:val="18"/>
                <w:szCs w:val="18"/>
                <w:color w:val="auto"/>
                <w:w w:val="95"/>
              </w:rPr>
              <w:t>1.0%</w:t>
            </w: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Uniti Fiber</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right="58"/>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right="56"/>
              <w:spacing w:after="0"/>
              <w:rPr>
                <w:sz w:val="20"/>
                <w:szCs w:val="20"/>
                <w:color w:val="auto"/>
              </w:rPr>
            </w:pPr>
            <w:r>
              <w:rPr>
                <w:rFonts w:ascii="Times New Roman" w:cs="Times New Roman" w:eastAsia="Times New Roman" w:hAnsi="Times New Roman"/>
                <w:sz w:val="18"/>
                <w:szCs w:val="18"/>
                <w:color w:val="auto"/>
                <w:w w:val="95"/>
              </w:rPr>
              <w:t>5.4%</w:t>
            </w:r>
          </w:p>
        </w:tc>
        <w:tc>
          <w:tcPr>
            <w:tcW w:w="0" w:type="dxa"/>
            <w:vAlign w:val="bottom"/>
          </w:tcPr>
          <w:p>
            <w:pPr>
              <w:spacing w:after="0"/>
              <w:rPr>
                <w:sz w:val="1"/>
                <w:szCs w:val="1"/>
                <w:color w:val="auto"/>
              </w:rPr>
            </w:pPr>
          </w:p>
        </w:tc>
      </w:tr>
      <w:tr>
        <w:trPr>
          <w:trHeight w:val="229"/>
        </w:trPr>
        <w:tc>
          <w:tcPr>
            <w:tcW w:w="504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Corporate</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8"/>
                <w:szCs w:val="18"/>
                <w:color w:val="auto"/>
                <w:w w:val="95"/>
              </w:rPr>
              <w:t>2.4%</w:t>
            </w: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center"/>
              <w:ind w:right="58"/>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center"/>
              <w:ind w:right="56"/>
              <w:spacing w:after="0"/>
              <w:rPr>
                <w:sz w:val="20"/>
                <w:szCs w:val="20"/>
                <w:color w:val="auto"/>
              </w:rPr>
            </w:pPr>
            <w:r>
              <w:rPr>
                <w:rFonts w:ascii="Times New Roman" w:cs="Times New Roman" w:eastAsia="Times New Roman" w:hAnsi="Times New Roman"/>
                <w:sz w:val="18"/>
                <w:szCs w:val="18"/>
                <w:color w:val="auto"/>
                <w:w w:val="95"/>
              </w:rPr>
              <w:t>8.8%</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both"/>
        <w:ind w:right="18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Uniti Leasing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Uniti Leasing general and administrative expense increased $0.3 million for the three months ended September 30, 2024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September 30, 2023, primarily attributable to an increase in personnel expenses.</w:t>
      </w:r>
    </w:p>
    <w:p>
      <w:pPr>
        <w:spacing w:after="0" w:line="158"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Uniti Fiber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Uniti Fiber general and administrative expense increased $0.7 million for the three months ended September 30, 2024 compared to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2023, primarily attributable to an increase in personnel and insurance expenses.</w:t>
      </w:r>
    </w:p>
    <w:p>
      <w:pPr>
        <w:spacing w:after="0" w:line="158" w:lineRule="exact"/>
        <w:rPr>
          <w:sz w:val="20"/>
          <w:szCs w:val="20"/>
          <w:color w:val="auto"/>
        </w:rPr>
      </w:pPr>
    </w:p>
    <w:p>
      <w:pPr>
        <w:jc w:val="both"/>
        <w:ind w:right="26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Corporate general and administrative expense increased $0.2 million for the three months ended September 30, 2024 compared to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2023, primarily attributable to an increase in personnel expenses of $0.7 million, partially offset by a decrease in insurance expense of $0.5 million.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Operating expenses consist of network related costs, such as dark fiber and tower rents, lit service and maintenance expense and costs associated with our construction activities.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6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00" w:type="dxa"/>
            <w:vAlign w:val="bottom"/>
            <w:vMerge w:val="restart"/>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vMerge w:val="restart"/>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top w:val="single" w:sz="8" w:color="auto"/>
            </w:tcBorders>
            <w:vMerge w:val="restart"/>
          </w:tcPr>
          <w:p>
            <w:pPr>
              <w:spacing w:after="0"/>
              <w:rPr>
                <w:sz w:val="11"/>
                <w:szCs w:val="11"/>
                <w:color w:val="auto"/>
              </w:rPr>
            </w:pPr>
          </w:p>
        </w:tc>
        <w:tc>
          <w:tcPr>
            <w:tcW w:w="140" w:type="dxa"/>
            <w:vAlign w:val="bottom"/>
            <w:tcBorders>
              <w:top w:val="single" w:sz="8" w:color="auto"/>
            </w:tcBorders>
            <w:vMerge w:val="restart"/>
          </w:tcPr>
          <w:p>
            <w:pPr>
              <w:spacing w:after="0"/>
              <w:rPr>
                <w:sz w:val="11"/>
                <w:szCs w:val="11"/>
                <w:color w:val="auto"/>
              </w:rPr>
            </w:pPr>
          </w:p>
        </w:tc>
        <w:tc>
          <w:tcPr>
            <w:tcW w:w="1360" w:type="dxa"/>
            <w:vAlign w:val="bottom"/>
            <w:tcBorders>
              <w:top w:val="single" w:sz="8" w:color="auto"/>
            </w:tcBorders>
          </w:tcPr>
          <w:p>
            <w:pPr>
              <w:jc w:val="center"/>
              <w:ind w:right="59"/>
              <w:spacing w:after="0" w:line="129" w:lineRule="exact"/>
              <w:rPr>
                <w:sz w:val="20"/>
                <w:szCs w:val="20"/>
                <w:color w:val="auto"/>
              </w:rPr>
            </w:pPr>
            <w:r>
              <w:rPr>
                <w:rFonts w:ascii="Times New Roman" w:cs="Times New Roman" w:eastAsia="Times New Roman" w:hAnsi="Times New Roman"/>
                <w:sz w:val="14"/>
                <w:szCs w:val="14"/>
                <w:b w:val="1"/>
                <w:bCs w:val="1"/>
                <w:color w:val="auto"/>
              </w:rPr>
              <w:t>% of Consolidated</w:t>
            </w: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vMerge w:val="restart"/>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top w:val="single" w:sz="8" w:color="auto"/>
            </w:tcBorders>
            <w:vMerge w:val="restart"/>
          </w:tcPr>
          <w:p>
            <w:pPr>
              <w:spacing w:after="0"/>
              <w:rPr>
                <w:sz w:val="11"/>
                <w:szCs w:val="11"/>
                <w:color w:val="auto"/>
              </w:rPr>
            </w:pPr>
          </w:p>
        </w:tc>
        <w:tc>
          <w:tcPr>
            <w:tcW w:w="140" w:type="dxa"/>
            <w:vAlign w:val="bottom"/>
            <w:tcBorders>
              <w:top w:val="single" w:sz="8" w:color="auto"/>
            </w:tcBorders>
            <w:vMerge w:val="restart"/>
          </w:tcPr>
          <w:p>
            <w:pPr>
              <w:spacing w:after="0"/>
              <w:rPr>
                <w:sz w:val="11"/>
                <w:szCs w:val="11"/>
                <w:color w:val="auto"/>
              </w:rPr>
            </w:pPr>
          </w:p>
        </w:tc>
        <w:tc>
          <w:tcPr>
            <w:tcW w:w="1340" w:type="dxa"/>
            <w:vAlign w:val="bottom"/>
            <w:tcBorders>
              <w:top w:val="single" w:sz="8" w:color="auto"/>
            </w:tcBorders>
          </w:tcPr>
          <w:p>
            <w:pPr>
              <w:jc w:val="center"/>
              <w:ind w:right="77"/>
              <w:spacing w:after="0" w:line="129" w:lineRule="exact"/>
              <w:rPr>
                <w:sz w:val="20"/>
                <w:szCs w:val="20"/>
                <w:color w:val="auto"/>
              </w:rPr>
            </w:pPr>
            <w:r>
              <w:rPr>
                <w:rFonts w:ascii="Times New Roman" w:cs="Times New Roman" w:eastAsia="Times New Roman" w:hAnsi="Times New Roman"/>
                <w:sz w:val="14"/>
                <w:szCs w:val="14"/>
                <w:b w:val="1"/>
                <w:bCs w:val="1"/>
                <w:color w:val="auto"/>
              </w:rPr>
              <w:t>% of Consolidated</w:t>
            </w:r>
          </w:p>
        </w:tc>
        <w:tc>
          <w:tcPr>
            <w:tcW w:w="0" w:type="dxa"/>
            <w:vAlign w:val="bottom"/>
          </w:tcPr>
          <w:p>
            <w:pPr>
              <w:spacing w:after="0"/>
              <w:rPr>
                <w:sz w:val="1"/>
                <w:szCs w:val="1"/>
                <w:color w:val="auto"/>
              </w:rPr>
            </w:pPr>
          </w:p>
        </w:tc>
      </w:tr>
      <w:tr>
        <w:trPr>
          <w:trHeight w:val="196"/>
        </w:trPr>
        <w:tc>
          <w:tcPr>
            <w:tcW w:w="49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3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92"/>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 by segment: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Uniti Leasing</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center"/>
              <w:ind w:right="59"/>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57"/>
              <w:spacing w:after="0"/>
              <w:rPr>
                <w:sz w:val="20"/>
                <w:szCs w:val="20"/>
                <w:color w:val="auto"/>
              </w:rPr>
            </w:pPr>
            <w:r>
              <w:rPr>
                <w:rFonts w:ascii="Times New Roman" w:cs="Times New Roman" w:eastAsia="Times New Roman" w:hAnsi="Times New Roman"/>
                <w:sz w:val="18"/>
                <w:szCs w:val="18"/>
                <w:color w:val="auto"/>
                <w:w w:val="95"/>
              </w:rPr>
              <w:t>2.1%</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Uniti Fiber</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ind w:right="59"/>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right="77"/>
              <w:spacing w:after="0"/>
              <w:rPr>
                <w:sz w:val="20"/>
                <w:szCs w:val="20"/>
                <w:color w:val="auto"/>
              </w:rPr>
            </w:pPr>
            <w:r>
              <w:rPr>
                <w:rFonts w:ascii="Times New Roman" w:cs="Times New Roman" w:eastAsia="Times New Roman" w:hAnsi="Times New Roman"/>
                <w:sz w:val="18"/>
                <w:szCs w:val="18"/>
                <w:color w:val="auto"/>
                <w:w w:val="98"/>
              </w:rPr>
              <w:t>10.8%</w:t>
            </w:r>
          </w:p>
        </w:tc>
        <w:tc>
          <w:tcPr>
            <w:tcW w:w="0" w:type="dxa"/>
            <w:vAlign w:val="bottom"/>
          </w:tcPr>
          <w:p>
            <w:pPr>
              <w:spacing w:after="0"/>
              <w:rPr>
                <w:sz w:val="1"/>
                <w:szCs w:val="1"/>
                <w:color w:val="auto"/>
              </w:rPr>
            </w:pPr>
          </w:p>
        </w:tc>
      </w:tr>
      <w:tr>
        <w:trPr>
          <w:trHeight w:val="223"/>
        </w:trPr>
        <w:tc>
          <w:tcPr>
            <w:tcW w:w="50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34,519</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8"/>
                <w:szCs w:val="18"/>
                <w:color w:val="auto"/>
                <w:w w:val="98"/>
              </w:rPr>
              <w:t>11.8%</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37,392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8"/>
                <w:szCs w:val="18"/>
                <w:color w:val="auto"/>
                <w:w w:val="98"/>
              </w:rPr>
              <w:t>12.9%</w:t>
            </w: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Uniti Leasing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Uniti Leasing operating expense remained consistent for the three months ended September 30, 2024 as compared to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2023.</w:t>
      </w:r>
    </w:p>
    <w:p>
      <w:pPr>
        <w:spacing w:after="0" w:line="165" w:lineRule="exact"/>
        <w:rPr>
          <w:sz w:val="20"/>
          <w:szCs w:val="20"/>
          <w:color w:val="auto"/>
        </w:rPr>
      </w:pPr>
    </w:p>
    <w:p>
      <w:pPr>
        <w:jc w:val="both"/>
        <w:ind w:right="260"/>
        <w:spacing w:after="0" w:line="272" w:lineRule="auto"/>
        <w:rPr>
          <w:sz w:val="20"/>
          <w:szCs w:val="20"/>
          <w:color w:val="auto"/>
        </w:rPr>
      </w:pPr>
      <w:r>
        <w:rPr>
          <w:rFonts w:ascii="Times New Roman" w:cs="Times New Roman" w:eastAsia="Times New Roman" w:hAnsi="Times New Roman"/>
          <w:sz w:val="18"/>
          <w:szCs w:val="18"/>
          <w:i w:val="1"/>
          <w:iCs w:val="1"/>
          <w:u w:val="single" w:color="auto"/>
          <w:color w:val="auto"/>
        </w:rPr>
        <w:t>Uniti Fiber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Uniti Fiber operating expense decreased $2.9 million for the three months ended September 30, 2024 compared to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2023, primarily attributable to a decrease in non-recurring installation and equipment expense of $3.4 million and off network expense of $0.5 million, partially offset by an increase in personnel expenses of $0.9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-453390</wp:posOffset>
            </wp:positionV>
            <wp:extent cx="137160"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 cy="14541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During the third quarter of 2023, as a result of macroeconomic and financial market factors, specifically, increased interest rates impacting our discount rate, we concluded that it was more likely than not that the fair value of the Uniti Fiber segment, estimated using a combination of the income approach and market approach, was less that its carrying amount. Accordingly, we recorded a $204.0 million ($151.9 million net of tax) goodwill impairment in the Uniti Fiber segment during the nine months ended September 30, 2023. We recorded no impairment during the three months ended September 30, 2024. See </w:t>
      </w:r>
      <w:r>
        <w:rPr>
          <w:rFonts w:ascii="Times New Roman" w:cs="Times New Roman" w:eastAsia="Times New Roman" w:hAnsi="Times New Roman"/>
          <w:sz w:val="18"/>
          <w:szCs w:val="18"/>
          <w:u w:val="single" w:color="auto"/>
          <w:color w:val="0000FF"/>
        </w:rPr>
        <w:t>Note 9</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Notes to Condensed Consolidated Financial Statements in Part I Item 1 of this Quarterly Report on Form 10-Q.</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Related and Other Costs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Transaction related and other costs include incremental acquisition, pursuit, transaction and integration costs (including unsuccessful acquisition pursuit costs). For the three months ended September 30, 2024, we incurred $14.4 million of transaction related and other costs, compared to $1.4 million of such costs during the three months ended September 30, 2023. The increase is primarily attributable to costs associated with the Merger.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 benefit recorded for the three months ended September 30, 2024 and 2023, respectively, is related to the tax impact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4"/>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23"/>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benefit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Pre-tax loss (Uniti Fiber)</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(56,522)</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REIT state and local taxes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23"/>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income tax benefit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(56,130)</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September 30, 2024 and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expressed as dollars and as a percentage of total revenues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40" w:type="dxa"/>
            <w:vAlign w:val="bottom"/>
            <w:gridSpan w:val="5"/>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00" w:type="dxa"/>
            <w:vAlign w:val="bottom"/>
            <w:gridSpan w:val="3"/>
          </w:tcPr>
          <w:p>
            <w:pPr>
              <w:jc w:val="right"/>
              <w:ind w:right="111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80" w:type="dxa"/>
            <w:vAlign w:val="bottom"/>
          </w:tcPr>
          <w:p>
            <w:pPr>
              <w:spacing w:after="0"/>
              <w:rPr>
                <w:sz w:val="18"/>
                <w:szCs w:val="18"/>
                <w:color w:val="auto"/>
              </w:rPr>
            </w:pPr>
          </w:p>
        </w:tc>
        <w:tc>
          <w:tcPr>
            <w:tcW w:w="1500" w:type="dxa"/>
            <w:vAlign w:val="bottom"/>
            <w:gridSpan w:val="3"/>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 of Revenues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 of Revenues</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Revenue from rentals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Uniti Leasing</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653,756</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632,707</w:t>
            </w: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9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Uniti Fiber</w:t>
            </w: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37,588</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52,750</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 from rentals</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691,344</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685,457</w:t>
            </w: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Service revenues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Uniti Leasing</w:t>
            </w: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9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Uniti Fiber</w:t>
            </w: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177,195</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173,576</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service revenues</w:t>
            </w: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182,268</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178,718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873,612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864,175</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381,693</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389,243</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234,862</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231,379</w:t>
            </w: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80,546</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77,331</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4900" w:type="dxa"/>
            <w:vAlign w:val="bottom"/>
            <w:gridSpan w:val="2"/>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Operating expense (exclusive of depreciation and</w:t>
            </w:r>
          </w:p>
        </w:tc>
        <w:tc>
          <w:tcPr>
            <w:tcW w:w="2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109,878</w:t>
            </w:r>
          </w:p>
        </w:tc>
        <w:tc>
          <w:tcPr>
            <w:tcW w:w="15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500" w:type="dxa"/>
            <w:vAlign w:val="bottom"/>
            <w:gridSpan w:val="3"/>
            <w:vMerge w:val="continue"/>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31,068</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9,805</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Goodwill impairment</w:t>
            </w:r>
          </w:p>
        </w:tc>
        <w:tc>
          <w:tcPr>
            <w:tcW w:w="280" w:type="dxa"/>
            <w:vAlign w:val="bottom"/>
            <w:shd w:val="clear" w:color="auto" w:fill="CCEEFF"/>
          </w:tcPr>
          <w:p>
            <w:pPr>
              <w:spacing w:after="0"/>
              <w:rPr>
                <w:sz w:val="22"/>
                <w:szCs w:val="22"/>
                <w:color w:val="auto"/>
              </w:rPr>
            </w:pPr>
          </w:p>
        </w:tc>
        <w:tc>
          <w:tcPr>
            <w:tcW w:w="15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203,998</w:t>
            </w: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(18,999)</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57"/>
        </w:trPr>
        <w:tc>
          <w:tcPr>
            <w:tcW w:w="4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21,323</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815,622</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1,041,533</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490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Income (loss) before income taxes and equity in earnings from</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57,990</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(177,358)</w:t>
            </w:r>
          </w:p>
        </w:tc>
        <w:tc>
          <w:tcPr>
            <w:tcW w:w="172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0" w:type="dxa"/>
            <w:vAlign w:val="bottom"/>
          </w:tcPr>
          <w:p>
            <w:pPr>
              <w:spacing w:after="0"/>
              <w:rPr>
                <w:sz w:val="1"/>
                <w:szCs w:val="1"/>
                <w:color w:val="auto"/>
              </w:rPr>
            </w:pPr>
          </w:p>
        </w:tc>
      </w:tr>
      <w:tr>
        <w:trPr>
          <w:trHeight w:val="243"/>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unconsolidated entities</w:t>
            </w:r>
          </w:p>
        </w:tc>
        <w:tc>
          <w:tcPr>
            <w:tcW w:w="28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720" w:type="dxa"/>
            <w:vAlign w:val="bottom"/>
            <w:gridSpan w:val="4"/>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Income tax benefit</w:t>
            </w: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(13,869)</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(62,899)</w:t>
            </w: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56"/>
        </w:trPr>
        <w:tc>
          <w:tcPr>
            <w:tcW w:w="4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in earnings from unconsolidated entities</w:t>
            </w:r>
          </w:p>
        </w:tc>
        <w:tc>
          <w:tcPr>
            <w:tcW w:w="2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50"/>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71,859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(112,469)</w:t>
            </w: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r>
        <w:trPr>
          <w:trHeight w:val="257"/>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2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shareholders</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71,836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(112,419)</w:t>
            </w: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r>
        <w:trPr>
          <w:trHeight w:val="256"/>
        </w:trPr>
        <w:tc>
          <w:tcPr>
            <w:tcW w:w="4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Participating securities' share in earnings</w:t>
            </w: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57"/>
        </w:trPr>
        <w:tc>
          <w:tcPr>
            <w:tcW w:w="49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Dividends declared on convertible preferred stock</w:t>
            </w: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common shareholders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70,328</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(113,324)</w:t>
            </w:r>
          </w:p>
        </w:tc>
        <w:tc>
          <w:tcPr>
            <w:tcW w:w="1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tables set forth revenues, Adjusted EBITDA and net income of our reportable segments for the nine months ended September 30, 2024 and 2023:</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Subtotal of Reportable</w:t>
            </w:r>
          </w:p>
        </w:tc>
        <w:tc>
          <w:tcPr>
            <w:tcW w:w="0" w:type="dxa"/>
            <w:vAlign w:val="bottom"/>
          </w:tcPr>
          <w:p>
            <w:pPr>
              <w:spacing w:after="0"/>
              <w:rPr>
                <w:sz w:val="1"/>
                <w:szCs w:val="1"/>
                <w:color w:val="auto"/>
              </w:rPr>
            </w:pPr>
          </w:p>
        </w:tc>
      </w:tr>
      <w:tr>
        <w:trPr>
          <w:trHeight w:val="190"/>
        </w:trPr>
        <w:tc>
          <w:tcPr>
            <w:tcW w:w="50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Pr>
          <w:p>
            <w:pPr>
              <w:spacing w:after="0"/>
              <w:rPr>
                <w:sz w:val="16"/>
                <w:szCs w:val="16"/>
                <w:color w:val="auto"/>
              </w:rPr>
            </w:pP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Uniti Leasing</w:t>
            </w:r>
          </w:p>
        </w:tc>
        <w:tc>
          <w:tcPr>
            <w:tcW w:w="14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Uniti Fiber</w:t>
            </w:r>
          </w:p>
        </w:tc>
        <w:tc>
          <w:tcPr>
            <w:tcW w:w="360" w:type="dxa"/>
            <w:vAlign w:val="bottom"/>
          </w:tcPr>
          <w:p>
            <w:pPr>
              <w:spacing w:after="0"/>
              <w:rPr>
                <w:sz w:val="16"/>
                <w:szCs w:val="16"/>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6"/>
                <w:szCs w:val="16"/>
                <w:color w:val="auto"/>
              </w:rPr>
            </w:pPr>
          </w:p>
        </w:tc>
        <w:tc>
          <w:tcPr>
            <w:tcW w:w="134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3"/>
        </w:trPr>
        <w:tc>
          <w:tcPr>
            <w:tcW w:w="4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658,829</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214,783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873,612</w:t>
            </w:r>
          </w:p>
        </w:tc>
        <w:tc>
          <w:tcPr>
            <w:tcW w:w="0" w:type="dxa"/>
            <w:vAlign w:val="bottom"/>
          </w:tcPr>
          <w:p>
            <w:pPr>
              <w:spacing w:after="0"/>
              <w:rPr>
                <w:sz w:val="1"/>
                <w:szCs w:val="1"/>
                <w:color w:val="auto"/>
              </w:rPr>
            </w:pPr>
          </w:p>
        </w:tc>
      </w:tr>
      <w:tr>
        <w:trPr>
          <w:trHeight w:val="270"/>
        </w:trPr>
        <w:tc>
          <w:tcPr>
            <w:tcW w:w="4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636,718</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80,486</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700,611</w:t>
            </w:r>
          </w:p>
        </w:tc>
        <w:tc>
          <w:tcPr>
            <w:tcW w:w="0" w:type="dxa"/>
            <w:vAlign w:val="bottom"/>
          </w:tcPr>
          <w:p>
            <w:pPr>
              <w:spacing w:after="0"/>
              <w:rPr>
                <w:sz w:val="1"/>
                <w:szCs w:val="1"/>
                <w:color w:val="auto"/>
              </w:rPr>
            </w:pPr>
          </w:p>
        </w:tc>
      </w:tr>
      <w:tr>
        <w:trPr>
          <w:trHeight w:val="250"/>
        </w:trPr>
        <w:tc>
          <w:tcPr>
            <w:tcW w:w="50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381,693</w:t>
            </w:r>
          </w:p>
        </w:tc>
        <w:tc>
          <w:tcPr>
            <w:tcW w:w="0" w:type="dxa"/>
            <w:vAlign w:val="bottom"/>
          </w:tcPr>
          <w:p>
            <w:pPr>
              <w:spacing w:after="0"/>
              <w:rPr>
                <w:sz w:val="1"/>
                <w:szCs w:val="1"/>
                <w:color w:val="auto"/>
              </w:rPr>
            </w:pPr>
          </w:p>
        </w:tc>
      </w:tr>
      <w:tr>
        <w:trPr>
          <w:trHeight w:val="250"/>
        </w:trPr>
        <w:tc>
          <w:tcPr>
            <w:tcW w:w="50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134,874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99,948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234,862</w:t>
            </w:r>
          </w:p>
        </w:tc>
        <w:tc>
          <w:tcPr>
            <w:tcW w:w="0" w:type="dxa"/>
            <w:vAlign w:val="bottom"/>
          </w:tcPr>
          <w:p>
            <w:pPr>
              <w:spacing w:after="0"/>
              <w:rPr>
                <w:sz w:val="1"/>
                <w:szCs w:val="1"/>
                <w:color w:val="auto"/>
              </w:rPr>
            </w:pPr>
          </w:p>
        </w:tc>
      </w:tr>
      <w:tr>
        <w:trPr>
          <w:trHeight w:val="263"/>
        </w:trPr>
        <w:tc>
          <w:tcPr>
            <w:tcW w:w="50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31,068</w:t>
            </w:r>
          </w:p>
        </w:tc>
        <w:tc>
          <w:tcPr>
            <w:tcW w:w="0" w:type="dxa"/>
            <w:vAlign w:val="bottom"/>
          </w:tcPr>
          <w:p>
            <w:pPr>
              <w:spacing w:after="0"/>
              <w:rPr>
                <w:sz w:val="1"/>
                <w:szCs w:val="1"/>
                <w:color w:val="auto"/>
              </w:rPr>
            </w:pPr>
          </w:p>
        </w:tc>
      </w:tr>
      <w:tr>
        <w:trPr>
          <w:trHeight w:val="250"/>
        </w:trPr>
        <w:tc>
          <w:tcPr>
            <w:tcW w:w="50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(18,999)</w:t>
            </w:r>
          </w:p>
        </w:tc>
        <w:tc>
          <w:tcPr>
            <w:tcW w:w="0" w:type="dxa"/>
            <w:vAlign w:val="bottom"/>
          </w:tcPr>
          <w:p>
            <w:pPr>
              <w:spacing w:after="0"/>
              <w:rPr>
                <w:sz w:val="1"/>
                <w:szCs w:val="1"/>
                <w:color w:val="auto"/>
              </w:rPr>
            </w:pPr>
          </w:p>
        </w:tc>
      </w:tr>
      <w:tr>
        <w:trPr>
          <w:trHeight w:val="263"/>
        </w:trPr>
        <w:tc>
          <w:tcPr>
            <w:tcW w:w="50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0" w:type="dxa"/>
            <w:vAlign w:val="bottom"/>
          </w:tcPr>
          <w:p>
            <w:pPr>
              <w:spacing w:after="0"/>
              <w:rPr>
                <w:sz w:val="1"/>
                <w:szCs w:val="1"/>
                <w:color w:val="auto"/>
              </w:rPr>
            </w:pPr>
          </w:p>
        </w:tc>
      </w:tr>
      <w:tr>
        <w:trPr>
          <w:trHeight w:val="250"/>
        </w:trPr>
        <w:tc>
          <w:tcPr>
            <w:tcW w:w="50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10,120</w:t>
            </w:r>
          </w:p>
        </w:tc>
        <w:tc>
          <w:tcPr>
            <w:tcW w:w="0" w:type="dxa"/>
            <w:vAlign w:val="bottom"/>
          </w:tcPr>
          <w:p>
            <w:pPr>
              <w:spacing w:after="0"/>
              <w:rPr>
                <w:sz w:val="1"/>
                <w:szCs w:val="1"/>
                <w:color w:val="auto"/>
              </w:rPr>
            </w:pPr>
          </w:p>
        </w:tc>
      </w:tr>
      <w:tr>
        <w:trPr>
          <w:trHeight w:val="257"/>
        </w:trPr>
        <w:tc>
          <w:tcPr>
            <w:tcW w:w="50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benefit</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(13,869)</w:t>
            </w:r>
          </w:p>
        </w:tc>
        <w:tc>
          <w:tcPr>
            <w:tcW w:w="0" w:type="dxa"/>
            <w:vAlign w:val="bottom"/>
          </w:tcPr>
          <w:p>
            <w:pPr>
              <w:spacing w:after="0"/>
              <w:rPr>
                <w:sz w:val="1"/>
                <w:szCs w:val="1"/>
                <w:color w:val="auto"/>
              </w:rPr>
            </w:pPr>
          </w:p>
        </w:tc>
      </w:tr>
      <w:tr>
        <w:trPr>
          <w:trHeight w:val="250"/>
        </w:trPr>
        <w:tc>
          <w:tcPr>
            <w:tcW w:w="50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71,859</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0" w:type="dxa"/>
            <w:vAlign w:val="bottom"/>
            <w:gridSpan w:val="5"/>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3"/>
        </w:trPr>
        <w:tc>
          <w:tcPr>
            <w:tcW w:w="4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0" w:type="dxa"/>
            <w:vAlign w:val="bottom"/>
            <w:gridSpan w:val="5"/>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3"/>
          </w:tcPr>
          <w:p>
            <w:pPr>
              <w:jc w:val="center"/>
              <w:ind w:left="919"/>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Subtotal of Reportable</w:t>
            </w:r>
          </w:p>
        </w:tc>
        <w:tc>
          <w:tcPr>
            <w:tcW w:w="0" w:type="dxa"/>
            <w:vAlign w:val="bottom"/>
          </w:tcPr>
          <w:p>
            <w:pPr>
              <w:spacing w:after="0"/>
              <w:rPr>
                <w:sz w:val="1"/>
                <w:szCs w:val="1"/>
                <w:color w:val="auto"/>
              </w:rPr>
            </w:pPr>
          </w:p>
        </w:tc>
      </w:tr>
      <w:tr>
        <w:trPr>
          <w:trHeight w:val="190"/>
        </w:trPr>
        <w:tc>
          <w:tcPr>
            <w:tcW w:w="50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Pr>
          <w:p>
            <w:pPr>
              <w:spacing w:after="0"/>
              <w:rPr>
                <w:sz w:val="16"/>
                <w:szCs w:val="16"/>
                <w:color w:val="auto"/>
              </w:rPr>
            </w:pP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Uniti Leasing</w:t>
            </w:r>
          </w:p>
        </w:tc>
        <w:tc>
          <w:tcPr>
            <w:tcW w:w="14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Uniti Fiber</w:t>
            </w:r>
          </w:p>
        </w:tc>
        <w:tc>
          <w:tcPr>
            <w:tcW w:w="360" w:type="dxa"/>
            <w:vAlign w:val="bottom"/>
          </w:tcPr>
          <w:p>
            <w:pPr>
              <w:spacing w:after="0"/>
              <w:rPr>
                <w:sz w:val="16"/>
                <w:szCs w:val="16"/>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6"/>
                <w:szCs w:val="16"/>
                <w:color w:val="auto"/>
              </w:rPr>
            </w:pPr>
          </w:p>
        </w:tc>
        <w:tc>
          <w:tcPr>
            <w:tcW w:w="134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3"/>
        </w:trPr>
        <w:tc>
          <w:tcPr>
            <w:tcW w:w="4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637,849</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226,326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864,175</w:t>
            </w:r>
          </w:p>
        </w:tc>
        <w:tc>
          <w:tcPr>
            <w:tcW w:w="0" w:type="dxa"/>
            <w:vAlign w:val="bottom"/>
          </w:tcPr>
          <w:p>
            <w:pPr>
              <w:spacing w:after="0"/>
              <w:rPr>
                <w:sz w:val="1"/>
                <w:szCs w:val="1"/>
                <w:color w:val="auto"/>
              </w:rPr>
            </w:pPr>
          </w:p>
        </w:tc>
      </w:tr>
      <w:tr>
        <w:trPr>
          <w:trHeight w:val="270"/>
        </w:trPr>
        <w:tc>
          <w:tcPr>
            <w:tcW w:w="4940" w:type="dxa"/>
            <w:vAlign w:val="bottom"/>
          </w:tcPr>
          <w:p>
            <w:pPr>
              <w:spacing w:after="0"/>
              <w:rPr>
                <w:sz w:val="23"/>
                <w:szCs w:val="23"/>
                <w:color w:val="auto"/>
              </w:rPr>
            </w:pPr>
          </w:p>
        </w:tc>
        <w:tc>
          <w:tcPr>
            <w:tcW w:w="10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620,079</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88,712</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692,378</w:t>
            </w:r>
          </w:p>
        </w:tc>
        <w:tc>
          <w:tcPr>
            <w:tcW w:w="0" w:type="dxa"/>
            <w:vAlign w:val="bottom"/>
          </w:tcPr>
          <w:p>
            <w:pPr>
              <w:spacing w:after="0"/>
              <w:rPr>
                <w:sz w:val="1"/>
                <w:szCs w:val="1"/>
                <w:color w:val="auto"/>
              </w:rPr>
            </w:pPr>
          </w:p>
        </w:tc>
      </w:tr>
      <w:tr>
        <w:trPr>
          <w:trHeight w:val="250"/>
        </w:trPr>
        <w:tc>
          <w:tcPr>
            <w:tcW w:w="50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389,243</w:t>
            </w:r>
          </w:p>
        </w:tc>
        <w:tc>
          <w:tcPr>
            <w:tcW w:w="0" w:type="dxa"/>
            <w:vAlign w:val="bottom"/>
          </w:tcPr>
          <w:p>
            <w:pPr>
              <w:spacing w:after="0"/>
              <w:rPr>
                <w:sz w:val="1"/>
                <w:szCs w:val="1"/>
                <w:color w:val="auto"/>
              </w:rPr>
            </w:pPr>
          </w:p>
        </w:tc>
      </w:tr>
      <w:tr>
        <w:trPr>
          <w:trHeight w:val="250"/>
        </w:trPr>
        <w:tc>
          <w:tcPr>
            <w:tcW w:w="50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133,617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97,719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231,379</w:t>
            </w:r>
          </w:p>
        </w:tc>
        <w:tc>
          <w:tcPr>
            <w:tcW w:w="0" w:type="dxa"/>
            <w:vAlign w:val="bottom"/>
          </w:tcPr>
          <w:p>
            <w:pPr>
              <w:spacing w:after="0"/>
              <w:rPr>
                <w:sz w:val="1"/>
                <w:szCs w:val="1"/>
                <w:color w:val="auto"/>
              </w:rPr>
            </w:pPr>
          </w:p>
        </w:tc>
      </w:tr>
      <w:tr>
        <w:trPr>
          <w:trHeight w:val="263"/>
        </w:trPr>
        <w:tc>
          <w:tcPr>
            <w:tcW w:w="50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9,805</w:t>
            </w:r>
          </w:p>
        </w:tc>
        <w:tc>
          <w:tcPr>
            <w:tcW w:w="0" w:type="dxa"/>
            <w:vAlign w:val="bottom"/>
          </w:tcPr>
          <w:p>
            <w:pPr>
              <w:spacing w:after="0"/>
              <w:rPr>
                <w:sz w:val="1"/>
                <w:szCs w:val="1"/>
                <w:color w:val="auto"/>
              </w:rPr>
            </w:pPr>
          </w:p>
        </w:tc>
      </w:tr>
      <w:tr>
        <w:trPr>
          <w:trHeight w:val="250"/>
        </w:trPr>
        <w:tc>
          <w:tcPr>
            <w:tcW w:w="50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Goodwill impairment</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203,998</w:t>
            </w:r>
          </w:p>
        </w:tc>
        <w:tc>
          <w:tcPr>
            <w:tcW w:w="0" w:type="dxa"/>
            <w:vAlign w:val="bottom"/>
          </w:tcPr>
          <w:p>
            <w:pPr>
              <w:spacing w:after="0"/>
              <w:rPr>
                <w:sz w:val="1"/>
                <w:szCs w:val="1"/>
                <w:color w:val="auto"/>
              </w:rPr>
            </w:pPr>
          </w:p>
        </w:tc>
      </w:tr>
      <w:tr>
        <w:trPr>
          <w:trHeight w:val="263"/>
        </w:trPr>
        <w:tc>
          <w:tcPr>
            <w:tcW w:w="50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0" w:type="dxa"/>
            <w:vAlign w:val="bottom"/>
          </w:tcPr>
          <w:p>
            <w:pPr>
              <w:spacing w:after="0"/>
              <w:rPr>
                <w:sz w:val="1"/>
                <w:szCs w:val="1"/>
                <w:color w:val="auto"/>
              </w:rPr>
            </w:pPr>
          </w:p>
        </w:tc>
      </w:tr>
      <w:tr>
        <w:trPr>
          <w:trHeight w:val="250"/>
        </w:trPr>
        <w:tc>
          <w:tcPr>
            <w:tcW w:w="50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23,073</w:t>
            </w:r>
          </w:p>
        </w:tc>
        <w:tc>
          <w:tcPr>
            <w:tcW w:w="0" w:type="dxa"/>
            <w:vAlign w:val="bottom"/>
          </w:tcPr>
          <w:p>
            <w:pPr>
              <w:spacing w:after="0"/>
              <w:rPr>
                <w:sz w:val="1"/>
                <w:szCs w:val="1"/>
                <w:color w:val="auto"/>
              </w:rPr>
            </w:pPr>
          </w:p>
        </w:tc>
      </w:tr>
      <w:tr>
        <w:trPr>
          <w:trHeight w:val="263"/>
        </w:trPr>
        <w:tc>
          <w:tcPr>
            <w:tcW w:w="50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9,408</w:t>
            </w:r>
          </w:p>
        </w:tc>
        <w:tc>
          <w:tcPr>
            <w:tcW w:w="0" w:type="dxa"/>
            <w:vAlign w:val="bottom"/>
          </w:tcPr>
          <w:p>
            <w:pPr>
              <w:spacing w:after="0"/>
              <w:rPr>
                <w:sz w:val="1"/>
                <w:szCs w:val="1"/>
                <w:color w:val="auto"/>
              </w:rPr>
            </w:pPr>
          </w:p>
        </w:tc>
      </w:tr>
      <w:tr>
        <w:trPr>
          <w:trHeight w:val="250"/>
        </w:trPr>
        <w:tc>
          <w:tcPr>
            <w:tcW w:w="50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Income tax benefit</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(62,899)</w:t>
            </w:r>
          </w:p>
        </w:tc>
        <w:tc>
          <w:tcPr>
            <w:tcW w:w="0" w:type="dxa"/>
            <w:vAlign w:val="bottom"/>
          </w:tcPr>
          <w:p>
            <w:pPr>
              <w:spacing w:after="0"/>
              <w:rPr>
                <w:sz w:val="1"/>
                <w:szCs w:val="1"/>
                <w:color w:val="auto"/>
              </w:rPr>
            </w:pPr>
          </w:p>
        </w:tc>
      </w:tr>
      <w:tr>
        <w:trPr>
          <w:trHeight w:val="257"/>
        </w:trPr>
        <w:tc>
          <w:tcPr>
            <w:tcW w:w="50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Adjustments for equity in earnings from unconsolidated entities</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0" w:type="dxa"/>
            <w:vAlign w:val="bottom"/>
          </w:tcPr>
          <w:p>
            <w:pPr>
              <w:spacing w:after="0"/>
              <w:rPr>
                <w:sz w:val="1"/>
                <w:szCs w:val="1"/>
                <w:color w:val="auto"/>
              </w:rPr>
            </w:pPr>
          </w:p>
        </w:tc>
      </w:tr>
      <w:tr>
        <w:trPr>
          <w:trHeight w:val="250"/>
        </w:trPr>
        <w:tc>
          <w:tcPr>
            <w:tcW w:w="50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(112,469)</w:t>
            </w:r>
          </w:p>
        </w:tc>
        <w:tc>
          <w:tcPr>
            <w:tcW w:w="0" w:type="dxa"/>
            <w:vAlign w:val="bottom"/>
          </w:tcPr>
          <w:p>
            <w:pPr>
              <w:spacing w:after="0"/>
              <w:rPr>
                <w:sz w:val="1"/>
                <w:szCs w:val="1"/>
                <w:color w:val="auto"/>
              </w:rPr>
            </w:pPr>
          </w:p>
        </w:tc>
      </w:tr>
      <w:tr>
        <w:trPr>
          <w:trHeight w:val="27"/>
        </w:trPr>
        <w:tc>
          <w:tcPr>
            <w:tcW w:w="50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506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4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4"/>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00" w:type="dxa"/>
            <w:vAlign w:val="bottom"/>
            <w:gridSpan w:val="2"/>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vMerge w:val="restart"/>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jc w:val="center"/>
              <w:ind w:right="79"/>
              <w:spacing w:after="0" w:line="131" w:lineRule="exact"/>
              <w:rPr>
                <w:sz w:val="20"/>
                <w:szCs w:val="20"/>
                <w:color w:val="auto"/>
              </w:rPr>
            </w:pPr>
            <w:r>
              <w:rPr>
                <w:rFonts w:ascii="Times New Roman" w:cs="Times New Roman" w:eastAsia="Times New Roman" w:hAnsi="Times New Roman"/>
                <w:sz w:val="14"/>
                <w:szCs w:val="14"/>
                <w:b w:val="1"/>
                <w:bCs w:val="1"/>
                <w:color w:val="auto"/>
              </w:rPr>
              <w:t>% of Consolidated</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vMerge w:val="restart"/>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jc w:val="center"/>
              <w:ind w:right="73"/>
              <w:spacing w:after="0" w:line="131" w:lineRule="exact"/>
              <w:rPr>
                <w:sz w:val="20"/>
                <w:szCs w:val="20"/>
                <w:color w:val="auto"/>
              </w:rPr>
            </w:pPr>
            <w:r>
              <w:rPr>
                <w:rFonts w:ascii="Times New Roman" w:cs="Times New Roman" w:eastAsia="Times New Roman" w:hAnsi="Times New Roman"/>
                <w:sz w:val="14"/>
                <w:szCs w:val="14"/>
                <w:b w:val="1"/>
                <w:bCs w:val="1"/>
                <w:color w:val="auto"/>
              </w:rPr>
              <w:t>% of Consolidated</w:t>
            </w:r>
          </w:p>
        </w:tc>
        <w:tc>
          <w:tcPr>
            <w:tcW w:w="0" w:type="dxa"/>
            <w:vAlign w:val="bottom"/>
          </w:tcPr>
          <w:p>
            <w:pPr>
              <w:spacing w:after="0"/>
              <w:rPr>
                <w:sz w:val="1"/>
                <w:szCs w:val="1"/>
                <w:color w:val="auto"/>
              </w:rPr>
            </w:pPr>
          </w:p>
        </w:tc>
      </w:tr>
      <w:tr>
        <w:trPr>
          <w:trHeight w:val="195"/>
        </w:trPr>
        <w:tc>
          <w:tcPr>
            <w:tcW w:w="4940" w:type="dxa"/>
            <w:vAlign w:val="bottom"/>
            <w:tcBorders>
              <w:bottom w:val="single" w:sz="8" w:color="auto"/>
            </w:tcBorders>
            <w:vMerge w:val="continue"/>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91"/>
        </w:trPr>
        <w:tc>
          <w:tcPr>
            <w:tcW w:w="4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9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0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06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Uniti Leasing</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658,829</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center"/>
              <w:ind w:right="79"/>
              <w:spacing w:after="0"/>
              <w:rPr>
                <w:sz w:val="20"/>
                <w:szCs w:val="20"/>
                <w:color w:val="auto"/>
              </w:rPr>
            </w:pPr>
            <w:r>
              <w:rPr>
                <w:rFonts w:ascii="Times New Roman" w:cs="Times New Roman" w:eastAsia="Times New Roman" w:hAnsi="Times New Roman"/>
                <w:sz w:val="18"/>
                <w:szCs w:val="18"/>
                <w:color w:val="auto"/>
                <w:w w:val="98"/>
              </w:rPr>
              <w:t>75.4%</w:t>
            </w:r>
          </w:p>
        </w:tc>
        <w:tc>
          <w:tcPr>
            <w:tcW w:w="8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637,849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center"/>
              <w:ind w:right="73"/>
              <w:spacing w:after="0"/>
              <w:rPr>
                <w:sz w:val="20"/>
                <w:szCs w:val="20"/>
                <w:color w:val="auto"/>
              </w:rPr>
            </w:pPr>
            <w:r>
              <w:rPr>
                <w:rFonts w:ascii="Times New Roman" w:cs="Times New Roman" w:eastAsia="Times New Roman" w:hAnsi="Times New Roman"/>
                <w:sz w:val="18"/>
                <w:szCs w:val="18"/>
                <w:color w:val="auto"/>
                <w:w w:val="98"/>
              </w:rPr>
              <w:t>73.8%</w:t>
            </w:r>
          </w:p>
        </w:tc>
        <w:tc>
          <w:tcPr>
            <w:tcW w:w="0" w:type="dxa"/>
            <w:vAlign w:val="bottom"/>
          </w:tcPr>
          <w:p>
            <w:pPr>
              <w:spacing w:after="0"/>
              <w:rPr>
                <w:sz w:val="1"/>
                <w:szCs w:val="1"/>
                <w:color w:val="auto"/>
              </w:rPr>
            </w:pPr>
          </w:p>
        </w:tc>
      </w:tr>
      <w:tr>
        <w:trPr>
          <w:trHeight w:val="256"/>
        </w:trPr>
        <w:tc>
          <w:tcPr>
            <w:tcW w:w="50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Uniti Fiber</w:t>
            </w:r>
          </w:p>
        </w:tc>
        <w:tc>
          <w:tcPr>
            <w:tcW w:w="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214,783</w:t>
            </w: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center"/>
              <w:ind w:right="79"/>
              <w:spacing w:after="0"/>
              <w:rPr>
                <w:sz w:val="20"/>
                <w:szCs w:val="20"/>
                <w:color w:val="auto"/>
              </w:rPr>
            </w:pPr>
            <w:r>
              <w:rPr>
                <w:rFonts w:ascii="Times New Roman" w:cs="Times New Roman" w:eastAsia="Times New Roman" w:hAnsi="Times New Roman"/>
                <w:sz w:val="18"/>
                <w:szCs w:val="18"/>
                <w:color w:val="auto"/>
                <w:w w:val="98"/>
              </w:rPr>
              <w:t>24.6%</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226,326</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center"/>
              <w:ind w:right="73"/>
              <w:spacing w:after="0"/>
              <w:rPr>
                <w:sz w:val="20"/>
                <w:szCs w:val="20"/>
                <w:color w:val="auto"/>
              </w:rPr>
            </w:pPr>
            <w:r>
              <w:rPr>
                <w:rFonts w:ascii="Times New Roman" w:cs="Times New Roman" w:eastAsia="Times New Roman" w:hAnsi="Times New Roman"/>
                <w:sz w:val="18"/>
                <w:szCs w:val="18"/>
                <w:color w:val="auto"/>
                <w:w w:val="98"/>
              </w:rPr>
              <w:t>26.2%</w:t>
            </w:r>
          </w:p>
        </w:tc>
        <w:tc>
          <w:tcPr>
            <w:tcW w:w="0" w:type="dxa"/>
            <w:vAlign w:val="bottom"/>
          </w:tcPr>
          <w:p>
            <w:pPr>
              <w:spacing w:after="0"/>
              <w:rPr>
                <w:sz w:val="1"/>
                <w:szCs w:val="1"/>
                <w:color w:val="auto"/>
              </w:rPr>
            </w:pPr>
          </w:p>
        </w:tc>
      </w:tr>
      <w:tr>
        <w:trPr>
          <w:trHeight w:val="223"/>
        </w:trPr>
        <w:tc>
          <w:tcPr>
            <w:tcW w:w="506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873,612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79"/>
              <w:spacing w:after="0"/>
              <w:rPr>
                <w:sz w:val="20"/>
                <w:szCs w:val="20"/>
                <w:color w:val="auto"/>
              </w:rPr>
            </w:pPr>
            <w:r>
              <w:rPr>
                <w:rFonts w:ascii="Times New Roman" w:cs="Times New Roman" w:eastAsia="Times New Roman" w:hAnsi="Times New Roman"/>
                <w:sz w:val="18"/>
                <w:szCs w:val="18"/>
                <w:color w:val="auto"/>
                <w:w w:val="97"/>
              </w:rPr>
              <w:t>100.0%</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864,175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53"/>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Uniti Leasing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Uniti Leasing revenues for the nine months ended September 30, 2024 and 2023 consisted of the following:</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4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00" w:type="dxa"/>
            <w:vAlign w:val="bottom"/>
            <w:vMerge w:val="restart"/>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top w:val="single" w:sz="8" w:color="auto"/>
            </w:tcBorders>
            <w:vMerge w:val="restart"/>
          </w:tcPr>
          <w:p>
            <w:pPr>
              <w:spacing w:after="0"/>
              <w:rPr>
                <w:sz w:val="11"/>
                <w:szCs w:val="11"/>
                <w:color w:val="auto"/>
              </w:rPr>
            </w:pPr>
          </w:p>
        </w:tc>
        <w:tc>
          <w:tcPr>
            <w:tcW w:w="200" w:type="dxa"/>
            <w:vAlign w:val="bottom"/>
            <w:tcBorders>
              <w:top w:val="single" w:sz="8" w:color="auto"/>
            </w:tcBorders>
            <w:vMerge w:val="restart"/>
          </w:tcPr>
          <w:p>
            <w:pPr>
              <w:spacing w:after="0"/>
              <w:rPr>
                <w:sz w:val="11"/>
                <w:szCs w:val="11"/>
                <w:color w:val="auto"/>
              </w:rPr>
            </w:pPr>
          </w:p>
        </w:tc>
        <w:tc>
          <w:tcPr>
            <w:tcW w:w="1280" w:type="dxa"/>
            <w:vAlign w:val="bottom"/>
            <w:tcBorders>
              <w:top w:val="single" w:sz="8" w:color="auto"/>
            </w:tcBorders>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vMerge w:val="restart"/>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top w:val="single" w:sz="8" w:color="auto"/>
            </w:tcBorders>
            <w:vMerge w:val="restart"/>
          </w:tcPr>
          <w:p>
            <w:pPr>
              <w:spacing w:after="0"/>
              <w:rPr>
                <w:sz w:val="11"/>
                <w:szCs w:val="11"/>
                <w:color w:val="auto"/>
              </w:rPr>
            </w:pPr>
          </w:p>
        </w:tc>
        <w:tc>
          <w:tcPr>
            <w:tcW w:w="200" w:type="dxa"/>
            <w:vAlign w:val="bottom"/>
            <w:tcBorders>
              <w:top w:val="single" w:sz="8" w:color="auto"/>
            </w:tcBorders>
            <w:vMerge w:val="restart"/>
          </w:tcPr>
          <w:p>
            <w:pPr>
              <w:spacing w:after="0"/>
              <w:rPr>
                <w:sz w:val="11"/>
                <w:szCs w:val="11"/>
                <w:color w:val="auto"/>
              </w:rPr>
            </w:pPr>
          </w:p>
        </w:tc>
        <w:tc>
          <w:tcPr>
            <w:tcW w:w="1280" w:type="dxa"/>
            <w:vAlign w:val="bottom"/>
            <w:tcBorders>
              <w:top w:val="single" w:sz="8" w:color="auto"/>
            </w:tcBorders>
          </w:tcPr>
          <w:p>
            <w:pPr>
              <w:jc w:val="center"/>
              <w:ind w:right="133"/>
              <w:spacing w:after="0" w:line="131"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0" w:type="dxa"/>
            <w:vAlign w:val="bottom"/>
          </w:tcPr>
          <w:p>
            <w:pPr>
              <w:spacing w:after="0"/>
              <w:rPr>
                <w:sz w:val="1"/>
                <w:szCs w:val="1"/>
                <w:color w:val="auto"/>
              </w:rPr>
            </w:pPr>
          </w:p>
        </w:tc>
      </w:tr>
      <w:tr>
        <w:trPr>
          <w:trHeight w:val="195"/>
        </w:trPr>
        <w:tc>
          <w:tcPr>
            <w:tcW w:w="49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91"/>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060" w:type="dxa"/>
            <w:vAlign w:val="bottom"/>
            <w:gridSpan w:val="2"/>
            <w:shd w:val="clear" w:color="auto" w:fill="CCEEFF"/>
          </w:tcPr>
          <w:p>
            <w:pPr>
              <w:jc w:val="center"/>
              <w:ind w:right="3200"/>
              <w:spacing w:after="0"/>
              <w:rPr>
                <w:sz w:val="20"/>
                <w:szCs w:val="20"/>
                <w:color w:val="auto"/>
              </w:rPr>
            </w:pPr>
            <w:r>
              <w:rPr>
                <w:rFonts w:ascii="Times New Roman" w:cs="Times New Roman" w:eastAsia="Times New Roman" w:hAnsi="Times New Roman"/>
                <w:sz w:val="18"/>
                <w:szCs w:val="18"/>
                <w:b w:val="1"/>
                <w:bCs w:val="1"/>
                <w:color w:val="auto"/>
                <w:w w:val="99"/>
              </w:rPr>
              <w:t>Uniti Leasing revenues: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gridSpan w:val="2"/>
          </w:tcPr>
          <w:p>
            <w:pPr>
              <w:jc w:val="center"/>
              <w:ind w:right="3240"/>
              <w:spacing w:after="0"/>
              <w:rPr>
                <w:sz w:val="20"/>
                <w:szCs w:val="20"/>
                <w:color w:val="auto"/>
              </w:rPr>
            </w:pPr>
            <w:r>
              <w:rPr>
                <w:rFonts w:ascii="Times New Roman" w:cs="Times New Roman" w:eastAsia="Times New Roman" w:hAnsi="Times New Roman"/>
                <w:sz w:val="18"/>
                <w:szCs w:val="18"/>
                <w:color w:val="auto"/>
                <w:w w:val="99"/>
              </w:rPr>
              <w:t>Windstream Leases: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revenue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0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Cash rent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506,417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center"/>
              <w:ind w:right="114"/>
              <w:spacing w:after="0"/>
              <w:rPr>
                <w:sz w:val="20"/>
                <w:szCs w:val="20"/>
                <w:color w:val="auto"/>
              </w:rPr>
            </w:pPr>
            <w:r>
              <w:rPr>
                <w:rFonts w:ascii="Times New Roman" w:cs="Times New Roman" w:eastAsia="Times New Roman" w:hAnsi="Times New Roman"/>
                <w:sz w:val="18"/>
                <w:szCs w:val="18"/>
                <w:color w:val="auto"/>
              </w:rPr>
              <w:t>76.9%</w:t>
            </w:r>
          </w:p>
        </w:tc>
        <w:tc>
          <w:tcPr>
            <w:tcW w:w="8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503,897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w w:val="98"/>
              </w:rPr>
              <w:t>79.0%</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GCI revenue</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114"/>
              <w:spacing w:after="0"/>
              <w:rPr>
                <w:sz w:val="20"/>
                <w:szCs w:val="20"/>
                <w:color w:val="auto"/>
              </w:rPr>
            </w:pPr>
            <w:r>
              <w:rPr>
                <w:rFonts w:ascii="Times New Roman" w:cs="Times New Roman" w:eastAsia="Times New Roman" w:hAnsi="Times New Roman"/>
                <w:sz w:val="18"/>
                <w:szCs w:val="18"/>
                <w:color w:val="auto"/>
                <w:w w:val="95"/>
              </w:rPr>
              <w:t>5.9%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113"/>
              <w:spacing w:after="0"/>
              <w:rPr>
                <w:sz w:val="20"/>
                <w:szCs w:val="20"/>
                <w:color w:val="auto"/>
              </w:rPr>
            </w:pPr>
            <w:r>
              <w:rPr>
                <w:rFonts w:ascii="Times New Roman" w:cs="Times New Roman" w:eastAsia="Times New Roman" w:hAnsi="Times New Roman"/>
                <w:sz w:val="18"/>
                <w:szCs w:val="18"/>
                <w:color w:val="auto"/>
                <w:w w:val="95"/>
              </w:rPr>
              <w:t>3.5%</w:t>
            </w:r>
          </w:p>
        </w:tc>
        <w:tc>
          <w:tcPr>
            <w:tcW w:w="0" w:type="dxa"/>
            <w:vAlign w:val="bottom"/>
          </w:tcPr>
          <w:p>
            <w:pPr>
              <w:spacing w:after="0"/>
              <w:rPr>
                <w:sz w:val="1"/>
                <w:szCs w:val="1"/>
                <w:color w:val="auto"/>
              </w:rPr>
            </w:pPr>
          </w:p>
        </w:tc>
      </w:tr>
      <w:tr>
        <w:trPr>
          <w:trHeight w:val="223"/>
        </w:trPr>
        <w:tc>
          <w:tcPr>
            <w:tcW w:w="5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cash revenue</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545,305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4"/>
              <w:spacing w:after="0"/>
              <w:rPr>
                <w:sz w:val="20"/>
                <w:szCs w:val="20"/>
                <w:color w:val="auto"/>
              </w:rPr>
            </w:pPr>
            <w:r>
              <w:rPr>
                <w:rFonts w:ascii="Times New Roman" w:cs="Times New Roman" w:eastAsia="Times New Roman" w:hAnsi="Times New Roman"/>
                <w:sz w:val="18"/>
                <w:szCs w:val="18"/>
                <w:color w:val="auto"/>
              </w:rPr>
              <w:t>82.8%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526,025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w w:val="98"/>
              </w:rPr>
              <w:t>82.5%</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revenue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gridSpan w:val="2"/>
          </w:tcPr>
          <w:p>
            <w:pPr>
              <w:jc w:val="center"/>
              <w:ind w:right="3200"/>
              <w:spacing w:after="0"/>
              <w:rPr>
                <w:sz w:val="20"/>
                <w:szCs w:val="20"/>
                <w:color w:val="auto"/>
              </w:rPr>
            </w:pPr>
            <w:r>
              <w:rPr>
                <w:rFonts w:ascii="Times New Roman" w:cs="Times New Roman" w:eastAsia="Times New Roman" w:hAnsi="Times New Roman"/>
                <w:sz w:val="18"/>
                <w:szCs w:val="18"/>
                <w:color w:val="auto"/>
                <w:w w:val="99"/>
              </w:rPr>
              <w:t>TCI revenue</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4"/>
              <w:spacing w:after="0"/>
              <w:rPr>
                <w:sz w:val="20"/>
                <w:szCs w:val="20"/>
                <w:color w:val="auto"/>
              </w:rPr>
            </w:pPr>
            <w:r>
              <w:rPr>
                <w:rFonts w:ascii="Times New Roman" w:cs="Times New Roman" w:eastAsia="Times New Roman" w:hAnsi="Times New Roman"/>
                <w:sz w:val="18"/>
                <w:szCs w:val="18"/>
                <w:color w:val="auto"/>
                <w:w w:val="95"/>
              </w:rPr>
              <w:t>5.7%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w w:val="95"/>
              </w:rPr>
              <w:t>5.4%</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jc w:val="center"/>
              <w:ind w:right="3180"/>
              <w:spacing w:after="0"/>
              <w:rPr>
                <w:sz w:val="20"/>
                <w:szCs w:val="20"/>
                <w:color w:val="auto"/>
              </w:rPr>
            </w:pPr>
            <w:r>
              <w:rPr>
                <w:rFonts w:ascii="Times New Roman" w:cs="Times New Roman" w:eastAsia="Times New Roman" w:hAnsi="Times New Roman"/>
                <w:sz w:val="18"/>
                <w:szCs w:val="18"/>
                <w:color w:val="auto"/>
                <w:w w:val="99"/>
              </w:rPr>
              <w:t>GCI revenue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114"/>
              <w:spacing w:after="0"/>
              <w:rPr>
                <w:sz w:val="20"/>
                <w:szCs w:val="20"/>
                <w:color w:val="auto"/>
              </w:rPr>
            </w:pPr>
            <w:r>
              <w:rPr>
                <w:rFonts w:ascii="Times New Roman" w:cs="Times New Roman" w:eastAsia="Times New Roman" w:hAnsi="Times New Roman"/>
                <w:sz w:val="18"/>
                <w:szCs w:val="18"/>
                <w:color w:val="auto"/>
                <w:w w:val="95"/>
              </w:rPr>
              <w:t>1.6%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113"/>
              <w:spacing w:after="0"/>
              <w:rPr>
                <w:sz w:val="20"/>
                <w:szCs w:val="20"/>
                <w:color w:val="auto"/>
              </w:rPr>
            </w:pPr>
            <w:r>
              <w:rPr>
                <w:rFonts w:ascii="Times New Roman" w:cs="Times New Roman" w:eastAsia="Times New Roman" w:hAnsi="Times New Roman"/>
                <w:sz w:val="18"/>
                <w:szCs w:val="18"/>
                <w:color w:val="auto"/>
                <w:w w:val="95"/>
              </w:rPr>
              <w:t>1.9%</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8"/>
                <w:szCs w:val="18"/>
                <w:color w:val="auto"/>
              </w:rPr>
              <w:t>Other straight-line revenue</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8"/>
                <w:szCs w:val="18"/>
                <w:color w:val="auto"/>
                <w:w w:val="95"/>
              </w:rPr>
              <w:t>0.4%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8"/>
                <w:szCs w:val="18"/>
                <w:color w:val="auto"/>
                <w:w w:val="95"/>
              </w:rPr>
              <w:t>0.9%</w:t>
            </w:r>
          </w:p>
        </w:tc>
        <w:tc>
          <w:tcPr>
            <w:tcW w:w="0" w:type="dxa"/>
            <w:vAlign w:val="bottom"/>
          </w:tcPr>
          <w:p>
            <w:pPr>
              <w:spacing w:after="0"/>
              <w:rPr>
                <w:sz w:val="1"/>
                <w:szCs w:val="1"/>
                <w:color w:val="auto"/>
              </w:rPr>
            </w:pPr>
          </w:p>
        </w:tc>
      </w:tr>
      <w:tr>
        <w:trPr>
          <w:trHeight w:val="223"/>
        </w:trPr>
        <w:tc>
          <w:tcPr>
            <w:tcW w:w="50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non-cash revenue</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114"/>
              <w:spacing w:after="0"/>
              <w:rPr>
                <w:sz w:val="20"/>
                <w:szCs w:val="20"/>
                <w:color w:val="auto"/>
              </w:rPr>
            </w:pPr>
            <w:r>
              <w:rPr>
                <w:rFonts w:ascii="Times New Roman" w:cs="Times New Roman" w:eastAsia="Times New Roman" w:hAnsi="Times New Roman"/>
                <w:sz w:val="18"/>
                <w:szCs w:val="18"/>
                <w:color w:val="auto"/>
                <w:w w:val="95"/>
              </w:rPr>
              <w:t>7.7%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113"/>
              <w:spacing w:after="0"/>
              <w:rPr>
                <w:sz w:val="20"/>
                <w:szCs w:val="20"/>
                <w:color w:val="auto"/>
              </w:rPr>
            </w:pPr>
            <w:r>
              <w:rPr>
                <w:rFonts w:ascii="Times New Roman" w:cs="Times New Roman" w:eastAsia="Times New Roman" w:hAnsi="Times New Roman"/>
                <w:sz w:val="18"/>
                <w:szCs w:val="18"/>
                <w:color w:val="auto"/>
                <w:w w:val="95"/>
              </w:rPr>
              <w:t>8.2%</w:t>
            </w:r>
          </w:p>
        </w:tc>
        <w:tc>
          <w:tcPr>
            <w:tcW w:w="0" w:type="dxa"/>
            <w:vAlign w:val="bottom"/>
          </w:tcPr>
          <w:p>
            <w:pPr>
              <w:spacing w:after="0"/>
              <w:rPr>
                <w:sz w:val="1"/>
                <w:szCs w:val="1"/>
                <w:color w:val="auto"/>
              </w:rPr>
            </w:pPr>
          </w:p>
        </w:tc>
      </w:tr>
      <w:tr>
        <w:trPr>
          <w:trHeight w:val="223"/>
        </w:trPr>
        <w:tc>
          <w:tcPr>
            <w:tcW w:w="5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Windstream revenue</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4"/>
              <w:spacing w:after="0"/>
              <w:rPr>
                <w:sz w:val="20"/>
                <w:szCs w:val="20"/>
                <w:color w:val="auto"/>
              </w:rPr>
            </w:pPr>
            <w:r>
              <w:rPr>
                <w:rFonts w:ascii="Times New Roman" w:cs="Times New Roman" w:eastAsia="Times New Roman" w:hAnsi="Times New Roman"/>
                <w:sz w:val="18"/>
                <w:szCs w:val="18"/>
                <w:color w:val="auto"/>
              </w:rPr>
              <w:t>90.5%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578,221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w w:val="98"/>
              </w:rPr>
              <w:t>90.7%</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services</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114"/>
              <w:spacing w:after="0"/>
              <w:rPr>
                <w:sz w:val="20"/>
                <w:szCs w:val="20"/>
                <w:color w:val="auto"/>
              </w:rPr>
            </w:pPr>
            <w:r>
              <w:rPr>
                <w:rFonts w:ascii="Times New Roman" w:cs="Times New Roman" w:eastAsia="Times New Roman" w:hAnsi="Times New Roman"/>
                <w:sz w:val="18"/>
                <w:szCs w:val="18"/>
                <w:color w:val="auto"/>
                <w:w w:val="95"/>
              </w:rPr>
              <w:t>9.5%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113"/>
              <w:spacing w:after="0"/>
              <w:rPr>
                <w:sz w:val="20"/>
                <w:szCs w:val="20"/>
                <w:color w:val="auto"/>
              </w:rPr>
            </w:pPr>
            <w:r>
              <w:rPr>
                <w:rFonts w:ascii="Times New Roman" w:cs="Times New Roman" w:eastAsia="Times New Roman" w:hAnsi="Times New Roman"/>
                <w:sz w:val="18"/>
                <w:szCs w:val="18"/>
                <w:color w:val="auto"/>
                <w:w w:val="95"/>
              </w:rPr>
              <w:t>9.3%</w:t>
            </w:r>
          </w:p>
        </w:tc>
        <w:tc>
          <w:tcPr>
            <w:tcW w:w="0" w:type="dxa"/>
            <w:vAlign w:val="bottom"/>
          </w:tcPr>
          <w:p>
            <w:pPr>
              <w:spacing w:after="0"/>
              <w:rPr>
                <w:sz w:val="1"/>
                <w:szCs w:val="1"/>
                <w:color w:val="auto"/>
              </w:rPr>
            </w:pPr>
          </w:p>
        </w:tc>
      </w:tr>
      <w:tr>
        <w:trPr>
          <w:trHeight w:val="250"/>
        </w:trPr>
        <w:tc>
          <w:tcPr>
            <w:tcW w:w="5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Uniti Leasing revenues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658,829</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637,849</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TCI revenue is attributable to continued investment by Windstream.</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increase in GCI revenue is attributable to Uniti’s continued reimbursement of Growth Capital Improvements. During the nine months ended September 30, 2024, Uniti reimbursed $230.8 million of Growth Capital Improvements. As of the date of this Quarterly Report on Form 10-Q, we have reimbursed a total of $1.0 billion of Growth Capital Improvements.</w:t>
      </w:r>
    </w:p>
    <w:p>
      <w:pPr>
        <w:spacing w:after="0" w:line="176"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7"/>
          <w:szCs w:val="17"/>
          <w:color w:val="auto"/>
        </w:rPr>
        <w:t>We recognized $62.8 million and $59.6 million of revenues from non-Windstream triple-net leasing, dark fiber IRU arrangements, and other services for the nine months ended September 30, 2024 and 2023, respectively. The increase is primarily attributable to revenues from new customer arrangements.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Uniti Fiber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Uniti Fiber revenues for the nine months ended September 30, 2024 and 2023 consisted of the following:</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4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00" w:type="dxa"/>
            <w:vAlign w:val="bottom"/>
            <w:vMerge w:val="restart"/>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top w:val="single" w:sz="8" w:color="auto"/>
            </w:tcBorders>
            <w:vMerge w:val="restart"/>
          </w:tcPr>
          <w:p>
            <w:pPr>
              <w:spacing w:after="0"/>
              <w:rPr>
                <w:sz w:val="11"/>
                <w:szCs w:val="11"/>
                <w:color w:val="auto"/>
              </w:rPr>
            </w:pPr>
          </w:p>
        </w:tc>
        <w:tc>
          <w:tcPr>
            <w:tcW w:w="200" w:type="dxa"/>
            <w:vAlign w:val="bottom"/>
            <w:tcBorders>
              <w:top w:val="single" w:sz="8" w:color="auto"/>
            </w:tcBorders>
            <w:vMerge w:val="restart"/>
          </w:tcPr>
          <w:p>
            <w:pPr>
              <w:spacing w:after="0"/>
              <w:rPr>
                <w:sz w:val="11"/>
                <w:szCs w:val="11"/>
                <w:color w:val="auto"/>
              </w:rPr>
            </w:pPr>
          </w:p>
        </w:tc>
        <w:tc>
          <w:tcPr>
            <w:tcW w:w="1280" w:type="dxa"/>
            <w:vAlign w:val="bottom"/>
            <w:tcBorders>
              <w:top w:val="single" w:sz="8" w:color="auto"/>
            </w:tcBorders>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top w:val="single" w:sz="8" w:color="auto"/>
            </w:tcBorders>
            <w:vMerge w:val="restart"/>
          </w:tcPr>
          <w:p>
            <w:pPr>
              <w:spacing w:after="0"/>
              <w:rPr>
                <w:sz w:val="11"/>
                <w:szCs w:val="11"/>
                <w:color w:val="auto"/>
              </w:rPr>
            </w:pPr>
          </w:p>
        </w:tc>
        <w:tc>
          <w:tcPr>
            <w:tcW w:w="200" w:type="dxa"/>
            <w:vAlign w:val="bottom"/>
            <w:tcBorders>
              <w:top w:val="single" w:sz="8" w:color="auto"/>
            </w:tcBorders>
            <w:vMerge w:val="restart"/>
          </w:tcPr>
          <w:p>
            <w:pPr>
              <w:spacing w:after="0"/>
              <w:rPr>
                <w:sz w:val="11"/>
                <w:szCs w:val="11"/>
                <w:color w:val="auto"/>
              </w:rPr>
            </w:pPr>
          </w:p>
        </w:tc>
        <w:tc>
          <w:tcPr>
            <w:tcW w:w="1280" w:type="dxa"/>
            <w:vAlign w:val="bottom"/>
            <w:tcBorders>
              <w:top w:val="single" w:sz="8" w:color="auto"/>
            </w:tcBorders>
          </w:tcPr>
          <w:p>
            <w:pPr>
              <w:jc w:val="center"/>
              <w:ind w:right="135"/>
              <w:spacing w:after="0" w:line="129"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0" w:type="dxa"/>
            <w:vAlign w:val="bottom"/>
          </w:tcPr>
          <w:p>
            <w:pPr>
              <w:spacing w:after="0"/>
              <w:rPr>
                <w:sz w:val="1"/>
                <w:szCs w:val="1"/>
                <w:color w:val="auto"/>
              </w:rPr>
            </w:pPr>
          </w:p>
        </w:tc>
      </w:tr>
      <w:tr>
        <w:trPr>
          <w:trHeight w:val="196"/>
        </w:trPr>
        <w:tc>
          <w:tcPr>
            <w:tcW w:w="496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92"/>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Uniti Fiber revenues: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Lit backhaul services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6"/>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35"/>
              <w:spacing w:after="0"/>
              <w:rPr>
                <w:sz w:val="20"/>
                <w:szCs w:val="20"/>
                <w:color w:val="auto"/>
              </w:rPr>
            </w:pPr>
            <w:r>
              <w:rPr>
                <w:rFonts w:ascii="Times New Roman" w:cs="Times New Roman" w:eastAsia="Times New Roman" w:hAnsi="Times New Roman"/>
                <w:sz w:val="18"/>
                <w:szCs w:val="18"/>
                <w:color w:val="auto"/>
                <w:w w:val="98"/>
              </w:rPr>
              <w:t>25.3%</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Enterprise and wholesale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116"/>
              <w:spacing w:after="0"/>
              <w:rPr>
                <w:sz w:val="20"/>
                <w:szCs w:val="20"/>
                <w:color w:val="auto"/>
              </w:rPr>
            </w:pPr>
            <w:r>
              <w:rPr>
                <w:rFonts w:ascii="Times New Roman" w:cs="Times New Roman" w:eastAsia="Times New Roman" w:hAnsi="Times New Roman"/>
                <w:sz w:val="18"/>
                <w:szCs w:val="18"/>
                <w:color w:val="auto"/>
              </w:rPr>
              <w:t>36.1%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135"/>
              <w:spacing w:after="0"/>
              <w:rPr>
                <w:sz w:val="20"/>
                <w:szCs w:val="20"/>
                <w:color w:val="auto"/>
              </w:rPr>
            </w:pPr>
            <w:r>
              <w:rPr>
                <w:rFonts w:ascii="Times New Roman" w:cs="Times New Roman" w:eastAsia="Times New Roman" w:hAnsi="Times New Roman"/>
                <w:sz w:val="18"/>
                <w:szCs w:val="18"/>
                <w:color w:val="auto"/>
                <w:w w:val="98"/>
              </w:rPr>
              <w:t>31.0%</w:t>
            </w:r>
          </w:p>
        </w:tc>
        <w:tc>
          <w:tcPr>
            <w:tcW w:w="0" w:type="dxa"/>
            <w:vAlign w:val="bottom"/>
          </w:tcPr>
          <w:p>
            <w:pPr>
              <w:spacing w:after="0"/>
              <w:rPr>
                <w:sz w:val="1"/>
                <w:szCs w:val="1"/>
                <w:color w:val="auto"/>
              </w:rPr>
            </w:pPr>
          </w:p>
        </w:tc>
      </w:tr>
      <w:tr>
        <w:trPr>
          <w:trHeight w:val="230"/>
        </w:trPr>
        <w:tc>
          <w:tcPr>
            <w:tcW w:w="50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E-Rate and government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6"/>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35"/>
              <w:spacing w:after="0"/>
              <w:rPr>
                <w:sz w:val="20"/>
                <w:szCs w:val="20"/>
                <w:color w:val="auto"/>
              </w:rPr>
            </w:pPr>
            <w:r>
              <w:rPr>
                <w:rFonts w:ascii="Times New Roman" w:cs="Times New Roman" w:eastAsia="Times New Roman" w:hAnsi="Times New Roman"/>
                <w:sz w:val="18"/>
                <w:szCs w:val="18"/>
                <w:color w:val="auto"/>
                <w:w w:val="98"/>
              </w:rPr>
              <w:t>19.4%</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Dark fiber and small cells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116"/>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135"/>
              <w:spacing w:after="0"/>
              <w:rPr>
                <w:sz w:val="20"/>
                <w:szCs w:val="20"/>
                <w:color w:val="auto"/>
              </w:rPr>
            </w:pPr>
            <w:r>
              <w:rPr>
                <w:rFonts w:ascii="Times New Roman" w:cs="Times New Roman" w:eastAsia="Times New Roman" w:hAnsi="Times New Roman"/>
                <w:sz w:val="18"/>
                <w:szCs w:val="18"/>
                <w:color w:val="auto"/>
                <w:w w:val="98"/>
              </w:rPr>
              <w:t>23.3%</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Other services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8"/>
                <w:szCs w:val="18"/>
                <w:color w:val="auto"/>
                <w:w w:val="95"/>
              </w:rPr>
              <w:t>1.2%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8"/>
                <w:szCs w:val="18"/>
                <w:color w:val="auto"/>
                <w:w w:val="95"/>
              </w:rPr>
              <w:t>1.0%</w:t>
            </w:r>
          </w:p>
        </w:tc>
        <w:tc>
          <w:tcPr>
            <w:tcW w:w="0" w:type="dxa"/>
            <w:vAlign w:val="bottom"/>
          </w:tcPr>
          <w:p>
            <w:pPr>
              <w:spacing w:after="0"/>
              <w:rPr>
                <w:sz w:val="1"/>
                <w:szCs w:val="1"/>
                <w:color w:val="auto"/>
              </w:rPr>
            </w:pPr>
          </w:p>
        </w:tc>
      </w:tr>
      <w:tr>
        <w:trPr>
          <w:trHeight w:val="248"/>
        </w:trPr>
        <w:tc>
          <w:tcPr>
            <w:tcW w:w="50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Uniti Fiber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center"/>
              <w:ind w:right="116"/>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center"/>
              <w:ind w:right="115"/>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For the nine months ended September 30, 2024, Uniti Fiber revenues totaled $214.8 million as compared to $226.3 million for the nine months ended September 30, 2023. Uniti Fiber revenues decreased by $11.5 million, primarily attributable to a $15.2 million decrease in dark fiber and small cells, driven primarily by one-time cancellation revenues, and $5.3 million decrease in E-rate and government, driven primarily by non-recurring equipment and installation sales and net churn,</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partially offset by a $7.5 million increase in enterprise and wholesale, driven primarily by increased customer connections and internet services.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0"/>
          </w:cols>
          <w:pgMar w:left="320" w:top="337" w:right="12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300" w:type="dxa"/>
            <w:vAlign w:val="bottom"/>
            <w:gridSpan w:val="7"/>
          </w:tcPr>
          <w:p>
            <w:pPr>
              <w:jc w:val="center"/>
              <w:ind w:right="2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Increase / (Decrease)</w:t>
            </w:r>
          </w:p>
        </w:tc>
        <w:tc>
          <w:tcPr>
            <w:tcW w:w="0" w:type="dxa"/>
            <w:vAlign w:val="bottom"/>
          </w:tcPr>
          <w:p>
            <w:pPr>
              <w:spacing w:after="0"/>
              <w:rPr>
                <w:sz w:val="1"/>
                <w:szCs w:val="1"/>
                <w:color w:val="auto"/>
              </w:rPr>
            </w:pPr>
          </w:p>
        </w:tc>
      </w:tr>
      <w:tr>
        <w:trPr>
          <w:trHeight w:val="23"/>
        </w:trPr>
        <w:tc>
          <w:tcPr>
            <w:tcW w:w="6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Cash:</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Senior secured notes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238,210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243,226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(5,016)</w:t>
            </w:r>
          </w:p>
        </w:tc>
        <w:tc>
          <w:tcPr>
            <w:tcW w:w="0" w:type="dxa"/>
            <w:vAlign w:val="bottom"/>
          </w:tcPr>
          <w:p>
            <w:pPr>
              <w:spacing w:after="0"/>
              <w:rPr>
                <w:sz w:val="1"/>
                <w:szCs w:val="1"/>
                <w:color w:val="auto"/>
              </w:rPr>
            </w:pPr>
          </w:p>
        </w:tc>
      </w:tr>
      <w:tr>
        <w:trPr>
          <w:trHeight w:val="229"/>
        </w:trPr>
        <w:tc>
          <w:tcPr>
            <w:tcW w:w="6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Senior unsecured notes</w:t>
            </w:r>
          </w:p>
        </w:tc>
        <w:tc>
          <w:tcPr>
            <w:tcW w:w="34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105,143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106,674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(1,531)</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Senior secured revolving credit facility - variable rate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6,560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8,143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(1,583)</w:t>
            </w:r>
          </w:p>
        </w:tc>
        <w:tc>
          <w:tcPr>
            <w:tcW w:w="0" w:type="dxa"/>
            <w:vAlign w:val="bottom"/>
          </w:tcPr>
          <w:p>
            <w:pPr>
              <w:spacing w:after="0"/>
              <w:rPr>
                <w:sz w:val="1"/>
                <w:szCs w:val="1"/>
                <w:color w:val="auto"/>
              </w:rPr>
            </w:pPr>
          </w:p>
        </w:tc>
      </w:tr>
      <w:tr>
        <w:trPr>
          <w:trHeight w:val="230"/>
        </w:trPr>
        <w:tc>
          <w:tcPr>
            <w:tcW w:w="6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ABS Loan Facility</w:t>
            </w:r>
          </w:p>
        </w:tc>
        <w:tc>
          <w:tcPr>
            <w:tcW w:w="34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13,234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13,234</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cap</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(2,277)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(3,035)</w:t>
            </w:r>
          </w:p>
        </w:tc>
        <w:tc>
          <w:tcPr>
            <w:tcW w:w="0" w:type="dxa"/>
            <w:vAlign w:val="bottom"/>
          </w:tcPr>
          <w:p>
            <w:pPr>
              <w:spacing w:after="0"/>
              <w:rPr>
                <w:sz w:val="1"/>
                <w:szCs w:val="1"/>
                <w:color w:val="auto"/>
              </w:rPr>
            </w:pPr>
          </w:p>
        </w:tc>
      </w:tr>
      <w:tr>
        <w:trPr>
          <w:trHeight w:val="223"/>
        </w:trPr>
        <w:tc>
          <w:tcPr>
            <w:tcW w:w="6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cash interest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360,871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358,801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2,070</w:t>
            </w:r>
          </w:p>
        </w:tc>
        <w:tc>
          <w:tcPr>
            <w:tcW w:w="0" w:type="dxa"/>
            <w:vAlign w:val="bottom"/>
          </w:tcPr>
          <w:p>
            <w:pPr>
              <w:spacing w:after="0"/>
              <w:rPr>
                <w:sz w:val="1"/>
                <w:szCs w:val="1"/>
                <w:color w:val="auto"/>
              </w:rPr>
            </w:pPr>
          </w:p>
        </w:tc>
      </w:tr>
      <w:tr>
        <w:trPr>
          <w:trHeight w:val="230"/>
        </w:trPr>
        <w:tc>
          <w:tcPr>
            <w:tcW w:w="66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Non-cash:</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deferred financing costs and debt discount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16,774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13,974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2,800</w:t>
            </w:r>
          </w:p>
        </w:tc>
        <w:tc>
          <w:tcPr>
            <w:tcW w:w="0" w:type="dxa"/>
            <w:vAlign w:val="bottom"/>
          </w:tcPr>
          <w:p>
            <w:pPr>
              <w:spacing w:after="0"/>
              <w:rPr>
                <w:sz w:val="1"/>
                <w:szCs w:val="1"/>
                <w:color w:val="auto"/>
              </w:rPr>
            </w:pPr>
          </w:p>
        </w:tc>
      </w:tr>
      <w:tr>
        <w:trPr>
          <w:trHeight w:val="229"/>
        </w:trPr>
        <w:tc>
          <w:tcPr>
            <w:tcW w:w="6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Write off of deferred financing costs and debt discount</w:t>
            </w:r>
          </w:p>
        </w:tc>
        <w:tc>
          <w:tcPr>
            <w:tcW w:w="3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10,412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(10,412)</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Accretion of settlement payable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8,273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(3,193)</w:t>
            </w:r>
          </w:p>
        </w:tc>
        <w:tc>
          <w:tcPr>
            <w:tcW w:w="0" w:type="dxa"/>
            <w:vAlign w:val="bottom"/>
          </w:tcPr>
          <w:p>
            <w:pPr>
              <w:spacing w:after="0"/>
              <w:rPr>
                <w:sz w:val="1"/>
                <w:szCs w:val="1"/>
                <w:color w:val="auto"/>
              </w:rPr>
            </w:pPr>
          </w:p>
        </w:tc>
      </w:tr>
      <w:tr>
        <w:trPr>
          <w:trHeight w:val="229"/>
        </w:trPr>
        <w:tc>
          <w:tcPr>
            <w:tcW w:w="6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3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1,269</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cap</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1,149</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Capitalized interest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(2,181)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(1,233)</w:t>
            </w:r>
          </w:p>
        </w:tc>
        <w:tc>
          <w:tcPr>
            <w:tcW w:w="0" w:type="dxa"/>
            <w:vAlign w:val="bottom"/>
          </w:tcPr>
          <w:p>
            <w:pPr>
              <w:spacing w:after="0"/>
              <w:rPr>
                <w:sz w:val="1"/>
                <w:szCs w:val="1"/>
                <w:color w:val="auto"/>
              </w:rPr>
            </w:pPr>
          </w:p>
        </w:tc>
      </w:tr>
      <w:tr>
        <w:trPr>
          <w:trHeight w:val="223"/>
        </w:trPr>
        <w:tc>
          <w:tcPr>
            <w:tcW w:w="6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non-cash interest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20,822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30,442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(9,620)</w:t>
            </w:r>
          </w:p>
        </w:tc>
        <w:tc>
          <w:tcPr>
            <w:tcW w:w="0" w:type="dxa"/>
            <w:vAlign w:val="bottom"/>
          </w:tcPr>
          <w:p>
            <w:pPr>
              <w:spacing w:after="0"/>
              <w:rPr>
                <w:sz w:val="1"/>
                <w:szCs w:val="1"/>
                <w:color w:val="auto"/>
              </w:rPr>
            </w:pPr>
          </w:p>
        </w:tc>
      </w:tr>
      <w:tr>
        <w:trPr>
          <w:trHeight w:val="223"/>
        </w:trPr>
        <w:tc>
          <w:tcPr>
            <w:tcW w:w="6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381,693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389,243</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(7,550)</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80"/>
        <w:spacing w:after="0" w:line="238" w:lineRule="auto"/>
        <w:rPr>
          <w:sz w:val="20"/>
          <w:szCs w:val="20"/>
          <w:color w:val="auto"/>
        </w:rPr>
      </w:pPr>
      <w:r>
        <w:rPr>
          <w:rFonts w:ascii="Times New Roman" w:cs="Times New Roman" w:eastAsia="Times New Roman" w:hAnsi="Times New Roman"/>
          <w:sz w:val="18"/>
          <w:szCs w:val="18"/>
          <w:color w:val="auto"/>
        </w:rPr>
        <w:t>Interest expense for the nine months ended September 30, 2024 decreased $7.6 million compared to the nine months ended September 30, 2023. The decrease is primarily attributable to a loss on extinguishment of debt of $32.3 million recognized in the first quarter of 2023 related to the 7.875% senior secured notes due 2025 (the "2025 Secured Notes"), which included $10.3 million of non-cash interest expense for the write off of the unamortized discount and deferred financing costs and $22.0 million of cash interest expense for the redemption premium, and a reduction in the accretion expense on the settlement payable of $3.2 million, partially offset by an increase in cash interest on our senior secured notes and the ABS Loan Facility of $30.3 million.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300" w:type="dxa"/>
            <w:vAlign w:val="bottom"/>
            <w:gridSpan w:val="7"/>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760" w:type="dxa"/>
            <w:vAlign w:val="bottom"/>
            <w:vMerge w:val="continue"/>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Increase / (Decrease)</w:t>
            </w:r>
          </w:p>
        </w:tc>
        <w:tc>
          <w:tcPr>
            <w:tcW w:w="0" w:type="dxa"/>
            <w:vAlign w:val="bottom"/>
          </w:tcPr>
          <w:p>
            <w:pPr>
              <w:spacing w:after="0"/>
              <w:rPr>
                <w:sz w:val="1"/>
                <w:szCs w:val="1"/>
                <w:color w:val="auto"/>
              </w:rPr>
            </w:pPr>
          </w:p>
        </w:tc>
      </w:tr>
      <w:tr>
        <w:trPr>
          <w:trHeight w:val="23"/>
        </w:trPr>
        <w:tc>
          <w:tcPr>
            <w:tcW w:w="47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7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 expense by segment:</w:t>
            </w: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expense</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Uniti Leasing</w:t>
            </w:r>
          </w:p>
        </w:tc>
        <w:tc>
          <w:tcPr>
            <w:tcW w:w="218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128,430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0" w:type="dxa"/>
            <w:vAlign w:val="bottom"/>
          </w:tcPr>
          <w:p>
            <w:pPr>
              <w:spacing w:after="0"/>
              <w:rPr>
                <w:sz w:val="1"/>
                <w:szCs w:val="1"/>
                <w:color w:val="auto"/>
              </w:rPr>
            </w:pPr>
          </w:p>
        </w:tc>
      </w:tr>
      <w:tr>
        <w:trPr>
          <w:trHeight w:val="230"/>
        </w:trPr>
        <w:tc>
          <w:tcPr>
            <w:tcW w:w="4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Uniti Fiber</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Corporate</w:t>
            </w: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209,074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Amortization expense</w:t>
            </w: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Uniti Leasing</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Uniti Fiber</w:t>
            </w: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47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1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22,277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depreciation and amortization expense</w:t>
            </w: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231,379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CCEEFF"/>
            </w:tcBorders>
            <w:vMerge w:val="restart"/>
          </w:tcPr>
          <w:p>
            <w:pPr>
              <w:jc w:val="right"/>
              <w:ind w:right="69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476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76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30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Uniti Leasing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Uniti Leasing depreciation expense increased $1.3 million for the nine months ended September 30, 2024 compared to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2023. The increase is primarily attributable to asset additions since September 30, 2023, partially offset by the decrease associated with the CableSouth network sale in the first quarter of 2024.</w:t>
      </w:r>
    </w:p>
    <w:p>
      <w:pPr>
        <w:spacing w:after="0" w:line="173"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Uniti Fiber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Uniti Fiber depreciation expense increased $2.3 million for the nine months ended September 30, 2024 compared to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2023. The increase is primarily attributable to asset additions since September 30, 2023.</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include compensation costs, including stock-based compensation awards, professional and legal services, corporate office costs and other costs associated with administrative activities of our segments.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gridSpan w:val="4"/>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3"/>
        </w:trPr>
        <w:tc>
          <w:tcPr>
            <w:tcW w:w="4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r>
      <w:tr>
        <w:trPr>
          <w:trHeight w:val="186"/>
        </w:trPr>
        <w:tc>
          <w:tcPr>
            <w:tcW w:w="4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740" w:type="dxa"/>
            <w:vAlign w:val="bottom"/>
            <w:gridSpan w:val="3"/>
          </w:tcPr>
          <w:p>
            <w:pPr>
              <w:jc w:val="right"/>
              <w:ind w:right="13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40" w:type="dxa"/>
            <w:vAlign w:val="bottom"/>
            <w:gridSpan w:val="3"/>
          </w:tcPr>
          <w:p>
            <w:pPr>
              <w:jc w:val="right"/>
              <w:ind w:right="134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58"/>
        </w:trPr>
        <w:tc>
          <w:tcPr>
            <w:tcW w:w="4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4"/>
                <w:szCs w:val="14"/>
                <w:b w:val="1"/>
                <w:bCs w:val="1"/>
                <w:color w:val="auto"/>
              </w:rPr>
              <w:t>% of Consolidated</w:t>
            </w: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jc w:val="right"/>
              <w:ind w:right="162"/>
              <w:spacing w:after="0" w:line="158" w:lineRule="exact"/>
              <w:rPr>
                <w:sz w:val="20"/>
                <w:szCs w:val="20"/>
                <w:color w:val="auto"/>
              </w:rPr>
            </w:pPr>
            <w:r>
              <w:rPr>
                <w:rFonts w:ascii="Times New Roman" w:cs="Times New Roman" w:eastAsia="Times New Roman" w:hAnsi="Times New Roman"/>
                <w:sz w:val="14"/>
                <w:szCs w:val="14"/>
                <w:b w:val="1"/>
                <w:bCs w:val="1"/>
                <w:color w:val="auto"/>
              </w:rPr>
              <w:t>% of Consolidated</w:t>
            </w:r>
          </w:p>
        </w:tc>
      </w:tr>
      <w:tr>
        <w:trPr>
          <w:trHeight w:val="19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00" w:type="dxa"/>
            <w:vAlign w:val="bottom"/>
          </w:tcPr>
          <w:p>
            <w:pPr>
              <w:spacing w:after="0"/>
              <w:rPr>
                <w:sz w:val="16"/>
                <w:szCs w:val="16"/>
                <w:color w:val="auto"/>
              </w:rPr>
            </w:pPr>
          </w:p>
        </w:tc>
        <w:tc>
          <w:tcPr>
            <w:tcW w:w="110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20" w:type="dxa"/>
            <w:vAlign w:val="bottom"/>
          </w:tcPr>
          <w:p>
            <w:pPr>
              <w:spacing w:after="0"/>
              <w:rPr>
                <w:sz w:val="16"/>
                <w:szCs w:val="16"/>
                <w:color w:val="auto"/>
              </w:rPr>
            </w:pPr>
          </w:p>
        </w:tc>
        <w:tc>
          <w:tcPr>
            <w:tcW w:w="118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Revenues</w:t>
            </w:r>
          </w:p>
        </w:tc>
      </w:tr>
      <w:tr>
        <w:trPr>
          <w:trHeight w:val="23"/>
        </w:trPr>
        <w:tc>
          <w:tcPr>
            <w:tcW w:w="4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86"/>
        </w:trPr>
        <w:tc>
          <w:tcPr>
            <w:tcW w:w="4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3"/>
        </w:trPr>
        <w:tc>
          <w:tcPr>
            <w:tcW w:w="4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9"/>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General and administrative expense by segment: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4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Uniti Leasing</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8,903</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8,713</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9"/>
        </w:trPr>
        <w:tc>
          <w:tcPr>
            <w:tcW w:w="4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Uniti Fiber</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48,624</w:t>
            </w: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46,692</w:t>
            </w: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29"/>
        </w:trPr>
        <w:tc>
          <w:tcPr>
            <w:tcW w:w="4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Corporate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23,019</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21,926</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48"/>
        </w:trPr>
        <w:tc>
          <w:tcPr>
            <w:tcW w:w="4860" w:type="dxa"/>
            <w:vAlign w:val="bottom"/>
            <w:tcBorders>
              <w:top w:val="single" w:sz="8" w:color="CCEEFF"/>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80,546</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77,331</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Uniti Leasing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Uniti Leasing general and administrative expense increased $0.2 million for the nine months ended September 30, 2024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30, 2023, primarily attributable to an increase in personnel expenses.</w:t>
      </w:r>
    </w:p>
    <w:p>
      <w:pPr>
        <w:spacing w:after="0" w:line="158"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Uniti Fiber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Uniti Fiber general and administrative expense increased $1.9 million for the nine months ended September 30, 2024 compared to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2023, which is primarily attributable to increases in personnel and insurance expenses.</w:t>
      </w:r>
    </w:p>
    <w:p>
      <w:pPr>
        <w:spacing w:after="0" w:line="158"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Corporate general and administrative expense increased $1.1 million for the nine months ended September 30, 2024 compared to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2023, which is primarily attributable to an increase in professional and legal fees of $2.0 million, partially offset by a decrease in insurance expenses of $1.0 million.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Operating expense consists of network related costs, such as dark fiber and tower rents, lit service and maintenance expense and costs associated with our construction activities.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6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00" w:type="dxa"/>
            <w:vAlign w:val="bottom"/>
            <w:vMerge w:val="restart"/>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top w:val="single" w:sz="8" w:color="auto"/>
            </w:tcBorders>
            <w:vMerge w:val="restart"/>
          </w:tcPr>
          <w:p>
            <w:pPr>
              <w:spacing w:after="0"/>
              <w:rPr>
                <w:sz w:val="11"/>
                <w:szCs w:val="11"/>
                <w:color w:val="auto"/>
              </w:rPr>
            </w:pPr>
          </w:p>
        </w:tc>
        <w:tc>
          <w:tcPr>
            <w:tcW w:w="140" w:type="dxa"/>
            <w:vAlign w:val="bottom"/>
            <w:tcBorders>
              <w:top w:val="single" w:sz="8" w:color="auto"/>
            </w:tcBorders>
            <w:vMerge w:val="restart"/>
          </w:tcPr>
          <w:p>
            <w:pPr>
              <w:spacing w:after="0"/>
              <w:rPr>
                <w:sz w:val="11"/>
                <w:szCs w:val="11"/>
                <w:color w:val="auto"/>
              </w:rPr>
            </w:pPr>
          </w:p>
        </w:tc>
        <w:tc>
          <w:tcPr>
            <w:tcW w:w="1360" w:type="dxa"/>
            <w:vAlign w:val="bottom"/>
            <w:tcBorders>
              <w:top w:val="single" w:sz="8" w:color="auto"/>
            </w:tcBorders>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 of Consolidated</w:t>
            </w: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vMerge w:val="restart"/>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top w:val="single" w:sz="8" w:color="auto"/>
            </w:tcBorders>
            <w:vMerge w:val="restart"/>
          </w:tcPr>
          <w:p>
            <w:pPr>
              <w:spacing w:after="0"/>
              <w:rPr>
                <w:sz w:val="11"/>
                <w:szCs w:val="11"/>
                <w:color w:val="auto"/>
              </w:rPr>
            </w:pPr>
          </w:p>
        </w:tc>
        <w:tc>
          <w:tcPr>
            <w:tcW w:w="140" w:type="dxa"/>
            <w:vAlign w:val="bottom"/>
            <w:tcBorders>
              <w:top w:val="single" w:sz="8" w:color="auto"/>
            </w:tcBorders>
            <w:vMerge w:val="restart"/>
          </w:tcPr>
          <w:p>
            <w:pPr>
              <w:spacing w:after="0"/>
              <w:rPr>
                <w:sz w:val="11"/>
                <w:szCs w:val="11"/>
                <w:color w:val="auto"/>
              </w:rPr>
            </w:pPr>
          </w:p>
        </w:tc>
        <w:tc>
          <w:tcPr>
            <w:tcW w:w="1340" w:type="dxa"/>
            <w:vAlign w:val="bottom"/>
            <w:tcBorders>
              <w:top w:val="single" w:sz="8" w:color="auto"/>
            </w:tcBorders>
          </w:tcPr>
          <w:p>
            <w:pPr>
              <w:jc w:val="center"/>
              <w:ind w:right="77"/>
              <w:spacing w:after="0" w:line="129" w:lineRule="exact"/>
              <w:rPr>
                <w:sz w:val="20"/>
                <w:szCs w:val="20"/>
                <w:color w:val="auto"/>
              </w:rPr>
            </w:pPr>
            <w:r>
              <w:rPr>
                <w:rFonts w:ascii="Times New Roman" w:cs="Times New Roman" w:eastAsia="Times New Roman" w:hAnsi="Times New Roman"/>
                <w:sz w:val="14"/>
                <w:szCs w:val="14"/>
                <w:b w:val="1"/>
                <w:bCs w:val="1"/>
                <w:color w:val="auto"/>
              </w:rPr>
              <w:t>% of Consolidated</w:t>
            </w:r>
          </w:p>
        </w:tc>
        <w:tc>
          <w:tcPr>
            <w:tcW w:w="0" w:type="dxa"/>
            <w:vAlign w:val="bottom"/>
          </w:tcPr>
          <w:p>
            <w:pPr>
              <w:spacing w:after="0"/>
              <w:rPr>
                <w:sz w:val="1"/>
                <w:szCs w:val="1"/>
                <w:color w:val="auto"/>
              </w:rPr>
            </w:pPr>
          </w:p>
        </w:tc>
      </w:tr>
      <w:tr>
        <w:trPr>
          <w:trHeight w:val="196"/>
        </w:trPr>
        <w:tc>
          <w:tcPr>
            <w:tcW w:w="49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3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92"/>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 by segment: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Uniti Leasing</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center"/>
              <w:ind w:right="59"/>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57"/>
              <w:spacing w:after="0"/>
              <w:rPr>
                <w:sz w:val="20"/>
                <w:szCs w:val="20"/>
                <w:color w:val="auto"/>
              </w:rPr>
            </w:pPr>
            <w:r>
              <w:rPr>
                <w:rFonts w:ascii="Times New Roman" w:cs="Times New Roman" w:eastAsia="Times New Roman" w:hAnsi="Times New Roman"/>
                <w:sz w:val="18"/>
                <w:szCs w:val="18"/>
                <w:color w:val="auto"/>
                <w:w w:val="95"/>
              </w:rPr>
              <w:t>2.0%</w:t>
            </w: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Uniti Fiber</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88,930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ind w:right="59"/>
              <w:spacing w:after="0"/>
              <w:rPr>
                <w:sz w:val="20"/>
                <w:szCs w:val="20"/>
                <w:color w:val="auto"/>
              </w:rPr>
            </w:pPr>
            <w:r>
              <w:rPr>
                <w:rFonts w:ascii="Times New Roman" w:cs="Times New Roman" w:eastAsia="Times New Roman" w:hAnsi="Times New Roman"/>
                <w:sz w:val="18"/>
                <w:szCs w:val="18"/>
                <w:color w:val="auto"/>
                <w:w w:val="98"/>
              </w:rPr>
              <w:t>10.2%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92,765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right="77"/>
              <w:spacing w:after="0"/>
              <w:rPr>
                <w:sz w:val="20"/>
                <w:szCs w:val="20"/>
                <w:color w:val="auto"/>
              </w:rPr>
            </w:pPr>
            <w:r>
              <w:rPr>
                <w:rFonts w:ascii="Times New Roman" w:cs="Times New Roman" w:eastAsia="Times New Roman" w:hAnsi="Times New Roman"/>
                <w:sz w:val="18"/>
                <w:szCs w:val="18"/>
                <w:color w:val="auto"/>
                <w:w w:val="98"/>
              </w:rPr>
              <w:t>10.7%</w:t>
            </w:r>
          </w:p>
        </w:tc>
        <w:tc>
          <w:tcPr>
            <w:tcW w:w="0" w:type="dxa"/>
            <w:vAlign w:val="bottom"/>
          </w:tcPr>
          <w:p>
            <w:pPr>
              <w:spacing w:after="0"/>
              <w:rPr>
                <w:sz w:val="1"/>
                <w:szCs w:val="1"/>
                <w:color w:val="auto"/>
              </w:rPr>
            </w:pPr>
          </w:p>
        </w:tc>
      </w:tr>
      <w:tr>
        <w:trPr>
          <w:trHeight w:val="223"/>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106,753</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8"/>
                <w:szCs w:val="18"/>
                <w:color w:val="auto"/>
                <w:w w:val="98"/>
              </w:rPr>
              <w:t>12.2%</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109,878</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8"/>
                <w:szCs w:val="18"/>
                <w:color w:val="auto"/>
                <w:w w:val="98"/>
              </w:rPr>
              <w:t>12.7%</w:t>
            </w: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9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Uniti Leasing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Uniti Leasing operating expense increased $0.7 million for the nine months ended September 30, 2024 compared to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2023. The increase is primarily attributable to increases in leased asset costs of $1.3 million, partially offset by a decrease in non-recurring operating expenses of $0.6 million.</w:t>
      </w:r>
    </w:p>
    <w:p>
      <w:pPr>
        <w:spacing w:after="0" w:line="180"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8"/>
          <w:szCs w:val="18"/>
          <w:i w:val="1"/>
          <w:iCs w:val="1"/>
          <w:u w:val="single" w:color="auto"/>
          <w:color w:val="auto"/>
        </w:rPr>
        <w:t>Uniti Fiber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Uniti Fiber operating expenses decreased $3.8 million for the nine months ended September 30, 2024 compared to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2023, which is primarily attributable to decreases in off network expense of $2.5 million and non-recurring installation and equipment expense of $2.1 million, partially offset by an increase in personnel expense of $0.8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-441325</wp:posOffset>
            </wp:positionV>
            <wp:extent cx="137160" cy="145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7160" cy="14541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During the third quarter of 2023, as a result of macroeconomic and financial market factors, specifically, increased interest rates impacting our discount rate, we concluded that it was more likely than not that the fair value of the Uniti Fiber segment, estimated using a combination of the income approach and market approach, was less that its carrying amount. Accordingly, we recorded a $204.0 million ($151.9 million net of tax) goodwill impairment in the Uniti Fiber segment during the nine months ended September 30, 2023. We recorded no impairment during the nine months ended September 30, 2024. See </w:t>
      </w:r>
      <w:r>
        <w:rPr>
          <w:rFonts w:ascii="Times New Roman" w:cs="Times New Roman" w:eastAsia="Times New Roman" w:hAnsi="Times New Roman"/>
          <w:sz w:val="18"/>
          <w:szCs w:val="18"/>
          <w:u w:val="single" w:color="auto"/>
          <w:color w:val="0000FF"/>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9</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Notes to Condensed Consolidated Financial Statements in Part I Item 1 of this Quarterly Report on Form 10-Q.</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Related and Other Costs</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Transaction related and other costs during the nine months ended September 30, 2024 and 2023 included acquisition, pursuit, transaction and integration costs (including unsuccessful acquisition pursuit costs). For the nine months ended September 30, 2024, we incurred $31.1 million of transaction related and other costs, compared to $9.8 million of such costs during the nine months ended September 30, 2023. The increase relates primarily to costs associated with the Merger.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24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Other expense (income), net changed $21.6 million for the nine months ended September 30, 2024 as compared to the nine months ended September 30, 2023, which included $20.6 million of costs related to the issuance of the February 2028 Secured Notes.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 benefit recorded for the nine months ended September 30, 2024 and 2023, respectively, is related to the tax impact of the following:</w:t>
      </w:r>
    </w:p>
    <w:p>
      <w:pPr>
        <w:spacing w:after="0" w:line="253"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33655</wp:posOffset>
            </wp:positionV>
            <wp:extent cx="19456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51263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Income tax benefit</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Pre-tax loss (Uniti Fiber)</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REIT state and local taxes</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Other</w:t>
      </w:r>
    </w:p>
    <w:p>
      <w:pPr>
        <w:spacing w:after="0" w:line="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income tax benefit</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496"/>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(15,071)</w:t>
            </w:r>
          </w:p>
        </w:tc>
        <w:tc>
          <w:tcPr>
            <w:tcW w:w="1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(64,077)</w:t>
            </w:r>
          </w:p>
        </w:tc>
      </w:tr>
      <w:tr>
        <w:trPr>
          <w:trHeight w:val="238"/>
        </w:trPr>
        <w:tc>
          <w:tcPr>
            <w:tcW w:w="340" w:type="dxa"/>
            <w:vAlign w:val="bottom"/>
          </w:tcPr>
          <w:p>
            <w:pPr>
              <w:spacing w:after="0"/>
              <w:rPr>
                <w:sz w:val="20"/>
                <w:szCs w:val="20"/>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1,151</w:t>
            </w:r>
          </w:p>
        </w:tc>
      </w:tr>
      <w:tr>
        <w:trPr>
          <w:trHeight w:val="234"/>
        </w:trPr>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27</w:t>
            </w:r>
          </w:p>
        </w:tc>
      </w:tr>
      <w:tr>
        <w:trPr>
          <w:trHeight w:val="244"/>
        </w:trPr>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(13,869)</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(62,899)</w:t>
            </w:r>
          </w:p>
        </w:tc>
      </w:tr>
      <w:tr>
        <w:trPr>
          <w:trHeight w:val="27"/>
        </w:trPr>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-5188585</wp:posOffset>
            </wp:positionH>
            <wp:positionV relativeFrom="paragraph">
              <wp:posOffset>-805180</wp:posOffset>
            </wp:positionV>
            <wp:extent cx="7132320"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-496570</wp:posOffset>
            </wp:positionV>
            <wp:extent cx="7132320" cy="145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-205105</wp:posOffset>
            </wp:positionV>
            <wp:extent cx="7132320"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60" w:space="720"/>
            <w:col w:w="3060"/>
          </w:cols>
          <w:pgMar w:left="320" w:top="337"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refer to EBITDA, Adjusted EBITDA, Funds From Operations (“FFO”) (as defined by the National Association of Real Estate Investment Trusts (“NAREIT”)) and Adjusted Funds From Operations (“AFFO”) in our analysis of our results of operations, which are not required by, or presented in accordance with, accounting principles generally accepted in the United States (“GAAP”). While we believe that net income, as defined by GAAP, is the most appropriate earnings measure, we also believe that EBITDA, Adjusted EBITDA, FFO and AFFO are important non-GAAP supplemental measures of operating performance for a REIT.</w:t>
      </w:r>
    </w:p>
    <w:p>
      <w:pPr>
        <w:spacing w:after="0" w:line="224" w:lineRule="exact"/>
        <w:rPr>
          <w:sz w:val="20"/>
          <w:szCs w:val="20"/>
          <w:color w:val="auto"/>
        </w:rPr>
      </w:pPr>
    </w:p>
    <w:p>
      <w:pPr>
        <w:ind w:right="440"/>
        <w:spacing w:after="0" w:line="297" w:lineRule="auto"/>
        <w:rPr>
          <w:sz w:val="20"/>
          <w:szCs w:val="20"/>
          <w:color w:val="auto"/>
        </w:rPr>
      </w:pPr>
      <w:r>
        <w:rPr>
          <w:rFonts w:ascii="Times New Roman" w:cs="Times New Roman" w:eastAsia="Times New Roman" w:hAnsi="Times New Roman"/>
          <w:sz w:val="18"/>
          <w:szCs w:val="18"/>
          <w:color w:val="auto"/>
        </w:rPr>
        <w:t>We define “EBITDA” as net income, as defined by GAAP, before interest expense, provision for income taxes and depreciation and amortization. We define “Adjusted EBITDA” as EBITDA before stock-based compensation expense and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impact, which may be recurring in nature, of incremental acquisition, pursuit, transaction and integration costs (including unsuccessful acquisition pursuit costs), costs associated with Windstream’s bankruptcy, costs associated with litigation claims made against us, and costs associated with the implementation of our enterprise resource planning system, (collectively, “Transaction Related and Other Costs”), costs related to the settlement with Windstream, goodwill impairment charges, severance costs, amortization of non-cash rights-of-use assets, the write off of unamortized deferred financing costs, costs incurred as a result of the early repayment of debt, including early tender and redemption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We believe EBITDA and Adjusted EBITDA are important supplemental measures to net income because they provide additional information to evaluate our operating performance on an unleveraged basis. In addition, Adjusted EBITDA is calculated similar to defined terms in our material debt agreements used to determine compliance with specific financial covenants. Since EBITDA and Adjusted EBITDA are not measures calculated in accordance with GAAP, they should not be considered as alternatives to net income determined in accordance with GAAP.</w:t>
      </w:r>
    </w:p>
    <w:p>
      <w:pPr>
        <w:spacing w:after="0" w:line="19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Because the historical cost accounting convention used for real estate assets requires the recognition of depreciation expense except on land, such accounting presentation implies that the value of real estate assets diminishes predictably over time. However, since real estate values have historically risen or fallen with market and other conditions, presentations of operating results for a REIT that uses historical cost accounting for depreciation could be less informative. Thus, NAREIT created FFO as a supplemental measure of operating performance for REITs that excludes historical cost depreciation and amortization, among other items, from net income, as defined by GAAP. FFO is defined by NAREIT as net income attributable to common shareholders computed in accordance with GAAP, excluding gains or losses from real estate dispositions, plus real estate depreciation and amortization and impairment charges, and includes adjustments to reflect the Company’s share of FFO from unconsolidated entities. We compute FFO in accordance with NAREIT’s definition.</w:t>
      </w:r>
    </w:p>
    <w:p>
      <w:pPr>
        <w:spacing w:after="0" w:line="19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 Company defines AFFO, as FFO excluding (i) Transaction Related and Other Costs; (ii) costs related to the litigation settlement with Windstream, accretion on our settlement obligation, and gains on prepayment of our settlement obligation as these items are not reflective of ongoing operating performance; (iii) goodwill impairment charges; (iv) certain non-cash revenues and expenses such as stock-based compensation expense, amortization of debt and equity discounts, amortization of deferred financing costs, depreciation and amortization of non-real estate assets, amortization of non-cash rights-of-use assets, straight line revenues, non-cash income taxes, and the amortization of other non-cash revenues to the extent that cash has not been received, such as revenue associated with the amortization of TCIs; and (v) the impact, which may be recurring in nature, of the write-off of unamortized deferred financing fees, additional costs incurred as a result of the early repayment of debt, including early tender and redemption premiums and costs associated with the termination of related hedging activities, severance costs, taxes associated with tax basis cancellation of debt, gains or losses on dispositions, changes in the fair value of contingent consideration and financial instruments and similar or infrequent items less maintenance capital expenditures. AFFO includes adjustments to reflect the Company’s share of AFFO from unconsolidated entities. We believe that the use of FFO and AFFO, and their respective per share amounts, combined with the required GAAP presentations, improves the understanding of operating results of REITs among investors and analysts, and makes comparisons of operating results among such companies more meaningful. We consider FFO and AFFO to be useful measures for reviewing comparative operating performance. In particular, we believe AFFO, by excluding certain revenue and expense items, can help investors compare our operating performance between periods and to other REITs on a consistent basis without having to account for differences caused by unanticipated items and events, such as transaction and integration related costs. The Company uses FFO and AFFO, and their respective per share amounts, only as performance measures, and FFO and AFFO do not purport to be indicative of cash available to fund our future cash requirements. While FFO and AFFO are relevant and widely used measures of operating performance of REITs, they do not represent cash flows from operations or net income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defined by GAAP and should not be considered an alternative to those measures in evaluating our liquidity or operating performance</w:t>
      </w:r>
      <w:r>
        <w:rPr>
          <w:rFonts w:ascii="Times New Roman" w:cs="Times New Roman" w:eastAsia="Times New Roman" w:hAnsi="Times New Roman"/>
          <w:sz w:val="21"/>
          <w:szCs w:val="21"/>
          <w:color w:val="auto"/>
        </w:rPr>
        <w:t>.</w:t>
      </w:r>
    </w:p>
    <w:p>
      <w:pPr>
        <w:spacing w:after="0" w:line="21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Further, our computations of EBITDA, Adjusted EBITDA, FFO and AFFO may not be comparable to that reported by other REITs or companies that do not define FFO in accordance with the current NAREIT definition or that interpret the current NAREIT definition or define EBITDA, Adjusted EBITDA and AFFO differently than we do.</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reconciliation of our net income (loss) to EBITDA and Adjusted EBITDA for the three and nine months ended September 30, 2024 and 2023 is as follows:</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5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3"/>
        </w:trPr>
        <w:tc>
          <w:tcPr>
            <w:tcW w:w="5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(118,896)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71,859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(112,469)</w:t>
            </w:r>
          </w:p>
        </w:tc>
        <w:tc>
          <w:tcPr>
            <w:tcW w:w="0" w:type="dxa"/>
            <w:vAlign w:val="bottom"/>
          </w:tcPr>
          <w:p>
            <w:pPr>
              <w:spacing w:after="0"/>
              <w:rPr>
                <w:sz w:val="1"/>
                <w:szCs w:val="1"/>
                <w:color w:val="auto"/>
              </w:rPr>
            </w:pPr>
          </w:p>
        </w:tc>
      </w:tr>
      <w:tr>
        <w:trPr>
          <w:trHeight w:val="257"/>
        </w:trPr>
        <w:tc>
          <w:tcPr>
            <w:tcW w:w="5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79,325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77,337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234,862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231,379</w:t>
            </w:r>
          </w:p>
        </w:tc>
        <w:tc>
          <w:tcPr>
            <w:tcW w:w="0" w:type="dxa"/>
            <w:vAlign w:val="bottom"/>
          </w:tcPr>
          <w:p>
            <w:pPr>
              <w:spacing w:after="0"/>
              <w:rPr>
                <w:sz w:val="1"/>
                <w:szCs w:val="1"/>
                <w:color w:val="auto"/>
              </w:rPr>
            </w:pPr>
          </w:p>
        </w:tc>
      </w:tr>
      <w:tr>
        <w:trPr>
          <w:trHeight w:val="257"/>
        </w:trPr>
        <w:tc>
          <w:tcPr>
            <w:tcW w:w="5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131,007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120,691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381,693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389,243</w:t>
            </w:r>
          </w:p>
        </w:tc>
        <w:tc>
          <w:tcPr>
            <w:tcW w:w="0" w:type="dxa"/>
            <w:vAlign w:val="bottom"/>
          </w:tcPr>
          <w:p>
            <w:pPr>
              <w:spacing w:after="0"/>
              <w:rPr>
                <w:sz w:val="1"/>
                <w:szCs w:val="1"/>
                <w:color w:val="auto"/>
              </w:rPr>
            </w:pPr>
          </w:p>
        </w:tc>
      </w:tr>
      <w:tr>
        <w:trPr>
          <w:trHeight w:val="257"/>
        </w:trPr>
        <w:tc>
          <w:tcPr>
            <w:tcW w:w="5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Income tax benefit</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(56,130)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(62,899)</w:t>
            </w:r>
          </w:p>
        </w:tc>
        <w:tc>
          <w:tcPr>
            <w:tcW w:w="0" w:type="dxa"/>
            <w:vAlign w:val="bottom"/>
          </w:tcPr>
          <w:p>
            <w:pPr>
              <w:spacing w:after="0"/>
              <w:rPr>
                <w:sz w:val="1"/>
                <w:szCs w:val="1"/>
                <w:color w:val="auto"/>
              </w:rPr>
            </w:pPr>
          </w:p>
        </w:tc>
      </w:tr>
      <w:tr>
        <w:trPr>
          <w:trHeight w:val="25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216,627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674,545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445,254</w:t>
            </w:r>
          </w:p>
        </w:tc>
        <w:tc>
          <w:tcPr>
            <w:tcW w:w="0" w:type="dxa"/>
            <w:vAlign w:val="bottom"/>
          </w:tcPr>
          <w:p>
            <w:pPr>
              <w:spacing w:after="0"/>
              <w:rPr>
                <w:sz w:val="1"/>
                <w:szCs w:val="1"/>
                <w:color w:val="auto"/>
              </w:rPr>
            </w:pPr>
          </w:p>
        </w:tc>
      </w:tr>
      <w:tr>
        <w:trPr>
          <w:trHeight w:val="256"/>
        </w:trPr>
        <w:tc>
          <w:tcPr>
            <w:tcW w:w="5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9,408</w:t>
            </w:r>
          </w:p>
        </w:tc>
        <w:tc>
          <w:tcPr>
            <w:tcW w:w="0" w:type="dxa"/>
            <w:vAlign w:val="bottom"/>
          </w:tcPr>
          <w:p>
            <w:pPr>
              <w:spacing w:after="0"/>
              <w:rPr>
                <w:sz w:val="1"/>
                <w:szCs w:val="1"/>
                <w:color w:val="auto"/>
              </w:rPr>
            </w:pPr>
          </w:p>
        </w:tc>
      </w:tr>
      <w:tr>
        <w:trPr>
          <w:trHeight w:val="257"/>
        </w:trPr>
        <w:tc>
          <w:tcPr>
            <w:tcW w:w="5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9,805</w:t>
            </w:r>
          </w:p>
        </w:tc>
        <w:tc>
          <w:tcPr>
            <w:tcW w:w="0" w:type="dxa"/>
            <w:vAlign w:val="bottom"/>
          </w:tcPr>
          <w:p>
            <w:pPr>
              <w:spacing w:after="0"/>
              <w:rPr>
                <w:sz w:val="1"/>
                <w:szCs w:val="1"/>
                <w:color w:val="auto"/>
              </w:rPr>
            </w:pPr>
          </w:p>
        </w:tc>
      </w:tr>
      <w:tr>
        <w:trPr>
          <w:trHeight w:val="257"/>
        </w:trPr>
        <w:tc>
          <w:tcPr>
            <w:tcW w:w="5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 impairment</w:t>
            </w:r>
          </w:p>
        </w:tc>
        <w:tc>
          <w:tcPr>
            <w:tcW w:w="26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203,998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203,998</w:t>
            </w:r>
          </w:p>
        </w:tc>
        <w:tc>
          <w:tcPr>
            <w:tcW w:w="0" w:type="dxa"/>
            <w:vAlign w:val="bottom"/>
          </w:tcPr>
          <w:p>
            <w:pPr>
              <w:spacing w:after="0"/>
              <w:rPr>
                <w:sz w:val="1"/>
                <w:szCs w:val="1"/>
                <w:color w:val="auto"/>
              </w:rPr>
            </w:pPr>
          </w:p>
        </w:tc>
      </w:tr>
      <w:tr>
        <w:trPr>
          <w:trHeight w:val="257"/>
        </w:trPr>
        <w:tc>
          <w:tcPr>
            <w:tcW w:w="5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0" w:type="dxa"/>
            <w:vAlign w:val="bottom"/>
          </w:tcPr>
          <w:p>
            <w:pPr>
              <w:spacing w:after="0"/>
              <w:rPr>
                <w:sz w:val="1"/>
                <w:szCs w:val="1"/>
                <w:color w:val="auto"/>
              </w:rPr>
            </w:pPr>
          </w:p>
        </w:tc>
      </w:tr>
      <w:tr>
        <w:trPr>
          <w:trHeight w:val="257"/>
        </w:trPr>
        <w:tc>
          <w:tcPr>
            <w:tcW w:w="5000" w:type="dxa"/>
            <w:vAlign w:val="bottom"/>
          </w:tcPr>
          <w:p>
            <w:pPr>
              <w:ind w:left="240"/>
              <w:spacing w:after="0" w:line="256" w:lineRule="exact"/>
              <w:rPr>
                <w:sz w:val="20"/>
                <w:szCs w:val="20"/>
                <w:color w:val="auto"/>
              </w:rPr>
            </w:pPr>
            <w:r>
              <w:rPr>
                <w:rFonts w:ascii="Times New Roman" w:cs="Times New Roman" w:eastAsia="Times New Roman" w:hAnsi="Times New Roman"/>
                <w:sz w:val="18"/>
                <w:szCs w:val="18"/>
                <w:color w:val="auto"/>
              </w:rPr>
              <w:t xml:space="preserve">Other, net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23,073</w:t>
            </w:r>
          </w:p>
        </w:tc>
        <w:tc>
          <w:tcPr>
            <w:tcW w:w="0" w:type="dxa"/>
            <w:vAlign w:val="bottom"/>
          </w:tcPr>
          <w:p>
            <w:pPr>
              <w:spacing w:after="0"/>
              <w:rPr>
                <w:sz w:val="1"/>
                <w:szCs w:val="1"/>
                <w:color w:val="auto"/>
              </w:rPr>
            </w:pPr>
          </w:p>
        </w:tc>
      </w:tr>
      <w:tr>
        <w:trPr>
          <w:trHeight w:val="256"/>
        </w:trPr>
        <w:tc>
          <w:tcPr>
            <w:tcW w:w="5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Adjustments for equity in earnings from unconsolidated entities</w:t>
            </w:r>
          </w:p>
        </w:tc>
        <w:tc>
          <w:tcPr>
            <w:tcW w:w="2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0" w:type="dxa"/>
            <w:vAlign w:val="bottom"/>
          </w:tcPr>
          <w:p>
            <w:pPr>
              <w:spacing w:after="0"/>
              <w:rPr>
                <w:sz w:val="1"/>
                <w:szCs w:val="1"/>
                <w:color w:val="auto"/>
              </w:rPr>
            </w:pPr>
          </w:p>
        </w:tc>
      </w:tr>
      <w:tr>
        <w:trPr>
          <w:trHeight w:val="25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235,324</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233,010</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700,611</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692,378</w:t>
            </w:r>
          </w:p>
        </w:tc>
        <w:tc>
          <w:tcPr>
            <w:tcW w:w="0" w:type="dxa"/>
            <w:vAlign w:val="bottom"/>
          </w:tcPr>
          <w:p>
            <w:pPr>
              <w:spacing w:after="0"/>
              <w:rPr>
                <w:sz w:val="1"/>
                <w:szCs w:val="1"/>
                <w:color w:val="auto"/>
              </w:rPr>
            </w:pPr>
          </w:p>
        </w:tc>
      </w:tr>
      <w:tr>
        <w:trPr>
          <w:trHeight w:val="21"/>
        </w:trPr>
        <w:tc>
          <w:tcPr>
            <w:tcW w:w="5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 reconciliation of Other expense (income), net as reported in our Condensed Consolidated Statements of Income (Loss) to Other, net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5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21,323</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non-cash rights-of-use assets </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Severance costs </w:t>
            </w:r>
            <w:r>
              <w:rPr>
                <w:rFonts w:ascii="Times New Roman" w:cs="Times New Roman" w:eastAsia="Times New Roman" w:hAnsi="Times New Roman"/>
                <w:sz w:val="23"/>
                <w:szCs w:val="23"/>
                <w:color w:val="auto"/>
                <w:vertAlign w:val="superscript"/>
              </w:rPr>
              <w:t>(b)</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Insurance recovery </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48"/>
        </w:trPr>
        <w:tc>
          <w:tcPr>
            <w:tcW w:w="5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23,073</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360" w:firstLine="8"/>
        <w:spacing w:after="0" w:line="282" w:lineRule="auto"/>
        <w:tabs>
          <w:tab w:leader="none" w:pos="24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within the Operating expense (exclusive of depreciation and amortization) line item in our Condensed Consolidated Statements of Income (Loss).</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within the General and administration expense line item in our Condensed Consolidated Statements of Income (Loss).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reconciliation of our net income (loss) attributable to common shareholders to FFO and AFFO for the three and nine months ended September 30, 2024 and 2023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314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8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620" w:type="dxa"/>
            <w:vAlign w:val="bottom"/>
            <w:vMerge w:val="continue"/>
          </w:tcPr>
          <w:p>
            <w:pPr>
              <w:spacing w:after="0"/>
              <w:rPr>
                <w:sz w:val="16"/>
                <w:szCs w:val="16"/>
                <w:color w:val="auto"/>
              </w:rPr>
            </w:pPr>
          </w:p>
        </w:tc>
        <w:tc>
          <w:tcPr>
            <w:tcW w:w="146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68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70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46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6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32" w:lineRule="exact"/>
        <w:rPr>
          <w:sz w:val="20"/>
          <w:szCs w:val="20"/>
          <w:color w:val="auto"/>
        </w:rPr>
      </w:pPr>
    </w:p>
    <w:p>
      <w:pPr>
        <w:ind w:left="20"/>
        <w:spacing w:after="0"/>
        <w:tabs>
          <w:tab w:leader="none" w:pos="4600" w:val="left"/>
        </w:tabs>
        <w:rPr>
          <w:sz w:val="20"/>
          <w:szCs w:val="20"/>
          <w:color w:val="auto"/>
        </w:rPr>
      </w:pPr>
      <w:r>
        <w:rPr>
          <w:rFonts w:ascii="Times New Roman" w:cs="Times New Roman" w:eastAsia="Times New Roman" w:hAnsi="Times New Roman"/>
          <w:sz w:val="18"/>
          <w:szCs w:val="18"/>
          <w:b w:val="1"/>
          <w:bCs w:val="1"/>
          <w:color w:val="auto"/>
        </w:rPr>
        <w:t>Net income (loss) attributable to common shareholders</w:t>
      </w:r>
      <w:r>
        <w:rPr>
          <w:sz w:val="20"/>
          <w:szCs w:val="20"/>
          <w:color w:val="auto"/>
        </w:rPr>
        <w:tab/>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240" w:right="1500"/>
        <w:spacing w:after="0" w:line="290" w:lineRule="auto"/>
        <w:rPr>
          <w:sz w:val="20"/>
          <w:szCs w:val="20"/>
          <w:color w:val="auto"/>
        </w:rPr>
      </w:pPr>
      <w:r>
        <w:rPr>
          <w:rFonts w:ascii="Times New Roman" w:cs="Times New Roman" w:eastAsia="Times New Roman" w:hAnsi="Times New Roman"/>
          <w:sz w:val="18"/>
          <w:szCs w:val="18"/>
          <w:color w:val="auto"/>
        </w:rPr>
        <w:t>Real estate depreciation and amortization Gain on sale of real estate, net of tax Participating securities share in earnings Participating securities share in FFO</w:t>
      </w:r>
    </w:p>
    <w:p>
      <w:pPr>
        <w:spacing w:after="0" w:line="3" w:lineRule="exact"/>
        <w:rPr>
          <w:sz w:val="20"/>
          <w:szCs w:val="20"/>
          <w:color w:val="auto"/>
        </w:rPr>
      </w:pPr>
    </w:p>
    <w:p>
      <w:pPr>
        <w:ind w:left="240" w:right="1100"/>
        <w:spacing w:after="0" w:line="234" w:lineRule="auto"/>
        <w:rPr>
          <w:sz w:val="20"/>
          <w:szCs w:val="20"/>
          <w:color w:val="auto"/>
        </w:rPr>
      </w:pPr>
      <w:r>
        <w:rPr>
          <w:rFonts w:ascii="Times New Roman" w:cs="Times New Roman" w:eastAsia="Times New Roman" w:hAnsi="Times New Roman"/>
          <w:sz w:val="18"/>
          <w:szCs w:val="18"/>
          <w:color w:val="auto"/>
        </w:rPr>
        <w:t>Real estate depreciation and amortization from unconsolidated entities</w:t>
      </w:r>
    </w:p>
    <w:p>
      <w:pPr>
        <w:spacing w:after="0" w:line="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Adjustments for noncontrolling interests</w:t>
      </w:r>
    </w:p>
    <w:p>
      <w:pPr>
        <w:spacing w:after="0" w:line="50" w:lineRule="exact"/>
        <w:rPr>
          <w:sz w:val="20"/>
          <w:szCs w:val="20"/>
          <w:color w:val="auto"/>
        </w:rPr>
      </w:pPr>
    </w:p>
    <w:p>
      <w:pPr>
        <w:ind w:left="20"/>
        <w:spacing w:after="0"/>
        <w:tabs>
          <w:tab w:leader="none" w:pos="4600" w:val="left"/>
        </w:tabs>
        <w:rPr>
          <w:sz w:val="20"/>
          <w:szCs w:val="20"/>
          <w:color w:val="auto"/>
        </w:rPr>
      </w:pPr>
      <w:r>
        <w:rPr>
          <w:rFonts w:ascii="Times New Roman" w:cs="Times New Roman" w:eastAsia="Times New Roman" w:hAnsi="Times New Roman"/>
          <w:sz w:val="18"/>
          <w:szCs w:val="18"/>
          <w:b w:val="1"/>
          <w:bCs w:val="1"/>
          <w:color w:val="auto"/>
        </w:rPr>
        <w:t>FFO attributable to common shareholders</w:t>
      </w:r>
      <w:r>
        <w:rPr>
          <w:sz w:val="20"/>
          <w:szCs w:val="20"/>
          <w:color w:val="auto"/>
        </w:rPr>
        <w:tab/>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Transaction related and other costs</w:t>
      </w:r>
    </w:p>
    <w:p>
      <w:pPr>
        <w:spacing w:after="0" w:line="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Amortization of deferred financing costs and debt discount</w:t>
      </w:r>
    </w:p>
    <w:p>
      <w:pPr>
        <w:spacing w:after="0" w:line="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Write off of deferred financing costs and debt discount</w:t>
      </w:r>
    </w:p>
    <w:p>
      <w:pPr>
        <w:spacing w:after="0" w:line="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Costs related to the early repayment of debt</w:t>
      </w:r>
    </w:p>
    <w:p>
      <w:pPr>
        <w:spacing w:after="0" w:line="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Stock based compensation</w:t>
      </w:r>
    </w:p>
    <w:p>
      <w:pPr>
        <w:spacing w:after="0" w:line="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Non-real estate depreciation and amortization</w:t>
      </w:r>
    </w:p>
    <w:p>
      <w:pPr>
        <w:spacing w:after="0" w:line="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Goodwill impairment</w:t>
      </w:r>
    </w:p>
    <w:p>
      <w:pPr>
        <w:spacing w:after="0" w:line="27" w:lineRule="exact"/>
        <w:rPr>
          <w:sz w:val="20"/>
          <w:szCs w:val="20"/>
          <w:color w:val="auto"/>
        </w:rPr>
      </w:pPr>
    </w:p>
    <w:p>
      <w:pPr>
        <w:ind w:left="240" w:right="400"/>
        <w:spacing w:after="0" w:line="234" w:lineRule="auto"/>
        <w:rPr>
          <w:sz w:val="20"/>
          <w:szCs w:val="20"/>
          <w:color w:val="auto"/>
        </w:rPr>
      </w:pPr>
      <w:r>
        <w:rPr>
          <w:rFonts w:ascii="Times New Roman" w:cs="Times New Roman" w:eastAsia="Times New Roman" w:hAnsi="Times New Roman"/>
          <w:sz w:val="18"/>
          <w:szCs w:val="18"/>
          <w:color w:val="auto"/>
        </w:rPr>
        <w:t>Straight-line revenues and amortization of below-market lease intangibles</w:t>
      </w:r>
    </w:p>
    <w:p>
      <w:pPr>
        <w:spacing w:after="0" w:line="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Maintenance capital expenditures</w:t>
      </w:r>
    </w:p>
    <w:p>
      <w:pPr>
        <w:spacing w:after="0" w:line="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Other, net</w:t>
      </w:r>
    </w:p>
    <w:p>
      <w:pPr>
        <w:spacing w:after="0" w:line="27" w:lineRule="exact"/>
        <w:rPr>
          <w:sz w:val="20"/>
          <w:szCs w:val="20"/>
          <w:color w:val="auto"/>
        </w:rPr>
      </w:pPr>
    </w:p>
    <w:p>
      <w:pPr>
        <w:ind w:left="240" w:right="460"/>
        <w:spacing w:after="0" w:line="234" w:lineRule="auto"/>
        <w:rPr>
          <w:sz w:val="20"/>
          <w:szCs w:val="20"/>
          <w:color w:val="auto"/>
        </w:rPr>
      </w:pPr>
      <w:r>
        <w:rPr>
          <w:rFonts w:ascii="Times New Roman" w:cs="Times New Roman" w:eastAsia="Times New Roman" w:hAnsi="Times New Roman"/>
          <w:sz w:val="18"/>
          <w:szCs w:val="18"/>
          <w:color w:val="auto"/>
        </w:rPr>
        <w:t>Adjustments for equity in earnings from unconsolidated entities</w:t>
      </w:r>
    </w:p>
    <w:p>
      <w:pPr>
        <w:spacing w:after="0" w:line="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Adjustments for noncontrolling interests</w:t>
      </w:r>
    </w:p>
    <w:p>
      <w:pPr>
        <w:spacing w:after="0" w:line="50" w:lineRule="exact"/>
        <w:rPr>
          <w:sz w:val="20"/>
          <w:szCs w:val="20"/>
          <w:color w:val="auto"/>
        </w:rPr>
      </w:pPr>
    </w:p>
    <w:p>
      <w:pPr>
        <w:ind w:left="20"/>
        <w:spacing w:after="0"/>
        <w:tabs>
          <w:tab w:leader="none" w:pos="4600" w:val="left"/>
        </w:tabs>
        <w:rPr>
          <w:sz w:val="20"/>
          <w:szCs w:val="20"/>
          <w:color w:val="auto"/>
        </w:rPr>
      </w:pPr>
      <w:r>
        <w:rPr>
          <w:rFonts w:ascii="Times New Roman" w:cs="Times New Roman" w:eastAsia="Times New Roman" w:hAnsi="Times New Roman"/>
          <w:sz w:val="18"/>
          <w:szCs w:val="18"/>
          <w:b w:val="1"/>
          <w:bCs w:val="1"/>
          <w:color w:val="auto"/>
        </w:rPr>
        <w:t>AFFO attributable to common shareholders</w:t>
      </w:r>
      <w:r>
        <w:rPr>
          <w:sz w:val="20"/>
          <w:szCs w:val="20"/>
          <w:color w:val="auto"/>
        </w:rPr>
        <w:tab/>
      </w:r>
      <w:r>
        <w:rPr>
          <w:rFonts w:ascii="Times New Roman" w:cs="Times New Roman" w:eastAsia="Times New Roman" w:hAnsi="Times New Roman"/>
          <w:sz w:val="30"/>
          <w:szCs w:val="30"/>
          <w:color w:val="auto"/>
          <w:vertAlign w:val="superscript"/>
        </w:rPr>
        <w: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11,890</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(119,169)</w:t>
            </w:r>
          </w:p>
        </w:tc>
        <w:tc>
          <w:tcPr>
            <w:tcW w:w="100" w:type="dxa"/>
            <w:vAlign w:val="bottom"/>
          </w:tcPr>
          <w:p>
            <w:pPr>
              <w:spacing w:after="0"/>
              <w:rPr>
                <w:sz w:val="20"/>
                <w:szCs w:val="20"/>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70,328</w:t>
            </w:r>
          </w:p>
        </w:tc>
        <w:tc>
          <w:tcPr>
            <w:tcW w:w="10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(113,324)</w:t>
            </w:r>
          </w:p>
        </w:tc>
      </w:tr>
      <w:tr>
        <w:trPr>
          <w:trHeight w:val="257"/>
        </w:trPr>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56,370</w:t>
            </w: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55,405</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167,915</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164,983</w:t>
            </w:r>
          </w:p>
        </w:tc>
      </w:tr>
      <w:tr>
        <w:trPr>
          <w:trHeight w:val="256"/>
        </w:trPr>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(18,951)</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r>
      <w:tr>
        <w:trPr>
          <w:trHeight w:val="257"/>
        </w:trPr>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334</w:t>
            </w: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r>
      <w:tr>
        <w:trPr>
          <w:trHeight w:val="257"/>
        </w:trPr>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(1,871)</w:t>
            </w: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r>
      <w:tr>
        <w:trPr>
          <w:trHeight w:val="418"/>
        </w:trPr>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r>
      <w:tr>
        <w:trPr>
          <w:trHeight w:val="263"/>
        </w:trPr>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43"/>
        </w:trPr>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66,714</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(64,777)</w:t>
            </w:r>
          </w:p>
        </w:tc>
        <w:tc>
          <w:tcPr>
            <w:tcW w:w="10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216,585</w:t>
            </w:r>
          </w:p>
        </w:tc>
        <w:tc>
          <w:tcPr>
            <w:tcW w:w="10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51,058</w:t>
            </w:r>
          </w:p>
        </w:tc>
      </w:tr>
      <w:tr>
        <w:trPr>
          <w:trHeight w:val="257"/>
        </w:trPr>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14,404</w:t>
            </w: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31,068</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9,805</w:t>
            </w:r>
          </w:p>
        </w:tc>
      </w:tr>
      <w:tr>
        <w:trPr>
          <w:trHeight w:val="256"/>
        </w:trPr>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5,824</w:t>
            </w: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16,774</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13,975</w:t>
            </w:r>
          </w:p>
        </w:tc>
      </w:tr>
      <w:tr>
        <w:trPr>
          <w:trHeight w:val="257"/>
        </w:trPr>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10,412</w:t>
            </w:r>
          </w:p>
        </w:tc>
      </w:tr>
      <w:tr>
        <w:trPr>
          <w:trHeight w:val="257"/>
        </w:trPr>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51,997</w:t>
            </w:r>
          </w:p>
        </w:tc>
      </w:tr>
      <w:tr>
        <w:trPr>
          <w:trHeight w:val="257"/>
        </w:trPr>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3,375</w:t>
            </w: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10,120</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9,408</w:t>
            </w:r>
          </w:p>
        </w:tc>
      </w:tr>
      <w:tr>
        <w:trPr>
          <w:trHeight w:val="257"/>
        </w:trPr>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22,955</w:t>
            </w: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21,932</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66,947</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66,396</w:t>
            </w:r>
          </w:p>
        </w:tc>
      </w:tr>
      <w:tr>
        <w:trPr>
          <w:trHeight w:val="256"/>
        </w:trPr>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203,998</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203,998</w:t>
            </w:r>
          </w:p>
        </w:tc>
      </w:tr>
      <w:tr>
        <w:trPr>
          <w:trHeight w:val="419"/>
        </w:trPr>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(7,320)</w:t>
            </w:r>
          </w:p>
        </w:tc>
        <w:tc>
          <w:tcPr>
            <w:tcW w:w="4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(24,358)</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(28,795)</w:t>
            </w:r>
          </w:p>
        </w:tc>
      </w:tr>
      <w:tr>
        <w:trPr>
          <w:trHeight w:val="257"/>
        </w:trPr>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(1,891)</w:t>
            </w: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(5,338)</w:t>
            </w:r>
          </w:p>
        </w:tc>
      </w:tr>
      <w:tr>
        <w:trPr>
          <w:trHeight w:val="256"/>
        </w:trPr>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(16,999)</w:t>
            </w: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(63,998)</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(44,297)</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(90,076)</w:t>
            </w:r>
          </w:p>
        </w:tc>
      </w:tr>
      <w:tr>
        <w:trPr>
          <w:trHeight w:val="418"/>
        </w:trPr>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r>
      <w:tr>
        <w:trPr>
          <w:trHeight w:val="263"/>
        </w:trPr>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50"/>
        </w:trPr>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87,059</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95,340</w:t>
            </w:r>
          </w:p>
        </w:tc>
        <w:tc>
          <w:tcPr>
            <w:tcW w:w="100" w:type="dxa"/>
            <w:vAlign w:val="bottom"/>
          </w:tcPr>
          <w:p>
            <w:pPr>
              <w:spacing w:after="0"/>
              <w:rPr>
                <w:sz w:val="21"/>
                <w:szCs w:val="21"/>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266,939</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293,691</w:t>
            </w:r>
          </w:p>
        </w:tc>
      </w:tr>
      <w:tr>
        <w:trPr>
          <w:trHeight w:val="27"/>
        </w:trPr>
        <w:tc>
          <w:tcPr>
            <w:tcW w:w="7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-3453765</wp:posOffset>
            </wp:positionV>
            <wp:extent cx="7132320" cy="1625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-3128010</wp:posOffset>
            </wp:positionV>
            <wp:extent cx="7132320" cy="163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-2699385</wp:posOffset>
            </wp:positionV>
            <wp:extent cx="7132320" cy="27000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2700020"/>
                    </a:xfrm>
                    <a:prstGeom prst="rect">
                      <a:avLst/>
                    </a:prstGeom>
                    <a:noFill/>
                  </pic:spPr>
                </pic:pic>
              </a:graphicData>
            </a:graphic>
          </wp:anchor>
        </w:drawing>
      </w:r>
    </w:p>
    <w:p>
      <w:pPr>
        <w:spacing w:after="0" w:line="243" w:lineRule="exact"/>
        <w:rPr>
          <w:sz w:val="20"/>
          <w:szCs w:val="20"/>
          <w:color w:val="auto"/>
        </w:rPr>
      </w:pPr>
    </w:p>
    <w:p>
      <w:pPr>
        <w:sectPr>
          <w:pgSz w:w="11900" w:h="16838" w:orient="portrait"/>
          <w:cols w:equalWidth="0" w:num="2">
            <w:col w:w="4720" w:space="720"/>
            <w:col w:w="5800"/>
          </w:cols>
          <w:pgMar w:left="320" w:top="337" w:right="33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principal liquidity needs are to fund operating expenses, meet debt service obligations, fund investment activities, including capital expenditures, and to fund the Merger Cash Consideration. Furthermore, following consummation of our settlement agreement with Windstream, including entry into the Windstream Leases, we are obligated (i) to make $490.1 million of cash payments to Windstream in equal installments over 20 consecutive quarters beginning in October 2020 and (ii) to reimburse Windstream for up to an aggregate of $1.75 billion for Growth Capital Improvements in long-term value accretive fiber and related assets made by Windstream through 2029. To date, we have paid $386.9 million of the $490.1 million due to Windstream under the settlement agreement. Uniti’s reimbursement commitment for Growth Capital Improvements does not require Uniti to reimburse Windstream for maintenance or repair expenditures (except for costs incurred for fiber replacements to the CLEC MLA leased property, up to $70 million during the term), and each such reimbursement is subject to underwriting standards. Uniti’s total annual reimbursement commitments for the Growth Capital Improvements under both Windstream Leases (and under separate equipment loan facilities) were limited to $225 million in 2022 and 2023, and are limited to $225 million per year in 2024; $175 million per year in 2025 and 2026; and $125 million per year in 2027 through 2029.</w:t>
      </w:r>
    </w:p>
    <w:p>
      <w:pPr>
        <w:spacing w:after="0" w:line="194"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Our primary sources of liquidity and capital resources are cash on hand, cash provided by operating activities (primarily from the Windstream Leases), available borrowings under our credit agreement by and among the Operating Partnership, CSL Capital, LLC and Uniti Group Finance 2019 Inc., the guarantors party thereto, Bank of America, N.A., as administrative agent, collateral agent, swing line lender and an L/C issuer and certain other lenders named therein (the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"Credit Agreement"), and proceeds from the issuance of debt and equity securities. See “—Outlook” for additional information concerning our near-term and long-term liquidity requirements.</w:t>
      </w:r>
    </w:p>
    <w:p>
      <w:pPr>
        <w:spacing w:after="0" w:line="148" w:lineRule="exact"/>
        <w:rPr>
          <w:sz w:val="20"/>
          <w:szCs w:val="20"/>
          <w:color w:val="auto"/>
        </w:rPr>
      </w:pPr>
    </w:p>
    <w:p>
      <w:pPr>
        <w:ind w:right="220"/>
        <w:spacing w:after="0" w:line="237" w:lineRule="auto"/>
        <w:rPr>
          <w:sz w:val="20"/>
          <w:szCs w:val="20"/>
          <w:color w:val="auto"/>
        </w:rPr>
      </w:pPr>
      <w:r>
        <w:rPr>
          <w:rFonts w:ascii="Times New Roman" w:cs="Times New Roman" w:eastAsia="Times New Roman" w:hAnsi="Times New Roman"/>
          <w:sz w:val="18"/>
          <w:szCs w:val="18"/>
          <w:color w:val="auto"/>
        </w:rPr>
        <w:t>As of September 30, 2024, we had total cash and cash equivalents of $53.4 million, including $19.3 million of restricted cash and cash equivalents, approximately $495.0 million of borrowing availability under our revolving credit facility maturing on September 24, 2027 under the Credit Agreement (the “Revolving Credit Facility”), and up to $75.0 million of borrowing capacity under our ABS Loan Facility, subject to satisfying certain financial metrics and transferring certain additional assets into the facility as collateral, which we expect to occur within twelve months. Subsequent to September 30, 2024, there have been no material outlays of funds outside of our scheduled interest payments. Availability under our Revolving Credit Facility is subject to various conditions, including a maximum secured leverage ratio of 5.0:1. In addition, if we incur debt under our Revolving Credit Facility or otherwise such that our total leverage ratio exceeds 6.5:1, our Revolving Credit Facility would impose significant restrictions on our ability to pay dividends. See “—Dividends.”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181,080</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190,575</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Cash provided by operating activities is primarily attributable to our leasing activities, which includes the leasing of mission-critical communications assets to anchor customers on either an exclusive or shared-tenant basis, in addition to the leasing of dark fiber network assets to the telecommunications industry. Cash used in operating activities includes compensation and related costs, interest payments, and other changes in working capital. Net cash provided by operating activities was $181.1 million and $190.6 million for the nine months ended September 30, 2024 and 2023, respectively. The decrease in net cash provided by operating activities during the nine months ended September 30, 2024 is primarily attributable to an increase in cash interest expense of $2.1 million and cash paid for the interest rate cap of $2.2 million, along with a decrease in distributions from unconsolidated entities of $3.0 million.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from investing activities: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(327,762)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(368,264)</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Proceeds from sale of other equipment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Proceeds from sale of real estate</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Proceeds from sale of unconsolidated entity</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(247,195)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(365,153)</w:t>
            </w:r>
          </w:p>
        </w:tc>
        <w:tc>
          <w:tcPr>
            <w:tcW w:w="0" w:type="dxa"/>
            <w:vAlign w:val="bottom"/>
          </w:tcPr>
          <w:p>
            <w:pPr>
              <w:spacing w:after="0"/>
              <w:rPr>
                <w:sz w:val="1"/>
                <w:szCs w:val="1"/>
                <w:color w:val="auto"/>
              </w:rPr>
            </w:pPr>
          </w:p>
        </w:tc>
      </w:tr>
      <w:tr>
        <w:trPr>
          <w:trHeight w:val="21"/>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Net cash used in investing activities decreased $118.0 million for the nine months ended September 30, 2024 compared to the nine months ended September 30, 2023, primarily driven by proceeds from the sale of our investment in BB Fiber Holdings LLC of $40.0 million, proceeds from the sale of the CableSouth network of $40.0 million, and a decrease in Uniti Fiber and Uniti Leasing capital expenditures of $37.9 million. Capital expenditures are primarily related to our Uniti Fiber and Uniti Leasing businesses for deployment of network assets, as described below under “—Capital Expenditures.”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from financing activities: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Repayment of debt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(122,942)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(2,263,662)</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Proceeds from issuance of notes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2,600,000</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Dividends paid</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(107,395)</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Payments of settlement payable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(73,516)</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Borrowings under revolving credit facility</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Payments under revolving credit facility</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(367,000)</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Proceeds from ABS Loan Facility</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 payments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Payments for financing costs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(26,955)</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 for settlement of common stock warrant</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57"/>
        </w:trPr>
        <w:tc>
          <w:tcPr>
            <w:tcW w:w="8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Termination of bond hedge option</w:t>
            </w:r>
          </w:p>
        </w:tc>
        <w:tc>
          <w:tcPr>
            <w:tcW w:w="280" w:type="dxa"/>
            <w:vAlign w:val="bottom"/>
          </w:tcPr>
          <w:p>
            <w:pPr>
              <w:spacing w:after="0"/>
              <w:rPr>
                <w:sz w:val="22"/>
                <w:szCs w:val="22"/>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Costs related to the early repayment of debt</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(44,303)</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Distributions paid to noncontrolling interests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Payment for noncontrolling interest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Employee stock purchase program</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Payments related to tax withholding for stock-based compensation</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0" w:type="dxa"/>
            <w:vAlign w:val="bottom"/>
          </w:tcPr>
          <w:p>
            <w:pPr>
              <w:spacing w:after="0"/>
              <w:rPr>
                <w:sz w:val="1"/>
                <w:szCs w:val="1"/>
                <w:color w:val="auto"/>
              </w:rPr>
            </w:pPr>
          </w:p>
        </w:tc>
      </w:tr>
      <w:tr>
        <w:trPr>
          <w:trHeight w:val="223"/>
        </w:trPr>
        <w:tc>
          <w:tcPr>
            <w:tcW w:w="8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57,239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164,894</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financing activities was $57.2 million for the nine months ended September 30, 2024, which was primarily related to the $309.0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proceeds from issuance of the Additional February 2028 Secured Notes and $275.0 million of proceeds from the ABS Loan Facility, partially offset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$122.9 million repayment of debt, </w:t>
      </w:r>
      <w:r>
        <w:rPr>
          <w:rFonts w:ascii="Times New Roman" w:cs="Times New Roman" w:eastAsia="Times New Roman" w:hAnsi="Times New Roman"/>
          <w:sz w:val="18"/>
          <w:szCs w:val="18"/>
          <w:color w:val="212529"/>
        </w:rPr>
        <w:t>net payments under the Revolving Credit Facility of $203.0 million, dividend payments of</w:t>
      </w:r>
      <w:r>
        <w:rPr>
          <w:rFonts w:ascii="Times New Roman" w:cs="Times New Roman" w:eastAsia="Times New Roman" w:hAnsi="Times New Roman"/>
          <w:sz w:val="18"/>
          <w:szCs w:val="18"/>
          <w:color w:val="auto"/>
        </w:rPr>
        <w:t xml:space="preserve"> $108.4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repayments of the settlement payable of $73.5 million, and payments for financing costs of $15.8 million. </w:t>
      </w:r>
      <w:r>
        <w:rPr>
          <w:rFonts w:ascii="Times New Roman" w:cs="Times New Roman" w:eastAsia="Times New Roman" w:hAnsi="Times New Roman"/>
          <w:sz w:val="18"/>
          <w:szCs w:val="18"/>
          <w:color w:val="212529"/>
        </w:rPr>
        <w:t>Net c</w:t>
      </w:r>
      <w:r>
        <w:rPr>
          <w:rFonts w:ascii="Times New Roman" w:cs="Times New Roman" w:eastAsia="Times New Roman" w:hAnsi="Times New Roman"/>
          <w:sz w:val="18"/>
          <w:szCs w:val="18"/>
          <w:color w:val="auto"/>
        </w:rPr>
        <w:t>ash provided by financing activities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$164.9 million for the nine months ended September 30, 2023, which was primarily related to proceeds from issuance of the February 2028 Secured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color w:val="212529"/>
        </w:rPr>
        <w:t>$2.6 billion, offset by repayment of the 2025 Secured Notes of $2.3 billion,</w:t>
      </w:r>
      <w:r>
        <w:rPr>
          <w:rFonts w:ascii="Times New Roman" w:cs="Times New Roman" w:eastAsia="Times New Roman" w:hAnsi="Times New Roman"/>
          <w:sz w:val="18"/>
          <w:szCs w:val="18"/>
          <w:color w:val="auto"/>
        </w:rPr>
        <w:t xml:space="preserve"> net borrowings under the Revolving Credit Facility of $83.0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 xml:space="preserve">dividend payments of </w:t>
      </w:r>
      <w:r>
        <w:rPr>
          <w:rFonts w:ascii="Times New Roman" w:cs="Times New Roman" w:eastAsia="Times New Roman" w:hAnsi="Times New Roman"/>
          <w:sz w:val="18"/>
          <w:szCs w:val="18"/>
          <w:color w:val="000000"/>
        </w:rPr>
        <w:t>$107.4 million, r</w:t>
      </w:r>
      <w:r>
        <w:rPr>
          <w:rFonts w:ascii="Times New Roman" w:cs="Times New Roman" w:eastAsia="Times New Roman" w:hAnsi="Times New Roman"/>
          <w:sz w:val="18"/>
          <w:szCs w:val="18"/>
          <w:color w:val="212529"/>
        </w:rPr>
        <w:t>epayments of the settlement payable of $73.5 million, costs related to the early repayment of the 2025 Secured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Notes of $44.3 million, and payments for financing costs of $27.0 million.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Windstream Leases</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initial term of the Windstream Leases expires on April 30, 2030. The aggregate initial annual rent under the Windstream Leases is $663.0 million. The Windstream Leases contain cross-guarantees and cross-default provisions, which will remain effective as long as Windstream or an affiliate is the tenant under both of the Windstream Leases and unless and until the landlords under the ILEC MLA are different from the landlords under the CLEC MLA. The Windstream Leases permit Uniti to transfer its rights and obligations and otherwise monetize or encumber the Windstream Leases, together or separately, so long as Uniti does not transfer interests in either Windstream Lease to a Windstream competitor.</w:t>
      </w:r>
    </w:p>
    <w:p>
      <w:pPr>
        <w:spacing w:after="0" w:line="18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Beginning in October 2020, pursuant to the Windstream Leases, Windstream (or any successor tenant under a Windstream Lease) has the right to cause Uniti to reimburse up to an aggregate $1.75 billion of Growth Capital Improvements through 2029. Uniti’s reimbursement commitment for Growth Capital Improvements does not require Uniti to reimburse Windstream for maintenance or repair expenditures (except for costs incurred for fiber replacements to the CLEC MLA leased property, up to $70 million during the term), and each such reimbursement is subject to underwriting standards. Uniti’s total annual reimbursement commitments for the Growth Capital Improvements under both Windstream Leases (and under separate equipment loan facilities) were limited to $225 million in 2022 and 2023, and are limited to $225 million in 2024; $175 million per year in 2025 and 2026; and $125 million per year in 2027 through 2029. If the cost incurred by Windstream (or the successor tenant under a Windstream Lease) for Growth Capital Improvements in any calendar year exceeds the annual limit for such calendar year, Windstream (or such tenant, as the case may be) may submit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such excess costs for reimbursement in any subsequent year and such excess costs shall be funded from the annual commitment amounts in such subsequent period. In addition, to the extent that reimbursements for Growth Capital Improvements funded in any calendar year during the term is less than the annual limit for such calendar year, the unfunded amount in any calendar year will carry-over and may be added to the annual limits for subsequent calendar years, subject to an annual limit of $250 million in any calendar year.</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Starting on the first anniversary of each installment of reimbursement for a Growth Capital Improvement, the rent payable by Windstream under the applicable Windstream Lease will increase by an amount equal to 8.0% (the “Rent Rate”) of such installment of reimbursement. The Rent Rate will thereafter increase to 100.5% of the prior Rent Rate on each anniversary of each reimbursement. In the event that the tenant’s interest in either Windstream Lease is transferred by Windstream under the terms thereof (unless transferred to the same transferee), or if Uniti transfers its interests as landlord under either Windstream Lease (unless to the same transferee), the reimbursement rights and obligations will be allocated between the ILEC MLA and the CLEC MLA by Windstream, provided that the maximum that may be allocated to the CLEC MLA following such transfer is $20 million per year. If Uniti fails to reimburse any Growth Capital Improvement reimbursement payment or equipment loan funding request as and when it is required to do so under the terms of the Windstream Leases, and such failure continues for thirty (30) days, then such unreimbursed amounts may be applied as an offset against the rent owed by Windstream under the Windstream Leases (and such amounts will thereafter be treated as if Uniti had reimbursed them).</w:t>
      </w:r>
    </w:p>
    <w:p>
      <w:pPr>
        <w:spacing w:after="0" w:line="18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Uniti and Windstream have entered into separate ILEC and CLEC Equipment Loan and Security Agreements (collectively “Equipment Loan Agreement”) in which Uniti will provide up to $125 million (limited to $25 million in any calendar year) of the $1.75 billion of Growth Capital Improvements commitments discussed above in the form of loans for Windstream to purchase equipment related to network upgrades or to be used in connection with the Windstream Leases. Interest on these loans will accrue at 8% from the date of the borrowing. All equipment financed through the Equipment Loan Agreement is the sole property of Windstream; however, Uniti will receive a first-lien security interest in the equipment purchased with the loans. No such loans have been made as of September 30,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UP-REIT Operating Partnership Units</w:t>
      </w:r>
    </w:p>
    <w:p>
      <w:pPr>
        <w:spacing w:after="0" w:line="225"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Our UP-REIT structure enables us to acquire properties by issuing to sellers, as a form of consideration, limited partnership interests in our operating partnership, (commonly called “OP Units”). We believe that this structure will facilitate our ability to acquire individual properties and portfolios of properties by enabling us to structure transactions which will defer taxes payable by a seller while preserving our available cash for other purposes, including the possible payment of dividends. We would expect to eliminate this structure when we complete the Windstream combination.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Outlook</w:t>
      </w:r>
    </w:p>
    <w:p>
      <w:pPr>
        <w:spacing w:after="0" w:line="21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We anticipate continuing to invest in our network infrastructure across our Uniti Leasing and Uniti Fiber portfolios. We anticipate that we will partially finance these needs, as well as operating expenses (including our debt service obligations), from our cash on hand, borrowings under our Revolving Credit Facility and ABS Loan Facility, and cash flows provided by operating activities. As of September 30, 2024, we had $495.0 million in borrowing availability under our Revolving Credit Facility. Additionally, we have up to $75.0 million in borrowing availability under our ABS Loan Facility, subject to satisfying certain financial metrics and transferring certain additional assets into the facility as collateral, which we expect will occur within twelve months. In addition, we anticipate our cash on hand and borrowing availability under the Revolving Credit Facility and ABS Loan Facility, combined with our cash flows provided by operating activities, will be sufficient to fund our business operations, reimbursement commitments for Growth Capital Improvements and obligations under the settlement agreement with Windstream, and debt service over the next twelve months. However, we may need to access the capital markets to generate additional funds to fund such expenditures. On a longer-term basis, the Company believes the same sources of liquidity and capital will be sufficient to satisfy these liquidity needs and anticipated capital expenditures, which we anticipate will be in line with historic amounts. See “Liquidity and Capital Resources” and “—Capital Expenditures” for additional information. A significant portion of the Company's indebtedness matures within the next four years, and the Company expects that it will need to refinance or repay its indebtedness at maturity by raising additional capital (which could include a combination of equity offerings and/or debt offerings) or instead seek to extend the applicable maturity dates of its indebtedness. We closely monitor the equity and debt markets and may seek to access them promptly if and when we determine market conditions are appropriate.</w:t>
      </w:r>
    </w:p>
    <w:p>
      <w:pPr>
        <w:spacing w:after="0" w:line="20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amount, nature and timing of any capital markets transactions will depend on: our operating performance and other circumstances; our then-current commitments and obligations; the amount, nature and timing of our capital requirements; any limitations imposed by our current credit arrangements; and overall market conditions. These expectations are forward-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looking and subject to several uncertainties and assumptions. If our expectations about our liquidity prove to be incorrect or we are unable to access the capital markets as we anticipate, we would be subject to a shortfall in liquidity in the future which could lead to a reduction in our capital expenditures and/or dividends and, in an extreme case, our ability to pay our debt service obligations. If this shortfall occurs rapidly and with little or no notice, it could limit our ability to address the shortfall on a timely basis.</w:t>
      </w:r>
    </w:p>
    <w:p>
      <w:pPr>
        <w:spacing w:after="0" w:line="18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addition to exploring potential capital markets transactions, the Company regularly evaluates market conditions, its liquidity profile, and various financing alternatives for opportunities to enhance its capital structure. If opportunities are favorable, the Company may refinance or repurchase existing debt. However, there can be no assurances that any debt refinancing would be on similar or more favorable terms than our existing arrangements. This would include the risk that interest rates could increase and/or there may be changes to our existing covenants.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6"/>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0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Success Based</w:t>
            </w:r>
          </w:p>
        </w:tc>
        <w:tc>
          <w:tcPr>
            <w:tcW w:w="200" w:type="dxa"/>
            <w:vAlign w:val="bottom"/>
          </w:tcPr>
          <w:p>
            <w:pPr>
              <w:spacing w:after="0"/>
              <w:rPr>
                <w:sz w:val="18"/>
                <w:szCs w:val="18"/>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22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Non-Network</w:t>
            </w:r>
          </w:p>
        </w:tc>
        <w:tc>
          <w:tcPr>
            <w:tcW w:w="340" w:type="dxa"/>
            <w:vAlign w:val="bottom"/>
          </w:tcPr>
          <w:p>
            <w:pPr>
              <w:spacing w:after="0"/>
              <w:rPr>
                <w:sz w:val="18"/>
                <w:szCs w:val="18"/>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5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Uniti Leasing</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13,949</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13,949</w:t>
            </w:r>
          </w:p>
        </w:tc>
      </w:tr>
      <w:tr>
        <w:trPr>
          <w:trHeight w:val="257"/>
        </w:trPr>
        <w:tc>
          <w:tcPr>
            <w:tcW w:w="5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Growth capital improvements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230,815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230,815</w:t>
            </w:r>
          </w:p>
        </w:tc>
      </w:tr>
      <w:tr>
        <w:trPr>
          <w:trHeight w:val="257"/>
        </w:trPr>
        <w:tc>
          <w:tcPr>
            <w:tcW w:w="5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Uniti Fiber</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76,611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82,969</w:t>
            </w:r>
          </w:p>
        </w:tc>
      </w:tr>
      <w:tr>
        <w:trPr>
          <w:trHeight w:val="257"/>
        </w:trPr>
        <w:tc>
          <w:tcPr>
            <w:tcW w:w="5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50"/>
        </w:trPr>
        <w:tc>
          <w:tcPr>
            <w:tcW w:w="5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321,375</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327,762</w:t>
            </w:r>
          </w:p>
        </w:tc>
      </w:tr>
      <w:tr>
        <w:trPr>
          <w:trHeight w:val="20"/>
        </w:trPr>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categorize our capital expenditures as either (i) success-based, (ii) maintenance, or (iii) non-network. We define success-based capital expenditures as those related to installing existing or anticipated contractual customer service orders. Maintenance capital expenditures are those necessary to keep existing network elements fully operational. We anticipate continuing to invest in our network infrastructure across our Uniti Leasing and Uniti Fiber businesses and expect that cash on hand and cash flows provided by operating activities will be sufficient to support these investments. We have the right, but not the obligation (except for Growth Capital Improvements), to reimburse growth capital expenditures in certain of our lease arrangements where we are the lessor.</w:t>
      </w:r>
    </w:p>
    <w:p>
      <w:pPr>
        <w:spacing w:after="0" w:line="18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Uniti’s total annual reimbursement commitments to Windstream for the Growth Capital Improvements is discussed above in this Part I, Item 2 “Management’s Discussion and Analysis of Financial Condition and Results of Operations” in “Liquidity and Capital Resources—Windstream Leases.” Growth Capital Improvements are treated as success-based capital improvements based on the rents paid with respect to such amounts.</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If circumstances warrant, we may need to take measures to conserve cash, which may include a suspension, delay or reduction in success-based capital expenditures.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elected to be taxed as a REIT for U.S. federal income tax purposes. U.S. federal income tax law generally requires that a REIT distribute annually at least 90% of its REIT taxable income, without regard to the deduction for dividends paid and excluding net capital gains, and that it pay tax at regular corporate rates to the extent that it annually distributes less than 100% of its taxable income. In order to maintain our REIT status, we intend to make dividend payments of all or substantially all of our taxable income to holders of our common stock out of assets legally available for this purpose, if and to the extent authorized by our board of directors. Before we make any dividend payments, whether for U.S. federal income tax purposes or otherwise, we must first meet both our operating requirements and debt service obligations. If our cash available for distribution is less than our taxable income, we could be required to sell assets or borrow funds to make cash dividends or we may make a portion of the required dividend in the form of a taxable distribution of stock or debt securities.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below sets out details regarding our cash dividends on our common stock:</w:t>
      </w: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Period</w:t>
            </w:r>
          </w:p>
        </w:tc>
        <w:tc>
          <w:tcPr>
            <w:tcW w:w="2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Payment Date</w:t>
            </w: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Cash Dividend Per</w:t>
            </w: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Record Date</w:t>
            </w:r>
          </w:p>
        </w:tc>
        <w:tc>
          <w:tcPr>
            <w:tcW w:w="0" w:type="dxa"/>
            <w:vAlign w:val="bottom"/>
          </w:tcPr>
          <w:p>
            <w:pPr>
              <w:spacing w:after="0"/>
              <w:rPr>
                <w:sz w:val="1"/>
                <w:szCs w:val="1"/>
                <w:color w:val="auto"/>
              </w:rPr>
            </w:pPr>
          </w:p>
        </w:tc>
      </w:tr>
      <w:tr>
        <w:trPr>
          <w:trHeight w:val="193"/>
        </w:trPr>
        <w:tc>
          <w:tcPr>
            <w:tcW w:w="5440" w:type="dxa"/>
            <w:vAlign w:val="bottom"/>
            <w:gridSpan w:val="2"/>
            <w:vMerge w:val="continue"/>
          </w:tcPr>
          <w:p>
            <w:pPr>
              <w:spacing w:after="0"/>
              <w:rPr>
                <w:sz w:val="16"/>
                <w:szCs w:val="16"/>
                <w:color w:val="auto"/>
              </w:rPr>
            </w:pPr>
          </w:p>
        </w:tc>
        <w:tc>
          <w:tcPr>
            <w:tcW w:w="23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Share</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2024 - March 31, 2024</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April 12, 2024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8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28, 2024</w:t>
            </w:r>
          </w:p>
        </w:tc>
        <w:tc>
          <w:tcPr>
            <w:tcW w:w="0" w:type="dxa"/>
            <w:vAlign w:val="bottom"/>
          </w:tcPr>
          <w:p>
            <w:pPr>
              <w:spacing w:after="0"/>
              <w:rPr>
                <w:sz w:val="1"/>
                <w:szCs w:val="1"/>
                <w:color w:val="auto"/>
              </w:rPr>
            </w:pPr>
          </w:p>
        </w:tc>
      </w:tr>
      <w:tr>
        <w:trPr>
          <w:trHeight w:val="234"/>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1, 2024 - June 30, 2024</w:t>
            </w: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June 28, 2024</w:t>
            </w: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80" w:type="dxa"/>
            <w:vAlign w:val="bottom"/>
          </w:tcPr>
          <w:p>
            <w:pPr>
              <w:spacing w:after="0"/>
              <w:rPr>
                <w:sz w:val="20"/>
                <w:szCs w:val="20"/>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14, 2024</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Under the Merger Agreement with Windstream, we have agreed to suspend dividend payments or other distributions until the consummation of the Merger, except for the dividend paid on June 28, 2024 and those dividends reasonably required for us or our subsidiaries to maintain its status as a REIT or to avoid the payment or imposition of income or excise tax, among other customary exceptions. Any dividends must be declared by our Board of Directors, which will take into account various factors including our current and anticipated operating results, our financial position, REIT requirements, conditions prevailing in the market, restrictions in our debt documents and additional factors they deem appropriate. Dividend payments are not guaranteed, and our Board of Directors may decide, in its absolute discretion, at any time and for any reason, not to pay dividends or to change the amount paid as dividends.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make certain judgments and use certain estimates and assumptions when applying accounting principles in the preparation of our Condensed Consolidated Financial Statements. The nature of the estimates and assumptions are material due to the levels of subjectivity and judgment necessary to account for highly uncertain factors or the susceptibility of such factors to change. We have identified the accounting for income taxes, revenue recognition, the impairment of property, plant and equipment, goodwill impairment and business combinations as critical accounting estimates, as they are the most important to our financial statement presentation and require difficult, subjective and complex judgments.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believe the current assumptions and other considerations used to estimate amounts reflected in our accompanying Condensed Consolidated Financial Statements are appropriate. However, if actual experience differs from the assumptions and other considerations used in estimating amounts reflected in our Condensed Consolidated Financial Statements, the resulting changes could have a material adverse effect on our consolidated results of operations and, in certain situations, could have a material adverse effect on our financial condition.</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further information on our critical accounting estimates, see “Management’s Discussion and Analysis of Financial Condition and Results of Operations” and the notes to our audited financial statements included in our Annual Report. As of September 30, 2024, there has been no material change to these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Guidance</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 xml:space="preserve">New accounting rules and disclosures can impact our reported results and comparability of our financial statements. </w:t>
      </w:r>
      <w:r>
        <w:rPr>
          <w:rFonts w:ascii="Times New Roman" w:cs="Times New Roman" w:eastAsia="Times New Roman" w:hAnsi="Times New Roman"/>
          <w:sz w:val="18"/>
          <w:szCs w:val="18"/>
          <w:u w:val="single" w:color="auto"/>
          <w:color w:val="0000FF"/>
        </w:rPr>
        <w:t>See Note 3</w:t>
      </w:r>
      <w:r>
        <w:rPr>
          <w:rFonts w:ascii="Times New Roman" w:cs="Times New Roman" w:eastAsia="Times New Roman" w:hAnsi="Times New Roman"/>
          <w:sz w:val="18"/>
          <w:szCs w:val="18"/>
          <w:color w:val="auto"/>
        </w:rPr>
        <w:t xml:space="preserve"> to our accompanying Condensed Consolidated Financial Statements contained in Part I, Item 1 "Financial Statements" of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4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from the information reported under Part II, Item 7A "Quantitative and Qualitative Disclosures About Market Risk" of our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22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have established disclosure controls and procedures, as such term is defined in Rule 13a-15(e) under the Securities Exchange Act of 1934, as amended (the "Exchange Act"),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as appropriate, to allow timely decisions regarding required disclosure.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of September 30, 2024, and based on this evaluation, our principal executive officer and principal financial officer concluded that our disclosure controls and procedures were effective as of September 30,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 13a-15(f) under the Exchange Act, that occurred during the quarter ended September 30, 2024 that have materially affected, or are reasonably likely to materially affect, our internal control over financial reporting.</w:t>
      </w:r>
    </w:p>
    <w:p>
      <w:pPr>
        <w:spacing w:after="0" w:line="200" w:lineRule="exact"/>
        <w:rPr>
          <w:sz w:val="20"/>
          <w:szCs w:val="20"/>
          <w:color w:val="auto"/>
        </w:rPr>
      </w:pPr>
    </w:p>
    <w:p>
      <w:pPr>
        <w:spacing w:after="0" w:line="3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37" w:right="5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 xml:space="preserve">A description of legal proceedings can be found in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xml:space="preserve"> - Commitments and Contingencies to our Condensed Consolidated Financial Statements, included in Part I, Item 1 " Financial Statements" of this Quarterly Report on Form 10-Q, and is incorporated by reference into this Item 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affecting our business that were discussed in Part II, Item 1A "Risk Factors” in our Quarterly Report on Form 10-Q filed with the SEC on May 3,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2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table below provides information regarding shares withheld from Uniti employees to satisfy minimum statutory tax withholding obligations arising from the vesting of restricted stock granted under the Uniti Group Inc. 2015 Equity Incentive Plan. The shares of common stock withheld to satisfy tax withholding obligations may be deemed purchases of such shares required to be disclosed pursuant to this Item 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6"/>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80" w:type="dxa"/>
            <w:vAlign w:val="bottom"/>
          </w:tcPr>
          <w:p>
            <w:pPr>
              <w:spacing w:after="0"/>
              <w:rPr>
                <w:sz w:val="12"/>
                <w:szCs w:val="12"/>
                <w:color w:val="auto"/>
              </w:rPr>
            </w:pPr>
          </w:p>
        </w:tc>
        <w:tc>
          <w:tcPr>
            <w:tcW w:w="15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0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35"/>
        </w:trPr>
        <w:tc>
          <w:tcPr>
            <w:tcW w:w="5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Period</w:t>
            </w:r>
          </w:p>
        </w:tc>
        <w:tc>
          <w:tcPr>
            <w:tcW w:w="14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3"/>
            <w:vMerge w:val="continue"/>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203"/>
        </w:trPr>
        <w:tc>
          <w:tcPr>
            <w:tcW w:w="5040" w:type="dxa"/>
            <w:vAlign w:val="bottom"/>
            <w:gridSpan w:val="2"/>
            <w:vMerge w:val="continue"/>
          </w:tcPr>
          <w:p>
            <w:pPr>
              <w:spacing w:after="0"/>
              <w:rPr>
                <w:sz w:val="17"/>
                <w:szCs w:val="17"/>
                <w:color w:val="auto"/>
              </w:rPr>
            </w:pPr>
          </w:p>
        </w:tc>
        <w:tc>
          <w:tcPr>
            <w:tcW w:w="14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ind w:left="200"/>
              <w:spacing w:after="0" w:line="202" w:lineRule="exact"/>
              <w:rPr>
                <w:sz w:val="20"/>
                <w:szCs w:val="20"/>
                <w:color w:val="auto"/>
              </w:rPr>
            </w:pP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18"/>
                <w:szCs w:val="18"/>
                <w:b w:val="1"/>
                <w:bCs w:val="1"/>
                <w:color w:val="auto"/>
                <w:vertAlign w:val="superscript"/>
              </w:rPr>
              <w:t>(1)</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0" w:type="dxa"/>
            <w:vAlign w:val="bottom"/>
          </w:tcPr>
          <w:p>
            <w:pPr>
              <w:spacing w:after="0"/>
              <w:rPr>
                <w:sz w:val="1"/>
                <w:szCs w:val="1"/>
                <w:color w:val="auto"/>
              </w:rPr>
            </w:pPr>
          </w:p>
        </w:tc>
      </w:tr>
      <w:tr>
        <w:trPr>
          <w:trHeight w:val="223"/>
        </w:trPr>
        <w:tc>
          <w:tcPr>
            <w:tcW w:w="4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2024 to July 31, 2024</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2024 to August 31, 2024</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19"/>
                <w:szCs w:val="19"/>
                <w:color w:val="auto"/>
              </w:rPr>
            </w:pPr>
          </w:p>
        </w:tc>
        <w:tc>
          <w:tcPr>
            <w:tcW w:w="14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2024 to September 30,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19"/>
                <w:szCs w:val="19"/>
                <w:color w:val="auto"/>
              </w:rPr>
            </w:pPr>
          </w:p>
        </w:tc>
        <w:tc>
          <w:tcPr>
            <w:tcW w:w="148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360" w:firstLine="8"/>
        <w:spacing w:after="0" w:line="229" w:lineRule="auto"/>
        <w:tabs>
          <w:tab w:leader="none" w:pos="208"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average price paid per share is the weighted average of the fair market prices at which we calculated the number of shares withheld to cover tax withholdings for the employees.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5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52" w:lineRule="exact"/>
        <w:rPr>
          <w:rFonts w:ascii="Times New Roman" w:cs="Times New Roman" w:eastAsia="Times New Roman" w:hAnsi="Times New Roman"/>
          <w:sz w:val="18"/>
          <w:szCs w:val="18"/>
          <w:color w:val="auto"/>
        </w:rPr>
      </w:pPr>
    </w:p>
    <w:p>
      <w:pPr>
        <w:ind w:right="100" w:firstLine="8"/>
        <w:spacing w:after="0" w:line="266" w:lineRule="auto"/>
        <w:tabs>
          <w:tab w:leader="none" w:pos="2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September 30, 2024, none of the Company’s directors or officers (as defined in Rule 16a-1(f) under the Exchange Act) adopted or terminated a Rule 10b5-1 trading arrangement or non-Rule 10b5-1 trading arrangement (as such terms are defined in Item 408 of Regulation S-K).</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80" w:type="dxa"/>
            <w:vAlign w:val="bottom"/>
            <w:gridSpan w:val="13"/>
          </w:tcPr>
          <w:p>
            <w:pPr>
              <w:ind w:left="18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3"/>
        </w:trPr>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2"/>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6"/>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Agreement and Plan of Merger, dated as of May 3, 2024, by and between Uniti Group Inc. and Windstream Holdings II, LLC</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20" w:type="dxa"/>
            <w:vAlign w:val="bottom"/>
            <w:tcBorders>
              <w:bottom w:val="single" w:sz="8" w:color="0000FF"/>
            </w:tcBorders>
            <w:gridSpan w:val="8"/>
          </w:tcPr>
          <w:p>
            <w:pPr>
              <w:spacing w:after="0" w:line="182" w:lineRule="exact"/>
              <w:rPr>
                <w:rFonts w:ascii="Times New Roman" w:cs="Times New Roman" w:eastAsia="Times New Roman" w:hAnsi="Times New Roman"/>
                <w:sz w:val="18"/>
                <w:szCs w:val="18"/>
                <w:color w:val="0000FF"/>
                <w:w w:val="99"/>
              </w:rPr>
            </w:pPr>
            <w:hyperlink r:id="rId101">
              <w:r>
                <w:rPr>
                  <w:rFonts w:ascii="Times New Roman" w:cs="Times New Roman" w:eastAsia="Times New Roman" w:hAnsi="Times New Roman"/>
                  <w:sz w:val="18"/>
                  <w:szCs w:val="18"/>
                  <w:color w:val="0000FF"/>
                  <w:w w:val="99"/>
                </w:rPr>
                <w:t>(incorporated by reference to Exhibit 2.1 to the Company’s Current Report on Form 8-K dated and filed with the SEC as of May 3,</w:t>
              </w:r>
            </w:hyperlink>
          </w:p>
        </w:tc>
        <w:tc>
          <w:tcPr>
            <w:tcW w:w="34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16"/>
          </w:tcPr>
          <w:p>
            <w:pPr>
              <w:spacing w:after="0" w:line="196"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2024 (File No. 001-36708))</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6"/>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Amendment No. 1 to Agreement and Plan of Merger, dated July 17, 2024, by and between Uniti Group Inc. and Windstream Holdings</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80" w:type="dxa"/>
            <w:vAlign w:val="bottom"/>
            <w:tcBorders>
              <w:top w:val="single" w:sz="8" w:color="0000FF"/>
              <w:bottom w:val="single" w:sz="8" w:color="0000FF"/>
            </w:tcBorders>
            <w:gridSpan w:val="14"/>
          </w:tcPr>
          <w:p>
            <w:pPr>
              <w:spacing w:after="0" w:line="182" w:lineRule="exact"/>
              <w:rPr>
                <w:rFonts w:ascii="Times New Roman" w:cs="Times New Roman" w:eastAsia="Times New Roman" w:hAnsi="Times New Roman"/>
                <w:sz w:val="18"/>
                <w:szCs w:val="18"/>
                <w:color w:val="0000FF"/>
                <w:w w:val="99"/>
              </w:rPr>
            </w:pPr>
            <w:hyperlink r:id="rId102">
              <w:r>
                <w:rPr>
                  <w:rFonts w:ascii="Times New Roman" w:cs="Times New Roman" w:eastAsia="Times New Roman" w:hAnsi="Times New Roman"/>
                  <w:sz w:val="18"/>
                  <w:szCs w:val="18"/>
                  <w:color w:val="0000FF"/>
                  <w:w w:val="99"/>
                </w:rPr>
                <w:t>II, LLC (incorporated by reference to Exhibit 2.2 to the Company's Quarterly Report on Form 10-Q dated and filed with the SEC as of</w:t>
              </w:r>
            </w:hyperlink>
          </w:p>
        </w:tc>
        <w:tc>
          <w:tcPr>
            <w:tcW w:w="20" w:type="dxa"/>
            <w:vAlign w:val="bottom"/>
            <w:tcBorders>
              <w:bottom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16"/>
          </w:tcPr>
          <w:p>
            <w:pPr>
              <w:spacing w:after="0" w:line="19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August 1,2024 (File No. 001-36708))</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Second Supplemental Indenture, dated as of November 1, 2024, among Uniti Group LP, Uniti Fiber Holdings Inc., Uniti Group</w:t>
            </w:r>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160" w:type="dxa"/>
            <w:vAlign w:val="bottom"/>
            <w:tcBorders>
              <w:top w:val="single" w:sz="8" w:color="0000FF"/>
              <w:bottom w:val="single" w:sz="8" w:color="0000FF"/>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FF"/>
                <w:w w:val="99"/>
              </w:rPr>
              <w:t>Finance 2019 Inc. and CSL Capital, LLC, as Issuers, the guarantors named therein, and Deutsche Bank Company Americas, as</w:t>
            </w:r>
          </w:p>
        </w:tc>
        <w:tc>
          <w:tcPr>
            <w:tcW w:w="500" w:type="dxa"/>
            <w:vAlign w:val="bottom"/>
            <w:tcBorders>
              <w:bottom w:val="single" w:sz="8" w:color="0000FF"/>
            </w:tcBorders>
            <w:gridSpan w:val="6"/>
          </w:tcPr>
          <w:p>
            <w:pPr>
              <w:ind w:left="20"/>
              <w:spacing w:after="0" w:line="182" w:lineRule="exact"/>
              <w:rPr>
                <w:sz w:val="20"/>
                <w:szCs w:val="20"/>
                <w:color w:val="auto"/>
              </w:rPr>
            </w:pPr>
            <w:r>
              <w:rPr>
                <w:rFonts w:ascii="Times New Roman" w:cs="Times New Roman" w:eastAsia="Times New Roman" w:hAnsi="Times New Roman"/>
                <w:sz w:val="18"/>
                <w:szCs w:val="18"/>
                <w:color w:val="0000FF"/>
                <w:w w:val="95"/>
              </w:rPr>
              <w:t>trustee</w:t>
            </w:r>
          </w:p>
        </w:tc>
        <w:tc>
          <w:tcPr>
            <w:tcW w:w="1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and collateral agent, relating to the 10.50% Senior Secured Notes due 2028.</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60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80" w:type="dxa"/>
            <w:vAlign w:val="bottom"/>
            <w:tcBorders>
              <w:top w:val="single" w:sz="8" w:color="0000EE"/>
              <w:bottom w:val="single" w:sz="8" w:color="0000EE"/>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EE"/>
                <w:w w:val="99"/>
              </w:rPr>
              <w:t>Adopted Pursuant to Section 302 of the Sarbanes-Oxley Act of 2002.</w:t>
            </w:r>
          </w:p>
        </w:tc>
        <w:tc>
          <w:tcPr>
            <w:tcW w:w="4640" w:type="dxa"/>
            <w:vAlign w:val="bottom"/>
            <w:tcBorders>
              <w:top w:val="single" w:sz="8" w:color="0000EE"/>
            </w:tcBorders>
            <w:gridSpan w:val="8"/>
          </w:tcPr>
          <w:p>
            <w:pPr>
              <w:spacing w:after="0"/>
              <w:rPr>
                <w:sz w:val="15"/>
                <w:szCs w:val="15"/>
                <w:color w:val="auto"/>
              </w:rPr>
            </w:pPr>
          </w:p>
        </w:tc>
        <w:tc>
          <w:tcPr>
            <w:tcW w:w="14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52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80" w:type="dxa"/>
            <w:vAlign w:val="bottom"/>
            <w:tcBorders>
              <w:top w:val="single" w:sz="8" w:color="0000EE"/>
              <w:bottom w:val="single" w:sz="8" w:color="0000EE"/>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EE"/>
                <w:w w:val="99"/>
              </w:rPr>
              <w:t>Adopted Pursuant to Section 302 of the Sarbanes-Oxley Act of 2002.</w:t>
            </w:r>
          </w:p>
        </w:tc>
        <w:tc>
          <w:tcPr>
            <w:tcW w:w="4580" w:type="dxa"/>
            <w:vAlign w:val="bottom"/>
            <w:tcBorders>
              <w:top w:val="single" w:sz="8" w:color="0000EE"/>
            </w:tcBorders>
            <w:gridSpan w:val="6"/>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Borders>
              <w:top w:val="single" w:sz="8" w:color="0000EE"/>
              <w:bottom w:val="single" w:sz="8" w:color="0000EE"/>
            </w:tcBorders>
          </w:tcPr>
          <w:p>
            <w:pPr>
              <w:spacing w:after="0" w:line="182" w:lineRule="exact"/>
              <w:rPr>
                <w:sz w:val="20"/>
                <w:szCs w:val="20"/>
                <w:color w:val="auto"/>
              </w:rPr>
            </w:pPr>
            <w:r>
              <w:rPr>
                <w:rFonts w:ascii="Times New Roman" w:cs="Times New Roman" w:eastAsia="Times New Roman" w:hAnsi="Times New Roman"/>
                <w:sz w:val="18"/>
                <w:szCs w:val="18"/>
                <w:color w:val="0000EE"/>
                <w:w w:val="97"/>
              </w:rPr>
              <w:t>Oxley Act of 2002.</w:t>
            </w:r>
          </w:p>
        </w:tc>
        <w:tc>
          <w:tcPr>
            <w:tcW w:w="8220" w:type="dxa"/>
            <w:vAlign w:val="bottom"/>
            <w:tcBorders>
              <w:top w:val="single" w:sz="8" w:color="0000EE"/>
            </w:tcBorders>
            <w:gridSpan w:val="10"/>
          </w:tcPr>
          <w:p>
            <w:pPr>
              <w:spacing w:after="0"/>
              <w:rPr>
                <w:sz w:val="15"/>
                <w:szCs w:val="15"/>
                <w:color w:val="auto"/>
              </w:rPr>
            </w:pPr>
          </w:p>
        </w:tc>
        <w:tc>
          <w:tcPr>
            <w:tcW w:w="16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506"/>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Borders>
              <w:top w:val="single" w:sz="8" w:color="0000EE"/>
              <w:bottom w:val="single" w:sz="8" w:color="0000EE"/>
            </w:tcBorders>
          </w:tcPr>
          <w:p>
            <w:pPr>
              <w:spacing w:after="0" w:line="182" w:lineRule="exact"/>
              <w:rPr>
                <w:sz w:val="20"/>
                <w:szCs w:val="20"/>
                <w:color w:val="auto"/>
              </w:rPr>
            </w:pPr>
            <w:r>
              <w:rPr>
                <w:rFonts w:ascii="Times New Roman" w:cs="Times New Roman" w:eastAsia="Times New Roman" w:hAnsi="Times New Roman"/>
                <w:sz w:val="18"/>
                <w:szCs w:val="18"/>
                <w:color w:val="0000EE"/>
                <w:w w:val="97"/>
              </w:rPr>
              <w:t>Oxley Act of 2002.</w:t>
            </w:r>
          </w:p>
        </w:tc>
        <w:tc>
          <w:tcPr>
            <w:tcW w:w="8160" w:type="dxa"/>
            <w:vAlign w:val="bottom"/>
            <w:tcBorders>
              <w:top w:val="single" w:sz="8" w:color="0000EE"/>
            </w:tcBorders>
            <w:gridSpan w:val="8"/>
          </w:tcPr>
          <w:p>
            <w:pPr>
              <w:spacing w:after="0"/>
              <w:rPr>
                <w:sz w:val="15"/>
                <w:szCs w:val="15"/>
                <w:color w:val="auto"/>
              </w:rPr>
            </w:pPr>
          </w:p>
        </w:tc>
        <w:tc>
          <w:tcPr>
            <w:tcW w:w="22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434"/>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7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432"/>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7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459"/>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7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32"/>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7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432"/>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76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1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7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432"/>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31" w:lineRule="exact"/>
        <w:rPr>
          <w:sz w:val="20"/>
          <w:szCs w:val="20"/>
          <w:color w:val="auto"/>
        </w:rPr>
      </w:pPr>
    </w:p>
    <w:p>
      <w:pPr>
        <w:ind w:left="380" w:hanging="354"/>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380" w:right="180" w:hanging="354"/>
        <w:spacing w:after="0" w:line="245"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similar attachments have been omitted from this filing pursuant to Item 601(a)(5) of Regulation S-K. A copy of any omitted schedule or similar attachment will be furnished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297" w:lineRule="exact"/>
        <w:rPr>
          <w:sz w:val="20"/>
          <w:szCs w:val="20"/>
          <w:color w:val="auto"/>
        </w:rPr>
      </w:pPr>
    </w:p>
    <w:p>
      <w:pPr>
        <w:ind w:left="20"/>
        <w:spacing w:after="0"/>
        <w:tabs>
          <w:tab w:leader="none" w:pos="900" w:val="left"/>
          <w:tab w:leader="none" w:pos="48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8, 2024</w:t>
      </w:r>
      <w:r>
        <w:rPr>
          <w:sz w:val="20"/>
          <w:szCs w:val="20"/>
          <w:color w:val="auto"/>
        </w:rPr>
        <w:tab/>
      </w:r>
      <w:r>
        <w:rPr>
          <w:rFonts w:ascii="Times New Roman" w:cs="Times New Roman" w:eastAsia="Times New Roman" w:hAnsi="Times New Roman"/>
          <w:sz w:val="18"/>
          <w:szCs w:val="18"/>
          <w:color w:val="auto"/>
        </w:rPr>
        <w:t>/s/ Paul E. Bullington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17145</wp:posOffset>
            </wp:positionV>
            <wp:extent cx="4071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4071620" cy="8890"/>
                    </a:xfrm>
                    <a:prstGeom prst="rect">
                      <a:avLst/>
                    </a:prstGeom>
                    <a:noFill/>
                  </pic:spPr>
                </pic:pic>
              </a:graphicData>
            </a:graphic>
          </wp:anchor>
        </w:drawing>
      </w:r>
    </w:p>
    <w:p>
      <w:pPr>
        <w:spacing w:after="0" w:line="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Paul E. Bullington</w:t>
      </w:r>
    </w:p>
    <w:p>
      <w:pPr>
        <w:ind w:left="4840"/>
        <w:spacing w:after="0" w:line="219" w:lineRule="auto"/>
        <w:rPr>
          <w:sz w:val="20"/>
          <w:szCs w:val="20"/>
          <w:color w:val="auto"/>
        </w:rPr>
      </w:pPr>
      <w:r>
        <w:rPr>
          <w:rFonts w:ascii="Times New Roman" w:cs="Times New Roman" w:eastAsia="Times New Roman" w:hAnsi="Times New Roman"/>
          <w:sz w:val="18"/>
          <w:szCs w:val="18"/>
          <w:b w:val="1"/>
          <w:bCs w:val="1"/>
          <w:color w:val="auto"/>
        </w:rPr>
        <w:t>Senior Vice President – Chief Financial Officer and Treasurer</w:t>
      </w:r>
    </w:p>
    <w:p>
      <w:pPr>
        <w:ind w:left="48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73" w:lineRule="exact"/>
        <w:rPr>
          <w:sz w:val="20"/>
          <w:szCs w:val="20"/>
          <w:color w:val="auto"/>
        </w:rPr>
      </w:pPr>
    </w:p>
    <w:p>
      <w:pPr>
        <w:ind w:left="20"/>
        <w:spacing w:after="0"/>
        <w:tabs>
          <w:tab w:leader="none" w:pos="900" w:val="left"/>
          <w:tab w:leader="none" w:pos="48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8, 2024</w:t>
      </w:r>
      <w:r>
        <w:rPr>
          <w:sz w:val="20"/>
          <w:szCs w:val="20"/>
          <w:color w:val="auto"/>
        </w:rPr>
        <w:tab/>
      </w:r>
      <w:r>
        <w:rPr>
          <w:rFonts w:ascii="Times New Roman" w:cs="Times New Roman" w:eastAsia="Times New Roman" w:hAnsi="Times New Roman"/>
          <w:sz w:val="17"/>
          <w:szCs w:val="17"/>
          <w:color w:val="auto"/>
        </w:rPr>
        <w:t>/s/ Travis T.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17145</wp:posOffset>
            </wp:positionV>
            <wp:extent cx="40716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spacing w:after="0" w:line="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Travis T. Black</w:t>
      </w:r>
    </w:p>
    <w:p>
      <w:pPr>
        <w:ind w:left="4840"/>
        <w:spacing w:after="0" w:line="219" w:lineRule="auto"/>
        <w:rPr>
          <w:sz w:val="20"/>
          <w:szCs w:val="20"/>
          <w:color w:val="auto"/>
        </w:rPr>
      </w:pPr>
      <w:r>
        <w:rPr>
          <w:rFonts w:ascii="Times New Roman" w:cs="Times New Roman" w:eastAsia="Times New Roman" w:hAnsi="Times New Roman"/>
          <w:sz w:val="18"/>
          <w:szCs w:val="18"/>
          <w:b w:val="1"/>
          <w:bCs w:val="1"/>
          <w:color w:val="auto"/>
        </w:rPr>
        <w:t>Senior Vice President – Chief Accounting Officer</w:t>
      </w:r>
    </w:p>
    <w:p>
      <w:pPr>
        <w:ind w:left="484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00"/>
          </w:cols>
          <w:pgMar w:left="320" w:top="337" w:right="37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20"/>
          <w:szCs w:val="20"/>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SECOND SUPPLEMENTAL INDENTURE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10.50% SENIOR SECURED NOTES DUE 2028</w:t>
      </w:r>
    </w:p>
    <w:p>
      <w:pPr>
        <w:spacing w:after="0" w:line="300" w:lineRule="exact"/>
        <w:rPr>
          <w:sz w:val="20"/>
          <w:szCs w:val="20"/>
          <w:color w:val="auto"/>
        </w:rPr>
      </w:pPr>
    </w:p>
    <w:p>
      <w:pPr>
        <w:ind w:right="360" w:firstLine="648"/>
        <w:spacing w:after="0" w:line="252" w:lineRule="auto"/>
        <w:rPr>
          <w:sz w:val="20"/>
          <w:szCs w:val="20"/>
          <w:color w:val="auto"/>
        </w:rPr>
      </w:pPr>
      <w:r>
        <w:rPr>
          <w:rFonts w:ascii="Times New Roman" w:cs="Times New Roman" w:eastAsia="Times New Roman" w:hAnsi="Times New Roman"/>
          <w:sz w:val="22"/>
          <w:szCs w:val="22"/>
          <w:color w:val="auto"/>
        </w:rPr>
        <w:t>Second Supplemental Indenture (this “</w:t>
      </w:r>
      <w:r>
        <w:rPr>
          <w:rFonts w:ascii="Times New Roman" w:cs="Times New Roman" w:eastAsia="Times New Roman" w:hAnsi="Times New Roman"/>
          <w:sz w:val="22"/>
          <w:szCs w:val="22"/>
          <w:b w:val="1"/>
          <w:bCs w:val="1"/>
          <w:color w:val="auto"/>
        </w:rPr>
        <w:t>Supplemental Indenture</w:t>
      </w:r>
      <w:r>
        <w:rPr>
          <w:rFonts w:ascii="Times New Roman" w:cs="Times New Roman" w:eastAsia="Times New Roman" w:hAnsi="Times New Roman"/>
          <w:sz w:val="22"/>
          <w:szCs w:val="22"/>
          <w:color w:val="auto"/>
        </w:rPr>
        <w:t>”), dated as of November 1, 2024, among Uniti Group LP, a Delaware limited partnership (“</w:t>
      </w:r>
      <w:r>
        <w:rPr>
          <w:rFonts w:ascii="Times New Roman" w:cs="Times New Roman" w:eastAsia="Times New Roman" w:hAnsi="Times New Roman"/>
          <w:sz w:val="22"/>
          <w:szCs w:val="22"/>
          <w:b w:val="1"/>
          <w:bCs w:val="1"/>
          <w:color w:val="auto"/>
        </w:rPr>
        <w:t>Uniti</w:t>
      </w:r>
      <w:r>
        <w:rPr>
          <w:rFonts w:ascii="Times New Roman" w:cs="Times New Roman" w:eastAsia="Times New Roman" w:hAnsi="Times New Roman"/>
          <w:sz w:val="22"/>
          <w:szCs w:val="22"/>
          <w:color w:val="auto"/>
        </w:rPr>
        <w:t>”), Uniti Fiber Holdings Inc., a Delaware corporation (“</w:t>
      </w:r>
      <w:r>
        <w:rPr>
          <w:rFonts w:ascii="Times New Roman" w:cs="Times New Roman" w:eastAsia="Times New Roman" w:hAnsi="Times New Roman"/>
          <w:sz w:val="22"/>
          <w:szCs w:val="22"/>
          <w:b w:val="1"/>
          <w:bCs w:val="1"/>
          <w:color w:val="auto"/>
        </w:rPr>
        <w:t>Uniti Fiber</w:t>
      </w:r>
      <w:r>
        <w:rPr>
          <w:rFonts w:ascii="Times New Roman" w:cs="Times New Roman" w:eastAsia="Times New Roman" w:hAnsi="Times New Roman"/>
          <w:sz w:val="22"/>
          <w:szCs w:val="22"/>
          <w:color w:val="auto"/>
        </w:rPr>
        <w:t>”), Uniti Group Finance 2019 Inc., a Delaware corporation (“</w:t>
      </w:r>
      <w:r>
        <w:rPr>
          <w:rFonts w:ascii="Times New Roman" w:cs="Times New Roman" w:eastAsia="Times New Roman" w:hAnsi="Times New Roman"/>
          <w:sz w:val="22"/>
          <w:szCs w:val="22"/>
          <w:b w:val="1"/>
          <w:bCs w:val="1"/>
          <w:color w:val="auto"/>
        </w:rPr>
        <w:t>Uniti Group Finance</w:t>
      </w:r>
      <w:r>
        <w:rPr>
          <w:rFonts w:ascii="Times New Roman" w:cs="Times New Roman" w:eastAsia="Times New Roman" w:hAnsi="Times New Roman"/>
          <w:sz w:val="22"/>
          <w:szCs w:val="22"/>
          <w:color w:val="auto"/>
        </w:rPr>
        <w:t>”) and CSL Capital, LLC, a Delaware limited liability company (“</w:t>
      </w:r>
      <w:r>
        <w:rPr>
          <w:rFonts w:ascii="Times New Roman" w:cs="Times New Roman" w:eastAsia="Times New Roman" w:hAnsi="Times New Roman"/>
          <w:sz w:val="22"/>
          <w:szCs w:val="22"/>
          <w:b w:val="1"/>
          <w:bCs w:val="1"/>
          <w:color w:val="auto"/>
        </w:rPr>
        <w:t>CSL Capital</w:t>
      </w:r>
      <w:r>
        <w:rPr>
          <w:rFonts w:ascii="Times New Roman" w:cs="Times New Roman" w:eastAsia="Times New Roman" w:hAnsi="Times New Roman"/>
          <w:sz w:val="22"/>
          <w:szCs w:val="22"/>
          <w:color w:val="auto"/>
        </w:rPr>
        <w:t>,” and together with Uniti, Uniti Fiber and Uniti Group Finance, the “</w:t>
      </w:r>
      <w:r>
        <w:rPr>
          <w:rFonts w:ascii="Times New Roman" w:cs="Times New Roman" w:eastAsia="Times New Roman" w:hAnsi="Times New Roman"/>
          <w:sz w:val="22"/>
          <w:szCs w:val="22"/>
          <w:b w:val="1"/>
          <w:bCs w:val="1"/>
          <w:color w:val="auto"/>
        </w:rPr>
        <w:t>Issuers</w:t>
      </w:r>
      <w:r>
        <w:rPr>
          <w:rFonts w:ascii="Times New Roman" w:cs="Times New Roman" w:eastAsia="Times New Roman" w:hAnsi="Times New Roman"/>
          <w:sz w:val="22"/>
          <w:szCs w:val="22"/>
          <w:color w:val="auto"/>
        </w:rPr>
        <w:t>”), the guarantors listed on the signature pages hereto (the “</w:t>
      </w:r>
      <w:r>
        <w:rPr>
          <w:rFonts w:ascii="Times New Roman" w:cs="Times New Roman" w:eastAsia="Times New Roman" w:hAnsi="Times New Roman"/>
          <w:sz w:val="22"/>
          <w:szCs w:val="22"/>
          <w:b w:val="1"/>
          <w:bCs w:val="1"/>
          <w:color w:val="auto"/>
        </w:rPr>
        <w:t>Guarantors</w:t>
      </w:r>
      <w:r>
        <w:rPr>
          <w:rFonts w:ascii="Times New Roman" w:cs="Times New Roman" w:eastAsia="Times New Roman" w:hAnsi="Times New Roman"/>
          <w:sz w:val="22"/>
          <w:szCs w:val="22"/>
          <w:color w:val="auto"/>
        </w:rPr>
        <w:t>”) and Deutsche Bank Trust Company Americas, a New York banking corporation, as trustee and as collateral agent (the “</w:t>
      </w:r>
      <w:r>
        <w:rPr>
          <w:rFonts w:ascii="Times New Roman" w:cs="Times New Roman" w:eastAsia="Times New Roman" w:hAnsi="Times New Roman"/>
          <w:sz w:val="22"/>
          <w:szCs w:val="22"/>
          <w:b w:val="1"/>
          <w:bCs w:val="1"/>
          <w:color w:val="auto"/>
        </w:rPr>
        <w:t>Trustee</w:t>
      </w:r>
      <w:r>
        <w:rPr>
          <w:rFonts w:ascii="Times New Roman" w:cs="Times New Roman" w:eastAsia="Times New Roman" w:hAnsi="Times New Roman"/>
          <w:sz w:val="22"/>
          <w:szCs w:val="22"/>
          <w:color w:val="auto"/>
        </w:rPr>
        <w: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220" w:lineRule="exact"/>
        <w:rPr>
          <w:sz w:val="20"/>
          <w:szCs w:val="20"/>
          <w:color w:val="auto"/>
        </w:rPr>
      </w:pPr>
    </w:p>
    <w:p>
      <w:pPr>
        <w:ind w:right="120" w:firstLine="648"/>
        <w:spacing w:after="0" w:line="252" w:lineRule="auto"/>
        <w:rPr>
          <w:sz w:val="20"/>
          <w:szCs w:val="20"/>
          <w:color w:val="auto"/>
        </w:rPr>
      </w:pPr>
      <w:r>
        <w:rPr>
          <w:rFonts w:ascii="Times New Roman" w:cs="Times New Roman" w:eastAsia="Times New Roman" w:hAnsi="Times New Roman"/>
          <w:sz w:val="22"/>
          <w:szCs w:val="22"/>
          <w:color w:val="auto"/>
        </w:rPr>
        <w:t>WHEREAS the Issuers and the Guarantors have heretofore executed and delivered to the Trustee an indenture (as amended, supplemented or otherwise modified through the date hereof, the “</w:t>
      </w: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 dated as of February 14, 2023, among the Issuers, the Guarantors party thereto and the Trustee, providing for the issuance of 10.50% Senior Secured Notes due 2028 (the “</w:t>
      </w:r>
      <w:r>
        <w:rPr>
          <w:rFonts w:ascii="Times New Roman" w:cs="Times New Roman" w:eastAsia="Times New Roman" w:hAnsi="Times New Roman"/>
          <w:sz w:val="22"/>
          <w:szCs w:val="22"/>
          <w:b w:val="1"/>
          <w:bCs w:val="1"/>
          <w:color w:val="auto"/>
        </w:rPr>
        <w:t>Notes</w:t>
      </w:r>
      <w:r>
        <w:rPr>
          <w:rFonts w:ascii="Times New Roman" w:cs="Times New Roman" w:eastAsia="Times New Roman" w:hAnsi="Times New Roman"/>
          <w:sz w:val="22"/>
          <w:szCs w:val="22"/>
          <w:color w:val="auto"/>
        </w:rPr>
        <w:t>”), initially in the aggregate principal amount of $2,600,000,000 (the “</w:t>
      </w:r>
      <w:r>
        <w:rPr>
          <w:rFonts w:ascii="Times New Roman" w:cs="Times New Roman" w:eastAsia="Times New Roman" w:hAnsi="Times New Roman"/>
          <w:sz w:val="22"/>
          <w:szCs w:val="22"/>
          <w:b w:val="1"/>
          <w:bCs w:val="1"/>
          <w:color w:val="auto"/>
        </w:rPr>
        <w:t>Initial Notes</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ind w:right="220" w:firstLine="648"/>
        <w:spacing w:after="0" w:line="313" w:lineRule="auto"/>
        <w:rPr>
          <w:sz w:val="20"/>
          <w:szCs w:val="20"/>
          <w:color w:val="auto"/>
        </w:rPr>
      </w:pPr>
      <w:r>
        <w:rPr>
          <w:rFonts w:ascii="Times New Roman" w:cs="Times New Roman" w:eastAsia="Times New Roman" w:hAnsi="Times New Roman"/>
          <w:sz w:val="21"/>
          <w:szCs w:val="21"/>
          <w:color w:val="auto"/>
        </w:rPr>
        <w:t>WHEREAS the issuance and delivery of an aggregate principal amount of $300,000,000 of Notes (the “</w:t>
      </w:r>
      <w:r>
        <w:rPr>
          <w:rFonts w:ascii="Times New Roman" w:cs="Times New Roman" w:eastAsia="Times New Roman" w:hAnsi="Times New Roman"/>
          <w:sz w:val="21"/>
          <w:szCs w:val="21"/>
          <w:b w:val="1"/>
          <w:bCs w:val="1"/>
          <w:color w:val="auto"/>
        </w:rPr>
        <w:t>New Notes</w:t>
      </w:r>
      <w:r>
        <w:rPr>
          <w:rFonts w:ascii="Times New Roman" w:cs="Times New Roman" w:eastAsia="Times New Roman" w:hAnsi="Times New Roman"/>
          <w:sz w:val="21"/>
          <w:szCs w:val="21"/>
          <w:color w:val="auto"/>
        </w:rPr>
        <w:t>”) as Additional Notes under the Indenture have been authorized by resolutions adopted by the boards of directors of the Issuers;</w:t>
      </w:r>
    </w:p>
    <w:p>
      <w:pPr>
        <w:spacing w:after="0" w:line="117" w:lineRule="exact"/>
        <w:rPr>
          <w:sz w:val="20"/>
          <w:szCs w:val="20"/>
          <w:color w:val="auto"/>
        </w:rPr>
      </w:pPr>
    </w:p>
    <w:p>
      <w:pPr>
        <w:ind w:right="240" w:firstLine="648"/>
        <w:spacing w:after="0" w:line="257" w:lineRule="auto"/>
        <w:rPr>
          <w:sz w:val="20"/>
          <w:szCs w:val="20"/>
          <w:color w:val="auto"/>
        </w:rPr>
      </w:pPr>
      <w:r>
        <w:rPr>
          <w:rFonts w:ascii="Times New Roman" w:cs="Times New Roman" w:eastAsia="Times New Roman" w:hAnsi="Times New Roman"/>
          <w:sz w:val="22"/>
          <w:szCs w:val="22"/>
          <w:color w:val="auto"/>
        </w:rPr>
        <w:t>WHEREAS the Incurrence of the Indebtedness represented by the New Notes is permitted as of the date hereof by Sections 2.01 and 4.09 of the Indenture and the New Notes will be issued in compliance with the other applicable provisions of the Indenture;</w:t>
      </w:r>
    </w:p>
    <w:p>
      <w:pPr>
        <w:spacing w:after="0" w:line="173" w:lineRule="exact"/>
        <w:rPr>
          <w:sz w:val="20"/>
          <w:szCs w:val="20"/>
          <w:color w:val="auto"/>
        </w:rPr>
      </w:pPr>
    </w:p>
    <w:p>
      <w:pPr>
        <w:ind w:right="380" w:firstLine="648"/>
        <w:spacing w:after="0" w:line="284" w:lineRule="auto"/>
        <w:rPr>
          <w:sz w:val="20"/>
          <w:szCs w:val="20"/>
          <w:color w:val="auto"/>
        </w:rPr>
      </w:pPr>
      <w:r>
        <w:rPr>
          <w:rFonts w:ascii="Times New Roman" w:cs="Times New Roman" w:eastAsia="Times New Roman" w:hAnsi="Times New Roman"/>
          <w:sz w:val="22"/>
          <w:szCs w:val="22"/>
          <w:color w:val="auto"/>
        </w:rPr>
        <w:t>WHEREAS the Issuers and the Guarantors have complied with all applicable conditions precedent provided for in the Indenture related to the issuance of the New Notes;</w:t>
      </w:r>
    </w:p>
    <w:p>
      <w:pPr>
        <w:spacing w:after="0" w:line="144" w:lineRule="exact"/>
        <w:rPr>
          <w:sz w:val="20"/>
          <w:szCs w:val="20"/>
          <w:color w:val="auto"/>
        </w:rPr>
      </w:pPr>
    </w:p>
    <w:p>
      <w:pPr>
        <w:ind w:right="400" w:firstLine="648"/>
        <w:spacing w:after="0" w:line="271" w:lineRule="auto"/>
        <w:rPr>
          <w:sz w:val="20"/>
          <w:szCs w:val="20"/>
          <w:color w:val="auto"/>
        </w:rPr>
      </w:pPr>
      <w:r>
        <w:rPr>
          <w:rFonts w:ascii="Times New Roman" w:cs="Times New Roman" w:eastAsia="Times New Roman" w:hAnsi="Times New Roman"/>
          <w:sz w:val="22"/>
          <w:szCs w:val="22"/>
          <w:color w:val="auto"/>
        </w:rPr>
        <w:t>WHEREAS the Initial Notes and the New Notes will be treated as a single series with the other Notes for all purposes under the Indenture and will have the same terms as to status, redemption or otherwise as such Notes; and</w:t>
      </w:r>
    </w:p>
    <w:p>
      <w:pPr>
        <w:spacing w:after="0" w:line="158" w:lineRule="exact"/>
        <w:rPr>
          <w:sz w:val="20"/>
          <w:szCs w:val="20"/>
          <w:color w:val="auto"/>
        </w:rPr>
      </w:pPr>
    </w:p>
    <w:p>
      <w:pPr>
        <w:ind w:right="600" w:firstLine="648"/>
        <w:spacing w:after="0" w:line="263" w:lineRule="auto"/>
        <w:rPr>
          <w:sz w:val="20"/>
          <w:szCs w:val="20"/>
          <w:color w:val="auto"/>
        </w:rPr>
      </w:pPr>
      <w:r>
        <w:rPr>
          <w:rFonts w:ascii="Times New Roman" w:cs="Times New Roman" w:eastAsia="Times New Roman" w:hAnsi="Times New Roman"/>
          <w:sz w:val="22"/>
          <w:szCs w:val="22"/>
          <w:color w:val="auto"/>
        </w:rPr>
        <w:t>WHEREAS the Issuers and the Guarantors have requested that the Trustee execute and deliver this Supplemental Indenture and, pursuant to Section 9.01 of the Indenture, the Trustee is authorized to execute and deliver this Supplemental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#98837542v7</w:t>
      </w:r>
    </w:p>
    <w:p>
      <w:pPr>
        <w:sectPr>
          <w:pgSz w:w="11900" w:h="16838" w:orient="portrait"/>
          <w:cols w:equalWidth="0" w:num="1">
            <w:col w:w="11240"/>
          </w:cols>
          <w:pgMar w:left="320" w:top="118" w:right="339" w:bottom="1440" w:gutter="0" w:footer="0" w:header="0"/>
        </w:sectPr>
      </w:pPr>
    </w:p>
    <w:bookmarkStart w:id="67" w:name="page68"/>
    <w:bookmarkEnd w:id="67"/>
    <w:p>
      <w:pPr>
        <w:ind w:right="180"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and sufficiency of which are hereby acknowledged, the Issuers, the Guarantors and the Trustee mutually covenant and agree for the equal and ratable benefit of the Holders of the Notes as follows:</w:t>
      </w:r>
    </w:p>
    <w:p>
      <w:pPr>
        <w:spacing w:after="0" w:line="186"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As used in this Supplemental Indenture, terms defined in the Indenture or in the preamble or recitals hereto are used herein as therein defined, except that the term “Holders” in this Supplemental Indenture shall refer to the term “Holders” as defined in the Indenture and the Trustee acting on behalf of and for the benefit of such holders of Notes. The words “herein,” “hereof” and “hereby” and other words of similar import used in this Supplemental Indenture refer to this Supplemental Indenture as a whole and not to any particular section hereof.</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Terms of New Securities</w:t>
      </w:r>
      <w:r>
        <w:rPr>
          <w:rFonts w:ascii="Times New Roman" w:cs="Times New Roman" w:eastAsia="Times New Roman" w:hAnsi="Times New Roman"/>
          <w:sz w:val="22"/>
          <w:szCs w:val="22"/>
          <w:color w:val="auto"/>
        </w:rPr>
        <w:t>. The following terms relating to the New Notes are hereby established:</w:t>
      </w:r>
    </w:p>
    <w:p>
      <w:pPr>
        <w:spacing w:after="0" w:line="216" w:lineRule="exact"/>
        <w:rPr>
          <w:sz w:val="20"/>
          <w:szCs w:val="20"/>
          <w:color w:val="auto"/>
        </w:rPr>
      </w:pPr>
    </w:p>
    <w:p>
      <w:pPr>
        <w:ind w:left="1620" w:right="940" w:hanging="316"/>
        <w:spacing w:after="0" w:line="270" w:lineRule="auto"/>
        <w:tabs>
          <w:tab w:leader="none" w:pos="1628" w:val="left"/>
        </w:tabs>
        <w:numPr>
          <w:ilvl w:val="0"/>
          <w:numId w:val="13"/>
        </w:numPr>
        <w:rPr>
          <w:rFonts w:ascii="Cambria" w:cs="Cambria" w:eastAsia="Cambria" w:hAnsi="Cambria"/>
          <w:sz w:val="22"/>
          <w:szCs w:val="22"/>
          <w:b w:val="1"/>
          <w:bCs w:val="1"/>
          <w:color w:val="auto"/>
        </w:rPr>
      </w:pPr>
      <w:r>
        <w:rPr>
          <w:rFonts w:ascii="Times New Roman" w:cs="Times New Roman" w:eastAsia="Times New Roman" w:hAnsi="Times New Roman"/>
          <w:sz w:val="22"/>
          <w:szCs w:val="22"/>
          <w:i w:val="1"/>
          <w:iCs w:val="1"/>
          <w:color w:val="auto"/>
        </w:rPr>
        <w:t>Principal Amount</w:t>
      </w:r>
      <w:r>
        <w:rPr>
          <w:rFonts w:ascii="Times New Roman" w:cs="Times New Roman" w:eastAsia="Times New Roman" w:hAnsi="Times New Roman"/>
          <w:sz w:val="22"/>
          <w:szCs w:val="22"/>
          <w:color w:val="auto"/>
        </w:rPr>
        <w:t>. The aggregate principal amount of the New Notes that may be authenticated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delivered under the Indenture, as amended hereby, shall be $300,000,000.</w:t>
      </w:r>
    </w:p>
    <w:p>
      <w:pPr>
        <w:spacing w:after="0" w:line="158" w:lineRule="exact"/>
        <w:rPr>
          <w:rFonts w:ascii="Cambria" w:cs="Cambria" w:eastAsia="Cambria" w:hAnsi="Cambria"/>
          <w:sz w:val="22"/>
          <w:szCs w:val="22"/>
          <w:b w:val="1"/>
          <w:bCs w:val="1"/>
          <w:color w:val="auto"/>
        </w:rPr>
      </w:pPr>
    </w:p>
    <w:p>
      <w:pPr>
        <w:ind w:left="1620" w:right="1060" w:hanging="316"/>
        <w:spacing w:after="0" w:line="266" w:lineRule="auto"/>
        <w:tabs>
          <w:tab w:leader="none" w:pos="1640" w:val="left"/>
        </w:tabs>
        <w:numPr>
          <w:ilvl w:val="0"/>
          <w:numId w:val="13"/>
        </w:numPr>
        <w:rPr>
          <w:rFonts w:ascii="Cambria" w:cs="Cambria" w:eastAsia="Cambria" w:hAnsi="Cambria"/>
          <w:sz w:val="22"/>
          <w:szCs w:val="22"/>
          <w:b w:val="1"/>
          <w:bCs w:val="1"/>
          <w:color w:val="auto"/>
        </w:rPr>
      </w:pPr>
      <w:r>
        <w:rPr>
          <w:rFonts w:ascii="Times New Roman" w:cs="Times New Roman" w:eastAsia="Times New Roman" w:hAnsi="Times New Roman"/>
          <w:sz w:val="22"/>
          <w:szCs w:val="22"/>
          <w:color w:val="auto"/>
        </w:rPr>
        <w:t>The New Notes shall be issuable in whole or in part in the form of one or more Global Notes. The depositary for such Global Notes shall be The Depository Trust Company.</w:t>
      </w:r>
    </w:p>
    <w:p>
      <w:pPr>
        <w:spacing w:after="0" w:line="162" w:lineRule="exact"/>
        <w:rPr>
          <w:rFonts w:ascii="Cambria" w:cs="Cambria" w:eastAsia="Cambria" w:hAnsi="Cambria"/>
          <w:sz w:val="22"/>
          <w:szCs w:val="22"/>
          <w:b w:val="1"/>
          <w:bCs w:val="1"/>
          <w:color w:val="auto"/>
        </w:rPr>
      </w:pPr>
    </w:p>
    <w:p>
      <w:pPr>
        <w:ind w:left="1620" w:right="960" w:hanging="316"/>
        <w:spacing w:after="0" w:line="279" w:lineRule="auto"/>
        <w:tabs>
          <w:tab w:leader="none" w:pos="1628" w:val="left"/>
        </w:tabs>
        <w:numPr>
          <w:ilvl w:val="0"/>
          <w:numId w:val="13"/>
        </w:numPr>
        <w:rPr>
          <w:rFonts w:ascii="Cambria" w:cs="Cambria" w:eastAsia="Cambria" w:hAnsi="Cambria"/>
          <w:sz w:val="22"/>
          <w:szCs w:val="22"/>
          <w:b w:val="1"/>
          <w:bCs w:val="1"/>
          <w:color w:val="auto"/>
        </w:rPr>
      </w:pPr>
      <w:r>
        <w:rPr>
          <w:rFonts w:ascii="Times New Roman" w:cs="Times New Roman" w:eastAsia="Times New Roman" w:hAnsi="Times New Roman"/>
          <w:sz w:val="22"/>
          <w:szCs w:val="22"/>
          <w:color w:val="auto"/>
        </w:rPr>
        <w:t>The New Notes shall have the other terms set forth in the form of global security attached hereto as Exhibit A.</w:t>
      </w:r>
    </w:p>
    <w:p>
      <w:pPr>
        <w:spacing w:after="0" w:line="148" w:lineRule="exact"/>
        <w:rPr>
          <w:rFonts w:ascii="Cambria" w:cs="Cambria" w:eastAsia="Cambria" w:hAnsi="Cambria"/>
          <w:sz w:val="22"/>
          <w:szCs w:val="22"/>
          <w:b w:val="1"/>
          <w:bCs w:val="1"/>
          <w:color w:val="auto"/>
        </w:rPr>
      </w:pPr>
    </w:p>
    <w:p>
      <w:pPr>
        <w:ind w:left="1640" w:hanging="336"/>
        <w:spacing w:after="0"/>
        <w:tabs>
          <w:tab w:leader="none" w:pos="1640" w:val="left"/>
        </w:tabs>
        <w:numPr>
          <w:ilvl w:val="0"/>
          <w:numId w:val="13"/>
        </w:numPr>
        <w:rPr>
          <w:rFonts w:ascii="Cambria" w:cs="Cambria" w:eastAsia="Cambria" w:hAnsi="Cambria"/>
          <w:sz w:val="22"/>
          <w:szCs w:val="22"/>
          <w:b w:val="1"/>
          <w:bCs w:val="1"/>
          <w:color w:val="auto"/>
        </w:rPr>
      </w:pPr>
      <w:r>
        <w:rPr>
          <w:rFonts w:ascii="Times New Roman" w:cs="Times New Roman" w:eastAsia="Times New Roman" w:hAnsi="Times New Roman"/>
          <w:sz w:val="22"/>
          <w:szCs w:val="22"/>
          <w:color w:val="auto"/>
        </w:rPr>
        <w:t>The New Notes shall be considered Additional Notes issued pursuant to Section 2.01 of the Indenture.</w:t>
      </w:r>
    </w:p>
    <w:p>
      <w:pPr>
        <w:spacing w:after="0" w:line="215" w:lineRule="exact"/>
        <w:rPr>
          <w:sz w:val="20"/>
          <w:szCs w:val="20"/>
          <w:color w:val="auto"/>
        </w:rPr>
      </w:pPr>
    </w:p>
    <w:p>
      <w:pPr>
        <w:ind w:right="240"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Form of the New Notes</w:t>
      </w:r>
      <w:r>
        <w:rPr>
          <w:rFonts w:ascii="Times New Roman" w:cs="Times New Roman" w:eastAsia="Times New Roman" w:hAnsi="Times New Roman"/>
          <w:sz w:val="22"/>
          <w:szCs w:val="22"/>
          <w:color w:val="auto"/>
        </w:rPr>
        <w:t>. The New Notes and the Trustee’s certificate of authentication shall be substantially in the form of Exhibit A attached hereto. The New Notes shall be executed on behalf of each Issuer by an Officer and authenticated by the Trustee pursuant to Section 2.02 of the Indenture.</w:t>
      </w:r>
    </w:p>
    <w:p>
      <w:pPr>
        <w:spacing w:after="0" w:line="186" w:lineRule="exact"/>
        <w:rPr>
          <w:sz w:val="20"/>
          <w:szCs w:val="20"/>
          <w:color w:val="auto"/>
        </w:rPr>
      </w:pPr>
    </w:p>
    <w:p>
      <w:pPr>
        <w:ind w:right="20"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Ratification of Indenture; Supplemental Indentures Part of Indenture</w:t>
      </w:r>
      <w:r>
        <w:rPr>
          <w:rFonts w:ascii="Times New Roman" w:cs="Times New Roman" w:eastAsia="Times New Roman" w:hAnsi="Times New Roman"/>
          <w:sz w:val="22"/>
          <w:szCs w:val="22"/>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179" w:lineRule="exact"/>
        <w:rPr>
          <w:sz w:val="20"/>
          <w:szCs w:val="20"/>
          <w:color w:val="auto"/>
        </w:rPr>
      </w:pPr>
    </w:p>
    <w:p>
      <w:pPr>
        <w:ind w:right="60" w:firstLine="1296"/>
        <w:spacing w:after="0" w:line="284"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Reaffirmation</w:t>
      </w:r>
      <w:r>
        <w:rPr>
          <w:rFonts w:ascii="Times New Roman" w:cs="Times New Roman" w:eastAsia="Times New Roman" w:hAnsi="Times New Roman"/>
          <w:sz w:val="22"/>
          <w:szCs w:val="22"/>
          <w:color w:val="auto"/>
        </w:rPr>
        <w:t>. Each of the Issuers hereby ratifies and reaffirms its Obligations under the Indenture and the Notes; each Guarantor hereby ratifies and reaffirms its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180"/>
          </w:cols>
          <w:pgMar w:left="320" w:top="1422" w:right="399" w:bottom="1440" w:gutter="0" w:footer="0" w:header="0"/>
        </w:sectPr>
      </w:pPr>
    </w:p>
    <w:bookmarkStart w:id="68" w:name="page69"/>
    <w:bookmarkEnd w:id="68"/>
    <w:p>
      <w:pPr>
        <w:ind w:firstLine="1296"/>
        <w:spacing w:after="0" w:line="275"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THIS SUPPLEMENTAL INDENTURE SHALL BE GOVERNED BY,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CONSTRUED IN ACCORDANCE WITH, THE LAWS OF THE STATE OF NEW YORK.</w:t>
      </w:r>
    </w:p>
    <w:p>
      <w:pPr>
        <w:spacing w:after="0" w:line="153" w:lineRule="exact"/>
        <w:rPr>
          <w:sz w:val="20"/>
          <w:szCs w:val="20"/>
          <w:color w:val="auto"/>
        </w:rPr>
      </w:pPr>
    </w:p>
    <w:p>
      <w:pPr>
        <w:ind w:right="60"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The parties may sign any number of copies of this Supplemental Indenture. Each signed copy shall be an original, but all of them together represent the same agreement. The exchange of copies of this Supplemental Indenture and of signature pages by facsimile, electronic or PDF transmission shall constitute effective execution and delivery of this Supplemental Indenture as to the parties hereto and may be used in lieu of the original Supplemental Indenture and signature pages for all purposes.</w:t>
      </w:r>
    </w:p>
    <w:p>
      <w:pPr>
        <w:spacing w:after="0" w:line="179" w:lineRule="exact"/>
        <w:rPr>
          <w:sz w:val="20"/>
          <w:szCs w:val="20"/>
          <w:color w:val="auto"/>
        </w:rPr>
      </w:pPr>
    </w:p>
    <w:p>
      <w:pPr>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Interpretation; Effect of Headings</w:t>
      </w:r>
      <w:r>
        <w:rPr>
          <w:rFonts w:ascii="Times New Roman" w:cs="Times New Roman" w:eastAsia="Times New Roman" w:hAnsi="Times New Roman"/>
          <w:sz w:val="22"/>
          <w:szCs w:val="22"/>
          <w:color w:val="auto"/>
        </w:rPr>
        <w:t>. This Supplemental Indenture is an amendment supplemental to the Indenture and the Indenture and this Supplemental Indenture will henceforth be read together. The Section headings herein are for convenience only and shall not effect the construction thereof.</w:t>
      </w:r>
    </w:p>
    <w:p>
      <w:pPr>
        <w:spacing w:after="0" w:line="167" w:lineRule="exact"/>
        <w:rPr>
          <w:sz w:val="20"/>
          <w:szCs w:val="20"/>
          <w:color w:val="auto"/>
        </w:rPr>
      </w:pPr>
    </w:p>
    <w:p>
      <w:pPr>
        <w:ind w:right="60"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Obligations of the Trustee</w:t>
      </w:r>
      <w:r>
        <w:rPr>
          <w:rFonts w:ascii="Times New Roman" w:cs="Times New Roman" w:eastAsia="Times New Roman" w:hAnsi="Times New Roman"/>
          <w:sz w:val="22"/>
          <w:szCs w:val="22"/>
          <w:color w:val="auto"/>
        </w:rPr>
        <w:t>. Except as otherwise expressly provided herein, no duties, responsibilities or liabilities are assumed, or shall be construed to be assumed, by the Trustee by reason of this Supplemental Indenture. This Supplemental Indenture is executed and accepted by the Trustee subject to all the terms and conditions set forth in the Indenture with the same force and effect as if those terms and conditions were repeated at length herein and made applicable to the Trustee with respect hereto.</w:t>
      </w:r>
    </w:p>
    <w:p>
      <w:pPr>
        <w:spacing w:after="0" w:line="17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080"/>
          </w:cols>
          <w:pgMar w:left="320" w:top="1418" w:right="499" w:bottom="1440" w:gutter="0" w:footer="0" w:header="0"/>
        </w:sectPr>
      </w:pPr>
    </w:p>
    <w:bookmarkStart w:id="69" w:name="page70"/>
    <w:bookmarkEnd w:id="69"/>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Supplemental Indenture to be duly executed as of the date first above written.</w:t>
      </w:r>
    </w:p>
    <w:p>
      <w:pPr>
        <w:spacing w:after="0" w:line="3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ISSUERS:</w:t>
      </w:r>
    </w:p>
    <w:p>
      <w:pPr>
        <w:spacing w:after="0" w:line="200" w:lineRule="exact"/>
        <w:rPr>
          <w:sz w:val="20"/>
          <w:szCs w:val="20"/>
          <w:color w:val="auto"/>
        </w:rPr>
      </w:pPr>
    </w:p>
    <w:p>
      <w:pPr>
        <w:spacing w:after="0" w:line="29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UNITI GROUP LP</w:t>
      </w:r>
    </w:p>
    <w:p>
      <w:pPr>
        <w:spacing w:after="0" w:line="200" w:lineRule="exact"/>
        <w:rPr>
          <w:sz w:val="20"/>
          <w:szCs w:val="20"/>
          <w:color w:val="auto"/>
        </w:rPr>
      </w:pPr>
    </w:p>
    <w:p>
      <w:pPr>
        <w:spacing w:after="0" w:line="23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By: Uniti Group Inc., as its general partner</w:t>
      </w:r>
    </w:p>
    <w:p>
      <w:pPr>
        <w:spacing w:after="0" w:line="200" w:lineRule="exact"/>
        <w:rPr>
          <w:sz w:val="20"/>
          <w:szCs w:val="20"/>
          <w:color w:val="auto"/>
        </w:rPr>
      </w:pPr>
    </w:p>
    <w:p>
      <w:pPr>
        <w:spacing w:after="0" w:line="286" w:lineRule="exact"/>
        <w:rPr>
          <w:sz w:val="20"/>
          <w:szCs w:val="20"/>
          <w:color w:val="auto"/>
        </w:rPr>
      </w:pPr>
    </w:p>
    <w:tbl>
      <w:tblPr>
        <w:tblLayout w:type="fixed"/>
        <w:tblInd w:w="3300" w:type="dxa"/>
        <w:tblCellMar>
          <w:top w:w="0" w:type="dxa"/>
          <w:left w:w="0" w:type="dxa"/>
          <w:bottom w:w="0" w:type="dxa"/>
          <w:right w:w="0" w:type="dxa"/>
        </w:tblCellMar>
      </w:tblPr>
      <w:tr>
        <w:trPr>
          <w:trHeight w:val="262"/>
        </w:trPr>
        <w:tc>
          <w:tcPr>
            <w:tcW w:w="300" w:type="dxa"/>
            <w:vAlign w:val="bottom"/>
          </w:tcPr>
          <w:p>
            <w:pPr>
              <w:spacing w:after="0"/>
              <w:rPr>
                <w:sz w:val="20"/>
                <w:szCs w:val="20"/>
                <w:color w:val="auto"/>
              </w:rPr>
            </w:pPr>
            <w:r>
              <w:rPr>
                <w:rFonts w:ascii="Times New Roman" w:cs="Times New Roman" w:eastAsia="Times New Roman" w:hAnsi="Times New Roman"/>
                <w:sz w:val="20"/>
                <w:szCs w:val="20"/>
                <w:color w:val="auto"/>
                <w:w w:val="96"/>
              </w:rPr>
              <w:t>By:</w:t>
            </w:r>
          </w:p>
        </w:tc>
        <w:tc>
          <w:tcPr>
            <w:tcW w:w="100" w:type="dxa"/>
            <w:vAlign w:val="bottom"/>
          </w:tcPr>
          <w:p>
            <w:pPr>
              <w:spacing w:after="0"/>
              <w:rPr>
                <w:sz w:val="22"/>
                <w:szCs w:val="22"/>
                <w:color w:val="auto"/>
              </w:rPr>
            </w:pPr>
          </w:p>
        </w:tc>
        <w:tc>
          <w:tcPr>
            <w:tcW w:w="42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/s/ Daniel L. Heard</w:t>
            </w:r>
          </w:p>
        </w:tc>
      </w:tr>
      <w:tr>
        <w:trPr>
          <w:trHeight w:val="256"/>
        </w:trPr>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20"/>
                <w:szCs w:val="20"/>
                <w:color w:val="auto"/>
              </w:rPr>
              <w:t>Name: Daniel L. Heard</w:t>
            </w:r>
          </w:p>
        </w:tc>
      </w:tr>
      <w:tr>
        <w:trPr>
          <w:trHeight w:val="259"/>
        </w:trPr>
        <w:tc>
          <w:tcPr>
            <w:tcW w:w="300" w:type="dxa"/>
            <w:vAlign w:val="bottom"/>
          </w:tcPr>
          <w:p>
            <w:pPr>
              <w:spacing w:after="0"/>
              <w:rPr>
                <w:sz w:val="22"/>
                <w:szCs w:val="22"/>
                <w:color w:val="auto"/>
              </w:rPr>
            </w:pPr>
          </w:p>
        </w:tc>
        <w:tc>
          <w:tcPr>
            <w:tcW w:w="4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Title: Executive Vice President – General Counsel</w:t>
            </w:r>
          </w:p>
        </w:tc>
      </w:tr>
      <w:tr>
        <w:trPr>
          <w:trHeight w:val="258"/>
        </w:trPr>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2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UNITI FIBER HOLDINGS INC.</w:t>
      </w:r>
    </w:p>
    <w:p>
      <w:pPr>
        <w:spacing w:after="0" w:line="28" w:lineRule="exact"/>
        <w:rPr>
          <w:sz w:val="20"/>
          <w:szCs w:val="20"/>
          <w:color w:val="auto"/>
        </w:rPr>
      </w:pPr>
    </w:p>
    <w:p>
      <w:pPr>
        <w:ind w:left="3180"/>
        <w:spacing w:after="0"/>
        <w:tabs>
          <w:tab w:leader="none" w:pos="39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Daniel 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47625</wp:posOffset>
            </wp:positionV>
            <wp:extent cx="24599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5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0"/>
          <w:szCs w:val="20"/>
          <w:color w:val="auto"/>
        </w:rPr>
        <w:t>Name: Daniel L. Heard</w:t>
      </w:r>
    </w:p>
    <w:p>
      <w:pPr>
        <w:spacing w:after="0" w:line="6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color w:val="auto"/>
        </w:rPr>
        <w:t>Title: Executive Vice President – General</w:t>
      </w:r>
    </w:p>
    <w:p>
      <w:pPr>
        <w:spacing w:after="0" w:line="2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UNITI GROUP FINANCE 2019 INC.</w:t>
      </w:r>
    </w:p>
    <w:p>
      <w:pPr>
        <w:spacing w:after="0" w:line="28" w:lineRule="exact"/>
        <w:rPr>
          <w:sz w:val="20"/>
          <w:szCs w:val="20"/>
          <w:color w:val="auto"/>
        </w:rPr>
      </w:pPr>
    </w:p>
    <w:p>
      <w:pPr>
        <w:ind w:left="3180"/>
        <w:spacing w:after="0"/>
        <w:tabs>
          <w:tab w:leader="none" w:pos="39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Daniel 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47625</wp:posOffset>
            </wp:positionV>
            <wp:extent cx="24599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5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0"/>
          <w:szCs w:val="20"/>
          <w:color w:val="auto"/>
        </w:rPr>
        <w:t>Name: Daniel L. Heard</w:t>
      </w:r>
    </w:p>
    <w:p>
      <w:pPr>
        <w:spacing w:after="0" w:line="6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color w:val="auto"/>
        </w:rPr>
        <w:t>Title: Executive Vice President – General</w:t>
      </w:r>
    </w:p>
    <w:p>
      <w:pPr>
        <w:spacing w:after="0" w:line="2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CSL CAPITAL, LLC</w:t>
      </w:r>
    </w:p>
    <w:p>
      <w:pPr>
        <w:spacing w:after="0" w:line="28" w:lineRule="exact"/>
        <w:rPr>
          <w:sz w:val="20"/>
          <w:szCs w:val="20"/>
          <w:color w:val="auto"/>
        </w:rPr>
      </w:pPr>
    </w:p>
    <w:p>
      <w:pPr>
        <w:ind w:left="3180"/>
        <w:spacing w:after="0"/>
        <w:tabs>
          <w:tab w:leader="none" w:pos="38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Daniel 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21590</wp:posOffset>
            </wp:positionV>
            <wp:extent cx="24599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8"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0"/>
          <w:szCs w:val="20"/>
          <w:color w:val="auto"/>
        </w:rPr>
        <w:t>Name: Daniel L. Heard</w:t>
      </w:r>
    </w:p>
    <w:p>
      <w:pPr>
        <w:spacing w:after="0" w:line="6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color w:val="auto"/>
        </w:rPr>
        <w:t>Title: Executive Vice President – General</w:t>
      </w:r>
    </w:p>
    <w:p>
      <w:pPr>
        <w:spacing w:after="0" w:line="2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w:t>
      </w:r>
      <w:r>
        <w:rPr>
          <w:rFonts w:ascii="Times New Roman" w:cs="Times New Roman" w:eastAsia="Times New Roman" w:hAnsi="Times New Roman"/>
          <w:sz w:val="18"/>
          <w:szCs w:val="18"/>
          <w:color w:val="auto"/>
        </w:rPr>
        <w: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#98837542v7</w:t>
      </w:r>
    </w:p>
    <w:p>
      <w:pPr>
        <w:sectPr>
          <w:pgSz w:w="11900" w:h="16838" w:orient="portrait"/>
          <w:cols w:equalWidth="0" w:num="1">
            <w:col w:w="11080"/>
          </w:cols>
          <w:pgMar w:left="320" w:top="1422" w:right="499" w:bottom="1440" w:gutter="0" w:footer="0" w:header="0"/>
        </w:sectPr>
      </w:pPr>
    </w:p>
    <w:bookmarkStart w:id="70" w:name="page71"/>
    <w:bookmarkEnd w:id="70"/>
    <w:p>
      <w:pPr>
        <w:ind w:left="2520"/>
        <w:spacing w:after="0"/>
        <w:rPr>
          <w:sz w:val="20"/>
          <w:szCs w:val="20"/>
          <w:color w:val="auto"/>
        </w:rPr>
      </w:pPr>
      <w:r>
        <w:rPr>
          <w:rFonts w:ascii="Times New Roman" w:cs="Times New Roman" w:eastAsia="Times New Roman" w:hAnsi="Times New Roman"/>
          <w:sz w:val="20"/>
          <w:szCs w:val="20"/>
          <w:color w:val="auto"/>
        </w:rPr>
        <w:t>THE GUARANTORS:</w:t>
      </w:r>
    </w:p>
    <w:p>
      <w:pPr>
        <w:spacing w:after="0" w:line="200" w:lineRule="exact"/>
        <w:rPr>
          <w:sz w:val="20"/>
          <w:szCs w:val="20"/>
          <w:color w:val="auto"/>
        </w:rPr>
      </w:pPr>
    </w:p>
    <w:p>
      <w:pPr>
        <w:spacing w:after="0" w:line="30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ANS CONNECT LLC</w:t>
      </w:r>
    </w:p>
    <w:p>
      <w:pPr>
        <w:spacing w:after="0" w:line="2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CONTACT NETWORK, LLC</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CSL ALABAMA SYSTEM, LLC</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CSL ARKANSAS SYSTEM, LLC</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CSL FLORIDA SYSTEM, LLC</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CSL GEORGIA REALTY, LLC</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CSL GEORGIA SYSTEM, LLC</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CSL IOWA SYSTEM, LLC</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CSL KENTUCKY SYSTEM, LLC</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CSL MISSISSIPPI SYSTEM, LLC</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CSL MISSOURI SYSTEM, LLC</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CSL NATIONAL GP, LLC</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CSL NEW MEXICO SYSTEM, LLC</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CSL NORTH CAROLINA REALTY GP, LLC</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CSL OHIO SYSTEM, LLC</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CSL OKLAHOMA SYSTEM, LLC</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CSL REALTY, LLC</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CSL TENNESSEE REALTY PARTNER, LLC</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CSL TENNESSEE REALTY, LLC</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CSL TEXAS SYSTEM, LLC</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HUNT TELECOMMUNICATIONS, LLC</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INFORMATION TRANSPORT SOLUTIONS, LLC</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NEXUS SYSTEMS, LLC</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PEG BANDWIDTH DC, LLC</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PEG BANDWIDTH DE, LLC</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PEG BANDWIDTH LA, LLC</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PEG BANDWIDTH MA, LLC</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PEG BANDWIDTH MD, LLC</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PEG BANDWIDTH MS, LLC</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PEG BANDWIDTH NJ, LLC</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PEG BANDWIDTH NY TELEPHONE CORP.</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PEG BANDWIDTH PA, LLC</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PEG BANDWIDTH TX, LLC</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PEG BANDWIDTH VA, LLC</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SOUTHERN LIGHT, LLC</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UNITI DARK FIBER LLC</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UNITI FIBER 2020 LLC</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UNITI FIBER LLC</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UNITI GROUP FINANCE INC.</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UNITI GROUP HOLDCO LLC</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UNITI GROUP INC.</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UNITI LEASING LLC</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UNITI LEASING X LLC</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UNITI LEASING XI LLC</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UNITI LEASING XII LLC</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UNITI NATIONAL LLC</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UNITI TOWERS NMS HOLDINGS LLC,</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each as a Guarantor</w:t>
      </w:r>
    </w:p>
    <w:p>
      <w:pPr>
        <w:spacing w:after="0" w:line="256" w:lineRule="exact"/>
        <w:rPr>
          <w:sz w:val="20"/>
          <w:szCs w:val="20"/>
          <w:color w:val="auto"/>
        </w:rPr>
      </w:pPr>
    </w:p>
    <w:p>
      <w:pPr>
        <w:ind w:left="2580"/>
        <w:spacing w:after="0"/>
        <w:tabs>
          <w:tab w:leader="none" w:pos="33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Daniel 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22860</wp:posOffset>
            </wp:positionV>
            <wp:extent cx="28803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ind w:right="29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w:t>
      </w:r>
      <w:r>
        <w:rPr>
          <w:rFonts w:ascii="Times New Roman" w:cs="Times New Roman" w:eastAsia="Times New Roman" w:hAnsi="Times New Roman"/>
          <w:sz w:val="18"/>
          <w:szCs w:val="18"/>
          <w:color w:val="auto"/>
        </w:rPr>
        <w:t>]</w:t>
      </w:r>
    </w:p>
    <w:p>
      <w:pPr>
        <w:sectPr>
          <w:pgSz w:w="11900" w:h="16838" w:orient="portrait"/>
          <w:cols w:equalWidth="0" w:num="1">
            <w:col w:w="10139"/>
          </w:cols>
          <w:pgMar w:left="320" w:top="1413" w:right="1440" w:bottom="1440" w:gutter="0" w:footer="0" w:header="0"/>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#98837542v7</w:t>
      </w:r>
    </w:p>
    <w:p>
      <w:pPr>
        <w:sectPr>
          <w:pgSz w:w="11900" w:h="16838" w:orient="portrait"/>
          <w:cols w:equalWidth="0" w:num="1">
            <w:col w:w="10139"/>
          </w:cols>
          <w:pgMar w:left="320" w:top="1413" w:right="1440" w:bottom="1440" w:gutter="0" w:footer="0" w:header="0"/>
          <w:type w:val="continuous"/>
        </w:sectPr>
      </w:pPr>
    </w:p>
    <w:bookmarkStart w:id="71" w:name="page72"/>
    <w:bookmarkEnd w:id="71"/>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2162810</wp:posOffset>
            </wp:positionH>
            <wp:positionV relativeFrom="page">
              <wp:posOffset>929005</wp:posOffset>
            </wp:positionV>
            <wp:extent cx="28803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ind w:left="3160"/>
        <w:spacing w:after="0"/>
        <w:tabs>
          <w:tab w:leader="none" w:pos="386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Daniel L. Heard</w:t>
      </w:r>
    </w:p>
    <w:p>
      <w:pPr>
        <w:spacing w:after="0" w:line="28" w:lineRule="exact"/>
        <w:rPr>
          <w:sz w:val="20"/>
          <w:szCs w:val="20"/>
          <w:color w:val="auto"/>
        </w:rPr>
      </w:pPr>
    </w:p>
    <w:p>
      <w:pPr>
        <w:ind w:left="3160"/>
        <w:spacing w:after="0"/>
        <w:tabs>
          <w:tab w:leader="none" w:pos="37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EVP, General Counsel and Secretary</w:t>
      </w:r>
    </w:p>
    <w:p>
      <w:pPr>
        <w:spacing w:after="0" w:line="160"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color w:val="auto"/>
        </w:rPr>
        <w:t>CSL NATIONAL, LP, as a Guarantor</w:t>
      </w:r>
    </w:p>
    <w:p>
      <w:pPr>
        <w:spacing w:after="0" w:line="21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color w:val="auto"/>
        </w:rPr>
        <w:t>By: CSL NATIONAL GP, LLC, as its general partner</w:t>
      </w:r>
    </w:p>
    <w:p>
      <w:pPr>
        <w:spacing w:after="0" w:line="200" w:lineRule="exact"/>
        <w:rPr>
          <w:sz w:val="20"/>
          <w:szCs w:val="20"/>
          <w:color w:val="auto"/>
        </w:rPr>
      </w:pPr>
    </w:p>
    <w:p>
      <w:pPr>
        <w:spacing w:after="0" w:line="286" w:lineRule="exact"/>
        <w:rPr>
          <w:sz w:val="20"/>
          <w:szCs w:val="20"/>
          <w:color w:val="auto"/>
        </w:rPr>
      </w:pPr>
    </w:p>
    <w:tbl>
      <w:tblPr>
        <w:tblLayout w:type="fixed"/>
        <w:tblInd w:w="3300" w:type="dxa"/>
        <w:tblCellMar>
          <w:top w:w="0" w:type="dxa"/>
          <w:left w:w="0" w:type="dxa"/>
          <w:bottom w:w="0" w:type="dxa"/>
          <w:right w:w="0" w:type="dxa"/>
        </w:tblCellMar>
      </w:tblPr>
      <w:tr>
        <w:trPr>
          <w:trHeight w:val="262"/>
        </w:trPr>
        <w:tc>
          <w:tcPr>
            <w:tcW w:w="300" w:type="dxa"/>
            <w:vAlign w:val="bottom"/>
          </w:tcPr>
          <w:p>
            <w:pPr>
              <w:spacing w:after="0"/>
              <w:rPr>
                <w:sz w:val="20"/>
                <w:szCs w:val="20"/>
                <w:color w:val="auto"/>
              </w:rPr>
            </w:pPr>
            <w:r>
              <w:rPr>
                <w:rFonts w:ascii="Times New Roman" w:cs="Times New Roman" w:eastAsia="Times New Roman" w:hAnsi="Times New Roman"/>
                <w:sz w:val="20"/>
                <w:szCs w:val="20"/>
                <w:color w:val="auto"/>
                <w:w w:val="96"/>
              </w:rPr>
              <w:t>By:</w:t>
            </w:r>
          </w:p>
        </w:tc>
        <w:tc>
          <w:tcPr>
            <w:tcW w:w="100" w:type="dxa"/>
            <w:vAlign w:val="bottom"/>
          </w:tcPr>
          <w:p>
            <w:pPr>
              <w:spacing w:after="0"/>
              <w:rPr>
                <w:sz w:val="22"/>
                <w:szCs w:val="22"/>
                <w:color w:val="auto"/>
              </w:rPr>
            </w:pPr>
          </w:p>
        </w:tc>
        <w:tc>
          <w:tcPr>
            <w:tcW w:w="41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/s/ Daniel L. Heard</w:t>
            </w:r>
          </w:p>
        </w:tc>
      </w:tr>
      <w:tr>
        <w:trPr>
          <w:trHeight w:val="256"/>
        </w:trPr>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20"/>
                <w:szCs w:val="20"/>
                <w:color w:val="auto"/>
              </w:rPr>
              <w:t>Name: Daniel L. Heard</w:t>
            </w:r>
          </w:p>
        </w:tc>
      </w:tr>
      <w:tr>
        <w:trPr>
          <w:trHeight w:val="259"/>
        </w:trPr>
        <w:tc>
          <w:tcPr>
            <w:tcW w:w="300" w:type="dxa"/>
            <w:vAlign w:val="bottom"/>
          </w:tcPr>
          <w:p>
            <w:pPr>
              <w:spacing w:after="0"/>
              <w:rPr>
                <w:sz w:val="22"/>
                <w:szCs w:val="22"/>
                <w:color w:val="auto"/>
              </w:rPr>
            </w:pPr>
          </w:p>
        </w:tc>
        <w:tc>
          <w:tcPr>
            <w:tcW w:w="42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Title: Executive Vice President – General Counsel</w:t>
            </w:r>
          </w:p>
        </w:tc>
      </w:tr>
      <w:tr>
        <w:trPr>
          <w:trHeight w:val="258"/>
        </w:trPr>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color w:val="auto"/>
        </w:rPr>
        <w:t>CSL NORTH CAROLINA REALTY, LP, as a Guarantor</w:t>
      </w:r>
    </w:p>
    <w:p>
      <w:pPr>
        <w:spacing w:after="0" w:line="22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color w:val="auto"/>
        </w:rPr>
        <w:t>By: CSL NORTH CAROLINA REALTY GP, LLC, as its</w:t>
      </w:r>
    </w:p>
    <w:p>
      <w:pPr>
        <w:spacing w:after="0" w:line="28"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color w:val="auto"/>
        </w:rPr>
        <w:t>general partner</w:t>
      </w:r>
    </w:p>
    <w:p>
      <w:pPr>
        <w:spacing w:after="0" w:line="200" w:lineRule="exact"/>
        <w:rPr>
          <w:sz w:val="20"/>
          <w:szCs w:val="20"/>
          <w:color w:val="auto"/>
        </w:rPr>
      </w:pPr>
    </w:p>
    <w:p>
      <w:pPr>
        <w:spacing w:after="0" w:line="257" w:lineRule="exact"/>
        <w:rPr>
          <w:sz w:val="20"/>
          <w:szCs w:val="20"/>
          <w:color w:val="auto"/>
        </w:rPr>
      </w:pPr>
    </w:p>
    <w:tbl>
      <w:tblPr>
        <w:tblLayout w:type="fixed"/>
        <w:tblInd w:w="3300" w:type="dxa"/>
        <w:tblCellMar>
          <w:top w:w="0" w:type="dxa"/>
          <w:left w:w="0" w:type="dxa"/>
          <w:bottom w:w="0" w:type="dxa"/>
          <w:right w:w="0" w:type="dxa"/>
        </w:tblCellMar>
      </w:tblPr>
      <w:tr>
        <w:trPr>
          <w:trHeight w:val="262"/>
        </w:trPr>
        <w:tc>
          <w:tcPr>
            <w:tcW w:w="300" w:type="dxa"/>
            <w:vAlign w:val="bottom"/>
          </w:tcPr>
          <w:p>
            <w:pPr>
              <w:spacing w:after="0"/>
              <w:rPr>
                <w:sz w:val="20"/>
                <w:szCs w:val="20"/>
                <w:color w:val="auto"/>
              </w:rPr>
            </w:pPr>
            <w:r>
              <w:rPr>
                <w:rFonts w:ascii="Times New Roman" w:cs="Times New Roman" w:eastAsia="Times New Roman" w:hAnsi="Times New Roman"/>
                <w:sz w:val="20"/>
                <w:szCs w:val="20"/>
                <w:color w:val="auto"/>
                <w:w w:val="96"/>
              </w:rPr>
              <w:t>By:</w:t>
            </w:r>
          </w:p>
        </w:tc>
        <w:tc>
          <w:tcPr>
            <w:tcW w:w="100" w:type="dxa"/>
            <w:vAlign w:val="bottom"/>
          </w:tcPr>
          <w:p>
            <w:pPr>
              <w:spacing w:after="0"/>
              <w:rPr>
                <w:sz w:val="22"/>
                <w:szCs w:val="22"/>
                <w:color w:val="auto"/>
              </w:rPr>
            </w:pPr>
          </w:p>
        </w:tc>
        <w:tc>
          <w:tcPr>
            <w:tcW w:w="41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/s/ Daniel L. Heard</w:t>
            </w:r>
          </w:p>
        </w:tc>
      </w:tr>
      <w:tr>
        <w:trPr>
          <w:trHeight w:val="256"/>
        </w:trPr>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20"/>
                <w:szCs w:val="20"/>
                <w:color w:val="auto"/>
              </w:rPr>
              <w:t>Name: Daniel L. Heard</w:t>
            </w:r>
          </w:p>
        </w:tc>
      </w:tr>
      <w:tr>
        <w:trPr>
          <w:trHeight w:val="272"/>
        </w:trPr>
        <w:tc>
          <w:tcPr>
            <w:tcW w:w="300" w:type="dxa"/>
            <w:vAlign w:val="bottom"/>
          </w:tcPr>
          <w:p>
            <w:pPr>
              <w:spacing w:after="0"/>
              <w:rPr>
                <w:sz w:val="23"/>
                <w:szCs w:val="23"/>
                <w:color w:val="auto"/>
              </w:rPr>
            </w:pPr>
          </w:p>
        </w:tc>
        <w:tc>
          <w:tcPr>
            <w:tcW w:w="42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Title: Executive Vice President – General Counsel</w:t>
            </w:r>
          </w:p>
        </w:tc>
      </w:tr>
      <w:tr>
        <w:trPr>
          <w:trHeight w:val="258"/>
        </w:trPr>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12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color w:val="auto"/>
        </w:rPr>
        <w:t>CSL NORTH CAROLINA SYSTEM, LP, as a Guarantor</w:t>
      </w:r>
    </w:p>
    <w:p>
      <w:pPr>
        <w:spacing w:after="0" w:line="22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color w:val="auto"/>
        </w:rPr>
        <w:t>By: CSL NORTH CAROLINA REALTY GP, LLC, as its</w:t>
      </w:r>
    </w:p>
    <w:p>
      <w:pPr>
        <w:spacing w:after="0" w:line="2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color w:val="auto"/>
        </w:rPr>
        <w:t>general partner</w:t>
      </w:r>
    </w:p>
    <w:p>
      <w:pPr>
        <w:spacing w:after="0" w:line="200" w:lineRule="exact"/>
        <w:rPr>
          <w:sz w:val="20"/>
          <w:szCs w:val="20"/>
          <w:color w:val="auto"/>
        </w:rPr>
      </w:pPr>
    </w:p>
    <w:p>
      <w:pPr>
        <w:spacing w:after="0" w:line="264" w:lineRule="exact"/>
        <w:rPr>
          <w:sz w:val="20"/>
          <w:szCs w:val="20"/>
          <w:color w:val="auto"/>
        </w:rPr>
      </w:pPr>
    </w:p>
    <w:p>
      <w:pPr>
        <w:ind w:left="3300"/>
        <w:spacing w:after="0"/>
        <w:tabs>
          <w:tab w:leader="none" w:pos="3880" w:val="left"/>
        </w:tabs>
        <w:rPr>
          <w:sz w:val="20"/>
          <w:szCs w:val="20"/>
          <w:color w:val="auto"/>
        </w:rPr>
      </w:pPr>
      <w:r>
        <w:rPr>
          <w:rFonts w:ascii="Times New Roman" w:cs="Times New Roman" w:eastAsia="Times New Roman" w:hAnsi="Times New Roman"/>
          <w:sz w:val="20"/>
          <w:szCs w:val="20"/>
          <w:color w:val="auto"/>
        </w:rPr>
        <w:t>By:</w:t>
        <w:tab/>
        <w:t>/s/ Daniel 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22860</wp:posOffset>
            </wp:positionV>
            <wp:extent cx="263144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color w:val="auto"/>
        </w:rPr>
        <w:t>Name: Daniel L. Heard</w:t>
      </w:r>
    </w:p>
    <w:p>
      <w:pPr>
        <w:spacing w:after="0" w:line="6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color w:val="auto"/>
        </w:rPr>
        <w:t>Title: Executive Vice President – General Counsel</w:t>
      </w:r>
    </w:p>
    <w:p>
      <w:pPr>
        <w:spacing w:after="0" w:line="2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color w:val="auto"/>
        </w:rPr>
        <w:t>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w:t>
      </w:r>
      <w:r>
        <w:rPr>
          <w:rFonts w:ascii="Times New Roman" w:cs="Times New Roman" w:eastAsia="Times New Roman" w:hAnsi="Times New Roman"/>
          <w:sz w:val="18"/>
          <w:szCs w:val="18"/>
          <w:color w:val="auto"/>
        </w:rPr>
        <w: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#98837542v7</w:t>
      </w:r>
    </w:p>
    <w:p>
      <w:pPr>
        <w:sectPr>
          <w:pgSz w:w="11900" w:h="16838" w:orient="portrait"/>
          <w:cols w:equalWidth="0" w:num="1">
            <w:col w:w="10139"/>
          </w:cols>
          <w:pgMar w:left="320" w:top="1440" w:right="1440" w:bottom="1440" w:gutter="0" w:footer="0" w:header="0"/>
        </w:sectPr>
      </w:pPr>
    </w:p>
    <w:bookmarkStart w:id="72" w:name="page73"/>
    <w:bookmarkEnd w:id="72"/>
    <w:p>
      <w:pPr>
        <w:spacing w:after="0" w:line="2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UNITI HOLDINGS LP, as a Guarantor</w:t>
      </w:r>
    </w:p>
    <w:p>
      <w:pPr>
        <w:spacing w:after="0" w:line="28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9"/>
          <w:szCs w:val="19"/>
          <w:color w:val="auto"/>
        </w:rPr>
        <w:t>By: UNITI HOLDINGS GP LLC, as its general partner</w:t>
      </w:r>
    </w:p>
    <w:p>
      <w:pPr>
        <w:spacing w:after="0" w:line="268" w:lineRule="exact"/>
        <w:rPr>
          <w:sz w:val="20"/>
          <w:szCs w:val="20"/>
          <w:color w:val="auto"/>
        </w:rPr>
      </w:pPr>
    </w:p>
    <w:p>
      <w:pPr>
        <w:ind w:left="3300"/>
        <w:spacing w:after="0"/>
        <w:tabs>
          <w:tab w:leader="none" w:pos="41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Daniel 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22860</wp:posOffset>
            </wp:positionV>
            <wp:extent cx="252031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34" w:lineRule="exact"/>
        <w:rPr>
          <w:sz w:val="20"/>
          <w:szCs w:val="20"/>
          <w:color w:val="auto"/>
        </w:rPr>
      </w:pPr>
    </w:p>
    <w:p>
      <w:pPr>
        <w:ind w:left="3920"/>
        <w:spacing w:after="0"/>
        <w:tabs>
          <w:tab w:leader="none" w:pos="464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Daniel L. Heard</w:t>
      </w:r>
    </w:p>
    <w:p>
      <w:pPr>
        <w:spacing w:after="0" w:line="67" w:lineRule="exact"/>
        <w:rPr>
          <w:sz w:val="20"/>
          <w:szCs w:val="20"/>
          <w:color w:val="auto"/>
        </w:rPr>
      </w:pPr>
    </w:p>
    <w:p>
      <w:pPr>
        <w:jc w:val="right"/>
        <w:ind w:right="2779"/>
        <w:spacing w:after="0"/>
        <w:tabs>
          <w:tab w:leader="none" w:pos="28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Executive Vice President – General</w:t>
      </w:r>
    </w:p>
    <w:p>
      <w:pPr>
        <w:spacing w:after="0" w:line="2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w:t>
      </w:r>
      <w:r>
        <w:rPr>
          <w:rFonts w:ascii="Times New Roman" w:cs="Times New Roman" w:eastAsia="Times New Roman" w:hAnsi="Times New Roman"/>
          <w:sz w:val="18"/>
          <w:szCs w:val="18"/>
          <w:color w:val="auto"/>
        </w:rPr>
        <w: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#98837542v7</w:t>
      </w:r>
    </w:p>
    <w:p>
      <w:pPr>
        <w:sectPr>
          <w:pgSz w:w="11900" w:h="16838" w:orient="portrait"/>
          <w:cols w:equalWidth="0" w:num="1">
            <w:col w:w="10139"/>
          </w:cols>
          <w:pgMar w:left="320" w:top="1440" w:right="1440" w:bottom="1440" w:gutter="0" w:footer="0" w:header="0"/>
        </w:sectPr>
      </w:pPr>
    </w:p>
    <w:bookmarkStart w:id="73" w:name="page74"/>
    <w:bookmarkEnd w:id="73"/>
    <w:p>
      <w:pPr>
        <w:spacing w:after="0" w:line="2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color w:val="auto"/>
        </w:rPr>
        <w:t>UNITI LATAM LP, as a Guarantor</w:t>
      </w:r>
    </w:p>
    <w:p>
      <w:pPr>
        <w:spacing w:after="0" w:line="283"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color w:val="auto"/>
        </w:rPr>
        <w:t>By: UNITI LATAM GP LLC, as its general partner</w:t>
      </w:r>
    </w:p>
    <w:p>
      <w:pPr>
        <w:spacing w:after="0" w:line="256" w:lineRule="exact"/>
        <w:rPr>
          <w:sz w:val="20"/>
          <w:szCs w:val="20"/>
          <w:color w:val="auto"/>
        </w:rPr>
      </w:pPr>
    </w:p>
    <w:tbl>
      <w:tblPr>
        <w:tblLayout w:type="fixed"/>
        <w:tblInd w:w="3680" w:type="dxa"/>
        <w:tblCellMar>
          <w:top w:w="0" w:type="dxa"/>
          <w:left w:w="0" w:type="dxa"/>
          <w:bottom w:w="0" w:type="dxa"/>
          <w:right w:w="0" w:type="dxa"/>
        </w:tblCellMar>
      </w:tblPr>
      <w:tr>
        <w:trPr>
          <w:trHeight w:val="262"/>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7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20"/>
                <w:szCs w:val="20"/>
                <w:color w:val="auto"/>
              </w:rPr>
              <w:t>/s/ Daniel L. Heard</w:t>
            </w:r>
          </w:p>
        </w:tc>
      </w:tr>
      <w:tr>
        <w:trPr>
          <w:trHeight w:val="256"/>
        </w:trPr>
        <w:tc>
          <w:tcPr>
            <w:tcW w:w="520" w:type="dxa"/>
            <w:vAlign w:val="bottom"/>
          </w:tcPr>
          <w:p>
            <w:pPr>
              <w:spacing w:after="0"/>
              <w:rPr>
                <w:sz w:val="22"/>
                <w:szCs w:val="22"/>
                <w:color w:val="auto"/>
              </w:rPr>
            </w:pPr>
          </w:p>
        </w:tc>
        <w:tc>
          <w:tcPr>
            <w:tcW w:w="3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Name:  Daniel L. Heard</w:t>
            </w:r>
          </w:p>
        </w:tc>
      </w:tr>
      <w:tr>
        <w:trPr>
          <w:trHeight w:val="245"/>
        </w:trPr>
        <w:tc>
          <w:tcPr>
            <w:tcW w:w="520" w:type="dxa"/>
            <w:vAlign w:val="bottom"/>
          </w:tcPr>
          <w:p>
            <w:pPr>
              <w:spacing w:after="0"/>
              <w:rPr>
                <w:sz w:val="21"/>
                <w:szCs w:val="21"/>
                <w:color w:val="auto"/>
              </w:rPr>
            </w:pPr>
          </w:p>
        </w:tc>
        <w:tc>
          <w:tcPr>
            <w:tcW w:w="3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Title:  Executive Vice President – General</w:t>
            </w:r>
          </w:p>
        </w:tc>
      </w:tr>
      <w:tr>
        <w:trPr>
          <w:trHeight w:val="258"/>
        </w:trPr>
        <w:tc>
          <w:tcPr>
            <w:tcW w:w="520" w:type="dxa"/>
            <w:vAlign w:val="bottom"/>
          </w:tcPr>
          <w:p>
            <w:pPr>
              <w:spacing w:after="0"/>
              <w:rPr>
                <w:sz w:val="22"/>
                <w:szCs w:val="22"/>
                <w:color w:val="auto"/>
              </w:rPr>
            </w:pPr>
          </w:p>
        </w:tc>
        <w:tc>
          <w:tcPr>
            <w:tcW w:w="37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Counsel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color w:val="auto"/>
        </w:rPr>
        <w:t>UNITI QRS HOLDINGS LP, as a Guarantor</w:t>
      </w:r>
    </w:p>
    <w:p>
      <w:pPr>
        <w:spacing w:after="0" w:line="283" w:lineRule="exact"/>
        <w:rPr>
          <w:sz w:val="20"/>
          <w:szCs w:val="20"/>
          <w:color w:val="auto"/>
        </w:rPr>
      </w:pPr>
    </w:p>
    <w:p>
      <w:pPr>
        <w:jc w:val="right"/>
        <w:ind w:right="2359"/>
        <w:spacing w:after="0"/>
        <w:rPr>
          <w:sz w:val="20"/>
          <w:szCs w:val="20"/>
          <w:color w:val="auto"/>
        </w:rPr>
      </w:pPr>
      <w:r>
        <w:rPr>
          <w:rFonts w:ascii="Times New Roman" w:cs="Times New Roman" w:eastAsia="Times New Roman" w:hAnsi="Times New Roman"/>
          <w:sz w:val="20"/>
          <w:szCs w:val="20"/>
          <w:color w:val="auto"/>
        </w:rPr>
        <w:t>By: UNITI QRS Holdings GP LLC, as its general partner</w:t>
      </w:r>
    </w:p>
    <w:p>
      <w:pPr>
        <w:spacing w:after="0" w:line="256" w:lineRule="exact"/>
        <w:rPr>
          <w:sz w:val="20"/>
          <w:szCs w:val="20"/>
          <w:color w:val="auto"/>
        </w:rPr>
      </w:pPr>
    </w:p>
    <w:tbl>
      <w:tblPr>
        <w:tblLayout w:type="fixed"/>
        <w:tblInd w:w="3680" w:type="dxa"/>
        <w:tblCellMar>
          <w:top w:w="0" w:type="dxa"/>
          <w:left w:w="0" w:type="dxa"/>
          <w:bottom w:w="0" w:type="dxa"/>
          <w:right w:w="0" w:type="dxa"/>
        </w:tblCellMar>
      </w:tblPr>
      <w:tr>
        <w:trPr>
          <w:trHeight w:val="262"/>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7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20"/>
                <w:szCs w:val="20"/>
                <w:color w:val="auto"/>
              </w:rPr>
              <w:t>/s/ Daniel L. Heard</w:t>
            </w:r>
          </w:p>
        </w:tc>
      </w:tr>
      <w:tr>
        <w:trPr>
          <w:trHeight w:val="256"/>
        </w:trPr>
        <w:tc>
          <w:tcPr>
            <w:tcW w:w="520" w:type="dxa"/>
            <w:vAlign w:val="bottom"/>
          </w:tcPr>
          <w:p>
            <w:pPr>
              <w:spacing w:after="0"/>
              <w:rPr>
                <w:sz w:val="22"/>
                <w:szCs w:val="22"/>
                <w:color w:val="auto"/>
              </w:rPr>
            </w:pPr>
          </w:p>
        </w:tc>
        <w:tc>
          <w:tcPr>
            <w:tcW w:w="3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Name:  Daniel L. Heard</w:t>
            </w:r>
          </w:p>
        </w:tc>
      </w:tr>
      <w:tr>
        <w:trPr>
          <w:trHeight w:val="232"/>
        </w:trPr>
        <w:tc>
          <w:tcPr>
            <w:tcW w:w="520" w:type="dxa"/>
            <w:vAlign w:val="bottom"/>
          </w:tcPr>
          <w:p>
            <w:pPr>
              <w:spacing w:after="0"/>
              <w:rPr>
                <w:sz w:val="20"/>
                <w:szCs w:val="20"/>
                <w:color w:val="auto"/>
              </w:rPr>
            </w:pPr>
          </w:p>
        </w:tc>
        <w:tc>
          <w:tcPr>
            <w:tcW w:w="3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Title:  Executive Vice President – General</w:t>
            </w:r>
          </w:p>
        </w:tc>
      </w:tr>
      <w:tr>
        <w:trPr>
          <w:trHeight w:val="258"/>
        </w:trPr>
        <w:tc>
          <w:tcPr>
            <w:tcW w:w="520" w:type="dxa"/>
            <w:vAlign w:val="bottom"/>
          </w:tcPr>
          <w:p>
            <w:pPr>
              <w:spacing w:after="0"/>
              <w:rPr>
                <w:sz w:val="22"/>
                <w:szCs w:val="22"/>
                <w:color w:val="auto"/>
              </w:rPr>
            </w:pPr>
          </w:p>
        </w:tc>
        <w:tc>
          <w:tcPr>
            <w:tcW w:w="37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Counsel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w:t>
      </w:r>
      <w:r>
        <w:rPr>
          <w:rFonts w:ascii="Times New Roman" w:cs="Times New Roman" w:eastAsia="Times New Roman" w:hAnsi="Times New Roman"/>
          <w:sz w:val="18"/>
          <w:szCs w:val="18"/>
          <w:color w:val="auto"/>
        </w:rPr>
        <w: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#98837542v7</w:t>
      </w:r>
    </w:p>
    <w:p>
      <w:pPr>
        <w:sectPr>
          <w:pgSz w:w="11900" w:h="16838" w:orient="portrait"/>
          <w:cols w:equalWidth="0" w:num="1">
            <w:col w:w="10139"/>
          </w:cols>
          <w:pgMar w:left="320" w:top="1440" w:right="1440" w:bottom="1440" w:gutter="0" w:footer="0" w:header="0"/>
        </w:sectPr>
      </w:pPr>
    </w:p>
    <w:bookmarkStart w:id="74" w:name="page75"/>
    <w:bookmarkEnd w:id="74"/>
    <w:p>
      <w:pPr>
        <w:spacing w:after="0" w:line="1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9"/>
          <w:szCs w:val="19"/>
          <w:color w:val="auto"/>
        </w:rPr>
        <w:t>DEUTSCHE BANK TRUST COMPANY</w:t>
      </w:r>
    </w:p>
    <w:p>
      <w:pPr>
        <w:ind w:left="3980"/>
        <w:spacing w:after="0" w:line="203" w:lineRule="auto"/>
        <w:rPr>
          <w:sz w:val="20"/>
          <w:szCs w:val="20"/>
          <w:color w:val="auto"/>
        </w:rPr>
      </w:pPr>
      <w:r>
        <w:rPr>
          <w:rFonts w:ascii="Times New Roman" w:cs="Times New Roman" w:eastAsia="Times New Roman" w:hAnsi="Times New Roman"/>
          <w:sz w:val="20"/>
          <w:szCs w:val="20"/>
          <w:color w:val="auto"/>
        </w:rPr>
        <w:t>AMERICAS, as Trustee and as Collateral</w:t>
      </w:r>
    </w:p>
    <w:p>
      <w:pPr>
        <w:spacing w:after="0" w:line="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0"/>
          <w:szCs w:val="20"/>
          <w:color w:val="auto"/>
        </w:rPr>
        <w:t>Agent</w:t>
      </w:r>
    </w:p>
    <w:p>
      <w:pPr>
        <w:spacing w:after="0" w:line="6" w:lineRule="exact"/>
        <w:rPr>
          <w:sz w:val="20"/>
          <w:szCs w:val="20"/>
          <w:color w:val="auto"/>
        </w:rPr>
      </w:pPr>
    </w:p>
    <w:tbl>
      <w:tblPr>
        <w:tblLayout w:type="fixed"/>
        <w:tblInd w:w="3980" w:type="dxa"/>
        <w:tblCellMar>
          <w:top w:w="0" w:type="dxa"/>
          <w:left w:w="0" w:type="dxa"/>
          <w:bottom w:w="0" w:type="dxa"/>
          <w:right w:w="0" w:type="dxa"/>
        </w:tblCellMar>
      </w:tblPr>
      <w:tr>
        <w:trPr>
          <w:trHeight w:val="258"/>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7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20"/>
                <w:szCs w:val="20"/>
                <w:color w:val="auto"/>
              </w:rPr>
              <w:t>/s/ Sebastian Hidalgo</w:t>
            </w:r>
          </w:p>
        </w:tc>
      </w:tr>
      <w:tr>
        <w:trPr>
          <w:trHeight w:val="246"/>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27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Sebastian Hidalgo</w:t>
            </w:r>
          </w:p>
        </w:tc>
      </w:tr>
      <w:tr>
        <w:trPr>
          <w:trHeight w:val="258"/>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27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Assistant Vice President</w:t>
            </w:r>
          </w:p>
        </w:tc>
      </w:tr>
      <w:tr>
        <w:trPr>
          <w:trHeight w:val="838"/>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7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20"/>
                <w:szCs w:val="20"/>
                <w:color w:val="auto"/>
              </w:rPr>
              <w:t>/s/ Kenneth R. Ring</w:t>
            </w:r>
          </w:p>
        </w:tc>
      </w:tr>
      <w:tr>
        <w:trPr>
          <w:trHeight w:val="247"/>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27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Kenneth R. Ring</w:t>
            </w:r>
          </w:p>
        </w:tc>
      </w:tr>
      <w:tr>
        <w:trPr>
          <w:trHeight w:val="258"/>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27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Supplemental Indenture</w:t>
      </w:r>
      <w:r>
        <w:rPr>
          <w:rFonts w:ascii="Times New Roman" w:cs="Times New Roman" w:eastAsia="Times New Roman" w:hAnsi="Times New Roman"/>
          <w:sz w:val="18"/>
          <w:szCs w:val="18"/>
          <w:color w:val="auto"/>
        </w:rPr>
        <w: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#98837542v7</w:t>
      </w:r>
    </w:p>
    <w:p>
      <w:pPr>
        <w:sectPr>
          <w:pgSz w:w="11900" w:h="16838" w:orient="portrait"/>
          <w:cols w:equalWidth="0" w:num="1">
            <w:col w:w="10139"/>
          </w:cols>
          <w:pgMar w:left="320" w:top="1440" w:right="1440"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b w:val="1"/>
          <w:bCs w:val="1"/>
          <w:color w:val="auto"/>
        </w:rPr>
        <w:t>[FACE OF NOTE]</w:t>
      </w:r>
    </w:p>
    <w:p>
      <w:pPr>
        <w:spacing w:after="0" w:line="224" w:lineRule="exact"/>
        <w:rPr>
          <w:sz w:val="20"/>
          <w:szCs w:val="20"/>
          <w:color w:val="auto"/>
        </w:rPr>
      </w:pPr>
    </w:p>
    <w:p>
      <w:pPr>
        <w:ind w:right="2840"/>
        <w:spacing w:after="0" w:line="476" w:lineRule="auto"/>
        <w:rPr>
          <w:sz w:val="20"/>
          <w:szCs w:val="20"/>
          <w:color w:val="auto"/>
        </w:rPr>
      </w:pPr>
      <w:r>
        <w:rPr>
          <w:rFonts w:ascii="Times New Roman" w:cs="Times New Roman" w:eastAsia="Times New Roman" w:hAnsi="Times New Roman"/>
          <w:sz w:val="21"/>
          <w:szCs w:val="21"/>
          <w:color w:val="auto"/>
        </w:rPr>
        <w:t>[Insert the Global Note Legend, if applicable pursuant to the provisions of the Indenture] [Insert the Private Placement Legend, if applicable pursuant to the provisions of the Indenture]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[Insert the Regulation S Temporary Global Note Legend, if applicable pursuant to the provisions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color w:val="auto"/>
        </w:rPr>
        <w:t>A-1</w:t>
      </w:r>
    </w:p>
    <w:p>
      <w:pPr>
        <w:sectPr>
          <w:pgSz w:w="11900" w:h="16838" w:orient="portrait"/>
          <w:cols w:equalWidth="0" w:num="1">
            <w:col w:w="11020"/>
          </w:cols>
          <w:pgMar w:left="540" w:top="1418" w:right="339" w:bottom="1440" w:gutter="0" w:footer="0" w:header="0"/>
        </w:sectPr>
      </w:pPr>
    </w:p>
    <w:bookmarkStart w:id="76" w:name="page77"/>
    <w:bookmarkEnd w:id="76"/>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CUSIP [ ]</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ISIN [ ]</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[[RULE 144A][REGULATION S] GLOBAL NOTE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representing up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10.50% Senior Secured Notes due 2028</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 ]</w:t>
      </w:r>
    </w:p>
    <w:p>
      <w:pPr>
        <w:spacing w:after="0" w:line="2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UNITI GROUP LP, UNITI GROUP FINANCE 2019 INC., UNITI FIBER HOLDINGS INC., and CSL CAPITAL, LLC</w:t>
      </w:r>
    </w:p>
    <w:p>
      <w:pPr>
        <w:spacing w:after="0" w:line="220" w:lineRule="exact"/>
        <w:rPr>
          <w:sz w:val="20"/>
          <w:szCs w:val="20"/>
          <w:color w:val="auto"/>
        </w:rPr>
      </w:pPr>
    </w:p>
    <w:p>
      <w:pPr>
        <w:ind w:right="720"/>
        <w:spacing w:after="0" w:line="271" w:lineRule="auto"/>
        <w:rPr>
          <w:sz w:val="20"/>
          <w:szCs w:val="20"/>
          <w:color w:val="auto"/>
        </w:rPr>
      </w:pPr>
      <w:r>
        <w:rPr>
          <w:rFonts w:ascii="Times New Roman" w:cs="Times New Roman" w:eastAsia="Times New Roman" w:hAnsi="Times New Roman"/>
          <w:sz w:val="22"/>
          <w:szCs w:val="22"/>
          <w:color w:val="auto"/>
        </w:rPr>
        <w:t>jointly and severally promise to pay to CEDE &amp; CO. or registered assigns, the principal sum [set forth on the Schedule of Exchanges of Interests in the Global Note attached hereto] [of United States Dollars] on February 15, 2028.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Interest Payment Dates: March 15 and September 15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Record Dates: March 1 and September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A-2</w:t>
      </w:r>
    </w:p>
    <w:p>
      <w:pPr>
        <w:sectPr>
          <w:pgSz w:w="11900" w:h="16838" w:orient="portrait"/>
          <w:cols w:equalWidth="0" w:num="1">
            <w:col w:w="11240"/>
          </w:cols>
          <w:pgMar w:left="320" w:top="1440" w:right="339" w:bottom="1440" w:gutter="0" w:footer="0" w:header="0"/>
        </w:sectPr>
      </w:pPr>
    </w:p>
    <w:bookmarkStart w:id="77" w:name="page78"/>
    <w:bookmarkEnd w:id="77"/>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HEREOF, each of the Issuers have caused this instrument to be duly executed.</w:t>
      </w:r>
    </w:p>
    <w:p>
      <w:pPr>
        <w:sectPr>
          <w:pgSz w:w="11900" w:h="16838" w:orient="portrait"/>
          <w:cols w:equalWidth="0" w:num="1">
            <w:col w:w="9479"/>
          </w:cols>
          <w:pgMar w:left="980" w:top="1440" w:right="1440" w:bottom="1440" w:gutter="0" w:footer="0" w:header="0"/>
        </w:sectPr>
      </w:pPr>
    </w:p>
    <w:p>
      <w:pPr>
        <w:spacing w:after="0" w:line="258"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UNITI GROUP LP</w:t>
      </w:r>
    </w:p>
    <w:p>
      <w:pPr>
        <w:spacing w:after="0" w:line="44" w:lineRule="exact"/>
        <w:rPr>
          <w:sz w:val="20"/>
          <w:szCs w:val="20"/>
          <w:color w:val="auto"/>
        </w:rPr>
      </w:pPr>
    </w:p>
    <w:p>
      <w:pPr>
        <w:ind w:left="3060"/>
        <w:spacing w:after="0"/>
        <w:tabs>
          <w:tab w:leader="none" w:pos="3620" w:val="left"/>
        </w:tabs>
        <w:rPr>
          <w:sz w:val="20"/>
          <w:szCs w:val="20"/>
          <w:color w:val="auto"/>
        </w:rPr>
      </w:pPr>
      <w:r>
        <w:rPr>
          <w:rFonts w:ascii="Times New Roman" w:cs="Times New Roman" w:eastAsia="Times New Roman" w:hAnsi="Times New Roman"/>
          <w:sz w:val="21"/>
          <w:szCs w:val="21"/>
          <w:color w:val="auto"/>
        </w:rPr>
        <w:t>By:</w:t>
        <w:tab/>
        <w:t>UNITI GROUP INC., as its general</w:t>
      </w:r>
    </w:p>
    <w:p>
      <w:pPr>
        <w:spacing w:after="0" w:line="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partner</w:t>
      </w:r>
    </w:p>
    <w:p>
      <w:pPr>
        <w:spacing w:after="0" w:line="1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22860</wp:posOffset>
            </wp:positionV>
            <wp:extent cx="21602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color w:val="auto"/>
        </w:rPr>
        <w:t>Name:</w:t>
      </w:r>
    </w:p>
    <w:p>
      <w:pPr>
        <w:spacing w:after="0" w:line="28"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color w:val="auto"/>
        </w:rPr>
        <w:t>Title:</w:t>
      </w:r>
    </w:p>
    <w:p>
      <w:pPr>
        <w:spacing w:after="0" w:line="34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color w:val="auto"/>
        </w:rPr>
        <w:t>UNITI FIBER HOLDINGS INC.,</w:t>
      </w:r>
    </w:p>
    <w:p>
      <w:pPr>
        <w:spacing w:after="0" w:line="28"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21590</wp:posOffset>
            </wp:positionV>
            <wp:extent cx="21602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8"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color w:val="auto"/>
        </w:rPr>
        <w:t>Name:</w:t>
      </w:r>
    </w:p>
    <w:p>
      <w:pPr>
        <w:spacing w:after="0" w:line="28"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color w:val="auto"/>
        </w:rPr>
        <w:t>Title:</w:t>
      </w:r>
    </w:p>
    <w:p>
      <w:pPr>
        <w:spacing w:after="0" w:line="38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color w:val="auto"/>
        </w:rPr>
        <w:t>UNITI GROUP FINANCE 2019 INC.</w:t>
      </w:r>
    </w:p>
    <w:p>
      <w:pPr>
        <w:spacing w:after="0" w:line="28"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21590</wp:posOffset>
            </wp:positionV>
            <wp:extent cx="21602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18"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color w:val="auto"/>
        </w:rPr>
        <w:t>Name:</w:t>
      </w:r>
    </w:p>
    <w:p>
      <w:pPr>
        <w:spacing w:after="0" w:line="28"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color w:val="auto"/>
        </w:rPr>
        <w:t>Title:</w:t>
      </w:r>
    </w:p>
    <w:p>
      <w:pPr>
        <w:spacing w:after="0" w:line="38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color w:val="auto"/>
        </w:rPr>
        <w:t>CSL CAPITAL, LLC</w:t>
      </w:r>
    </w:p>
    <w:p>
      <w:pPr>
        <w:spacing w:after="0" w:line="28"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21590</wp:posOffset>
            </wp:positionV>
            <wp:extent cx="21602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18"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color w:val="auto"/>
        </w:rPr>
        <w:t>Name:</w:t>
      </w:r>
    </w:p>
    <w:p>
      <w:pPr>
        <w:spacing w:after="0" w:line="28"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A-3</w:t>
      </w:r>
    </w:p>
    <w:p>
      <w:pPr>
        <w:sectPr>
          <w:pgSz w:w="11900" w:h="16838" w:orient="portrait"/>
          <w:cols w:equalWidth="0" w:num="1">
            <w:col w:w="9479"/>
          </w:cols>
          <w:pgMar w:left="980" w:top="1440" w:right="1440"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22"/>
          <w:szCs w:val="22"/>
          <w:color w:val="auto"/>
        </w:rPr>
        <w:t>This is one of the Notes referred to in the within-mentioned Indenture: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2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DEUTSCHE BANK TRUST COMPANY AMERICAS, as Trustee</w:t>
      </w:r>
    </w:p>
    <w:p>
      <w:pPr>
        <w:spacing w:after="0" w:line="27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-13970</wp:posOffset>
            </wp:positionV>
            <wp:extent cx="1371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A-4</w:t>
      </w:r>
    </w:p>
    <w:p>
      <w:pPr>
        <w:sectPr>
          <w:pgSz w:w="11900" w:h="16838" w:orient="portrait"/>
          <w:cols w:equalWidth="0" w:num="1">
            <w:col w:w="10139"/>
          </w:cols>
          <w:pgMar w:left="320" w:top="1422" w:right="1440" w:bottom="1440" w:gutter="0" w:footer="0" w:header="0"/>
        </w:sectPr>
      </w:pPr>
    </w:p>
    <w:bookmarkStart w:id="79" w:name="page80"/>
    <w:bookmarkEnd w:id="79"/>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[Back of Note]</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10.50% Senior Secured Notes due 2028</w:t>
      </w:r>
    </w:p>
    <w:p>
      <w:pPr>
        <w:spacing w:after="0" w:line="220" w:lineRule="exact"/>
        <w:rPr>
          <w:sz w:val="20"/>
          <w:szCs w:val="20"/>
          <w:color w:val="auto"/>
        </w:rPr>
      </w:pPr>
    </w:p>
    <w:p>
      <w:pPr>
        <w:ind w:right="820" w:firstLine="648"/>
        <w:spacing w:after="0" w:line="284" w:lineRule="auto"/>
        <w:rPr>
          <w:sz w:val="20"/>
          <w:szCs w:val="20"/>
          <w:color w:val="auto"/>
        </w:rPr>
      </w:pPr>
      <w:r>
        <w:rPr>
          <w:rFonts w:ascii="Times New Roman" w:cs="Times New Roman" w:eastAsia="Times New Roman" w:hAnsi="Times New Roman"/>
          <w:sz w:val="22"/>
          <w:szCs w:val="22"/>
          <w:color w:val="auto"/>
        </w:rPr>
        <w:t>Capitalized terms used herein shall have the meanings assigned to them in the Indenture referred to below unless otherwise indicated.</w:t>
      </w:r>
    </w:p>
    <w:p>
      <w:pPr>
        <w:spacing w:after="0" w:line="144" w:lineRule="exact"/>
        <w:rPr>
          <w:sz w:val="20"/>
          <w:szCs w:val="20"/>
          <w:color w:val="auto"/>
        </w:rPr>
      </w:pPr>
    </w:p>
    <w:p>
      <w:pPr>
        <w:ind w:firstLine="656"/>
        <w:spacing w:after="0" w:line="248" w:lineRule="auto"/>
        <w:tabs>
          <w:tab w:leader="none" w:pos="111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Uniti Group LP, a Delaware limited partnership, Uniti Group Finance 2019 Inc., a Delaware corporation, Uniti Fiber Holdings Inc., a Delaware Corporation, and CSL Capital, LLC, a Delaware limited liability company, jointly and severally promise to pay interest on the principal amount of this Note at 10.50% per annum from September 15, 2024 until maturity. The Issuers will pay interest semi-annually in arrears on March 15 and September 15 of each year, or if any such day is not a Business Day, on the next succeeding Business Day (each, an “</w:t>
      </w:r>
      <w:r>
        <w:rPr>
          <w:rFonts w:ascii="Times New Roman" w:cs="Times New Roman" w:eastAsia="Times New Roman" w:hAnsi="Times New Roman"/>
          <w:sz w:val="22"/>
          <w:szCs w:val="22"/>
          <w:b w:val="1"/>
          <w:bCs w:val="1"/>
          <w:color w:val="auto"/>
        </w:rPr>
        <w:t>Interest Payment Date</w:t>
      </w:r>
      <w:r>
        <w:rPr>
          <w:rFonts w:ascii="Times New Roman" w:cs="Times New Roman" w:eastAsia="Times New Roman" w:hAnsi="Times New Roman"/>
          <w:sz w:val="22"/>
          <w:szCs w:val="22"/>
          <w:color w:val="auto"/>
        </w:rPr>
        <w:t>”). The first Interest Payment Date shall be March 15, 2025. Interest on the Notes will accrue from September 15, 2024. The Issuers will pay interest (including post-petition interest in any proceeding under any Bankruptcy Law) on overdue principal and premium, if any, from time to time on demand at the interest rate on the Notes; it shall pay interest (including post-petition interest in any proceeding under any Bankruptcy Law) on overdue installments of interest, if any, from time to time on demand at the interest rate on the Notes. At maturity, the Issuers will pay accrued and unpaid interest from the most recent date to which interest has been paid or provided for. Interest will be computed on the basis of a 360-day year comprised of twelve 30-day months.</w:t>
      </w:r>
    </w:p>
    <w:p>
      <w:pPr>
        <w:spacing w:after="0" w:line="188" w:lineRule="exact"/>
        <w:rPr>
          <w:rFonts w:ascii="Times New Roman" w:cs="Times New Roman" w:eastAsia="Times New Roman" w:hAnsi="Times New Roman"/>
          <w:sz w:val="22"/>
          <w:szCs w:val="22"/>
          <w:color w:val="auto"/>
        </w:rPr>
      </w:pPr>
    </w:p>
    <w:p>
      <w:pPr>
        <w:ind w:firstLine="656"/>
        <w:spacing w:after="0" w:line="249" w:lineRule="auto"/>
        <w:tabs>
          <w:tab w:leader="none" w:pos="111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METHOD OF PAYMENT. The Issuers will pay interest on the Notes to the Persons who are registered Holders of Notes at the close of business on March 1 or September 1 (whether or not a Business Day), as the case may be, immediately preceding the Interest Payment Date, even if such Notes are canceled after such record date and on or before such Interest Payment Date, except as provided in Section 2.12 of the Indenture with respect to defaulted interest. Payment of interest may be made by check mailed to the Holders at their addresses set forth in the register of Holders,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payment by wire transfer of immediately available funds will be required with respect to principal of and interest and premium, if any, on, all Global Notes and all other Notes the Holders of which hold at least $5,000,000 aggregate principal amount of the Notes and shall have provided wire transfer instructions to the Issuers or the Paying Agent for a U.S. dollar account in the continental U.S. Such payment shall be in such coin or currency of the United States of America as at the time of payment is legal tender for payment of public and private debts.</w:t>
      </w:r>
    </w:p>
    <w:p>
      <w:pPr>
        <w:spacing w:after="0" w:line="183" w:lineRule="exact"/>
        <w:rPr>
          <w:rFonts w:ascii="Times New Roman" w:cs="Times New Roman" w:eastAsia="Times New Roman" w:hAnsi="Times New Roman"/>
          <w:sz w:val="22"/>
          <w:szCs w:val="22"/>
          <w:color w:val="auto"/>
        </w:rPr>
      </w:pPr>
    </w:p>
    <w:p>
      <w:pPr>
        <w:jc w:val="both"/>
        <w:ind w:right="120" w:firstLine="656"/>
        <w:spacing w:after="0" w:line="257" w:lineRule="auto"/>
        <w:tabs>
          <w:tab w:leader="none" w:pos="111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PAYING AGENT AND REGISTRAR. Initially, Deutsche Bank Trust Company Americas will act as Paying Agent and Registrar. The Issuers may change the Paying Agents or the Registrars without prior notice to the Holders. The Company or any of its Subsidiaries may act as a Paying Agent or Registrar.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A-5</w:t>
      </w:r>
    </w:p>
    <w:p>
      <w:pPr>
        <w:sectPr>
          <w:pgSz w:w="11900" w:h="16838" w:orient="portrait"/>
          <w:cols w:equalWidth="0" w:num="1">
            <w:col w:w="11220"/>
          </w:cols>
          <w:pgMar w:left="320" w:top="1440" w:right="359" w:bottom="1440" w:gutter="0" w:footer="0" w:header="0"/>
        </w:sectPr>
      </w:pPr>
    </w:p>
    <w:bookmarkStart w:id="80" w:name="page81"/>
    <w:bookmarkEnd w:id="80"/>
    <w:p>
      <w:pPr>
        <w:ind w:left="-40" w:firstLine="656"/>
        <w:spacing w:after="0" w:line="249" w:lineRule="auto"/>
        <w:tabs>
          <w:tab w:leader="none" w:pos="107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INDENTURE. The Issuers issued the Notes under an Indenture, dated as of February 14, 2023, as amended and supplemented as of the date hereof (the “</w:t>
      </w: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 among Uniti Group LP, Uniti Group Finance 2019 Inc., Uniti Fiber Holdings Inc., CSL Capital, LLC, the Guarantors named therein and the Trustee. This Note is one of a duly authorized issue of notes of the Issuers designated as its 10.50% Senior Secured Notes due 2028. This Note is one of the Additional Notes referred to in the Indenture and which the Issuers are entitled to issue pursuant to Section 2.01 of the Indenture. The terms of the Notes include those stated in the Indenture and, solely to the extent expressly incorporated into the Indenture by the Indenture, those made part of the Indenture by reference to the Trust Indenture Act of 1939, as amended (the “</w:t>
      </w:r>
      <w:r>
        <w:rPr>
          <w:rFonts w:ascii="Times New Roman" w:cs="Times New Roman" w:eastAsia="Times New Roman" w:hAnsi="Times New Roman"/>
          <w:sz w:val="22"/>
          <w:szCs w:val="22"/>
          <w:b w:val="1"/>
          <w:bCs w:val="1"/>
          <w:color w:val="auto"/>
        </w:rPr>
        <w:t>Trust Indenture Act</w:t>
      </w:r>
      <w:r>
        <w:rPr>
          <w:rFonts w:ascii="Times New Roman" w:cs="Times New Roman" w:eastAsia="Times New Roman" w:hAnsi="Times New Roman"/>
          <w:sz w:val="22"/>
          <w:szCs w:val="22"/>
          <w:color w:val="auto"/>
        </w:rPr>
        <w:t>”). The Notes are subject to all such terms, and Holders are referred to the Indenture and such Act for a statement of such terms. To the extent any provision of this Note conflicts with the express provisions of the Indenture, the provisions of the Indenture shall govern and be controlling (other than with respect to pre-issuance interest).</w:t>
      </w:r>
    </w:p>
    <w:p>
      <w:pPr>
        <w:spacing w:after="0" w:line="183" w:lineRule="exact"/>
        <w:rPr>
          <w:rFonts w:ascii="Times New Roman" w:cs="Times New Roman" w:eastAsia="Times New Roman" w:hAnsi="Times New Roman"/>
          <w:sz w:val="22"/>
          <w:szCs w:val="22"/>
          <w:color w:val="auto"/>
        </w:rPr>
      </w:pPr>
    </w:p>
    <w:p>
      <w:pPr>
        <w:ind w:left="1080" w:hanging="464"/>
        <w:spacing w:after="0"/>
        <w:tabs>
          <w:tab w:leader="none" w:pos="10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OPTIONAL REDEMPTION.</w:t>
      </w:r>
    </w:p>
    <w:p>
      <w:pPr>
        <w:spacing w:after="0" w:line="220" w:lineRule="exact"/>
        <w:rPr>
          <w:sz w:val="20"/>
          <w:szCs w:val="20"/>
          <w:color w:val="auto"/>
        </w:rPr>
      </w:pPr>
    </w:p>
    <w:p>
      <w:pPr>
        <w:ind w:left="620" w:right="500" w:hanging="4"/>
        <w:spacing w:after="0" w:line="271" w:lineRule="auto"/>
        <w:tabs>
          <w:tab w:leader="none" w:pos="107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described below under clauses 5(b), 5(d), 5(e), 5(f) and 5(g) hereof, the Issuers will not be entitled to redeem the Notes at their option prior to September 15, 2025.</w:t>
      </w:r>
    </w:p>
    <w:p>
      <w:pPr>
        <w:spacing w:after="0" w:line="157" w:lineRule="exact"/>
        <w:rPr>
          <w:rFonts w:ascii="Times New Roman" w:cs="Times New Roman" w:eastAsia="Times New Roman" w:hAnsi="Times New Roman"/>
          <w:sz w:val="22"/>
          <w:szCs w:val="22"/>
          <w:color w:val="auto"/>
        </w:rPr>
      </w:pPr>
    </w:p>
    <w:p>
      <w:pPr>
        <w:ind w:left="620" w:right="80" w:hanging="4"/>
        <w:spacing w:after="0" w:line="253" w:lineRule="auto"/>
        <w:tabs>
          <w:tab w:leader="none" w:pos="107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prior to September 15, 2025, the Issuers may, at their option, redeem all or a part of the Notes upon notice as described in Section 3.03 of the Indenture on one or more occasions, at a redemption price equal to 100% of the principal amount of Notes redeemed plus the Applicable Premium as of the Redemption Date, and, without duplication, accrued and unpaid interest, if any, to, but excluding, the Redemption Date, subject to the rights of Holders on the relevant record date to receive interest due on the relevant Interest Payment Date.</w:t>
      </w:r>
    </w:p>
    <w:p>
      <w:pPr>
        <w:spacing w:after="0" w:line="178" w:lineRule="exact"/>
        <w:rPr>
          <w:rFonts w:ascii="Times New Roman" w:cs="Times New Roman" w:eastAsia="Times New Roman" w:hAnsi="Times New Roman"/>
          <w:sz w:val="22"/>
          <w:szCs w:val="22"/>
          <w:color w:val="auto"/>
        </w:rPr>
      </w:pPr>
    </w:p>
    <w:p>
      <w:pPr>
        <w:ind w:left="620" w:hanging="4"/>
        <w:spacing w:after="0" w:line="249" w:lineRule="auto"/>
        <w:tabs>
          <w:tab w:leader="none" w:pos="1064"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from and including September 15, 2025 through and including March 14, 2026, the Issuers may, at their option, redeem the Notes, in whole or in part, upon notice as described as described in Section 3.03 of the Indenture on one or more occasions, at a redemption price of 105.250% (expressed as a percentage of principal amount of the Notes to be redeemed), plus accrued and unpaid interest thereon, if any, to, but excluding, the applicable Redemption Date, subject to the right of Holders of record on the relevant Record Date to receive interest due on the relevant Interest Payment Date. On and after March 15, 2026, the Issuers may, at their option, redeem the Notes, in whole or in part, upon notice as described in Section 3.03 of the Indenture on one or more occasions, at the redemption prices (expressed as percentages of principal amount of the Notes to be redeemed) set forth below, plus accrued and unpaid interest thereon, if any, to, but excluding, the applicable Redemption Date, subject to the right of Holders of record on the relevant Record Date to receive interest due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A-6</w:t>
      </w:r>
    </w:p>
    <w:p>
      <w:pPr>
        <w:sectPr>
          <w:pgSz w:w="11900" w:h="16838" w:orient="portrait"/>
          <w:cols w:equalWidth="0" w:num="1">
            <w:col w:w="11180"/>
          </w:cols>
          <w:pgMar w:left="360" w:top="1422" w:right="359" w:bottom="1440" w:gutter="0" w:footer="0" w:header="0"/>
        </w:sectPr>
      </w:pPr>
    </w:p>
    <w:bookmarkStart w:id="81" w:name="page82"/>
    <w:bookmarkEnd w:id="81"/>
    <w:p>
      <w:pPr>
        <w:ind w:left="4" w:right="340"/>
        <w:spacing w:after="0" w:line="271" w:lineRule="auto"/>
        <w:rPr>
          <w:sz w:val="20"/>
          <w:szCs w:val="20"/>
          <w:color w:val="auto"/>
        </w:rPr>
      </w:pPr>
      <w:r>
        <w:rPr>
          <w:rFonts w:ascii="Times New Roman" w:cs="Times New Roman" w:eastAsia="Times New Roman" w:hAnsi="Times New Roman"/>
          <w:sz w:val="22"/>
          <w:szCs w:val="22"/>
          <w:color w:val="auto"/>
        </w:rPr>
        <w:t>the relevant Interest Payment Date, if redeemed during the twelve-month period beginning on March 15 of each of the years indicated below:</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564" w:type="dxa"/>
        <w:tblCellMar>
          <w:top w:w="0" w:type="dxa"/>
          <w:left w:w="0" w:type="dxa"/>
          <w:bottom w:w="0" w:type="dxa"/>
          <w:right w:w="0" w:type="dxa"/>
        </w:tblCellMar>
      </w:tblPr>
      <w:tr>
        <w:trPr>
          <w:trHeight w:val="283"/>
        </w:trPr>
        <w:tc>
          <w:tcPr>
            <w:tcW w:w="32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22"/>
                <w:szCs w:val="22"/>
                <w:color w:val="auto"/>
              </w:rPr>
              <w:t>Year</w:t>
            </w:r>
          </w:p>
        </w:tc>
        <w:tc>
          <w:tcPr>
            <w:tcW w:w="36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22"/>
                <w:szCs w:val="22"/>
                <w:color w:val="auto"/>
              </w:rPr>
              <w:t>Percentage</w:t>
            </w:r>
          </w:p>
        </w:tc>
      </w:tr>
      <w:tr>
        <w:trPr>
          <w:trHeight w:val="250"/>
        </w:trPr>
        <w:tc>
          <w:tcPr>
            <w:tcW w:w="3280" w:type="dxa"/>
            <w:vAlign w:val="bottom"/>
          </w:tcPr>
          <w:p>
            <w:pPr>
              <w:ind w:left="720"/>
              <w:spacing w:after="0" w:line="250" w:lineRule="exact"/>
              <w:rPr>
                <w:sz w:val="20"/>
                <w:szCs w:val="20"/>
                <w:color w:val="auto"/>
              </w:rPr>
            </w:pPr>
            <w:r>
              <w:rPr>
                <w:rFonts w:ascii="Times New Roman" w:cs="Times New Roman" w:eastAsia="Times New Roman" w:hAnsi="Times New Roman"/>
                <w:sz w:val="22"/>
                <w:szCs w:val="22"/>
                <w:color w:val="auto"/>
              </w:rPr>
              <w:t>2026</w:t>
            </w:r>
          </w:p>
        </w:tc>
        <w:tc>
          <w:tcPr>
            <w:tcW w:w="3600" w:type="dxa"/>
            <w:vAlign w:val="bottom"/>
          </w:tcPr>
          <w:p>
            <w:pPr>
              <w:ind w:left="860"/>
              <w:spacing w:after="0" w:line="250" w:lineRule="exact"/>
              <w:rPr>
                <w:sz w:val="20"/>
                <w:szCs w:val="20"/>
                <w:color w:val="auto"/>
              </w:rPr>
            </w:pPr>
            <w:r>
              <w:rPr>
                <w:rFonts w:ascii="Times New Roman" w:cs="Times New Roman" w:eastAsia="Times New Roman" w:hAnsi="Times New Roman"/>
                <w:sz w:val="22"/>
                <w:szCs w:val="22"/>
                <w:color w:val="auto"/>
              </w:rPr>
              <w:t>102.625%</w:t>
            </w:r>
          </w:p>
        </w:tc>
      </w:tr>
      <w:tr>
        <w:trPr>
          <w:trHeight w:val="282"/>
        </w:trPr>
        <w:tc>
          <w:tcPr>
            <w:tcW w:w="328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2027 and thereafter</w:t>
            </w:r>
          </w:p>
        </w:tc>
        <w:tc>
          <w:tcPr>
            <w:tcW w:w="360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100%</w:t>
            </w:r>
          </w:p>
        </w:tc>
      </w:tr>
    </w:tbl>
    <w:p>
      <w:pPr>
        <w:spacing w:after="0" w:line="200" w:lineRule="exact"/>
        <w:rPr>
          <w:sz w:val="20"/>
          <w:szCs w:val="20"/>
          <w:color w:val="auto"/>
        </w:rPr>
      </w:pPr>
    </w:p>
    <w:p>
      <w:pPr>
        <w:spacing w:after="0" w:line="341" w:lineRule="exact"/>
        <w:rPr>
          <w:sz w:val="20"/>
          <w:szCs w:val="20"/>
          <w:color w:val="auto"/>
        </w:rPr>
      </w:pPr>
    </w:p>
    <w:p>
      <w:pPr>
        <w:ind w:left="4" w:hanging="4"/>
        <w:spacing w:after="0" w:line="247" w:lineRule="auto"/>
        <w:tabs>
          <w:tab w:leader="none" w:pos="4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any time prior to September 15, 2025, the Issuers may, at their option, upon notice as described in Section 3.03 of the Indenture on one or more occasions, redeem up to 40% of the aggregate principal amount of Notes issued by them (including any Additional Notes) at a redemption price equal to 110.50% of the principal amount thereof plus accrued and unpaid interest thereon, if any, to, but excluding, the applicable Redemption Date, with the net cash proceeds of one or more Equity Offerings;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at least 60% of the aggregate principal amount of Notes originally issued under the Indenture remains outstanding immediately after the occurrence of each such redemption (for the avoidance of doubt, after giving effect to any prior or contemporaneous redemption or other cancellation of the Notes);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each such redemption occurs within 120 days of the date of closing of each such Equity Offering. Notice of any redemption upon any Equity Offering may be given prior to such Equity Offering, and any redemption or notice may, at the Issuers’ discretion, be subject to conditions, including completion of the related Equity Offering. If any such redemption or notice is subject to satisfaction of one or more conditions precedent, such notice shall state that, in the Issuers’ discretion, the Redemption Date may be delayed until such time as any or all such conditions shall be satisfied, or such redemption may not occur and such notice may be rescinded in the event that any or all such conditions shall not have been satisfied by the Redemption Date, or by the Redemption Date so delayed. The Issuers shall provide notice to the Trustee of the satisfaction of the condition precedent by the close of business on the Business Day prior to the Redemption Date.</w:t>
      </w:r>
    </w:p>
    <w:p>
      <w:pPr>
        <w:spacing w:after="0" w:line="194" w:lineRule="exact"/>
        <w:rPr>
          <w:rFonts w:ascii="Times New Roman" w:cs="Times New Roman" w:eastAsia="Times New Roman" w:hAnsi="Times New Roman"/>
          <w:sz w:val="22"/>
          <w:szCs w:val="22"/>
          <w:color w:val="auto"/>
        </w:rPr>
      </w:pPr>
    </w:p>
    <w:p>
      <w:pPr>
        <w:ind w:left="4" w:right="80" w:hanging="4"/>
        <w:spacing w:after="0" w:line="263" w:lineRule="auto"/>
        <w:tabs>
          <w:tab w:leader="none" w:pos="448"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any time prior to February 15, 2025, the Issuers may, at their option, upon notice pursuant to Section 3.03 of the Indenture on one or more occasions, redeem up to 10% of the aggregate principal amount of the Notes issued under the Indenture in any twelve-month period, at a redemption price equal to 103% of the aggregate principal amount thereof, plus accrued and unpaid interest thereon, if any, to, but excluding, the applicable Redemption Date, subject to the right of Holders of record on the relevant Record Date to receive interest due on the relevant Interest Payment Date falling on or prior to the Redemption Date. Notwithstanding the foregoing, the Issuers may not use the proceeds of any offering of Additional Notes with a price to investors equal to or in excess of 103% to finance any such 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20"/>
          <w:szCs w:val="20"/>
          <w:color w:val="auto"/>
        </w:rPr>
        <w:t>A-7</w:t>
      </w:r>
    </w:p>
    <w:p>
      <w:pPr>
        <w:sectPr>
          <w:pgSz w:w="11900" w:h="16838" w:orient="portrait"/>
          <w:cols w:equalWidth="0" w:num="1">
            <w:col w:w="10564"/>
          </w:cols>
          <w:pgMar w:left="976" w:top="1422" w:right="359" w:bottom="1440" w:gutter="0" w:footer="0" w:header="0"/>
        </w:sectPr>
      </w:pPr>
    </w:p>
    <w:bookmarkStart w:id="82" w:name="page83"/>
    <w:bookmarkEnd w:id="82"/>
    <w:p>
      <w:pPr>
        <w:ind w:left="620" w:hanging="4"/>
        <w:spacing w:after="0" w:line="250" w:lineRule="auto"/>
        <w:tabs>
          <w:tab w:leader="none" w:pos="1052"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tender offer for the Notes, in the event that Holders of not less than 90% in aggregate principal amount of the then outstanding Notes accept a tender offer and the Issuers (or any third party making such offer) purchase all of the Notes tendered by such Holders, the Issuers (or any such third party) will have the right, upon not less than 10 nor more than 60 days’ prior notice, given not more than 30 days following the purchase pursuant to the tender offer described above, to redeem all of such Notes that remain outstanding following such purchase at a redemption price equal to the highest price paid in such tender offer, plus, without duplication, accrued and unpaid interest on the Notes that remain outstanding, to, but excluding, the date of purchase.</w:t>
      </w:r>
    </w:p>
    <w:p>
      <w:pPr>
        <w:spacing w:after="0" w:line="180" w:lineRule="exact"/>
        <w:rPr>
          <w:rFonts w:ascii="Times New Roman" w:cs="Times New Roman" w:eastAsia="Times New Roman" w:hAnsi="Times New Roman"/>
          <w:sz w:val="22"/>
          <w:szCs w:val="22"/>
          <w:color w:val="auto"/>
        </w:rPr>
      </w:pPr>
    </w:p>
    <w:p>
      <w:pPr>
        <w:ind w:left="620" w:right="20" w:hanging="4"/>
        <w:spacing w:after="0" w:line="263" w:lineRule="auto"/>
        <w:tabs>
          <w:tab w:leader="none" w:pos="1088"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Holders of not less than 90% in aggregate principal amount of the then outstanding Notes accept a Change of Control Offer and the Issuers (or any third party making such Change of Control Offer in lieu of the Issuers as described above) purchase all of the Notes tendered by such Holders, the Issuers (or any such third party) will have the right, upon not less than 10 nor more than 60 days’ prior notice, given not more than 30 days following the purchase pursuant to such Change of Control Offer, to redeem all of such Notes that remain outstanding following such purchase at a redemption price equal to the Change of Control Payment, plus, to the extent not included in the Change of Control Payment, accrued and unpaid interest on the Notes that remain outstanding, to, but excluding, the date of purchase.</w:t>
      </w:r>
    </w:p>
    <w:p>
      <w:pPr>
        <w:spacing w:after="0" w:line="186" w:lineRule="exact"/>
        <w:rPr>
          <w:rFonts w:ascii="Times New Roman" w:cs="Times New Roman" w:eastAsia="Times New Roman" w:hAnsi="Times New Roman"/>
          <w:sz w:val="21"/>
          <w:szCs w:val="21"/>
          <w:color w:val="auto"/>
        </w:rPr>
      </w:pPr>
    </w:p>
    <w:p>
      <w:pPr>
        <w:ind w:left="620" w:right="60" w:hanging="4"/>
        <w:spacing w:after="0" w:line="271" w:lineRule="auto"/>
        <w:tabs>
          <w:tab w:leader="none" w:pos="107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redemption pursuant to this paragraph 5 shall be made pursuant to the provisions of Sections 3.01 through 3.06 of the Indenture.</w:t>
      </w:r>
    </w:p>
    <w:p>
      <w:pPr>
        <w:spacing w:after="0" w:line="158" w:lineRule="exact"/>
        <w:rPr>
          <w:sz w:val="20"/>
          <w:szCs w:val="20"/>
          <w:color w:val="auto"/>
        </w:rPr>
      </w:pPr>
    </w:p>
    <w:p>
      <w:pPr>
        <w:ind w:left="-40" w:right="220" w:firstLine="656"/>
        <w:spacing w:after="0" w:line="271" w:lineRule="auto"/>
        <w:tabs>
          <w:tab w:leader="none" w:pos="107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MANDATORY REDEMPTION. The Issuers shall not be required to make mandatory redemption or sinking fund payments with respect to the Notes.</w:t>
      </w:r>
    </w:p>
    <w:p>
      <w:pPr>
        <w:spacing w:after="0" w:line="157" w:lineRule="exact"/>
        <w:rPr>
          <w:rFonts w:ascii="Times New Roman" w:cs="Times New Roman" w:eastAsia="Times New Roman" w:hAnsi="Times New Roman"/>
          <w:sz w:val="22"/>
          <w:szCs w:val="22"/>
          <w:color w:val="auto"/>
        </w:rPr>
      </w:pPr>
    </w:p>
    <w:p>
      <w:pPr>
        <w:ind w:left="-40" w:firstLine="656"/>
        <w:spacing w:after="0" w:line="252" w:lineRule="auto"/>
        <w:tabs>
          <w:tab w:leader="none" w:pos="107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OF REDEMPTION. Subject to Section 3.03 of the Indenture, notice of redemption will be transmitted at least 10 days but not more than 60 days before the Redemption Date (except that redemption notices may be transmitted more than 60 days prior to a Redemption Date if the notice is issued in connection with Article 8 or Article 12 of the Indenture) to each Holder whose Notes are to be redeemed at its registered address. Notes in denominations larger than $2,000 may be redeemed in part but only in whole multiples of $1,000, unless all of the Notes held by a Holder are to be redeemed. On and after the Redemption Date interest ceases to accrue on Notes or portions thereof called for redemption subject to satisfaction of any conditions specified therein.</w:t>
      </w:r>
    </w:p>
    <w:p>
      <w:pPr>
        <w:spacing w:after="0" w:line="179" w:lineRule="exact"/>
        <w:rPr>
          <w:rFonts w:ascii="Times New Roman" w:cs="Times New Roman" w:eastAsia="Times New Roman" w:hAnsi="Times New Roman"/>
          <w:sz w:val="22"/>
          <w:szCs w:val="22"/>
          <w:color w:val="auto"/>
        </w:rPr>
      </w:pPr>
    </w:p>
    <w:p>
      <w:pPr>
        <w:ind w:left="1080" w:hanging="464"/>
        <w:spacing w:after="0"/>
        <w:tabs>
          <w:tab w:leader="none" w:pos="10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OFFERS TO REPURCHASE.</w:t>
      </w:r>
    </w:p>
    <w:p>
      <w:pPr>
        <w:spacing w:after="0" w:line="216" w:lineRule="exact"/>
        <w:rPr>
          <w:sz w:val="20"/>
          <w:szCs w:val="20"/>
          <w:color w:val="auto"/>
        </w:rPr>
      </w:pPr>
    </w:p>
    <w:p>
      <w:pPr>
        <w:ind w:left="1080" w:hanging="464"/>
        <w:spacing w:after="0"/>
        <w:tabs>
          <w:tab w:leader="none" w:pos="10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occurrence of a Change of Control Repurchase Event, the Issuers shall make an offer (a “</w:t>
      </w:r>
      <w:r>
        <w:rPr>
          <w:rFonts w:ascii="Times New Roman" w:cs="Times New Roman" w:eastAsia="Times New Roman" w:hAnsi="Times New Roman"/>
          <w:sz w:val="22"/>
          <w:szCs w:val="22"/>
          <w:b w:val="1"/>
          <w:bCs w:val="1"/>
          <w:color w:val="auto"/>
        </w:rPr>
        <w:t>Change of</w:t>
      </w:r>
    </w:p>
    <w:p>
      <w:pPr>
        <w:spacing w:after="0" w:line="31" w:lineRule="exact"/>
        <w:rPr>
          <w:rFonts w:ascii="Times New Roman" w:cs="Times New Roman" w:eastAsia="Times New Roman" w:hAnsi="Times New Roman"/>
          <w:sz w:val="22"/>
          <w:szCs w:val="22"/>
          <w:color w:val="auto"/>
        </w:rPr>
      </w:pPr>
    </w:p>
    <w:p>
      <w:pPr>
        <w:ind w:left="620" w:right="140"/>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Control Offer</w:t>
      </w:r>
      <w:r>
        <w:rPr>
          <w:rFonts w:ascii="Times New Roman" w:cs="Times New Roman" w:eastAsia="Times New Roman" w:hAnsi="Times New Roman"/>
          <w:sz w:val="22"/>
          <w:szCs w:val="22"/>
          <w:color w:val="auto"/>
        </w:rPr>
        <w:t>”) to each Holder to repurchase all or any part (equal to $2,000 or an integral multiple of $1,000 in excess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thereof) of each Holder’s Notes at a purchase price equal to 101%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A-8</w:t>
      </w:r>
    </w:p>
    <w:p>
      <w:pPr>
        <w:sectPr>
          <w:pgSz w:w="11900" w:h="16838" w:orient="portrait"/>
          <w:cols w:equalWidth="0" w:num="1">
            <w:col w:w="11160"/>
          </w:cols>
          <w:pgMar w:left="360" w:top="1422" w:right="379" w:bottom="1440" w:gutter="0" w:footer="0" w:header="0"/>
        </w:sectPr>
      </w:pPr>
    </w:p>
    <w:bookmarkStart w:id="83" w:name="page84"/>
    <w:bookmarkEnd w:id="83"/>
    <w:p>
      <w:pPr>
        <w:ind w:left="640" w:right="100"/>
        <w:spacing w:after="0" w:line="299" w:lineRule="auto"/>
        <w:rPr>
          <w:sz w:val="20"/>
          <w:szCs w:val="20"/>
          <w:color w:val="auto"/>
        </w:rPr>
      </w:pPr>
      <w:r>
        <w:rPr>
          <w:rFonts w:ascii="Times New Roman" w:cs="Times New Roman" w:eastAsia="Times New Roman" w:hAnsi="Times New Roman"/>
          <w:sz w:val="21"/>
          <w:szCs w:val="21"/>
          <w:color w:val="auto"/>
        </w:rPr>
        <w:t>aggregate principal amount thereof plus accrued and unpaid interest thereon, if any, to the date of purchase (the “</w:t>
      </w:r>
      <w:r>
        <w:rPr>
          <w:rFonts w:ascii="Times New Roman" w:cs="Times New Roman" w:eastAsia="Times New Roman" w:hAnsi="Times New Roman"/>
          <w:sz w:val="21"/>
          <w:szCs w:val="21"/>
          <w:b w:val="1"/>
          <w:bCs w:val="1"/>
          <w:color w:val="auto"/>
        </w:rPr>
        <w:t>Change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of Control Payment</w:t>
      </w:r>
      <w:r>
        <w:rPr>
          <w:rFonts w:ascii="Times New Roman" w:cs="Times New Roman" w:eastAsia="Times New Roman" w:hAnsi="Times New Roman"/>
          <w:sz w:val="21"/>
          <w:szCs w:val="21"/>
          <w:color w:val="auto"/>
        </w:rPr>
        <w:t>”). The Change of Control Offer shall be made in accordance with Section 4.14 of the Indenture.</w:t>
      </w:r>
    </w:p>
    <w:p>
      <w:pPr>
        <w:spacing w:after="0" w:line="131" w:lineRule="exact"/>
        <w:rPr>
          <w:sz w:val="20"/>
          <w:szCs w:val="20"/>
          <w:color w:val="auto"/>
        </w:rPr>
      </w:pPr>
    </w:p>
    <w:p>
      <w:pPr>
        <w:ind w:left="640" w:firstLine="644"/>
        <w:spacing w:after="0" w:line="247" w:lineRule="auto"/>
        <w:tabs>
          <w:tab w:leader="none" w:pos="1756"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Company or any of its Restricted Subsidiaries consummates an Asset Sale, within fifteen (15) Business Days of each date that Excess Proceeds exceed $75.0 million, the Issuers shall commence an offer to all Holders of the Notes and, if required by the terms of any Indebtedness that is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with the Notes (“</w:t>
      </w:r>
      <w:r>
        <w:rPr>
          <w:rFonts w:ascii="Times New Roman" w:cs="Times New Roman" w:eastAsia="Times New Roman" w:hAnsi="Times New Roman"/>
          <w:sz w:val="22"/>
          <w:szCs w:val="22"/>
          <w:b w:val="1"/>
          <w:bCs w:val="1"/>
          <w:i w:val="1"/>
          <w:iCs w:val="1"/>
          <w:color w:val="auto"/>
        </w:rPr>
        <w:t>Pari Passu</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Indebtedness</w:t>
      </w:r>
      <w:r>
        <w:rPr>
          <w:rFonts w:ascii="Times New Roman" w:cs="Times New Roman" w:eastAsia="Times New Roman" w:hAnsi="Times New Roman"/>
          <w:sz w:val="22"/>
          <w:szCs w:val="22"/>
          <w:color w:val="auto"/>
        </w:rPr>
        <w:t xml:space="preserve">”), to the holders of such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Indebtedness (an “</w:t>
      </w:r>
      <w:r>
        <w:rPr>
          <w:rFonts w:ascii="Times New Roman" w:cs="Times New Roman" w:eastAsia="Times New Roman" w:hAnsi="Times New Roman"/>
          <w:sz w:val="22"/>
          <w:szCs w:val="22"/>
          <w:b w:val="1"/>
          <w:bCs w:val="1"/>
          <w:color w:val="auto"/>
        </w:rPr>
        <w:t>Asset Sale Offer</w:t>
      </w:r>
      <w:r>
        <w:rPr>
          <w:rFonts w:ascii="Times New Roman" w:cs="Times New Roman" w:eastAsia="Times New Roman" w:hAnsi="Times New Roman"/>
          <w:sz w:val="22"/>
          <w:szCs w:val="22"/>
          <w:color w:val="auto"/>
        </w:rPr>
        <w:t xml:space="preserve">”), to purchase the maximum principal amount of Notes (including any Additional Notes) and such other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Indebtedness that may be purchased out of the Excess Proceeds at an offer price in cash in an amount equal to 100% of the principal amount thereof plus accrued and unpaid interest thereon, if any (or, in respect of such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Indebtedness, such lesser price, if any, as may be provided for or permitted by the terms of such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Indebtedness), to the date fixed for the closing of such offer, in accordance with the procedures set forth in the Indenture. To the extent that the aggregate principal amount of Notes and such </w:t>
      </w:r>
      <w:r>
        <w:rPr>
          <w:rFonts w:ascii="Times New Roman" w:cs="Times New Roman" w:eastAsia="Times New Roman" w:hAnsi="Times New Roman"/>
          <w:sz w:val="22"/>
          <w:szCs w:val="22"/>
          <w:i w:val="1"/>
          <w:iCs w:val="1"/>
          <w:color w:val="auto"/>
        </w:rPr>
        <w:t>Pari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Passu </w:t>
      </w:r>
      <w:r>
        <w:rPr>
          <w:rFonts w:ascii="Times New Roman" w:cs="Times New Roman" w:eastAsia="Times New Roman" w:hAnsi="Times New Roman"/>
          <w:sz w:val="22"/>
          <w:szCs w:val="22"/>
          <w:color w:val="auto"/>
        </w:rPr>
        <w:t>Indebtedness tendered pursuant to an Asset Sale Offer is less than the Excess Proceeds, the Issuers may use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remaining Excess Proceeds for general corporate purposes, subject to other covenants contained in the Indenture. If the aggregate amount of Notes and the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Indebtedness surrendered in an Asset Sale Offer exceeds the amount of Excess Proceeds, the Trustee shall select the Notes and the Issuers or the agent for such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Indebtedness shall select such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Indebtedness to be purchased (a) if the Notes or such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Indebtedness are listed on any national securities exchange, in compliance with the requirements of the principal national securities exchange on which the Notes or such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Indebtedness, as applicable, are listed, (b)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based on the amount (determined as set forth above) of the Notes and such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Indebtedness tendered or (c) by lot or such similar method in accordance with the procedures of The Depository Trust Company;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notes of $2,000 or less shall be repurchased in part. Upon completion of any such Asset Sale Offer, the amount of Excess Proceeds shall be reset at zero.</w:t>
      </w:r>
    </w:p>
    <w:p>
      <w:pPr>
        <w:spacing w:after="0" w:line="192" w:lineRule="exact"/>
        <w:rPr>
          <w:rFonts w:ascii="Times New Roman" w:cs="Times New Roman" w:eastAsia="Times New Roman" w:hAnsi="Times New Roman"/>
          <w:sz w:val="22"/>
          <w:szCs w:val="22"/>
          <w:color w:val="auto"/>
        </w:rPr>
      </w:pPr>
    </w:p>
    <w:p>
      <w:pPr>
        <w:ind w:left="-20" w:right="60" w:firstLine="656"/>
        <w:spacing w:after="0" w:line="250" w:lineRule="auto"/>
        <w:tabs>
          <w:tab w:leader="none" w:pos="109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DENOMINATIONS, TRANSFER, EXCHANGE. The Notes are in registered form without coupons in minimum denominations of $2,000 and integral multiples of $1,000 in excess thereof. The transfer of Notes may be registered and Notes may be exchanged as provided in the Indenture. The Registrar and the Trustee may require a Holder to furnish appropriate endorsements and transfer documents in connection with a transfer of the Notes. Holders shall pay all taxes due on transfer. The Issuers are not required to transfer or exchange any Note selected for redemption, except for the unredeemed portion of any Note being redeemed in part. Also, the Issuers are not required to issue, transfer or exchange any Notes for a period of 15 days before the transmission of a notice of redemption of Notes to be redeemed.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A-9</w:t>
      </w:r>
    </w:p>
    <w:p>
      <w:pPr>
        <w:sectPr>
          <w:pgSz w:w="11900" w:h="16838" w:orient="portrait"/>
          <w:cols w:equalWidth="0" w:num="1">
            <w:col w:w="11200"/>
          </w:cols>
          <w:pgMar w:left="340" w:top="1418" w:right="359" w:bottom="1440" w:gutter="0" w:footer="0" w:header="0"/>
        </w:sectPr>
      </w:pPr>
    </w:p>
    <w:bookmarkStart w:id="84" w:name="page85"/>
    <w:bookmarkEnd w:id="84"/>
    <w:p>
      <w:pPr>
        <w:ind w:left="1200" w:hanging="584"/>
        <w:spacing w:after="0"/>
        <w:tabs>
          <w:tab w:leader="none" w:pos="12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PERSONS DEEMED OWNERS. The registered Holder of a Note may be treated as its owner for all purposes.</w:t>
      </w:r>
    </w:p>
    <w:p>
      <w:pPr>
        <w:spacing w:after="0" w:line="219" w:lineRule="exact"/>
        <w:rPr>
          <w:rFonts w:ascii="Times New Roman" w:cs="Times New Roman" w:eastAsia="Times New Roman" w:hAnsi="Times New Roman"/>
          <w:sz w:val="22"/>
          <w:szCs w:val="22"/>
          <w:color w:val="auto"/>
        </w:rPr>
      </w:pPr>
    </w:p>
    <w:p>
      <w:pPr>
        <w:ind w:left="-40" w:right="120" w:firstLine="656"/>
        <w:spacing w:after="0" w:line="271" w:lineRule="auto"/>
        <w:tabs>
          <w:tab w:leader="none" w:pos="116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AMENDMENT, SUPPLEMENT AND WAIVER. The Indenture, the Guarantees or the Notes may be amended or supplemented as provided in the Indenture.</w:t>
      </w:r>
    </w:p>
    <w:p>
      <w:pPr>
        <w:spacing w:after="0" w:line="171" w:lineRule="exact"/>
        <w:rPr>
          <w:rFonts w:ascii="Times New Roman" w:cs="Times New Roman" w:eastAsia="Times New Roman" w:hAnsi="Times New Roman"/>
          <w:sz w:val="22"/>
          <w:szCs w:val="22"/>
          <w:color w:val="auto"/>
        </w:rPr>
      </w:pPr>
    </w:p>
    <w:p>
      <w:pPr>
        <w:ind w:left="-40" w:firstLine="656"/>
        <w:spacing w:after="0" w:line="259" w:lineRule="auto"/>
        <w:tabs>
          <w:tab w:leader="none" w:pos="1184"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DEFAULTS AND REMEDIES. The Events of Default relating to the Notes are defined in Section 6.01 of the Indenture. If any Event of Default occurs and is continuing, the Trustee or the Holders of at least 30% in principal amount of the then outstanding Notes may declare the principal, premium, if any, interest and any other monetary obligations on all the then outstanding Notes to be due and payable immediately, subject to each limitation set forth in the Indenture. Notwithstanding the foregoing, in the case of an Event of Default arising from certain events of bankruptcy or insolvency, all outstanding Notes will become due and payable immediately without further action or notice. Upon the outstanding Notes becoming due and payable upon or after the occurrence of an Event of Default, whether automatically or by declaration, such Notes (together with accrued and unpaid interest thereon) will immediately become due and payable (the date thereof, the “</w:t>
      </w:r>
      <w:r>
        <w:rPr>
          <w:rFonts w:ascii="Times New Roman" w:cs="Times New Roman" w:eastAsia="Times New Roman" w:hAnsi="Times New Roman"/>
          <w:sz w:val="21"/>
          <w:szCs w:val="21"/>
          <w:b w:val="1"/>
          <w:bCs w:val="1"/>
          <w:color w:val="auto"/>
        </w:rPr>
        <w:t>Relevant Date</w:t>
      </w:r>
      <w:r>
        <w:rPr>
          <w:rFonts w:ascii="Times New Roman" w:cs="Times New Roman" w:eastAsia="Times New Roman" w:hAnsi="Times New Roman"/>
          <w:sz w:val="21"/>
          <w:szCs w:val="21"/>
          <w:color w:val="auto"/>
        </w:rPr>
        <w:t>”) and (i) if the Relevant Date occurs prior to September 15, 2025, the Applicable Premium that would have been payable upon an optional redemption of the Notes on the Relevant Date or (ii) if the Relevant Date occurs on or after September 15, 2025 and prior to March 15, 2027, the redemption premium that would have been payable upon an optional redemption of the Notes on the Relevant Date as set forth in paragraph 5 of this Note shall, in either case, also be immediately due and payable on the Relevant Date. Holders may not enforce the Indenture, the Notes or the Guarantees except as provided in the Indenture. Subject to certain limitations, Holders of a majority in aggregate principal amount of the then outstanding Notes may direct the Trustee in its exercise of any trust or power. The Trustee may withhold from Holders of the Notes notice of any continuing Default (except a Default relating to the payment of principal, premium, if any, or interest) if it determines that withholding notice is in their interest. The Holders of a majority in aggregate principal amount of the Notes then outstanding by notice to the Trustee may on behalf of the Holders of all of the Notes waive any existing Default and its consequences under the Indenture except a continuing Default in payment of the principal of, premium, if any, or interest on, any of the Notes held by a non-consenting Holder. The Issuers are required to deliver to the Trustee annually a statement regarding compliance with the Indenture, and the Issuers are required within ten (10) Business Days after becoming aware of any Default, to deliver to the Trustee a statement specifying such Default and what action the Issuers propose to take with respect thereto.</w:t>
      </w:r>
    </w:p>
    <w:p>
      <w:pPr>
        <w:spacing w:after="0" w:line="179" w:lineRule="exact"/>
        <w:rPr>
          <w:rFonts w:ascii="Times New Roman" w:cs="Times New Roman" w:eastAsia="Times New Roman" w:hAnsi="Times New Roman"/>
          <w:sz w:val="21"/>
          <w:szCs w:val="21"/>
          <w:color w:val="auto"/>
        </w:rPr>
      </w:pPr>
    </w:p>
    <w:p>
      <w:pPr>
        <w:ind w:left="-40" w:right="260" w:firstLine="656"/>
        <w:spacing w:after="0" w:line="271" w:lineRule="auto"/>
        <w:tabs>
          <w:tab w:leader="none" w:pos="117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AUTHENTICATION. This Note shall not be entitled to any benefit under the Indenture or be valid or obligatory for any purpose until authenticated by the manual or electronic signature of the Trustee.</w:t>
      </w:r>
    </w:p>
    <w:p>
      <w:pPr>
        <w:spacing w:after="0" w:line="157" w:lineRule="exact"/>
        <w:rPr>
          <w:rFonts w:ascii="Times New Roman" w:cs="Times New Roman" w:eastAsia="Times New Roman" w:hAnsi="Times New Roman"/>
          <w:sz w:val="22"/>
          <w:szCs w:val="22"/>
          <w:color w:val="auto"/>
        </w:rPr>
      </w:pPr>
    </w:p>
    <w:p>
      <w:pPr>
        <w:ind w:left="-40" w:right="140" w:firstLine="656"/>
        <w:spacing w:after="0" w:line="271" w:lineRule="auto"/>
        <w:tabs>
          <w:tab w:leader="none" w:pos="118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COLLATERAL. The Notes are secured by a security interest in the Collateral, subject to the terms of the Security Documents, the Intercreditor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A-10</w:t>
      </w:r>
    </w:p>
    <w:p>
      <w:pPr>
        <w:sectPr>
          <w:pgSz w:w="11900" w:h="16838" w:orient="portrait"/>
          <w:cols w:equalWidth="0" w:num="1">
            <w:col w:w="11180"/>
          </w:cols>
          <w:pgMar w:left="360" w:top="1422" w:right="359" w:bottom="1440" w:gutter="0" w:footer="0" w:header="0"/>
        </w:sectPr>
      </w:pPr>
    </w:p>
    <w:bookmarkStart w:id="85" w:name="page86"/>
    <w:bookmarkEnd w:id="85"/>
    <w:p>
      <w:pPr>
        <w:ind w:right="80"/>
        <w:spacing w:after="0" w:line="271" w:lineRule="auto"/>
        <w:rPr>
          <w:sz w:val="20"/>
          <w:szCs w:val="20"/>
          <w:color w:val="auto"/>
        </w:rPr>
      </w:pPr>
      <w:r>
        <w:rPr>
          <w:rFonts w:ascii="Times New Roman" w:cs="Times New Roman" w:eastAsia="Times New Roman" w:hAnsi="Times New Roman"/>
          <w:sz w:val="22"/>
          <w:szCs w:val="22"/>
          <w:color w:val="auto"/>
        </w:rPr>
        <w:t>and any other applicable intercreditor agreement, subject to release or termination as provided in the Indenture and the Security Documents.</w:t>
      </w:r>
    </w:p>
    <w:p>
      <w:pPr>
        <w:spacing w:after="0" w:line="158" w:lineRule="exact"/>
        <w:rPr>
          <w:sz w:val="20"/>
          <w:szCs w:val="20"/>
          <w:color w:val="auto"/>
        </w:rPr>
      </w:pPr>
    </w:p>
    <w:p>
      <w:pPr>
        <w:ind w:right="360" w:firstLine="656"/>
        <w:spacing w:after="0" w:line="284" w:lineRule="auto"/>
        <w:tabs>
          <w:tab w:leader="none" w:pos="122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GOVERNING LAW. THE LAWS OF THE STATE OF NEW YORK SHALL GOVERN AND BE USED TO CONSTRUE THE INDENTURE, THE NOTES AND THE GUARANTEES.</w:t>
      </w:r>
    </w:p>
    <w:p>
      <w:pPr>
        <w:spacing w:after="0" w:line="143" w:lineRule="exact"/>
        <w:rPr>
          <w:rFonts w:ascii="Times New Roman" w:cs="Times New Roman" w:eastAsia="Times New Roman" w:hAnsi="Times New Roman"/>
          <w:sz w:val="22"/>
          <w:szCs w:val="22"/>
          <w:color w:val="auto"/>
        </w:rPr>
      </w:pPr>
    </w:p>
    <w:p>
      <w:pPr>
        <w:ind w:right="220" w:firstLine="656"/>
        <w:spacing w:after="0" w:line="253" w:lineRule="auto"/>
        <w:tabs>
          <w:tab w:leader="none" w:pos="122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NUMBERS. Pursuant to a recommendation promulgated by the Committee on Uniform Security Identification Procedures, the Issuers have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79"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Issuers will furnish to any Holder upon written request and without charge a copy of the Indenture. Requests may be made to the Issuers at the following address: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Uniti Group LP</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2101 Riverfront Drive</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Suite A</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Little Rock, AR 72202</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Uniti Group Finance 2019 Inc.</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2101 Riverfront Drive</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Suite A</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Little Rock, AR 72202</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Uniti Fiber Holdings Inc.</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2101 Riverfront Drive</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Suite A</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Little Rock, AR 72202</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CSL Capital, LLC</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2101 Riverfront Drive</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Suite A</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Little Rock, AR 72202</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A-11</w:t>
      </w:r>
    </w:p>
    <w:p>
      <w:pPr>
        <w:sectPr>
          <w:pgSz w:w="11900" w:h="16838" w:orient="portrait"/>
          <w:cols w:equalWidth="0" w:num="1">
            <w:col w:w="11100"/>
          </w:cols>
          <w:pgMar w:left="320" w:top="1422" w:right="479" w:bottom="1440" w:gutter="0" w:footer="0" w:header="0"/>
        </w:sectPr>
      </w:pPr>
    </w:p>
    <w:bookmarkStart w:id="86" w:name="page87"/>
    <w:bookmarkEnd w:id="86"/>
    <w:p>
      <w:pPr>
        <w:spacing w:after="0" w:line="200" w:lineRule="exact"/>
        <w:rPr>
          <w:sz w:val="20"/>
          <w:szCs w:val="20"/>
          <w:color w:val="auto"/>
        </w:rPr>
      </w:pPr>
    </w:p>
    <w:p>
      <w:pPr>
        <w:spacing w:after="0" w:line="24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ASSIGNMENT FORM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assign this Note, fill in the form below:</w:t>
      </w:r>
    </w:p>
    <w:p>
      <w:pPr>
        <w:spacing w:after="0" w:line="27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22860</wp:posOffset>
            </wp:positionV>
            <wp:extent cx="331724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751205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605790</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459740</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168275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color w:val="auto"/>
        </w:rPr>
        <w:t>(Print or type assignee’s name, address and zip code)</w:t>
      </w:r>
    </w:p>
    <w:p>
      <w:pPr>
        <w:spacing w:after="0" w:line="200" w:lineRule="exact"/>
        <w:rPr>
          <w:sz w:val="20"/>
          <w:szCs w:val="20"/>
          <w:color w:val="auto"/>
        </w:rPr>
      </w:pPr>
    </w:p>
    <w:p>
      <w:pPr>
        <w:spacing w:after="0" w:line="2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and irrevocably appoint to transfer this Note on the books of the Issuers. The agent may substitute another to act for him.</w:t>
      </w:r>
    </w:p>
    <w:p>
      <w:pPr>
        <w:spacing w:after="0" w:line="28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40005</wp:posOffset>
            </wp:positionV>
            <wp:extent cx="331724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27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40005</wp:posOffset>
            </wp:positionV>
            <wp:extent cx="331724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4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(Sign exactly as your name appears on the face of this Note)</w:t>
      </w:r>
    </w:p>
    <w:p>
      <w:pPr>
        <w:spacing w:after="0" w:line="29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Signature Guarantee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3175</wp:posOffset>
            </wp:positionV>
            <wp:extent cx="331724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2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color w:val="auto"/>
        </w:rPr>
        <w:t>A-12</w:t>
      </w:r>
    </w:p>
    <w:p>
      <w:pPr>
        <w:sectPr>
          <w:pgSz w:w="11900" w:h="16838" w:orient="portrait"/>
          <w:cols w:equalWidth="0" w:num="1">
            <w:col w:w="10300"/>
          </w:cols>
          <w:pgMar w:left="320" w:top="1440" w:right="1279" w:bottom="1440" w:gutter="0" w:footer="0" w:header="0"/>
        </w:sectPr>
      </w:pPr>
    </w:p>
    <w:bookmarkStart w:id="87" w:name="page88"/>
    <w:bookmarkEnd w:id="87"/>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OPTION OF HOLDER TO ELECT PURCHASE</w:t>
      </w:r>
    </w:p>
    <w:p>
      <w:pPr>
        <w:spacing w:after="0" w:line="270" w:lineRule="exact"/>
        <w:rPr>
          <w:sz w:val="20"/>
          <w:szCs w:val="20"/>
          <w:color w:val="auto"/>
        </w:rPr>
      </w:pPr>
    </w:p>
    <w:p>
      <w:pPr>
        <w:ind w:right="160"/>
        <w:spacing w:after="0" w:line="233" w:lineRule="auto"/>
        <w:rPr>
          <w:sz w:val="20"/>
          <w:szCs w:val="20"/>
          <w:color w:val="auto"/>
        </w:rPr>
      </w:pPr>
      <w:r>
        <w:rPr>
          <w:rFonts w:ascii="Times New Roman" w:cs="Times New Roman" w:eastAsia="Times New Roman" w:hAnsi="Times New Roman"/>
          <w:sz w:val="20"/>
          <w:szCs w:val="20"/>
          <w:color w:val="auto"/>
        </w:rPr>
        <w:t>If you want to elect to have this Note purchased by the Issuers pursuant to Section 4.10 or 4.14 of the Indenture, check the appropriate box below:</w:t>
      </w:r>
    </w:p>
    <w:p>
      <w:pPr>
        <w:spacing w:after="0" w:line="1" w:lineRule="exact"/>
        <w:rPr>
          <w:sz w:val="20"/>
          <w:szCs w:val="20"/>
          <w:color w:val="auto"/>
        </w:rPr>
      </w:pPr>
    </w:p>
    <w:p>
      <w:pPr>
        <w:ind w:left="940"/>
        <w:spacing w:after="0" w:line="230" w:lineRule="exact"/>
        <w:tabs>
          <w:tab w:leader="none" w:pos="2720" w:val="left"/>
          <w:tab w:leader="none" w:pos="6380" w:val="left"/>
          <w:tab w:leader="none" w:pos="7300" w:val="left"/>
        </w:tabs>
        <w:rPr>
          <w:sz w:val="20"/>
          <w:szCs w:val="20"/>
          <w:color w:val="auto"/>
        </w:rPr>
      </w:pPr>
      <w:r>
        <w:rPr>
          <w:rFonts w:ascii="MS PGothic" w:cs="MS PGothic" w:eastAsia="MS PGothic" w:hAnsi="MS PGothic"/>
          <w:sz w:val="20"/>
          <w:szCs w:val="20"/>
          <w:color w:val="auto"/>
        </w:rPr>
        <w:t>☐</w:t>
      </w:r>
      <w:r>
        <w:rPr>
          <w:sz w:val="20"/>
          <w:szCs w:val="20"/>
          <w:color w:val="auto"/>
        </w:rPr>
        <w:tab/>
      </w:r>
      <w:r>
        <w:rPr>
          <w:rFonts w:ascii="Times New Roman" w:cs="Times New Roman" w:eastAsia="Times New Roman" w:hAnsi="Times New Roman"/>
          <w:sz w:val="20"/>
          <w:szCs w:val="20"/>
          <w:color w:val="auto"/>
        </w:rPr>
        <w:t>Section 4.10</w:t>
      </w:r>
      <w:r>
        <w:rPr>
          <w:sz w:val="20"/>
          <w:szCs w:val="20"/>
          <w:color w:val="auto"/>
        </w:rPr>
        <w:tab/>
      </w:r>
      <w:r>
        <w:rPr>
          <w:rFonts w:ascii="MS PGothic" w:cs="MS PGothic" w:eastAsia="MS PGothic" w:hAnsi="MS PGothic"/>
          <w:sz w:val="20"/>
          <w:szCs w:val="20"/>
          <w:color w:val="auto"/>
        </w:rPr>
        <w:t>☐</w:t>
      </w:r>
      <w:r>
        <w:rPr>
          <w:sz w:val="20"/>
          <w:szCs w:val="20"/>
          <w:color w:val="auto"/>
        </w:rPr>
        <w:tab/>
      </w:r>
      <w:r>
        <w:rPr>
          <w:rFonts w:ascii="Times New Roman" w:cs="Times New Roman" w:eastAsia="Times New Roman" w:hAnsi="Times New Roman"/>
          <w:sz w:val="19"/>
          <w:szCs w:val="19"/>
          <w:color w:val="auto"/>
        </w:rPr>
        <w:t>Section 4.14</w:t>
      </w:r>
    </w:p>
    <w:p>
      <w:pPr>
        <w:spacing w:after="0" w:line="295"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If you want to elect to have only part of this Note purchased by the Issuers pursuant to Section 4.10 or Section 4.14 of the Indenture, state the amount you elect to have purchased:</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 ________________</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40005</wp:posOffset>
            </wp:positionV>
            <wp:extent cx="34715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40005</wp:posOffset>
            </wp:positionV>
            <wp:extent cx="347154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4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(Sign exactly as your name appears on the face of this Note)</w:t>
      </w:r>
    </w:p>
    <w:p>
      <w:pPr>
        <w:spacing w:after="0" w:line="2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22860</wp:posOffset>
            </wp:positionV>
            <wp:extent cx="347154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Guarantee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10795</wp:posOffset>
            </wp:positionV>
            <wp:extent cx="34715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A-13</w:t>
      </w:r>
    </w:p>
    <w:p>
      <w:pPr>
        <w:sectPr>
          <w:pgSz w:w="11900" w:h="16838" w:orient="portrait"/>
          <w:cols w:equalWidth="0" w:num="1">
            <w:col w:w="11120"/>
          </w:cols>
          <w:pgMar w:left="400" w:top="1440" w:right="37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20"/>
          <w:szCs w:val="20"/>
          <w:color w:val="auto"/>
        </w:rPr>
        <w:t>SCHEDULE OF EXCHANGES OF INTERESTS IN THE GLOBAL NOTE</w:t>
      </w:r>
      <w:r>
        <w:rPr>
          <w:rFonts w:ascii="Times New Roman" w:cs="Times New Roman" w:eastAsia="Times New Roman" w:hAnsi="Times New Roman"/>
          <w:sz w:val="25"/>
          <w:szCs w:val="25"/>
          <w:color w:val="auto"/>
          <w:vertAlign w:val="superscript"/>
        </w:rPr>
        <w:t>*</w:t>
      </w:r>
    </w:p>
    <w:p>
      <w:pPr>
        <w:spacing w:after="0" w:line="17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20"/>
          <w:szCs w:val="20"/>
          <w:color w:val="auto"/>
        </w:rPr>
        <w:t>The initial outstanding principal amount of this Global Note is $ . The following exchanges of a part of this Global Note for an interest in another Global Note or for a Definitive Note, or exchanges of a part of another Global or Definitive Note for an interest in this Global Note, have been made: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7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40" w:type="dxa"/>
            <w:vAlign w:val="bottom"/>
          </w:tcPr>
          <w:p>
            <w:pPr>
              <w:jc w:val="center"/>
              <w:ind w:left="26"/>
              <w:spacing w:after="0"/>
              <w:rPr>
                <w:sz w:val="20"/>
                <w:szCs w:val="20"/>
                <w:color w:val="auto"/>
              </w:rPr>
            </w:pPr>
            <w:r>
              <w:rPr>
                <w:rFonts w:ascii="Times New Roman" w:cs="Times New Roman" w:eastAsia="Times New Roman" w:hAnsi="Times New Roman"/>
                <w:sz w:val="19"/>
                <w:szCs w:val="19"/>
                <w:b w:val="1"/>
                <w:bCs w:val="1"/>
                <w:color w:val="auto"/>
                <w:w w:val="99"/>
              </w:rPr>
              <w:t>Principal Amount of</w:t>
            </w:r>
          </w:p>
        </w:tc>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Signature of authorized</w:t>
            </w: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39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9"/>
                <w:szCs w:val="19"/>
                <w:b w:val="1"/>
                <w:bCs w:val="1"/>
                <w:color w:val="auto"/>
              </w:rPr>
              <w:t>Amount of decrease in Amount of increase in</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Amount of this</w:t>
            </w:r>
          </w:p>
        </w:tc>
        <w:tc>
          <w:tcPr>
            <w:tcW w:w="1940" w:type="dxa"/>
            <w:vAlign w:val="bottom"/>
          </w:tcPr>
          <w:p>
            <w:pPr>
              <w:jc w:val="center"/>
              <w:ind w:left="26"/>
              <w:spacing w:after="0" w:line="189" w:lineRule="exact"/>
              <w:rPr>
                <w:sz w:val="20"/>
                <w:szCs w:val="20"/>
                <w:color w:val="auto"/>
              </w:rPr>
            </w:pPr>
            <w:r>
              <w:rPr>
                <w:rFonts w:ascii="Times New Roman" w:cs="Times New Roman" w:eastAsia="Times New Roman" w:hAnsi="Times New Roman"/>
                <w:sz w:val="19"/>
                <w:szCs w:val="19"/>
                <w:b w:val="1"/>
                <w:bCs w:val="1"/>
                <w:color w:val="auto"/>
                <w:w w:val="98"/>
              </w:rPr>
              <w:t>this Global Note</w:t>
            </w:r>
          </w:p>
        </w:tc>
        <w:tc>
          <w:tcPr>
            <w:tcW w:w="2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80" w:type="dxa"/>
            <w:vAlign w:val="bottom"/>
            <w:vMerge w:val="restart"/>
          </w:tcPr>
          <w:p>
            <w:pPr>
              <w:ind w:left="240"/>
              <w:spacing w:after="0"/>
              <w:rPr>
                <w:sz w:val="20"/>
                <w:szCs w:val="20"/>
                <w:color w:val="auto"/>
              </w:rPr>
            </w:pPr>
            <w:r>
              <w:rPr>
                <w:rFonts w:ascii="Times New Roman" w:cs="Times New Roman" w:eastAsia="Times New Roman" w:hAnsi="Times New Roman"/>
                <w:sz w:val="19"/>
                <w:szCs w:val="19"/>
                <w:b w:val="1"/>
                <w:bCs w:val="1"/>
                <w:color w:val="auto"/>
              </w:rPr>
              <w:t>Date of Exchange</w:t>
            </w:r>
          </w:p>
        </w:tc>
        <w:tc>
          <w:tcPr>
            <w:tcW w:w="3940" w:type="dxa"/>
            <w:vAlign w:val="bottom"/>
            <w:gridSpan w:val="2"/>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1940" w:type="dxa"/>
            <w:vAlign w:val="bottom"/>
          </w:tcPr>
          <w:p>
            <w:pPr>
              <w:jc w:val="center"/>
              <w:ind w:left="46"/>
              <w:spacing w:after="0" w:line="189" w:lineRule="exact"/>
              <w:rPr>
                <w:sz w:val="20"/>
                <w:szCs w:val="20"/>
                <w:color w:val="auto"/>
              </w:rPr>
            </w:pPr>
            <w:r>
              <w:rPr>
                <w:rFonts w:ascii="Times New Roman" w:cs="Times New Roman" w:eastAsia="Times New Roman" w:hAnsi="Times New Roman"/>
                <w:sz w:val="19"/>
                <w:szCs w:val="19"/>
                <w:b w:val="1"/>
                <w:bCs w:val="1"/>
                <w:color w:val="auto"/>
                <w:w w:val="99"/>
              </w:rPr>
              <w:t>following such</w:t>
            </w:r>
          </w:p>
        </w:tc>
        <w:tc>
          <w:tcPr>
            <w:tcW w:w="2000" w:type="dxa"/>
            <w:vAlign w:val="bottom"/>
          </w:tcPr>
          <w:p>
            <w:pPr>
              <w:jc w:val="center"/>
              <w:spacing w:after="0" w:line="189" w:lineRule="exact"/>
              <w:rPr>
                <w:sz w:val="20"/>
                <w:szCs w:val="20"/>
                <w:color w:val="auto"/>
              </w:rPr>
            </w:pPr>
            <w:r>
              <w:rPr>
                <w:rFonts w:ascii="Times New Roman" w:cs="Times New Roman" w:eastAsia="Times New Roman" w:hAnsi="Times New Roman"/>
                <w:sz w:val="19"/>
                <w:szCs w:val="19"/>
                <w:b w:val="1"/>
                <w:bCs w:val="1"/>
                <w:color w:val="auto"/>
                <w:w w:val="98"/>
              </w:rPr>
              <w:t>signatory of Trustee or</w:t>
            </w:r>
          </w:p>
        </w:tc>
        <w:tc>
          <w:tcPr>
            <w:tcW w:w="0" w:type="dxa"/>
            <w:vAlign w:val="bottom"/>
          </w:tcPr>
          <w:p>
            <w:pPr>
              <w:spacing w:after="0"/>
              <w:rPr>
                <w:sz w:val="1"/>
                <w:szCs w:val="1"/>
                <w:color w:val="auto"/>
              </w:rPr>
            </w:pPr>
          </w:p>
        </w:tc>
      </w:tr>
      <w:tr>
        <w:trPr>
          <w:trHeight w:val="252"/>
        </w:trPr>
        <w:tc>
          <w:tcPr>
            <w:tcW w:w="1780" w:type="dxa"/>
            <w:vAlign w:val="bottom"/>
            <w:tcBorders>
              <w:bottom w:val="single" w:sz="8" w:color="auto"/>
            </w:tcBorders>
            <w:vMerge w:val="continue"/>
          </w:tcPr>
          <w:p>
            <w:pPr>
              <w:spacing w:after="0"/>
              <w:rPr>
                <w:sz w:val="21"/>
                <w:szCs w:val="21"/>
                <w:color w:val="auto"/>
              </w:rPr>
            </w:pPr>
          </w:p>
        </w:tc>
        <w:tc>
          <w:tcPr>
            <w:tcW w:w="21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9"/>
                <w:szCs w:val="19"/>
                <w:b w:val="1"/>
                <w:bCs w:val="1"/>
                <w:color w:val="auto"/>
              </w:rPr>
              <w:t>Principal Amount</w:t>
            </w:r>
          </w:p>
        </w:tc>
        <w:tc>
          <w:tcPr>
            <w:tcW w:w="18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9"/>
                <w:szCs w:val="19"/>
                <w:b w:val="1"/>
                <w:bCs w:val="1"/>
                <w:color w:val="auto"/>
              </w:rPr>
              <w:t>Principal</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Global Note</w:t>
            </w:r>
          </w:p>
        </w:tc>
        <w:tc>
          <w:tcPr>
            <w:tcW w:w="1940" w:type="dxa"/>
            <w:vAlign w:val="bottom"/>
            <w:tcBorders>
              <w:bottom w:val="single" w:sz="8" w:color="auto"/>
            </w:tcBorders>
          </w:tcPr>
          <w:p>
            <w:pPr>
              <w:jc w:val="center"/>
              <w:ind w:left="26"/>
              <w:spacing w:after="0"/>
              <w:rPr>
                <w:sz w:val="20"/>
                <w:szCs w:val="20"/>
                <w:color w:val="auto"/>
              </w:rPr>
            </w:pPr>
            <w:r>
              <w:rPr>
                <w:rFonts w:ascii="Times New Roman" w:cs="Times New Roman" w:eastAsia="Times New Roman" w:hAnsi="Times New Roman"/>
                <w:sz w:val="19"/>
                <w:szCs w:val="19"/>
                <w:b w:val="1"/>
                <w:bCs w:val="1"/>
                <w:color w:val="auto"/>
                <w:w w:val="99"/>
              </w:rPr>
              <w:t>decrease or increase</w:t>
            </w: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Note Custodian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00" w:hanging="292"/>
        <w:spacing w:after="0"/>
        <w:tabs>
          <w:tab w:leader="none" w:pos="3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schedule should be included only if the Note is issued in global form.</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325" w:lineRule="exact"/>
        <w:rPr>
          <w:rFonts w:ascii="Times New Roman" w:cs="Times New Roman" w:eastAsia="Times New Roman" w:hAnsi="Times New Roman"/>
          <w:sz w:val="20"/>
          <w:szCs w:val="20"/>
          <w:color w:val="auto"/>
        </w:rPr>
      </w:pPr>
    </w:p>
    <w:p>
      <w:pPr>
        <w:ind w:left="54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A-14</w:t>
      </w:r>
    </w:p>
    <w:p>
      <w:pPr>
        <w:sectPr>
          <w:pgSz w:w="11900" w:h="16838" w:orient="portrait"/>
          <w:cols w:equalWidth="0" w:num="1">
            <w:col w:w="11240"/>
          </w:cols>
          <w:pgMar w:left="320" w:top="1413"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Kenneth A. Gunderman, certify that:</w:t>
      </w:r>
    </w:p>
    <w:p>
      <w:pPr>
        <w:spacing w:after="0" w:line="225"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Uniti Group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400" w:val="left"/>
          <w:tab w:leader="none" w:pos="7500" w:val="left"/>
        </w:tabs>
        <w:rPr>
          <w:sz w:val="20"/>
          <w:szCs w:val="20"/>
          <w:color w:val="auto"/>
        </w:rPr>
      </w:pPr>
      <w:r>
        <w:rPr>
          <w:rFonts w:ascii="Times New Roman" w:cs="Times New Roman" w:eastAsia="Times New Roman" w:hAnsi="Times New Roman"/>
          <w:sz w:val="18"/>
          <w:szCs w:val="18"/>
          <w:color w:val="auto"/>
        </w:rPr>
        <w:t>Date: November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26035</wp:posOffset>
            </wp:positionV>
            <wp:extent cx="35229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39"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8"/>
          <w:szCs w:val="18"/>
          <w:b w:val="1"/>
          <w:bCs w:val="1"/>
          <w:color w:val="auto"/>
        </w:rPr>
        <w:t>Kenneth A. Gunderman</w:t>
      </w:r>
    </w:p>
    <w:p>
      <w:pPr>
        <w:spacing w:after="0" w:line="50"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240"/>
          </w:cols>
          <w:pgMar w:left="320" w:top="1143"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E. Bullington, certify that:</w:t>
      </w:r>
    </w:p>
    <w:p>
      <w:pPr>
        <w:spacing w:after="0" w:line="225"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Uniti Group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20"/>
        <w:spacing w:after="0"/>
        <w:tabs>
          <w:tab w:leader="none" w:pos="5360" w:val="left"/>
          <w:tab w:leader="none" w:pos="7660" w:val="left"/>
        </w:tabs>
        <w:rPr>
          <w:sz w:val="20"/>
          <w:szCs w:val="20"/>
          <w:color w:val="auto"/>
        </w:rPr>
      </w:pPr>
      <w:r>
        <w:rPr>
          <w:rFonts w:ascii="Times New Roman" w:cs="Times New Roman" w:eastAsia="Times New Roman" w:hAnsi="Times New Roman"/>
          <w:sz w:val="18"/>
          <w:szCs w:val="18"/>
          <w:color w:val="auto"/>
        </w:rPr>
        <w:t>Date: November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E. Bullington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26035</wp:posOffset>
            </wp:positionV>
            <wp:extent cx="35401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9"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Paul E. Bullington</w:t>
      </w:r>
    </w:p>
    <w:p>
      <w:pPr>
        <w:spacing w:after="0" w:line="50"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b w:val="1"/>
          <w:bCs w:val="1"/>
          <w:color w:val="auto"/>
        </w:rPr>
        <w:t>Senior Vice President –Chief Financial Officer</w:t>
      </w:r>
    </w:p>
    <w:p>
      <w:pPr>
        <w:spacing w:after="0" w:line="20"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b w:val="1"/>
          <w:bCs w:val="1"/>
          <w:color w:val="auto"/>
        </w:rPr>
        <w:t>and Treasurer</w:t>
      </w:r>
    </w:p>
    <w:p>
      <w:pPr>
        <w:sectPr>
          <w:pgSz w:w="11900" w:h="16838" w:orient="portrait"/>
          <w:cols w:equalWidth="0" w:num="1">
            <w:col w:w="11240"/>
          </w:cols>
          <w:pgMar w:left="320" w:top="1197"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5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Uniti Group Inc. (the “Company”) for the period ending September 30, 2024 as filed with the Securities and Exchange Commission on the date hereof (the “Report”), I certify, pursuant to 18 U.S.C. § 1350, as adopted pursuant to § 906 of the Sarbanes-Oxley Act of 2002, to my knowledge, that:</w:t>
      </w:r>
    </w:p>
    <w:p>
      <w:pPr>
        <w:spacing w:after="0" w:line="176" w:lineRule="exact"/>
        <w:rPr>
          <w:sz w:val="20"/>
          <w:szCs w:val="20"/>
          <w:color w:val="auto"/>
        </w:rPr>
      </w:pPr>
    </w:p>
    <w:p>
      <w:pPr>
        <w:ind w:left="1460" w:hanging="966"/>
        <w:spacing w:after="0"/>
        <w:tabs>
          <w:tab w:leader="none" w:pos="1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460" w:right="120" w:hanging="966"/>
        <w:spacing w:after="0" w:line="282" w:lineRule="auto"/>
        <w:tabs>
          <w:tab w:leader="none" w:pos="145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6" w:lineRule="exact"/>
        <w:rPr>
          <w:sz w:val="20"/>
          <w:szCs w:val="20"/>
          <w:color w:val="auto"/>
        </w:rPr>
      </w:pPr>
    </w:p>
    <w:p>
      <w:pPr>
        <w:ind w:left="20"/>
        <w:spacing w:after="0"/>
        <w:tabs>
          <w:tab w:leader="none" w:pos="5360" w:val="left"/>
          <w:tab w:leader="none" w:pos="7460" w:val="left"/>
        </w:tabs>
        <w:rPr>
          <w:sz w:val="20"/>
          <w:szCs w:val="20"/>
          <w:color w:val="auto"/>
        </w:rPr>
      </w:pPr>
      <w:r>
        <w:rPr>
          <w:rFonts w:ascii="Times New Roman" w:cs="Times New Roman" w:eastAsia="Times New Roman" w:hAnsi="Times New Roman"/>
          <w:sz w:val="18"/>
          <w:szCs w:val="18"/>
          <w:color w:val="auto"/>
        </w:rPr>
        <w:t>Date: November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26035</wp:posOffset>
            </wp:positionV>
            <wp:extent cx="35401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9"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8"/>
          <w:szCs w:val="18"/>
          <w:b w:val="1"/>
          <w:bCs w:val="1"/>
          <w:color w:val="auto"/>
        </w:rPr>
        <w:t>Kenneth A. Gunderman</w:t>
      </w:r>
    </w:p>
    <w:p>
      <w:pPr>
        <w:spacing w:after="0" w:line="50"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240"/>
          </w:cols>
          <w:pgMar w:left="320" w:top="1143"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Uniti Group Inc. (the “Company”) for the period ending September 30, 2024 as filed with the Securities and Exchange Commission on the date hereof (the “Report”), I certify, pursuant to 18 U.S.C. § 1350, as adopted pursuant to § 906 of the Sarbanes-Oxley Act of 2002, to my knowledge, that:</w:t>
      </w:r>
    </w:p>
    <w:p>
      <w:pPr>
        <w:spacing w:after="0" w:line="176" w:lineRule="exact"/>
        <w:rPr>
          <w:sz w:val="20"/>
          <w:szCs w:val="20"/>
          <w:color w:val="auto"/>
        </w:rPr>
      </w:pPr>
    </w:p>
    <w:p>
      <w:pPr>
        <w:ind w:left="1620" w:hanging="964"/>
        <w:spacing w:after="0"/>
        <w:tabs>
          <w:tab w:leader="none" w:pos="1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620" w:right="220" w:hanging="964"/>
        <w:spacing w:after="0" w:line="282" w:lineRule="auto"/>
        <w:tabs>
          <w:tab w:leader="none" w:pos="161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5" w:lineRule="exact"/>
        <w:rPr>
          <w:sz w:val="20"/>
          <w:szCs w:val="20"/>
          <w:color w:val="auto"/>
        </w:rPr>
      </w:pPr>
    </w:p>
    <w:p>
      <w:pPr>
        <w:ind w:left="20"/>
        <w:spacing w:after="0"/>
        <w:tabs>
          <w:tab w:leader="none" w:pos="5360" w:val="left"/>
          <w:tab w:leader="none" w:pos="7660" w:val="left"/>
        </w:tabs>
        <w:rPr>
          <w:sz w:val="20"/>
          <w:szCs w:val="20"/>
          <w:color w:val="auto"/>
        </w:rPr>
      </w:pPr>
      <w:r>
        <w:rPr>
          <w:rFonts w:ascii="Times New Roman" w:cs="Times New Roman" w:eastAsia="Times New Roman" w:hAnsi="Times New Roman"/>
          <w:sz w:val="18"/>
          <w:szCs w:val="18"/>
          <w:color w:val="auto"/>
        </w:rPr>
        <w:t>Date: November 8, 2024</w:t>
      </w:r>
      <w:r>
        <w:rPr>
          <w:sz w:val="20"/>
          <w:szCs w:val="20"/>
          <w:color w:val="auto"/>
        </w:rPr>
        <w:tab/>
      </w:r>
      <w:r>
        <w:rPr>
          <w:rFonts w:ascii="Times New Roman" w:cs="Times New Roman" w:eastAsia="Times New Roman" w:hAnsi="Times New Roman"/>
          <w:sz w:val="18"/>
          <w:szCs w:val="18"/>
          <w:color w:val="auto"/>
        </w:rPr>
        <w:t>By</w:t>
      </w:r>
      <w:r>
        <w:rPr>
          <w:rFonts w:ascii="Arial" w:cs="Arial" w:eastAsia="Arial" w:hAnsi="Arial"/>
          <w:sz w:val="18"/>
          <w:szCs w:val="18"/>
          <w:color w:val="222222"/>
        </w:rPr>
        <w:t>:</w:t>
      </w:r>
      <w:r>
        <w:rPr>
          <w:sz w:val="20"/>
          <w:szCs w:val="20"/>
          <w:color w:val="auto"/>
        </w:rPr>
        <w:tab/>
      </w:r>
      <w:r>
        <w:rPr>
          <w:rFonts w:ascii="Times New Roman" w:cs="Times New Roman" w:eastAsia="Times New Roman" w:hAnsi="Times New Roman"/>
          <w:sz w:val="17"/>
          <w:szCs w:val="17"/>
          <w:color w:val="auto"/>
        </w:rPr>
        <w:t>/s/ Paul E. Bullington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26035</wp:posOffset>
            </wp:positionV>
            <wp:extent cx="35401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9"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Paul E. Bullington</w:t>
      </w:r>
    </w:p>
    <w:p>
      <w:pPr>
        <w:spacing w:after="0" w:line="50"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b w:val="1"/>
          <w:bCs w:val="1"/>
          <w:color w:val="auto"/>
        </w:rPr>
        <w:t>Senior Vice President – Chief Financial Officer</w:t>
      </w:r>
    </w:p>
    <w:p>
      <w:pPr>
        <w:spacing w:after="0" w:line="20"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b w:val="1"/>
          <w:bCs w:val="1"/>
          <w:color w:val="auto"/>
        </w:rPr>
        <w:t>and Treasurer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x"/>
      <w:numFmt w:val="bullet"/>
      <w:start w:val="1"/>
    </w:lvl>
  </w:abstractNum>
  <w:abstractNum w:abstractNumId="1">
    <w:nsid w:val="41A7C4C9"/>
    <w:multiLevelType w:val="hybridMultilevel"/>
    <w:lvl w:ilvl="0">
      <w:lvlJc w:val="left"/>
      <w:lvlText w:val="o"/>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lowerRoman"/>
      <w:start w:val="1"/>
    </w:lvl>
  </w:abstractNum>
  <w:abstractNum w:abstractNumId="7">
    <w:nsid w:val="3F2DBA31"/>
    <w:multiLevelType w:val="hybridMultilevel"/>
    <w:lvl w:ilvl="0">
      <w:lvlJc w:val="left"/>
      <w:lvlText w:val="(%1)"/>
      <w:numFmt w:val="lowerLetter"/>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lowerLetter"/>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1)"/>
      <w:numFmt w:val="lowerLetter"/>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4"/>
    </w:lvl>
  </w:abstractNum>
  <w:abstractNum w:abstractNumId="15">
    <w:nsid w:val="2443A858"/>
    <w:multiLevelType w:val="hybridMultilevel"/>
    <w:lvl w:ilvl="0">
      <w:lvlJc w:val="left"/>
      <w:lvlText w:val="(%1)"/>
      <w:numFmt w:val="lowerLetter"/>
      <w:start w:val="1"/>
    </w:lvl>
  </w:abstractNum>
  <w:abstractNum w:abstractNumId="16">
    <w:nsid w:val="2D1D5AE9"/>
    <w:multiLevelType w:val="hybridMultilevel"/>
    <w:lvl w:ilvl="0">
      <w:lvlJc w:val="left"/>
      <w:lvlText w:val="(%1)"/>
      <w:numFmt w:val="lowerLetter"/>
      <w:start w:val="4"/>
    </w:lvl>
  </w:abstractNum>
  <w:abstractNum w:abstractNumId="17">
    <w:nsid w:val="6763845E"/>
    <w:multiLevelType w:val="hybridMultilevel"/>
    <w:lvl w:ilvl="0">
      <w:lvlJc w:val="left"/>
      <w:lvlText w:val="(%1)"/>
      <w:numFmt w:val="lowerLetter"/>
      <w:start w:val="6"/>
    </w:lvl>
  </w:abstractNum>
  <w:abstractNum w:abstractNumId="18">
    <w:nsid w:val="75A2A8D4"/>
    <w:multiLevelType w:val="hybridMultilevel"/>
    <w:lvl w:ilvl="0">
      <w:lvlJc w:val="left"/>
      <w:lvlText w:val="(%1)"/>
      <w:numFmt w:val="decimal"/>
      <w:start w:val="6"/>
    </w:lvl>
  </w:abstractNum>
  <w:abstractNum w:abstractNumId="19">
    <w:nsid w:val="8EDBDAB"/>
    <w:multiLevelType w:val="hybridMultilevel"/>
    <w:lvl w:ilvl="0">
      <w:lvlJc w:val="left"/>
      <w:lvlText w:val="(%1)"/>
      <w:numFmt w:val="lowerLetter"/>
      <w:start w:val="1"/>
    </w:lvl>
  </w:abstractNum>
  <w:abstractNum w:abstractNumId="20">
    <w:nsid w:val="79838CB2"/>
    <w:multiLevelType w:val="hybridMultilevel"/>
    <w:lvl w:ilvl="0">
      <w:lvlJc w:val="left"/>
      <w:lvlText w:val="%1"/>
      <w:numFmt w:val="decimal"/>
      <w:start w:val="1"/>
    </w:lvl>
    <w:lvl w:ilvl="1">
      <w:lvlJc w:val="left"/>
      <w:lvlText w:val="(%2)"/>
      <w:numFmt w:val="lowerLetter"/>
      <w:start w:val="2"/>
    </w:lvl>
  </w:abstractNum>
  <w:abstractNum w:abstractNumId="21">
    <w:nsid w:val="4353D0CD"/>
    <w:multiLevelType w:val="hybridMultilevel"/>
    <w:lvl w:ilvl="0">
      <w:lvlJc w:val="left"/>
      <w:lvlText w:val="(%1)"/>
      <w:numFmt w:val="decimal"/>
      <w:start w:val="9"/>
    </w:lvl>
    <w:lvl w:ilvl="1">
      <w:lvlJc w:val="left"/>
      <w:lvlText w:val="%2"/>
      <w:numFmt w:val="lowerLetter"/>
      <w:start w:val="1"/>
    </w:lvl>
  </w:abstractNum>
  <w:abstractNum w:abstractNumId="22">
    <w:nsid w:val="B03E0C6"/>
    <w:multiLevelType w:val="hybridMultilevel"/>
    <w:lvl w:ilvl="0">
      <w:lvlJc w:val="left"/>
      <w:lvlText w:val="(%1)"/>
      <w:numFmt w:val="decimal"/>
      <w:start w:val="10"/>
    </w:lvl>
  </w:abstractNum>
  <w:abstractNum w:abstractNumId="23">
    <w:nsid w:val="189A769B"/>
    <w:multiLevelType w:val="hybridMultilevel"/>
    <w:lvl w:ilvl="0">
      <w:lvlJc w:val="left"/>
      <w:lvlText w:val="(%1)"/>
      <w:numFmt w:val="decimal"/>
      <w:start w:val="15"/>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01" Type="http://schemas.openxmlformats.org/officeDocument/2006/relationships/hyperlink" Target="https://www.sec.gov/Archives/edgar/data/1620280/000095010324006323/dp210423_ex0201.htm" TargetMode="External"/><Relationship Id="rId102" Type="http://schemas.openxmlformats.org/officeDocument/2006/relationships/hyperlink" Target="https://www.sec.gov/Archives/edgar/data/1620280/000162828024034151/unit-ex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2024-11-08T07:30:46Z</dcterms:created>
  <dcterms:modified xsi:type="dcterms:W3CDTF">2024-11-08T07:30:46Z</dcterms:modified>
</cp:coreProperties>
</file>