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Harrobin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2101 RIVERFRONT DRIVE, SUITE 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Uniti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UNIT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SEVP &amp; President of Kinetic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5"/>
        <w:gridCol w:w="900"/>
        <w:gridCol w:w="771"/>
        <w:gridCol w:w="598"/>
        <w:gridCol w:w="342"/>
        <w:gridCol w:w="958"/>
        <w:gridCol w:w="438"/>
        <w:gridCol w:w="745"/>
        <w:gridCol w:w="1168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28,809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11.49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520,036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19,717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11.49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500,319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to satisfy the reporting person's tax obligations that arose when time-based restricted stock belonging to the reporting person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8,264 shares acquired by the reporting person pursuant to the Uniti Group Inc. 2025 Employee Stock Purchase Plan during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HARROBIN BY: DANIEL L. HEARD,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068" TargetMode="External"/><Relationship Id="rId5" Type="http://schemas.openxmlformats.org/officeDocument/2006/relationships/hyperlink" Target="http://www.sec.gov/cgi-bin/browse-edgar?action=getcompany&amp;CIK=00020207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622</Words>
  <Characters>3384</Characters>
  <CharactersWithSpaces>3941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