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Use these links to rapidly review the document</w:t>
      </w:r>
    </w:p>
    <w:p>
      <w:pPr>
        <w:spacing w:after="0" w:line="8" w:lineRule="exact"/>
        <w:rPr>
          <w:sz w:val="24"/>
          <w:szCs w:val="24"/>
          <w:color w:val="auto"/>
        </w:rPr>
      </w:pPr>
    </w:p>
    <w:p>
      <w:pPr>
        <w:spacing w:after="0"/>
        <w:rPr>
          <w:rFonts w:ascii="Arial" w:cs="Arial" w:eastAsia="Arial" w:hAnsi="Arial"/>
          <w:sz w:val="20"/>
          <w:szCs w:val="20"/>
          <w:u w:val="single" w:color="auto"/>
          <w:color w:val="0000EE"/>
        </w:rPr>
      </w:pPr>
      <w:hyperlink w:anchor="page7">
        <w:r>
          <w:rPr>
            <w:rFonts w:ascii="Arial" w:cs="Arial" w:eastAsia="Arial" w:hAnsi="Arial"/>
            <w:sz w:val="20"/>
            <w:szCs w:val="20"/>
            <w:u w:val="single" w:color="auto"/>
            <w:color w:val="0000EE"/>
          </w:rPr>
          <w:t>TABLE OF CONTENTS</w:t>
        </w:r>
      </w:hyperlink>
    </w:p>
    <w:p>
      <w:pPr>
        <w:spacing w:after="0" w:line="195" w:lineRule="exact"/>
        <w:rPr>
          <w:sz w:val="24"/>
          <w:szCs w:val="24"/>
          <w:color w:val="auto"/>
        </w:rPr>
      </w:pPr>
    </w:p>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78" w:lineRule="exact"/>
        <w:rPr>
          <w:sz w:val="24"/>
          <w:szCs w:val="24"/>
          <w:color w:val="auto"/>
        </w:rPr>
      </w:pPr>
    </w:p>
    <w:p>
      <w:pPr>
        <w:jc w:val="center"/>
        <w:ind w:right="-1219"/>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1219"/>
        <w:spacing w:after="0"/>
        <w:rPr>
          <w:sz w:val="20"/>
          <w:szCs w:val="20"/>
          <w:color w:val="auto"/>
        </w:rPr>
      </w:pPr>
      <w:r>
        <w:rPr>
          <w:rFonts w:ascii="Arial" w:cs="Arial" w:eastAsia="Arial" w:hAnsi="Arial"/>
          <w:sz w:val="16"/>
          <w:szCs w:val="16"/>
          <w:b w:val="1"/>
          <w:bCs w:val="1"/>
          <w:color w:val="auto"/>
        </w:rPr>
        <w:t>SECURITIES AND EXCHANGE COMMISSION</w:t>
      </w:r>
    </w:p>
    <w:p>
      <w:pPr>
        <w:spacing w:after="0" w:line="1" w:lineRule="exact"/>
        <w:rPr>
          <w:sz w:val="24"/>
          <w:szCs w:val="24"/>
          <w:color w:val="auto"/>
        </w:rPr>
      </w:pPr>
    </w:p>
    <w:p>
      <w:pPr>
        <w:jc w:val="center"/>
        <w:ind w:right="-1219"/>
        <w:spacing w:after="0"/>
        <w:rPr>
          <w:sz w:val="20"/>
          <w:szCs w:val="20"/>
          <w:color w:val="auto"/>
        </w:rPr>
      </w:pPr>
      <w:r>
        <w:rPr>
          <w:rFonts w:ascii="Arial" w:cs="Arial" w:eastAsia="Arial" w:hAnsi="Arial"/>
          <w:sz w:val="16"/>
          <w:szCs w:val="16"/>
          <w:b w:val="1"/>
          <w:bCs w:val="1"/>
          <w:color w:val="auto"/>
        </w:rPr>
        <w:t>Washington, D.C. 20549</w:t>
      </w:r>
    </w:p>
    <w:p>
      <w:pPr>
        <w:spacing w:after="0" w:line="164" w:lineRule="exact"/>
        <w:rPr>
          <w:sz w:val="24"/>
          <w:szCs w:val="24"/>
          <w:color w:val="auto"/>
        </w:rPr>
      </w:pPr>
    </w:p>
    <w:p>
      <w:pPr>
        <w:ind w:left="4860"/>
        <w:spacing w:after="0"/>
        <w:rPr>
          <w:sz w:val="20"/>
          <w:szCs w:val="20"/>
          <w:color w:val="auto"/>
        </w:rPr>
      </w:pPr>
      <w:r>
        <w:rPr>
          <w:rFonts w:ascii="Arial" w:cs="Arial" w:eastAsia="Arial" w:hAnsi="Arial"/>
          <w:sz w:val="22"/>
          <w:szCs w:val="22"/>
          <w:b w:val="1"/>
          <w:bCs w:val="1"/>
          <w:color w:val="auto"/>
        </w:rPr>
        <w:t>SCHEDULE 14A</w:t>
      </w:r>
    </w:p>
    <w:p>
      <w:pPr>
        <w:sectPr>
          <w:pgSz w:w="11900" w:h="16838" w:orient="portrait"/>
          <w:cols w:equalWidth="0" w:num="1">
            <w:col w:w="10220"/>
          </w:cols>
          <w:pgMar w:left="240" w:top="638" w:right="1439" w:bottom="903" w:gutter="0" w:footer="0" w:header="0"/>
        </w:sectPr>
      </w:pPr>
    </w:p>
    <w:p>
      <w:pPr>
        <w:spacing w:after="0" w:line="238" w:lineRule="exact"/>
        <w:rPr>
          <w:sz w:val="24"/>
          <w:szCs w:val="24"/>
          <w:color w:val="auto"/>
        </w:rPr>
      </w:pPr>
    </w:p>
    <w:p>
      <w:pPr>
        <w:ind w:left="3380" w:firstLine="802"/>
        <w:spacing w:after="0" w:line="253" w:lineRule="auto"/>
        <w:rPr>
          <w:sz w:val="20"/>
          <w:szCs w:val="20"/>
          <w:color w:val="auto"/>
        </w:rPr>
      </w:pPr>
      <w:r>
        <w:rPr>
          <w:rFonts w:ascii="Arial" w:cs="Arial" w:eastAsia="Arial" w:hAnsi="Arial"/>
          <w:sz w:val="16"/>
          <w:szCs w:val="16"/>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156" w:lineRule="exact"/>
        <w:rPr>
          <w:sz w:val="24"/>
          <w:szCs w:val="24"/>
          <w:color w:val="auto"/>
        </w:rPr>
      </w:pPr>
    </w:p>
    <w:p>
      <w:pPr>
        <w:sectPr>
          <w:pgSz w:w="11900" w:h="16838" w:orient="portrait"/>
          <w:cols w:equalWidth="0" w:num="2">
            <w:col w:w="7400" w:space="580"/>
            <w:col w:w="2240"/>
          </w:cols>
          <w:pgMar w:left="240" w:top="638" w:right="1439" w:bottom="903" w:gutter="0" w:footer="0" w:header="0"/>
          <w:type w:val="continuous"/>
        </w:sectPr>
      </w:pPr>
    </w:p>
    <w:p>
      <w:pPr>
        <w:ind w:left="114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6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Filed by a Party other than the Registrant o</w:t>
      </w:r>
    </w:p>
    <w:p>
      <w:pPr>
        <w:spacing w:after="0" w:line="210"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220"/>
          </w:cols>
          <w:pgMar w:left="240" w:top="638" w:right="1439" w:bottom="903" w:gutter="0" w:footer="0" w:header="0"/>
          <w:type w:val="continuous"/>
        </w:sectPr>
      </w:pPr>
    </w:p>
    <w:p>
      <w:pPr>
        <w:spacing w:after="0" w:line="181" w:lineRule="exact"/>
        <w:rPr>
          <w:sz w:val="24"/>
          <w:szCs w:val="24"/>
          <w:color w:val="auto"/>
        </w:rPr>
      </w:pPr>
    </w:p>
    <w:p>
      <w:pPr>
        <w:ind w:left="11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200" w:lineRule="exact"/>
        <w:rPr>
          <w:sz w:val="24"/>
          <w:szCs w:val="24"/>
          <w:color w:val="auto"/>
        </w:rPr>
      </w:pPr>
    </w:p>
    <w:p>
      <w:pPr>
        <w:sectPr>
          <w:pgSz w:w="11900" w:h="16838" w:orient="portrait"/>
          <w:cols w:equalWidth="0" w:num="2">
            <w:col w:w="1280" w:space="220"/>
            <w:col w:w="8720"/>
          </w:cols>
          <w:pgMar w:left="240" w:top="638" w:right="1439" w:bottom="903" w:gutter="0" w:footer="0" w:header="0"/>
          <w:type w:val="continuous"/>
        </w:sectPr>
      </w:pPr>
    </w:p>
    <w:p>
      <w:pPr>
        <w:spacing w:after="0" w:line="24"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Confidential, for Use of the Commission Only (as permitted by Rule 14a-6(e)(2))</w:t>
      </w:r>
    </w:p>
    <w:p>
      <w:pPr>
        <w:spacing w:after="0" w:line="200" w:lineRule="exact"/>
        <w:rPr>
          <w:sz w:val="24"/>
          <w:szCs w:val="24"/>
          <w:color w:val="auto"/>
        </w:rPr>
      </w:pPr>
    </w:p>
    <w:p>
      <w:pPr>
        <w:sectPr>
          <w:pgSz w:w="11900" w:h="16838" w:orient="portrait"/>
          <w:cols w:equalWidth="0" w:num="2">
            <w:col w:w="1220" w:space="280"/>
            <w:col w:w="8720"/>
          </w:cols>
          <w:pgMar w:left="240" w:top="638" w:right="1439" w:bottom="903" w:gutter="0" w:footer="0" w:header="0"/>
          <w:type w:val="continuous"/>
        </w:sectPr>
      </w:pPr>
    </w:p>
    <w:p>
      <w:pPr>
        <w:spacing w:after="0" w:line="24"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0" w:lineRule="exact"/>
        <w:rPr>
          <w:sz w:val="24"/>
          <w:szCs w:val="24"/>
          <w:color w:val="auto"/>
        </w:rPr>
      </w:pPr>
    </w:p>
    <w:p>
      <w:pPr>
        <w:sectPr>
          <w:pgSz w:w="11900" w:h="16838" w:orient="portrait"/>
          <w:cols w:equalWidth="0" w:num="2">
            <w:col w:w="1220" w:space="280"/>
            <w:col w:w="8720"/>
          </w:cols>
          <w:pgMar w:left="240" w:top="638" w:right="1439" w:bottom="903" w:gutter="0" w:footer="0" w:header="0"/>
          <w:type w:val="continuous"/>
        </w:sectPr>
      </w:pPr>
    </w:p>
    <w:p>
      <w:pPr>
        <w:spacing w:after="0" w:line="24"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1220" w:space="280"/>
            <w:col w:w="8720"/>
          </w:cols>
          <w:pgMar w:left="240" w:top="638" w:right="1439" w:bottom="903" w:gutter="0" w:footer="0" w:header="0"/>
          <w:type w:val="continuous"/>
        </w:sectPr>
      </w:pPr>
    </w:p>
    <w:p>
      <w:pPr>
        <w:spacing w:after="0" w:line="24"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374650</wp:posOffset>
            </wp:positionV>
            <wp:extent cx="1276350" cy="375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0" cy="37592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1220" w:space="280"/>
            <w:col w:w="8720"/>
          </w:cols>
          <w:pgMar w:left="240" w:top="638" w:right="1439" w:bottom="903"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1199"/>
        <w:spacing w:after="0"/>
        <w:rPr>
          <w:sz w:val="20"/>
          <w:szCs w:val="20"/>
          <w:color w:val="auto"/>
        </w:rPr>
      </w:pPr>
      <w:r>
        <w:rPr>
          <w:rFonts w:ascii="Arial" w:cs="Arial" w:eastAsia="Arial" w:hAnsi="Arial"/>
          <w:sz w:val="16"/>
          <w:szCs w:val="16"/>
          <w:b w:val="1"/>
          <w:bCs w:val="1"/>
          <w:color w:val="auto"/>
        </w:rPr>
        <w:t>Uniti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66040</wp:posOffset>
            </wp:positionV>
            <wp:extent cx="58178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174" w:lineRule="exact"/>
        <w:rPr>
          <w:sz w:val="24"/>
          <w:szCs w:val="24"/>
          <w:color w:val="auto"/>
        </w:rPr>
      </w:pPr>
    </w:p>
    <w:p>
      <w:pPr>
        <w:jc w:val="center"/>
        <w:ind w:right="-1199"/>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311785</wp:posOffset>
            </wp:positionV>
            <wp:extent cx="58178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ind w:left="318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86"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Payment of Filing Fee (Check the appropriate box):</w:t>
      </w:r>
    </w:p>
    <w:p>
      <w:pPr>
        <w:spacing w:after="0" w:line="223" w:lineRule="exact"/>
        <w:rPr>
          <w:sz w:val="24"/>
          <w:szCs w:val="24"/>
          <w:color w:val="auto"/>
        </w:rPr>
      </w:pPr>
    </w:p>
    <w:p>
      <w:pPr>
        <w:ind w:left="1500" w:hanging="355"/>
        <w:spacing w:after="0"/>
        <w:tabs>
          <w:tab w:leader="none" w:pos="1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1500" w:hanging="355"/>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13"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35"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35" w:lineRule="exact"/>
        <w:rPr>
          <w:rFonts w:ascii="Arial" w:cs="Arial" w:eastAsia="Arial" w:hAnsi="Arial"/>
          <w:sz w:val="16"/>
          <w:szCs w:val="16"/>
          <w:color w:val="auto"/>
        </w:rPr>
      </w:pPr>
    </w:p>
    <w:p>
      <w:pPr>
        <w:ind w:left="1900" w:right="240" w:hanging="397"/>
        <w:spacing w:after="0" w:line="253" w:lineRule="auto"/>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16"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35"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57" w:lineRule="exact"/>
        <w:rPr>
          <w:rFonts w:ascii="Arial" w:cs="Arial" w:eastAsia="Arial" w:hAnsi="Arial"/>
          <w:sz w:val="16"/>
          <w:szCs w:val="16"/>
          <w:color w:val="auto"/>
        </w:rPr>
      </w:pPr>
    </w:p>
    <w:p>
      <w:pPr>
        <w:ind w:left="1500" w:hanging="355"/>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35" w:lineRule="exact"/>
        <w:rPr>
          <w:rFonts w:ascii="Arial" w:cs="Arial" w:eastAsia="Arial" w:hAnsi="Arial"/>
          <w:sz w:val="16"/>
          <w:szCs w:val="16"/>
          <w:color w:val="auto"/>
        </w:rPr>
      </w:pPr>
    </w:p>
    <w:p>
      <w:pPr>
        <w:ind w:left="1500" w:hanging="355"/>
        <w:spacing w:after="0" w:line="247" w:lineRule="auto"/>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8"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35"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35"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35"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207645</wp:posOffset>
            </wp:positionV>
            <wp:extent cx="726313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130" cy="20320"/>
                    </a:xfrm>
                    <a:prstGeom prst="rect">
                      <a:avLst/>
                    </a:prstGeom>
                    <a:noFill/>
                  </pic:spPr>
                </pic:pic>
              </a:graphicData>
            </a:graphic>
          </wp:anchor>
        </w:drawing>
        <w:drawing>
          <wp:anchor simplePos="0" relativeHeight="251657728" behindDoc="1" locked="0" layoutInCell="0" allowOverlap="1">
            <wp:simplePos x="0" y="0"/>
            <wp:positionH relativeFrom="column">
              <wp:posOffset>1212850</wp:posOffset>
            </wp:positionH>
            <wp:positionV relativeFrom="paragraph">
              <wp:posOffset>-3007360</wp:posOffset>
            </wp:positionV>
            <wp:extent cx="53168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16855" cy="7620"/>
                    </a:xfrm>
                    <a:prstGeom prst="rect">
                      <a:avLst/>
                    </a:prstGeom>
                    <a:noFill/>
                  </pic:spPr>
                </pic:pic>
              </a:graphicData>
            </a:graphic>
          </wp:anchor>
        </w:drawing>
        <w:drawing>
          <wp:anchor simplePos="0" relativeHeight="251657728" behindDoc="1" locked="0" layoutInCell="0" allowOverlap="1">
            <wp:simplePos x="0" y="0"/>
            <wp:positionH relativeFrom="column">
              <wp:posOffset>1212850</wp:posOffset>
            </wp:positionH>
            <wp:positionV relativeFrom="paragraph">
              <wp:posOffset>-2741295</wp:posOffset>
            </wp:positionV>
            <wp:extent cx="53168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16855" cy="7620"/>
                    </a:xfrm>
                    <a:prstGeom prst="rect">
                      <a:avLst/>
                    </a:prstGeom>
                    <a:noFill/>
                  </pic:spPr>
                </pic:pic>
              </a:graphicData>
            </a:graphic>
          </wp:anchor>
        </w:drawing>
        <w:drawing>
          <wp:anchor simplePos="0" relativeHeight="251657728" behindDoc="1" locked="0" layoutInCell="0" allowOverlap="1">
            <wp:simplePos x="0" y="0"/>
            <wp:positionH relativeFrom="column">
              <wp:posOffset>1212850</wp:posOffset>
            </wp:positionH>
            <wp:positionV relativeFrom="paragraph">
              <wp:posOffset>-2357755</wp:posOffset>
            </wp:positionV>
            <wp:extent cx="53168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16855" cy="7620"/>
                    </a:xfrm>
                    <a:prstGeom prst="rect">
                      <a:avLst/>
                    </a:prstGeom>
                    <a:noFill/>
                  </pic:spPr>
                </pic:pic>
              </a:graphicData>
            </a:graphic>
          </wp:anchor>
        </w:drawing>
        <w:drawing>
          <wp:anchor simplePos="0" relativeHeight="251657728" behindDoc="1" locked="0" layoutInCell="0" allowOverlap="1">
            <wp:simplePos x="0" y="0"/>
            <wp:positionH relativeFrom="column">
              <wp:posOffset>1212850</wp:posOffset>
            </wp:positionH>
            <wp:positionV relativeFrom="paragraph">
              <wp:posOffset>-2091055</wp:posOffset>
            </wp:positionV>
            <wp:extent cx="53168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16855" cy="7620"/>
                    </a:xfrm>
                    <a:prstGeom prst="rect">
                      <a:avLst/>
                    </a:prstGeom>
                    <a:noFill/>
                  </pic:spPr>
                </pic:pic>
              </a:graphicData>
            </a:graphic>
          </wp:anchor>
        </w:drawing>
        <w:drawing>
          <wp:anchor simplePos="0" relativeHeight="251657728" behindDoc="1" locked="0" layoutInCell="0" allowOverlap="1">
            <wp:simplePos x="0" y="0"/>
            <wp:positionH relativeFrom="column">
              <wp:posOffset>1212850</wp:posOffset>
            </wp:positionH>
            <wp:positionV relativeFrom="paragraph">
              <wp:posOffset>-1824990</wp:posOffset>
            </wp:positionV>
            <wp:extent cx="531685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16855" cy="7620"/>
                    </a:xfrm>
                    <a:prstGeom prst="rect">
                      <a:avLst/>
                    </a:prstGeom>
                    <a:noFill/>
                  </pic:spPr>
                </pic:pic>
              </a:graphicData>
            </a:graphic>
          </wp:anchor>
        </w:drawing>
        <w:drawing>
          <wp:anchor simplePos="0" relativeHeight="251657728" behindDoc="1" locked="0" layoutInCell="0" allowOverlap="1">
            <wp:simplePos x="0" y="0"/>
            <wp:positionH relativeFrom="column">
              <wp:posOffset>1212850</wp:posOffset>
            </wp:positionH>
            <wp:positionV relativeFrom="paragraph">
              <wp:posOffset>-658495</wp:posOffset>
            </wp:positionV>
            <wp:extent cx="531685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16855" cy="7620"/>
                    </a:xfrm>
                    <a:prstGeom prst="rect">
                      <a:avLst/>
                    </a:prstGeom>
                    <a:noFill/>
                  </pic:spPr>
                </pic:pic>
              </a:graphicData>
            </a:graphic>
          </wp:anchor>
        </w:drawing>
        <w:drawing>
          <wp:anchor simplePos="0" relativeHeight="251657728" behindDoc="1" locked="0" layoutInCell="0" allowOverlap="1">
            <wp:simplePos x="0" y="0"/>
            <wp:positionH relativeFrom="column">
              <wp:posOffset>1212850</wp:posOffset>
            </wp:positionH>
            <wp:positionV relativeFrom="paragraph">
              <wp:posOffset>-391795</wp:posOffset>
            </wp:positionV>
            <wp:extent cx="531685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16855" cy="7620"/>
                    </a:xfrm>
                    <a:prstGeom prst="rect">
                      <a:avLst/>
                    </a:prstGeom>
                    <a:noFill/>
                  </pic:spPr>
                </pic:pic>
              </a:graphicData>
            </a:graphic>
          </wp:anchor>
        </w:drawing>
        <w:drawing>
          <wp:anchor simplePos="0" relativeHeight="251657728" behindDoc="1" locked="0" layoutInCell="0" allowOverlap="1">
            <wp:simplePos x="0" y="0"/>
            <wp:positionH relativeFrom="column">
              <wp:posOffset>1212850</wp:posOffset>
            </wp:positionH>
            <wp:positionV relativeFrom="paragraph">
              <wp:posOffset>-125730</wp:posOffset>
            </wp:positionV>
            <wp:extent cx="531685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16855" cy="7620"/>
                    </a:xfrm>
                    <a:prstGeom prst="rect">
                      <a:avLst/>
                    </a:prstGeom>
                    <a:noFill/>
                  </pic:spPr>
                </pic:pic>
              </a:graphicData>
            </a:graphic>
          </wp:anchor>
        </w:drawing>
        <w:drawing>
          <wp:anchor simplePos="0" relativeHeight="251657728" behindDoc="1" locked="0" layoutInCell="0" allowOverlap="1">
            <wp:simplePos x="0" y="0"/>
            <wp:positionH relativeFrom="column">
              <wp:posOffset>1212850</wp:posOffset>
            </wp:positionH>
            <wp:positionV relativeFrom="paragraph">
              <wp:posOffset>139700</wp:posOffset>
            </wp:positionV>
            <wp:extent cx="531685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16855" cy="7620"/>
                    </a:xfrm>
                    <a:prstGeom prst="rect">
                      <a:avLst/>
                    </a:prstGeom>
                    <a:noFill/>
                  </pic:spPr>
                </pic:pic>
              </a:graphicData>
            </a:graphic>
          </wp:anchor>
        </w:drawing>
      </w:r>
    </w:p>
    <w:p>
      <w:pPr>
        <w:sectPr>
          <w:pgSz w:w="11900" w:h="16838" w:orient="portrait"/>
          <w:cols w:equalWidth="0" w:num="1">
            <w:col w:w="10220"/>
          </w:cols>
          <w:pgMar w:left="240" w:top="638" w:right="1439" w:bottom="903" w:gutter="0" w:footer="0" w:header="0"/>
          <w:type w:val="continuous"/>
        </w:sectPr>
      </w:pPr>
    </w:p>
    <w:bookmarkStart w:id="1" w:name="page2"/>
    <w:bookmarkEnd w:id="1"/>
    <w:p>
      <w:pPr>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375285</wp:posOffset>
            </wp:positionV>
            <wp:extent cx="7255510" cy="3371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5510" cy="337185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10802 Executive Center Drive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Benton Building, Suite 300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Little Rock, Arkansas 72211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Telephone: (501) 850-0820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ACD2"/>
        </w:rPr>
        <w:t>www.uniti.com</w:t>
      </w:r>
    </w:p>
    <w:p>
      <w:pPr>
        <w:spacing w:after="0" w:line="212"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2018 PROXY STATEMENT AND</w:t>
      </w:r>
    </w:p>
    <w:p>
      <w:pPr>
        <w:spacing w:after="0" w:line="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NOTICE OF ANNUAL MEETING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407"/>
        </w:trPr>
        <w:tc>
          <w:tcPr>
            <w:tcW w:w="420" w:type="dxa"/>
            <w:vAlign w:val="bottom"/>
          </w:tcPr>
          <w:p>
            <w:pPr>
              <w:spacing w:after="0"/>
              <w:rPr>
                <w:sz w:val="24"/>
                <w:szCs w:val="24"/>
                <w:color w:val="auto"/>
              </w:rPr>
            </w:pPr>
          </w:p>
        </w:tc>
        <w:tc>
          <w:tcPr>
            <w:tcW w:w="5360" w:type="dxa"/>
            <w:vAlign w:val="bottom"/>
            <w:tcBorders>
              <w:bottom w:val="single" w:sz="8" w:color="00ACD2"/>
              <w:right w:val="single" w:sz="8" w:color="00ACD2"/>
            </w:tcBorders>
          </w:tcPr>
          <w:p>
            <w:pPr>
              <w:ind w:left="1360"/>
              <w:spacing w:after="0"/>
              <w:rPr>
                <w:sz w:val="20"/>
                <w:szCs w:val="20"/>
                <w:color w:val="auto"/>
              </w:rPr>
            </w:pPr>
            <w:r>
              <w:rPr>
                <w:rFonts w:ascii="Arial" w:cs="Arial" w:eastAsia="Arial" w:hAnsi="Arial"/>
                <w:sz w:val="20"/>
                <w:szCs w:val="20"/>
                <w:color w:val="auto"/>
              </w:rPr>
              <w:t>THURSDAY, MAY 17, 2018</w:t>
            </w:r>
          </w:p>
        </w:tc>
        <w:tc>
          <w:tcPr>
            <w:tcW w:w="5220" w:type="dxa"/>
            <w:vAlign w:val="bottom"/>
            <w:tcBorders>
              <w:bottom w:val="single" w:sz="8" w:color="00ACD2"/>
            </w:tcBorders>
          </w:tcPr>
          <w:p>
            <w:pPr>
              <w:ind w:left="1420"/>
              <w:spacing w:after="0"/>
              <w:rPr>
                <w:sz w:val="20"/>
                <w:szCs w:val="20"/>
                <w:color w:val="auto"/>
              </w:rPr>
            </w:pPr>
            <w:r>
              <w:rPr>
                <w:rFonts w:ascii="Arial" w:cs="Arial" w:eastAsia="Arial" w:hAnsi="Arial"/>
                <w:sz w:val="20"/>
                <w:szCs w:val="20"/>
                <w:color w:val="auto"/>
              </w:rPr>
              <w:t>8:00 A.M. (EASTERN TIME)</w:t>
            </w:r>
          </w:p>
        </w:tc>
        <w:tc>
          <w:tcPr>
            <w:tcW w:w="420" w:type="dxa"/>
            <w:vAlign w:val="bottom"/>
          </w:tcPr>
          <w:p>
            <w:pPr>
              <w:spacing w:after="0"/>
              <w:rPr>
                <w:sz w:val="24"/>
                <w:szCs w:val="24"/>
                <w:color w:val="auto"/>
              </w:rPr>
            </w:pPr>
          </w:p>
        </w:tc>
      </w:tr>
      <w:tr>
        <w:trPr>
          <w:trHeight w:val="229"/>
        </w:trPr>
        <w:tc>
          <w:tcPr>
            <w:tcW w:w="420" w:type="dxa"/>
            <w:vAlign w:val="bottom"/>
          </w:tcPr>
          <w:p>
            <w:pPr>
              <w:spacing w:after="0"/>
              <w:rPr>
                <w:sz w:val="19"/>
                <w:szCs w:val="19"/>
                <w:color w:val="auto"/>
              </w:rPr>
            </w:pPr>
          </w:p>
        </w:tc>
        <w:tc>
          <w:tcPr>
            <w:tcW w:w="11000" w:type="dxa"/>
            <w:vAlign w:val="bottom"/>
            <w:gridSpan w:val="3"/>
          </w:tcPr>
          <w:p>
            <w:pPr>
              <w:ind w:left="3240"/>
              <w:spacing w:after="0" w:line="229" w:lineRule="exact"/>
              <w:rPr>
                <w:sz w:val="20"/>
                <w:szCs w:val="20"/>
                <w:color w:val="auto"/>
              </w:rPr>
            </w:pPr>
            <w:r>
              <w:rPr>
                <w:rFonts w:ascii="Arial" w:cs="Arial" w:eastAsia="Arial" w:hAnsi="Arial"/>
                <w:sz w:val="20"/>
                <w:szCs w:val="20"/>
                <w:color w:val="auto"/>
              </w:rPr>
              <w:t>www.virtualshareholdermeeting.com/UNIT2018</w:t>
            </w:r>
          </w:p>
        </w:tc>
      </w:tr>
      <w:tr>
        <w:trPr>
          <w:trHeight w:val="302"/>
        </w:trPr>
        <w:tc>
          <w:tcPr>
            <w:tcW w:w="420" w:type="dxa"/>
            <w:vAlign w:val="bottom"/>
            <w:tcBorders>
              <w:bottom w:val="single" w:sz="8" w:color="808080"/>
            </w:tcBorders>
          </w:tcPr>
          <w:p>
            <w:pPr>
              <w:spacing w:after="0"/>
              <w:rPr>
                <w:sz w:val="24"/>
                <w:szCs w:val="24"/>
                <w:color w:val="auto"/>
              </w:rPr>
            </w:pPr>
          </w:p>
        </w:tc>
        <w:tc>
          <w:tcPr>
            <w:tcW w:w="536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2" w:name="page3"/>
    <w:bookmarkEnd w:id="2"/>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368300</wp:posOffset>
            </wp:positionV>
            <wp:extent cx="7255510" cy="6151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5510" cy="615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00ACD2"/>
        </w:rPr>
        <w:t>NOTICE OF ANNUAL MEETING OF STOCKHOLDERS</w:t>
      </w:r>
    </w:p>
    <w:p>
      <w:pPr>
        <w:spacing w:after="0" w:line="239" w:lineRule="exact"/>
        <w:rPr>
          <w:sz w:val="20"/>
          <w:szCs w:val="20"/>
          <w:color w:val="auto"/>
        </w:rPr>
      </w:pPr>
    </w:p>
    <w:p>
      <w:pPr>
        <w:ind w:left="220" w:right="200" w:firstLine="657"/>
        <w:spacing w:after="0" w:line="243" w:lineRule="auto"/>
        <w:rPr>
          <w:sz w:val="20"/>
          <w:szCs w:val="20"/>
          <w:color w:val="auto"/>
        </w:rPr>
      </w:pPr>
      <w:r>
        <w:rPr>
          <w:rFonts w:ascii="Arial" w:cs="Arial" w:eastAsia="Arial" w:hAnsi="Arial"/>
          <w:sz w:val="13"/>
          <w:szCs w:val="13"/>
          <w:color w:val="auto"/>
        </w:rPr>
        <w:t xml:space="preserve">NOTICE IS HEREBY GIVEN that the Annual Meeting of Stockholders (the "Annual Meeting") of Uniti Group Inc., a Maryland corporation (the "Company"), will be held on Thursday, May 17, 2018, at 8:00 a.m. (Eastern time). The Annual Meeting will be completely virtual, which means stockholders will be able to attend the Annual Meeting, vote and submit questions during the live webcast of the Annual Meeting by visiting </w:t>
      </w:r>
      <w:r>
        <w:rPr>
          <w:rFonts w:ascii="Arial" w:cs="Arial" w:eastAsia="Arial" w:hAnsi="Arial"/>
          <w:sz w:val="13"/>
          <w:szCs w:val="13"/>
          <w:b w:val="1"/>
          <w:bCs w:val="1"/>
          <w:color w:val="00ACD2"/>
        </w:rPr>
        <w:t>www.virtualshareholdermeeting.com/UNIT2018</w:t>
      </w:r>
      <w:r>
        <w:rPr>
          <w:rFonts w:ascii="Arial" w:cs="Arial" w:eastAsia="Arial" w:hAnsi="Arial"/>
          <w:sz w:val="13"/>
          <w:szCs w:val="13"/>
          <w:color w:val="auto"/>
        </w:rPr>
        <w:t>.</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00ACD2"/>
        </w:rPr>
        <w:t>Items of Business</w:t>
      </w:r>
    </w:p>
    <w:p>
      <w:pPr>
        <w:spacing w:after="0" w:line="261" w:lineRule="exact"/>
        <w:rPr>
          <w:sz w:val="20"/>
          <w:szCs w:val="20"/>
          <w:color w:val="auto"/>
        </w:rPr>
      </w:pPr>
    </w:p>
    <w:p>
      <w:pPr>
        <w:ind w:left="220" w:right="680" w:firstLine="650"/>
        <w:spacing w:after="0" w:line="249" w:lineRule="auto"/>
        <w:rPr>
          <w:sz w:val="20"/>
          <w:szCs w:val="20"/>
          <w:color w:val="auto"/>
        </w:rPr>
      </w:pPr>
      <w:r>
        <w:rPr>
          <w:rFonts w:ascii="Arial" w:cs="Arial" w:eastAsia="Arial" w:hAnsi="Arial"/>
          <w:sz w:val="13"/>
          <w:szCs w:val="13"/>
          <w:color w:val="auto"/>
        </w:rPr>
        <w:t>At the Annual Meeting, holders of our common stock will be asked to consider and vote upon the following proposals, all of which are discussed in greater detail in the accompanying proxy statement:</w:t>
      </w:r>
    </w:p>
    <w:p>
      <w:pPr>
        <w:spacing w:after="0" w:line="183" w:lineRule="exact"/>
        <w:rPr>
          <w:sz w:val="20"/>
          <w:szCs w:val="20"/>
          <w:color w:val="auto"/>
        </w:rPr>
      </w:pPr>
    </w:p>
    <w:p>
      <w:pPr>
        <w:ind w:left="700" w:right="180" w:hanging="484"/>
        <w:spacing w:after="0" w:line="249" w:lineRule="auto"/>
        <w:tabs>
          <w:tab w:leader="none" w:pos="7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To elect the six director nominees named in the attached proxy statement to serve until the 2019 annual meeting of stockholders and until successors are duly elected or until the earliest of their removal, resignation or death;</w:t>
      </w:r>
    </w:p>
    <w:p>
      <w:pPr>
        <w:spacing w:after="0" w:line="133" w:lineRule="exact"/>
        <w:rPr>
          <w:rFonts w:ascii="Arial" w:cs="Arial" w:eastAsia="Arial" w:hAnsi="Arial"/>
          <w:sz w:val="13"/>
          <w:szCs w:val="13"/>
          <w:color w:val="auto"/>
        </w:rPr>
      </w:pPr>
    </w:p>
    <w:p>
      <w:pPr>
        <w:ind w:left="700" w:hanging="484"/>
        <w:spacing w:after="0"/>
        <w:tabs>
          <w:tab w:leader="none" w:pos="7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To approve, on an advisory basis, the compensation of the Company's named executive officers;</w:t>
      </w:r>
    </w:p>
    <w:p>
      <w:pPr>
        <w:spacing w:after="0" w:line="146" w:lineRule="exact"/>
        <w:rPr>
          <w:rFonts w:ascii="Arial" w:cs="Arial" w:eastAsia="Arial" w:hAnsi="Arial"/>
          <w:sz w:val="13"/>
          <w:szCs w:val="13"/>
          <w:color w:val="auto"/>
        </w:rPr>
      </w:pPr>
    </w:p>
    <w:p>
      <w:pPr>
        <w:ind w:left="700" w:hanging="484"/>
        <w:spacing w:after="0"/>
        <w:tabs>
          <w:tab w:leader="none" w:pos="7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To approve the Uniti Group Inc. Employee Stock Purchase Plan;</w:t>
      </w:r>
    </w:p>
    <w:p>
      <w:pPr>
        <w:spacing w:after="0" w:line="146" w:lineRule="exact"/>
        <w:rPr>
          <w:rFonts w:ascii="Arial" w:cs="Arial" w:eastAsia="Arial" w:hAnsi="Arial"/>
          <w:sz w:val="13"/>
          <w:szCs w:val="13"/>
          <w:color w:val="auto"/>
        </w:rPr>
      </w:pPr>
    </w:p>
    <w:p>
      <w:pPr>
        <w:ind w:left="700" w:hanging="484"/>
        <w:spacing w:after="0"/>
        <w:tabs>
          <w:tab w:leader="none" w:pos="7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To approve an amendment to the Company's charter to provide stockholders with the power to amend the Company's bylaws;</w:t>
      </w:r>
    </w:p>
    <w:p>
      <w:pPr>
        <w:spacing w:after="0" w:line="146" w:lineRule="exact"/>
        <w:rPr>
          <w:rFonts w:ascii="Arial" w:cs="Arial" w:eastAsia="Arial" w:hAnsi="Arial"/>
          <w:sz w:val="13"/>
          <w:szCs w:val="13"/>
          <w:color w:val="auto"/>
        </w:rPr>
      </w:pPr>
    </w:p>
    <w:p>
      <w:pPr>
        <w:ind w:left="700" w:hanging="484"/>
        <w:spacing w:after="0"/>
        <w:tabs>
          <w:tab w:leader="none" w:pos="7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To ratify the appointment of PricewaterhouseCoopers LLP as the Company's independent registered public accountant for the year ending December 31, 2018; and</w:t>
      </w:r>
    </w:p>
    <w:p>
      <w:pPr>
        <w:spacing w:after="0" w:line="146" w:lineRule="exact"/>
        <w:rPr>
          <w:rFonts w:ascii="Arial" w:cs="Arial" w:eastAsia="Arial" w:hAnsi="Arial"/>
          <w:sz w:val="13"/>
          <w:szCs w:val="13"/>
          <w:color w:val="auto"/>
        </w:rPr>
      </w:pPr>
    </w:p>
    <w:p>
      <w:pPr>
        <w:ind w:left="700" w:hanging="484"/>
        <w:spacing w:after="0"/>
        <w:tabs>
          <w:tab w:leader="none" w:pos="7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To transact such other business as may properly come before the Annual Meeting or any postponement or adjournment thereof.</w:t>
      </w:r>
    </w:p>
    <w:p>
      <w:pPr>
        <w:spacing w:after="0" w:line="196" w:lineRule="exact"/>
        <w:rPr>
          <w:sz w:val="20"/>
          <w:szCs w:val="20"/>
          <w:color w:val="auto"/>
        </w:rPr>
      </w:pPr>
    </w:p>
    <w:p>
      <w:pPr>
        <w:ind w:left="220" w:right="700" w:firstLine="657"/>
        <w:spacing w:after="0" w:line="249" w:lineRule="auto"/>
        <w:rPr>
          <w:sz w:val="20"/>
          <w:szCs w:val="20"/>
          <w:color w:val="auto"/>
        </w:rPr>
      </w:pPr>
      <w:r>
        <w:rPr>
          <w:rFonts w:ascii="Arial" w:cs="Arial" w:eastAsia="Arial" w:hAnsi="Arial"/>
          <w:sz w:val="13"/>
          <w:szCs w:val="13"/>
          <w:color w:val="auto"/>
        </w:rPr>
        <w:t>Only stockholders of record at the close of business on March 16, 2018, the record date for the Annual Meeting, will be entitled to vote at the Annual Meeting and any adjournments or postponements thereof.</w:t>
      </w:r>
    </w:p>
    <w:p>
      <w:pPr>
        <w:spacing w:after="0" w:line="183" w:lineRule="exact"/>
        <w:rPr>
          <w:sz w:val="20"/>
          <w:szCs w:val="20"/>
          <w:color w:val="auto"/>
        </w:rPr>
      </w:pPr>
    </w:p>
    <w:p>
      <w:pPr>
        <w:ind w:left="220" w:firstLine="657"/>
        <w:spacing w:after="0" w:line="248" w:lineRule="auto"/>
        <w:rPr>
          <w:sz w:val="20"/>
          <w:szCs w:val="20"/>
          <w:color w:val="auto"/>
        </w:rPr>
      </w:pPr>
      <w:r>
        <w:rPr>
          <w:rFonts w:ascii="Arial" w:cs="Arial" w:eastAsia="Arial" w:hAnsi="Arial"/>
          <w:sz w:val="13"/>
          <w:szCs w:val="13"/>
          <w:color w:val="auto"/>
        </w:rPr>
        <w:t>We are pleased to take advantage of the rules of the U.S. Securities and Exchange Commission that allow companies to furnish their proxy materials over the Internet. As a result, beginning on April [ · ], 2018, we began mailing a Notice of Internet Availability of Proxy Materials to our stockholders rather than a full paper set of the proxy materials. The Notice of Internet Availability of Proxy Materials contains instructions on how to access our proxy materials over the Internet, as well as instructions on how stockholders may obtain a paper copy of our proxy materials.</w:t>
      </w:r>
    </w:p>
    <w:p>
      <w:pPr>
        <w:spacing w:after="0" w:line="184" w:lineRule="exact"/>
        <w:rPr>
          <w:sz w:val="20"/>
          <w:szCs w:val="20"/>
          <w:color w:val="auto"/>
        </w:rPr>
      </w:pPr>
    </w:p>
    <w:p>
      <w:pPr>
        <w:ind w:left="220" w:right="240" w:firstLine="655"/>
        <w:spacing w:after="0" w:line="249" w:lineRule="auto"/>
        <w:rPr>
          <w:sz w:val="20"/>
          <w:szCs w:val="20"/>
          <w:color w:val="auto"/>
        </w:rPr>
      </w:pPr>
      <w:r>
        <w:rPr>
          <w:rFonts w:ascii="Arial" w:cs="Arial" w:eastAsia="Arial" w:hAnsi="Arial"/>
          <w:sz w:val="13"/>
          <w:szCs w:val="13"/>
          <w:color w:val="auto"/>
        </w:rPr>
        <w:t>To make it easier for you to vote, both Internet and telephone voting are available. The instructions on the Notice of Internet Availability of Proxy Materials or, if you received a paper copy of the proxy materials, the proxy card describe how to use these convenient services.</w:t>
      </w:r>
    </w:p>
    <w:p>
      <w:pPr>
        <w:spacing w:after="0" w:line="183" w:lineRule="exact"/>
        <w:rPr>
          <w:sz w:val="20"/>
          <w:szCs w:val="20"/>
          <w:color w:val="auto"/>
        </w:rPr>
      </w:pPr>
    </w:p>
    <w:p>
      <w:pPr>
        <w:ind w:left="220" w:right="40" w:firstLine="655"/>
        <w:spacing w:after="0" w:line="249" w:lineRule="auto"/>
        <w:rPr>
          <w:sz w:val="20"/>
          <w:szCs w:val="20"/>
          <w:color w:val="auto"/>
        </w:rPr>
      </w:pPr>
      <w:r>
        <w:rPr>
          <w:rFonts w:ascii="Arial" w:cs="Arial" w:eastAsia="Arial" w:hAnsi="Arial"/>
          <w:sz w:val="13"/>
          <w:szCs w:val="13"/>
          <w:color w:val="auto"/>
        </w:rPr>
        <w:t>Your vote is important to us and to our business. Whether or not you plan to participate in the Annual Meeting, we encourage you to read the accompanying proxy statement and submit your proxy or voting instructions as soon as possible.</w:t>
      </w:r>
    </w:p>
    <w:p>
      <w:pPr>
        <w:spacing w:after="0" w:line="183" w:lineRule="exact"/>
        <w:rPr>
          <w:sz w:val="20"/>
          <w:szCs w:val="20"/>
          <w:color w:val="auto"/>
        </w:rPr>
      </w:pPr>
    </w:p>
    <w:p>
      <w:pPr>
        <w:ind w:left="5720"/>
        <w:spacing w:after="0"/>
        <w:rPr>
          <w:sz w:val="20"/>
          <w:szCs w:val="20"/>
          <w:color w:val="auto"/>
        </w:rPr>
      </w:pPr>
      <w:r>
        <w:rPr>
          <w:rFonts w:ascii="Arial" w:cs="Arial" w:eastAsia="Arial" w:hAnsi="Arial"/>
          <w:sz w:val="13"/>
          <w:szCs w:val="13"/>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720"/>
        <w:spacing w:after="0"/>
        <w:rPr>
          <w:sz w:val="20"/>
          <w:szCs w:val="20"/>
          <w:color w:val="auto"/>
        </w:rPr>
      </w:pPr>
      <w:r>
        <w:rPr>
          <w:rFonts w:ascii="Arial" w:cs="Arial" w:eastAsia="Arial" w:hAnsi="Arial"/>
          <w:sz w:val="13"/>
          <w:szCs w:val="13"/>
          <w:color w:val="00ACD2"/>
        </w:rPr>
        <w:t>Daniel L. Heard</w:t>
      </w:r>
    </w:p>
    <w:p>
      <w:pPr>
        <w:ind w:left="220"/>
        <w:spacing w:after="0" w:line="237" w:lineRule="auto"/>
        <w:tabs>
          <w:tab w:leader="none" w:pos="5700" w:val="left"/>
        </w:tabs>
        <w:rPr>
          <w:sz w:val="20"/>
          <w:szCs w:val="20"/>
          <w:color w:val="auto"/>
        </w:rPr>
      </w:pPr>
      <w:r>
        <w:rPr>
          <w:rFonts w:ascii="Arial" w:cs="Arial" w:eastAsia="Arial" w:hAnsi="Arial"/>
          <w:sz w:val="13"/>
          <w:szCs w:val="13"/>
          <w:color w:val="00ACD2"/>
        </w:rPr>
        <w:t>Little Rock, Arkansas</w:t>
      </w:r>
      <w:r>
        <w:rPr>
          <w:sz w:val="20"/>
          <w:szCs w:val="20"/>
          <w:color w:val="auto"/>
        </w:rPr>
        <w:tab/>
      </w:r>
      <w:r>
        <w:rPr>
          <w:rFonts w:ascii="Arial" w:cs="Arial" w:eastAsia="Arial" w:hAnsi="Arial"/>
          <w:sz w:val="13"/>
          <w:szCs w:val="13"/>
          <w:color w:val="auto"/>
        </w:rPr>
        <w:t>Executive Vice President—General Counsel and Secretary</w:t>
      </w:r>
    </w:p>
    <w:p>
      <w:pPr>
        <w:ind w:left="220"/>
        <w:spacing w:after="0"/>
        <w:rPr>
          <w:sz w:val="20"/>
          <w:szCs w:val="20"/>
          <w:color w:val="auto"/>
        </w:rPr>
      </w:pPr>
      <w:r>
        <w:rPr>
          <w:rFonts w:ascii="Arial" w:cs="Arial" w:eastAsia="Arial" w:hAnsi="Arial"/>
          <w:sz w:val="13"/>
          <w:szCs w:val="13"/>
          <w:color w:val="00ACD2"/>
        </w:rPr>
        <w:t>April [·], 2018</w:t>
      </w:r>
    </w:p>
    <w:p>
      <w:pPr>
        <w:spacing w:after="0" w:line="291" w:lineRule="exact"/>
        <w:rPr>
          <w:sz w:val="20"/>
          <w:szCs w:val="20"/>
          <w:color w:val="auto"/>
        </w:rPr>
      </w:pPr>
    </w:p>
    <w:p>
      <w:pPr>
        <w:ind w:left="360" w:right="120"/>
        <w:spacing w:after="0" w:line="275" w:lineRule="auto"/>
        <w:rPr>
          <w:sz w:val="20"/>
          <w:szCs w:val="20"/>
          <w:color w:val="auto"/>
        </w:rPr>
      </w:pPr>
      <w:r>
        <w:rPr>
          <w:rFonts w:ascii="Arial" w:cs="Arial" w:eastAsia="Arial" w:hAnsi="Arial"/>
          <w:sz w:val="13"/>
          <w:szCs w:val="13"/>
          <w:b w:val="1"/>
          <w:bCs w:val="1"/>
          <w:color w:val="auto"/>
        </w:rPr>
        <w:t>Important notice regarding the availability of proxy materials for the 2018 Annual Meeting of Stockholders to be held on May 17, 2018: The Company's Proxy Statement and Annual Report on Form 10-K for the fiscal year ended December 31, 2017 are available electronically at http://investor.uniti.com and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358775</wp:posOffset>
            </wp:positionV>
            <wp:extent cx="726313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180"/>
          </w:cols>
          <w:pgMar w:left="240" w:top="142" w:right="47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368300</wp:posOffset>
            </wp:positionV>
            <wp:extent cx="7255510" cy="40297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5510" cy="4029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00ACD2"/>
        </w:rPr>
        <w:t>PROXY SUMMARY</w:t>
      </w:r>
    </w:p>
    <w:p>
      <w:pPr>
        <w:spacing w:after="0" w:line="238" w:lineRule="exact"/>
        <w:rPr>
          <w:sz w:val="20"/>
          <w:szCs w:val="20"/>
          <w:color w:val="auto"/>
        </w:rPr>
      </w:pPr>
    </w:p>
    <w:p>
      <w:pPr>
        <w:ind w:left="220" w:right="240" w:firstLine="621"/>
        <w:spacing w:after="0" w:line="245" w:lineRule="auto"/>
        <w:rPr>
          <w:sz w:val="20"/>
          <w:szCs w:val="20"/>
          <w:color w:val="auto"/>
        </w:rPr>
      </w:pPr>
      <w:r>
        <w:rPr>
          <w:rFonts w:ascii="Arial" w:cs="Arial" w:eastAsia="Arial" w:hAnsi="Arial"/>
          <w:sz w:val="16"/>
          <w:szCs w:val="16"/>
          <w:color w:val="auto"/>
        </w:rPr>
        <w:t>This summary highlights certain information contained elsewhere in the accompanying proxy statement, but does not contain all of the information you should consider before voting your shares. For more complete information regarding the proposals to be voted upon at the Annual Meeting and our fiscal year 2017 performance, please review the entire proxy statement and our Annual Report on Form 10-K for the fiscal year ended December 31, 2017. We use the terms "Uniti," "the Company," "we," "our" and "us" in this summary to refer to Uniti Group Inc.</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00ACD2"/>
        </w:rPr>
        <w:t>Annual Meeting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gridSpan w:val="3"/>
          </w:tcPr>
          <w:p>
            <w:pPr>
              <w:ind w:left="220"/>
              <w:spacing w:after="0"/>
              <w:rPr>
                <w:sz w:val="20"/>
                <w:szCs w:val="20"/>
                <w:color w:val="auto"/>
              </w:rPr>
            </w:pPr>
            <w:r>
              <w:rPr>
                <w:rFonts w:ascii="Arial" w:cs="Arial" w:eastAsia="Arial" w:hAnsi="Arial"/>
                <w:sz w:val="16"/>
                <w:szCs w:val="16"/>
                <w:b w:val="1"/>
                <w:bCs w:val="1"/>
                <w:color w:val="auto"/>
              </w:rPr>
              <w:t>Date:</w:t>
            </w:r>
          </w:p>
        </w:tc>
        <w:tc>
          <w:tcPr>
            <w:tcW w:w="3080" w:type="dxa"/>
            <w:vAlign w:val="bottom"/>
          </w:tcPr>
          <w:p>
            <w:pPr>
              <w:ind w:left="40"/>
              <w:spacing w:after="0"/>
              <w:rPr>
                <w:sz w:val="20"/>
                <w:szCs w:val="20"/>
                <w:color w:val="auto"/>
              </w:rPr>
            </w:pPr>
            <w:r>
              <w:rPr>
                <w:rFonts w:ascii="Arial" w:cs="Arial" w:eastAsia="Arial" w:hAnsi="Arial"/>
                <w:sz w:val="16"/>
                <w:szCs w:val="16"/>
                <w:color w:val="auto"/>
              </w:rPr>
              <w:t>May 17, 2018</w:t>
            </w:r>
          </w:p>
        </w:tc>
        <w:tc>
          <w:tcPr>
            <w:tcW w:w="19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700" w:type="dxa"/>
            <w:vAlign w:val="bottom"/>
            <w:gridSpan w:val="3"/>
          </w:tcPr>
          <w:p>
            <w:pPr>
              <w:ind w:left="220"/>
              <w:spacing w:after="0"/>
              <w:rPr>
                <w:sz w:val="20"/>
                <w:szCs w:val="20"/>
                <w:color w:val="auto"/>
              </w:rPr>
            </w:pPr>
            <w:r>
              <w:rPr>
                <w:rFonts w:ascii="Arial" w:cs="Arial" w:eastAsia="Arial" w:hAnsi="Arial"/>
                <w:sz w:val="16"/>
                <w:szCs w:val="16"/>
                <w:b w:val="1"/>
                <w:bCs w:val="1"/>
                <w:color w:val="auto"/>
              </w:rPr>
              <w:t>Time:</w:t>
            </w:r>
          </w:p>
        </w:tc>
        <w:tc>
          <w:tcPr>
            <w:tcW w:w="3080" w:type="dxa"/>
            <w:vAlign w:val="bottom"/>
          </w:tcPr>
          <w:p>
            <w:pPr>
              <w:ind w:left="40"/>
              <w:spacing w:after="0"/>
              <w:rPr>
                <w:sz w:val="20"/>
                <w:szCs w:val="20"/>
                <w:color w:val="auto"/>
              </w:rPr>
            </w:pPr>
            <w:r>
              <w:rPr>
                <w:rFonts w:ascii="Arial" w:cs="Arial" w:eastAsia="Arial" w:hAnsi="Arial"/>
                <w:sz w:val="16"/>
                <w:szCs w:val="16"/>
                <w:color w:val="auto"/>
              </w:rPr>
              <w:t>8:00 a.m. (Eastern time)</w:t>
            </w:r>
          </w:p>
        </w:tc>
        <w:tc>
          <w:tcPr>
            <w:tcW w:w="19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700" w:type="dxa"/>
            <w:vAlign w:val="bottom"/>
            <w:gridSpan w:val="3"/>
          </w:tcPr>
          <w:p>
            <w:pPr>
              <w:ind w:left="220"/>
              <w:spacing w:after="0"/>
              <w:rPr>
                <w:sz w:val="20"/>
                <w:szCs w:val="20"/>
                <w:color w:val="auto"/>
              </w:rPr>
            </w:pPr>
            <w:r>
              <w:rPr>
                <w:rFonts w:ascii="Arial" w:cs="Arial" w:eastAsia="Arial" w:hAnsi="Arial"/>
                <w:sz w:val="16"/>
                <w:szCs w:val="16"/>
                <w:b w:val="1"/>
                <w:bCs w:val="1"/>
                <w:color w:val="auto"/>
              </w:rPr>
              <w:t>Location:</w:t>
            </w:r>
          </w:p>
        </w:tc>
        <w:tc>
          <w:tcPr>
            <w:tcW w:w="5000" w:type="dxa"/>
            <w:vAlign w:val="bottom"/>
            <w:gridSpan w:val="2"/>
          </w:tcPr>
          <w:p>
            <w:pPr>
              <w:ind w:left="40"/>
              <w:spacing w:after="0"/>
              <w:rPr>
                <w:sz w:val="20"/>
                <w:szCs w:val="20"/>
                <w:color w:val="auto"/>
              </w:rPr>
            </w:pPr>
            <w:r>
              <w:rPr>
                <w:rFonts w:ascii="Arial" w:cs="Arial" w:eastAsia="Arial" w:hAnsi="Arial"/>
                <w:sz w:val="16"/>
                <w:szCs w:val="16"/>
                <w:color w:val="auto"/>
              </w:rPr>
              <w:t xml:space="preserve">Via the Internet: </w:t>
            </w:r>
            <w:r>
              <w:rPr>
                <w:rFonts w:ascii="Arial" w:cs="Arial" w:eastAsia="Arial" w:hAnsi="Arial"/>
                <w:sz w:val="16"/>
                <w:szCs w:val="16"/>
                <w:b w:val="1"/>
                <w:bCs w:val="1"/>
                <w:color w:val="00ACD2"/>
              </w:rPr>
              <w:t>www.virtualshareholdermeeting.com/UNIT2018</w:t>
            </w:r>
          </w:p>
        </w:tc>
        <w:tc>
          <w:tcPr>
            <w:tcW w:w="1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00" w:type="dxa"/>
            <w:vAlign w:val="bottom"/>
            <w:gridSpan w:val="3"/>
          </w:tcPr>
          <w:p>
            <w:pPr>
              <w:ind w:left="220"/>
              <w:spacing w:after="0"/>
              <w:rPr>
                <w:sz w:val="20"/>
                <w:szCs w:val="20"/>
                <w:color w:val="auto"/>
              </w:rPr>
            </w:pPr>
            <w:r>
              <w:rPr>
                <w:rFonts w:ascii="Arial" w:cs="Arial" w:eastAsia="Arial" w:hAnsi="Arial"/>
                <w:sz w:val="16"/>
                <w:szCs w:val="16"/>
                <w:b w:val="1"/>
                <w:bCs w:val="1"/>
                <w:color w:val="auto"/>
              </w:rPr>
              <w:t>Record Date:</w:t>
            </w:r>
          </w:p>
        </w:tc>
        <w:tc>
          <w:tcPr>
            <w:tcW w:w="6740" w:type="dxa"/>
            <w:vAlign w:val="bottom"/>
            <w:gridSpan w:val="3"/>
          </w:tcPr>
          <w:p>
            <w:pPr>
              <w:ind w:left="40"/>
              <w:spacing w:after="0"/>
              <w:rPr>
                <w:sz w:val="20"/>
                <w:szCs w:val="20"/>
                <w:color w:val="auto"/>
              </w:rPr>
            </w:pPr>
            <w:r>
              <w:rPr>
                <w:rFonts w:ascii="Arial" w:cs="Arial" w:eastAsia="Arial" w:hAnsi="Arial"/>
                <w:sz w:val="16"/>
                <w:szCs w:val="16"/>
                <w:color w:val="auto"/>
              </w:rPr>
              <w:t>Holders of our common stock at the close of business on March 16, 2018</w:t>
            </w:r>
          </w:p>
        </w:tc>
        <w:tc>
          <w:tcPr>
            <w:tcW w:w="1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1700" w:type="dxa"/>
            <w:vAlign w:val="bottom"/>
            <w:gridSpan w:val="3"/>
          </w:tcPr>
          <w:p>
            <w:pPr>
              <w:ind w:left="220"/>
              <w:spacing w:after="0"/>
              <w:rPr>
                <w:sz w:val="20"/>
                <w:szCs w:val="20"/>
                <w:color w:val="auto"/>
              </w:rPr>
            </w:pPr>
            <w:r>
              <w:rPr>
                <w:rFonts w:ascii="Arial" w:cs="Arial" w:eastAsia="Arial" w:hAnsi="Arial"/>
                <w:sz w:val="20"/>
                <w:szCs w:val="20"/>
                <w:b w:val="1"/>
                <w:bCs w:val="1"/>
                <w:color w:val="00ACD2"/>
              </w:rPr>
              <w:t>Voting Matters</w:t>
            </w:r>
          </w:p>
        </w:tc>
        <w:tc>
          <w:tcPr>
            <w:tcW w:w="30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20" w:type="dxa"/>
            <w:vAlign w:val="bottom"/>
          </w:tcPr>
          <w:p>
            <w:pPr>
              <w:spacing w:after="0"/>
              <w:rPr>
                <w:sz w:val="24"/>
                <w:szCs w:val="24"/>
                <w:color w:val="auto"/>
              </w:rPr>
            </w:pPr>
          </w:p>
        </w:tc>
        <w:tc>
          <w:tcPr>
            <w:tcW w:w="1320" w:type="dxa"/>
            <w:vAlign w:val="bottom"/>
            <w:tcBorders>
              <w:top w:val="single" w:sz="8" w:color="00ACD2"/>
            </w:tcBorders>
          </w:tcPr>
          <w:p>
            <w:pPr>
              <w:spacing w:after="0"/>
              <w:rPr>
                <w:sz w:val="24"/>
                <w:szCs w:val="24"/>
                <w:color w:val="auto"/>
              </w:rPr>
            </w:pPr>
          </w:p>
        </w:tc>
        <w:tc>
          <w:tcPr>
            <w:tcW w:w="160" w:type="dxa"/>
            <w:vAlign w:val="bottom"/>
            <w:tcBorders>
              <w:top w:val="single" w:sz="8" w:color="00ACD2"/>
            </w:tcBorders>
          </w:tcPr>
          <w:p>
            <w:pPr>
              <w:spacing w:after="0"/>
              <w:rPr>
                <w:sz w:val="24"/>
                <w:szCs w:val="24"/>
                <w:color w:val="auto"/>
              </w:rPr>
            </w:pPr>
          </w:p>
        </w:tc>
        <w:tc>
          <w:tcPr>
            <w:tcW w:w="3080" w:type="dxa"/>
            <w:vAlign w:val="bottom"/>
            <w:tcBorders>
              <w:top w:val="single" w:sz="8" w:color="00ACD2"/>
            </w:tcBorders>
          </w:tcPr>
          <w:p>
            <w:pPr>
              <w:spacing w:after="0"/>
              <w:rPr>
                <w:sz w:val="24"/>
                <w:szCs w:val="24"/>
                <w:color w:val="auto"/>
              </w:rPr>
            </w:pPr>
          </w:p>
        </w:tc>
        <w:tc>
          <w:tcPr>
            <w:tcW w:w="1920" w:type="dxa"/>
            <w:vAlign w:val="bottom"/>
            <w:tcBorders>
              <w:top w:val="single" w:sz="8" w:color="00ACD2"/>
            </w:tcBorders>
          </w:tcPr>
          <w:p>
            <w:pPr>
              <w:jc w:val="center"/>
              <w:spacing w:after="0"/>
              <w:rPr>
                <w:sz w:val="20"/>
                <w:szCs w:val="20"/>
                <w:color w:val="auto"/>
              </w:rPr>
            </w:pPr>
            <w:r>
              <w:rPr>
                <w:rFonts w:ascii="Arial" w:cs="Arial" w:eastAsia="Arial" w:hAnsi="Arial"/>
                <w:sz w:val="16"/>
                <w:szCs w:val="16"/>
                <w:b w:val="1"/>
                <w:bCs w:val="1"/>
                <w:color w:val="00ACD2"/>
              </w:rPr>
              <w:t>Required</w:t>
            </w:r>
          </w:p>
        </w:tc>
        <w:tc>
          <w:tcPr>
            <w:tcW w:w="1740" w:type="dxa"/>
            <w:vAlign w:val="bottom"/>
            <w:tcBorders>
              <w:top w:val="single" w:sz="8" w:color="00ACD2"/>
            </w:tcBorders>
          </w:tcPr>
          <w:p>
            <w:pPr>
              <w:jc w:val="center"/>
              <w:spacing w:after="0"/>
              <w:rPr>
                <w:sz w:val="20"/>
                <w:szCs w:val="20"/>
                <w:color w:val="auto"/>
              </w:rPr>
            </w:pPr>
            <w:r>
              <w:rPr>
                <w:rFonts w:ascii="Arial" w:cs="Arial" w:eastAsia="Arial" w:hAnsi="Arial"/>
                <w:sz w:val="16"/>
                <w:szCs w:val="16"/>
                <w:b w:val="1"/>
                <w:bCs w:val="1"/>
                <w:color w:val="00ACD2"/>
              </w:rPr>
              <w:t>Board</w:t>
            </w:r>
          </w:p>
        </w:tc>
        <w:tc>
          <w:tcPr>
            <w:tcW w:w="2760" w:type="dxa"/>
            <w:vAlign w:val="bottom"/>
            <w:tcBorders>
              <w:top w:val="single" w:sz="8" w:color="00ACD2"/>
            </w:tcBorders>
            <w:gridSpan w:val="2"/>
          </w:tcPr>
          <w:p>
            <w:pPr>
              <w:jc w:val="center"/>
              <w:ind w:right="1500"/>
              <w:spacing w:after="0"/>
              <w:rPr>
                <w:sz w:val="20"/>
                <w:szCs w:val="20"/>
                <w:color w:val="auto"/>
              </w:rPr>
            </w:pPr>
            <w:r>
              <w:rPr>
                <w:rFonts w:ascii="Arial" w:cs="Arial" w:eastAsia="Arial" w:hAnsi="Arial"/>
                <w:sz w:val="16"/>
                <w:szCs w:val="16"/>
                <w:b w:val="1"/>
                <w:bCs w:val="1"/>
                <w:color w:val="00ACD2"/>
                <w:w w:val="99"/>
              </w:rPr>
              <w:t>Page</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40" w:type="dxa"/>
            <w:vAlign w:val="bottom"/>
            <w:tcBorders>
              <w:bottom w:val="single" w:sz="8" w:color="00ACD2"/>
            </w:tcBorders>
            <w:gridSpan w:val="2"/>
          </w:tcPr>
          <w:p>
            <w:pPr>
              <w:spacing w:after="0"/>
              <w:rPr>
                <w:sz w:val="20"/>
                <w:szCs w:val="20"/>
                <w:color w:val="auto"/>
              </w:rPr>
            </w:pPr>
            <w:r>
              <w:rPr>
                <w:rFonts w:ascii="Arial" w:cs="Arial" w:eastAsia="Arial" w:hAnsi="Arial"/>
                <w:sz w:val="16"/>
                <w:szCs w:val="16"/>
                <w:b w:val="1"/>
                <w:bCs w:val="1"/>
                <w:color w:val="00ACD2"/>
              </w:rPr>
              <w:t>Proposals</w:t>
            </w:r>
          </w:p>
        </w:tc>
        <w:tc>
          <w:tcPr>
            <w:tcW w:w="1920" w:type="dxa"/>
            <w:vAlign w:val="bottom"/>
            <w:tcBorders>
              <w:bottom w:val="single" w:sz="8" w:color="00ACD2"/>
            </w:tcBorders>
          </w:tcPr>
          <w:p>
            <w:pPr>
              <w:jc w:val="center"/>
              <w:spacing w:after="0"/>
              <w:rPr>
                <w:sz w:val="20"/>
                <w:szCs w:val="20"/>
                <w:color w:val="auto"/>
              </w:rPr>
            </w:pPr>
            <w:r>
              <w:rPr>
                <w:rFonts w:ascii="Arial" w:cs="Arial" w:eastAsia="Arial" w:hAnsi="Arial"/>
                <w:sz w:val="16"/>
                <w:szCs w:val="16"/>
                <w:b w:val="1"/>
                <w:bCs w:val="1"/>
                <w:color w:val="00ACD2"/>
              </w:rPr>
              <w:t>Approval</w:t>
            </w:r>
          </w:p>
        </w:tc>
        <w:tc>
          <w:tcPr>
            <w:tcW w:w="1740" w:type="dxa"/>
            <w:vAlign w:val="bottom"/>
            <w:tcBorders>
              <w:bottom w:val="single" w:sz="8" w:color="00ACD2"/>
            </w:tcBorders>
          </w:tcPr>
          <w:p>
            <w:pPr>
              <w:jc w:val="center"/>
              <w:spacing w:after="0"/>
              <w:rPr>
                <w:sz w:val="20"/>
                <w:szCs w:val="20"/>
                <w:color w:val="auto"/>
              </w:rPr>
            </w:pPr>
            <w:r>
              <w:rPr>
                <w:rFonts w:ascii="Arial" w:cs="Arial" w:eastAsia="Arial" w:hAnsi="Arial"/>
                <w:sz w:val="16"/>
                <w:szCs w:val="16"/>
                <w:b w:val="1"/>
                <w:bCs w:val="1"/>
                <w:color w:val="00ACD2"/>
              </w:rPr>
              <w:t>Recommendation</w:t>
            </w:r>
          </w:p>
        </w:tc>
        <w:tc>
          <w:tcPr>
            <w:tcW w:w="1140" w:type="dxa"/>
            <w:vAlign w:val="bottom"/>
            <w:tcBorders>
              <w:bottom w:val="single" w:sz="8" w:color="00ACD2"/>
            </w:tcBorders>
          </w:tcPr>
          <w:p>
            <w:pPr>
              <w:jc w:val="center"/>
              <w:ind w:left="20"/>
              <w:spacing w:after="0"/>
              <w:rPr>
                <w:sz w:val="20"/>
                <w:szCs w:val="20"/>
                <w:color w:val="auto"/>
              </w:rPr>
            </w:pPr>
            <w:r>
              <w:rPr>
                <w:rFonts w:ascii="Arial" w:cs="Arial" w:eastAsia="Arial" w:hAnsi="Arial"/>
                <w:sz w:val="16"/>
                <w:szCs w:val="16"/>
                <w:b w:val="1"/>
                <w:bCs w:val="1"/>
                <w:color w:val="00ACD2"/>
                <w:w w:val="98"/>
              </w:rPr>
              <w:t>Reference</w:t>
            </w:r>
          </w:p>
        </w:tc>
        <w:tc>
          <w:tcPr>
            <w:tcW w:w="18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700" w:type="dxa"/>
            <w:vAlign w:val="bottom"/>
            <w:gridSpan w:val="3"/>
            <w:vMerge w:val="restart"/>
          </w:tcPr>
          <w:p>
            <w:pPr>
              <w:ind w:left="1540"/>
              <w:spacing w:after="0"/>
              <w:rPr>
                <w:sz w:val="20"/>
                <w:szCs w:val="20"/>
                <w:color w:val="auto"/>
              </w:rPr>
            </w:pPr>
            <w:r>
              <w:rPr>
                <w:rFonts w:ascii="Arial" w:cs="Arial" w:eastAsia="Arial" w:hAnsi="Arial"/>
                <w:sz w:val="16"/>
                <w:szCs w:val="16"/>
                <w:color w:val="auto"/>
              </w:rPr>
              <w:t>1.</w:t>
            </w:r>
          </w:p>
        </w:tc>
        <w:tc>
          <w:tcPr>
            <w:tcW w:w="3080" w:type="dxa"/>
            <w:vAlign w:val="bottom"/>
            <w:vMerge w:val="restart"/>
          </w:tcPr>
          <w:p>
            <w:pPr>
              <w:ind w:left="180"/>
              <w:spacing w:after="0"/>
              <w:rPr>
                <w:sz w:val="20"/>
                <w:szCs w:val="20"/>
                <w:color w:val="auto"/>
              </w:rPr>
            </w:pPr>
            <w:r>
              <w:rPr>
                <w:rFonts w:ascii="Arial" w:cs="Arial" w:eastAsia="Arial" w:hAnsi="Arial"/>
                <w:sz w:val="16"/>
                <w:szCs w:val="16"/>
                <w:color w:val="auto"/>
              </w:rPr>
              <w:t>Election of directors</w:t>
            </w:r>
          </w:p>
        </w:tc>
        <w:tc>
          <w:tcPr>
            <w:tcW w:w="1920" w:type="dxa"/>
            <w:vAlign w:val="bottom"/>
          </w:tcPr>
          <w:p>
            <w:pPr>
              <w:jc w:val="center"/>
              <w:spacing w:after="0" w:line="181" w:lineRule="exact"/>
              <w:rPr>
                <w:sz w:val="20"/>
                <w:szCs w:val="20"/>
                <w:color w:val="auto"/>
              </w:rPr>
            </w:pPr>
            <w:r>
              <w:rPr>
                <w:rFonts w:ascii="Arial" w:cs="Arial" w:eastAsia="Arial" w:hAnsi="Arial"/>
                <w:sz w:val="16"/>
                <w:szCs w:val="16"/>
                <w:color w:val="auto"/>
                <w:w w:val="99"/>
              </w:rPr>
              <w:t>Majority of Votes Cast</w:t>
            </w:r>
          </w:p>
        </w:tc>
        <w:tc>
          <w:tcPr>
            <w:tcW w:w="1740" w:type="dxa"/>
            <w:vAlign w:val="bottom"/>
          </w:tcPr>
          <w:p>
            <w:pPr>
              <w:jc w:val="center"/>
              <w:spacing w:after="0" w:line="181" w:lineRule="exact"/>
              <w:rPr>
                <w:sz w:val="20"/>
                <w:szCs w:val="20"/>
                <w:color w:val="auto"/>
              </w:rPr>
            </w:pPr>
            <w:r>
              <w:rPr>
                <w:rFonts w:ascii="Arial" w:cs="Arial" w:eastAsia="Arial" w:hAnsi="Arial"/>
                <w:sz w:val="16"/>
                <w:szCs w:val="16"/>
                <w:color w:val="auto"/>
                <w:w w:val="98"/>
              </w:rPr>
              <w:t>FOR each</w:t>
            </w:r>
          </w:p>
        </w:tc>
        <w:tc>
          <w:tcPr>
            <w:tcW w:w="1140" w:type="dxa"/>
            <w:vAlign w:val="bottom"/>
            <w:vMerge w:val="restart"/>
          </w:tcPr>
          <w:p>
            <w:pPr>
              <w:jc w:val="center"/>
              <w:ind w:left="40"/>
              <w:spacing w:after="0"/>
              <w:rPr>
                <w:sz w:val="20"/>
                <w:szCs w:val="20"/>
                <w:color w:val="auto"/>
              </w:rPr>
            </w:pPr>
            <w:r>
              <w:rPr>
                <w:rFonts w:ascii="Arial" w:cs="Arial" w:eastAsia="Arial" w:hAnsi="Arial"/>
                <w:sz w:val="16"/>
                <w:szCs w:val="16"/>
                <w:color w:val="auto"/>
              </w:rPr>
              <w:t>13</w:t>
            </w: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1700" w:type="dxa"/>
            <w:vAlign w:val="bottom"/>
            <w:gridSpan w:val="3"/>
            <w:vMerge w:val="continue"/>
          </w:tcPr>
          <w:p>
            <w:pPr>
              <w:spacing w:after="0"/>
              <w:rPr>
                <w:sz w:val="8"/>
                <w:szCs w:val="8"/>
                <w:color w:val="auto"/>
              </w:rPr>
            </w:pPr>
          </w:p>
        </w:tc>
        <w:tc>
          <w:tcPr>
            <w:tcW w:w="3080" w:type="dxa"/>
            <w:vAlign w:val="bottom"/>
            <w:vMerge w:val="continue"/>
          </w:tcPr>
          <w:p>
            <w:pPr>
              <w:spacing w:after="0"/>
              <w:rPr>
                <w:sz w:val="8"/>
                <w:szCs w:val="8"/>
                <w:color w:val="auto"/>
              </w:rPr>
            </w:pPr>
          </w:p>
        </w:tc>
        <w:tc>
          <w:tcPr>
            <w:tcW w:w="1920" w:type="dxa"/>
            <w:vAlign w:val="bottom"/>
            <w:vMerge w:val="restart"/>
          </w:tcPr>
          <w:p>
            <w:pPr>
              <w:jc w:val="center"/>
              <w:spacing w:after="0" w:line="182" w:lineRule="exact"/>
              <w:rPr>
                <w:sz w:val="20"/>
                <w:szCs w:val="20"/>
                <w:color w:val="auto"/>
              </w:rPr>
            </w:pPr>
            <w:r>
              <w:rPr>
                <w:rFonts w:ascii="Arial" w:cs="Arial" w:eastAsia="Arial" w:hAnsi="Arial"/>
                <w:sz w:val="16"/>
                <w:szCs w:val="16"/>
                <w:color w:val="auto"/>
              </w:rPr>
              <w:t>for Each Nominee</w:t>
            </w:r>
          </w:p>
        </w:tc>
        <w:tc>
          <w:tcPr>
            <w:tcW w:w="1740" w:type="dxa"/>
            <w:vAlign w:val="bottom"/>
            <w:vMerge w:val="restart"/>
          </w:tcPr>
          <w:p>
            <w:pPr>
              <w:jc w:val="center"/>
              <w:spacing w:after="0" w:line="182" w:lineRule="exact"/>
              <w:rPr>
                <w:sz w:val="20"/>
                <w:szCs w:val="20"/>
                <w:color w:val="auto"/>
              </w:rPr>
            </w:pPr>
            <w:r>
              <w:rPr>
                <w:rFonts w:ascii="Arial" w:cs="Arial" w:eastAsia="Arial" w:hAnsi="Arial"/>
                <w:sz w:val="16"/>
                <w:szCs w:val="16"/>
                <w:color w:val="auto"/>
                <w:w w:val="97"/>
              </w:rPr>
              <w:t>nominee</w:t>
            </w:r>
          </w:p>
        </w:tc>
        <w:tc>
          <w:tcPr>
            <w:tcW w:w="1140" w:type="dxa"/>
            <w:vAlign w:val="bottom"/>
            <w:vMerge w:val="continue"/>
          </w:tcPr>
          <w:p>
            <w:pPr>
              <w:spacing w:after="0"/>
              <w:rPr>
                <w:sz w:val="8"/>
                <w:szCs w:val="8"/>
                <w:color w:val="auto"/>
              </w:rPr>
            </w:pPr>
          </w:p>
        </w:tc>
        <w:tc>
          <w:tcPr>
            <w:tcW w:w="1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60" w:type="dxa"/>
            <w:vAlign w:val="bottom"/>
            <w:tcBorders>
              <w:bottom w:val="single" w:sz="8" w:color="00ACD2"/>
            </w:tcBorders>
          </w:tcPr>
          <w:p>
            <w:pPr>
              <w:spacing w:after="0"/>
              <w:rPr>
                <w:sz w:val="7"/>
                <w:szCs w:val="7"/>
                <w:color w:val="auto"/>
              </w:rPr>
            </w:pPr>
          </w:p>
        </w:tc>
        <w:tc>
          <w:tcPr>
            <w:tcW w:w="3080" w:type="dxa"/>
            <w:vAlign w:val="bottom"/>
            <w:tcBorders>
              <w:bottom w:val="single" w:sz="8" w:color="00ACD2"/>
            </w:tcBorders>
          </w:tcPr>
          <w:p>
            <w:pPr>
              <w:spacing w:after="0"/>
              <w:rPr>
                <w:sz w:val="7"/>
                <w:szCs w:val="7"/>
                <w:color w:val="auto"/>
              </w:rPr>
            </w:pPr>
          </w:p>
        </w:tc>
        <w:tc>
          <w:tcPr>
            <w:tcW w:w="1920" w:type="dxa"/>
            <w:vAlign w:val="bottom"/>
            <w:tcBorders>
              <w:bottom w:val="single" w:sz="8" w:color="00ACD2"/>
            </w:tcBorders>
            <w:vMerge w:val="continue"/>
          </w:tcPr>
          <w:p>
            <w:pPr>
              <w:spacing w:after="0"/>
              <w:rPr>
                <w:sz w:val="7"/>
                <w:szCs w:val="7"/>
                <w:color w:val="auto"/>
              </w:rPr>
            </w:pPr>
          </w:p>
        </w:tc>
        <w:tc>
          <w:tcPr>
            <w:tcW w:w="1740" w:type="dxa"/>
            <w:vAlign w:val="bottom"/>
            <w:tcBorders>
              <w:bottom w:val="single" w:sz="8" w:color="00ACD2"/>
            </w:tcBorders>
            <w:vMerge w:val="continue"/>
          </w:tcPr>
          <w:p>
            <w:pPr>
              <w:spacing w:after="0"/>
              <w:rPr>
                <w:sz w:val="7"/>
                <w:szCs w:val="7"/>
                <w:color w:val="auto"/>
              </w:rPr>
            </w:pPr>
          </w:p>
        </w:tc>
        <w:tc>
          <w:tcPr>
            <w:tcW w:w="1140" w:type="dxa"/>
            <w:vAlign w:val="bottom"/>
            <w:tcBorders>
              <w:bottom w:val="single" w:sz="8" w:color="00ACD2"/>
            </w:tcBorders>
          </w:tcPr>
          <w:p>
            <w:pPr>
              <w:spacing w:after="0"/>
              <w:rPr>
                <w:sz w:val="7"/>
                <w:szCs w:val="7"/>
                <w:color w:val="auto"/>
              </w:rPr>
            </w:pPr>
          </w:p>
        </w:tc>
        <w:tc>
          <w:tcPr>
            <w:tcW w:w="1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700" w:type="dxa"/>
            <w:vAlign w:val="bottom"/>
            <w:gridSpan w:val="3"/>
            <w:vMerge w:val="restart"/>
          </w:tcPr>
          <w:p>
            <w:pPr>
              <w:ind w:left="1540"/>
              <w:spacing w:after="0"/>
              <w:rPr>
                <w:sz w:val="20"/>
                <w:szCs w:val="20"/>
                <w:color w:val="auto"/>
              </w:rPr>
            </w:pPr>
            <w:r>
              <w:rPr>
                <w:rFonts w:ascii="Arial" w:cs="Arial" w:eastAsia="Arial" w:hAnsi="Arial"/>
                <w:sz w:val="16"/>
                <w:szCs w:val="16"/>
                <w:color w:val="auto"/>
              </w:rPr>
              <w:t>2.</w:t>
            </w:r>
          </w:p>
        </w:tc>
        <w:tc>
          <w:tcPr>
            <w:tcW w:w="3080" w:type="dxa"/>
            <w:vAlign w:val="bottom"/>
          </w:tcPr>
          <w:p>
            <w:pPr>
              <w:ind w:left="180"/>
              <w:spacing w:after="0" w:line="181" w:lineRule="exact"/>
              <w:rPr>
                <w:sz w:val="20"/>
                <w:szCs w:val="20"/>
                <w:color w:val="auto"/>
              </w:rPr>
            </w:pPr>
            <w:r>
              <w:rPr>
                <w:rFonts w:ascii="Arial" w:cs="Arial" w:eastAsia="Arial" w:hAnsi="Arial"/>
                <w:sz w:val="16"/>
                <w:szCs w:val="16"/>
                <w:color w:val="auto"/>
              </w:rPr>
              <w:t>Advisory vote to approve executive</w:t>
            </w:r>
          </w:p>
        </w:tc>
        <w:tc>
          <w:tcPr>
            <w:tcW w:w="1920" w:type="dxa"/>
            <w:vAlign w:val="bottom"/>
            <w:vMerge w:val="restart"/>
          </w:tcPr>
          <w:p>
            <w:pPr>
              <w:jc w:val="center"/>
              <w:spacing w:after="0"/>
              <w:rPr>
                <w:sz w:val="20"/>
                <w:szCs w:val="20"/>
                <w:color w:val="auto"/>
              </w:rPr>
            </w:pPr>
            <w:r>
              <w:rPr>
                <w:rFonts w:ascii="Arial" w:cs="Arial" w:eastAsia="Arial" w:hAnsi="Arial"/>
                <w:sz w:val="16"/>
                <w:szCs w:val="16"/>
                <w:color w:val="auto"/>
                <w:w w:val="99"/>
              </w:rPr>
              <w:t>Majority of Votes Cast</w:t>
            </w:r>
          </w:p>
        </w:tc>
        <w:tc>
          <w:tcPr>
            <w:tcW w:w="1740" w:type="dxa"/>
            <w:vAlign w:val="bottom"/>
            <w:vMerge w:val="restart"/>
          </w:tcPr>
          <w:p>
            <w:pPr>
              <w:jc w:val="center"/>
              <w:spacing w:after="0"/>
              <w:rPr>
                <w:sz w:val="20"/>
                <w:szCs w:val="20"/>
                <w:color w:val="auto"/>
              </w:rPr>
            </w:pPr>
            <w:r>
              <w:rPr>
                <w:rFonts w:ascii="Arial" w:cs="Arial" w:eastAsia="Arial" w:hAnsi="Arial"/>
                <w:sz w:val="16"/>
                <w:szCs w:val="16"/>
                <w:color w:val="auto"/>
                <w:w w:val="94"/>
              </w:rPr>
              <w:t>FOR</w:t>
            </w:r>
          </w:p>
        </w:tc>
        <w:tc>
          <w:tcPr>
            <w:tcW w:w="1140" w:type="dxa"/>
            <w:vAlign w:val="bottom"/>
            <w:vMerge w:val="restart"/>
          </w:tcPr>
          <w:p>
            <w:pPr>
              <w:jc w:val="center"/>
              <w:ind w:left="40"/>
              <w:spacing w:after="0"/>
              <w:rPr>
                <w:sz w:val="20"/>
                <w:szCs w:val="20"/>
                <w:color w:val="auto"/>
              </w:rPr>
            </w:pPr>
            <w:r>
              <w:rPr>
                <w:rFonts w:ascii="Arial" w:cs="Arial" w:eastAsia="Arial" w:hAnsi="Arial"/>
                <w:sz w:val="16"/>
                <w:szCs w:val="16"/>
                <w:color w:val="auto"/>
              </w:rPr>
              <w:t>48</w:t>
            </w: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1700" w:type="dxa"/>
            <w:vAlign w:val="bottom"/>
            <w:gridSpan w:val="3"/>
            <w:vMerge w:val="continue"/>
          </w:tcPr>
          <w:p>
            <w:pPr>
              <w:spacing w:after="0"/>
              <w:rPr>
                <w:sz w:val="8"/>
                <w:szCs w:val="8"/>
                <w:color w:val="auto"/>
              </w:rPr>
            </w:pPr>
          </w:p>
        </w:tc>
        <w:tc>
          <w:tcPr>
            <w:tcW w:w="3080" w:type="dxa"/>
            <w:vAlign w:val="bottom"/>
            <w:vMerge w:val="restart"/>
          </w:tcPr>
          <w:p>
            <w:pPr>
              <w:ind w:left="180"/>
              <w:spacing w:after="0" w:line="182" w:lineRule="exact"/>
              <w:rPr>
                <w:sz w:val="20"/>
                <w:szCs w:val="20"/>
                <w:color w:val="auto"/>
              </w:rPr>
            </w:pPr>
            <w:r>
              <w:rPr>
                <w:rFonts w:ascii="Arial" w:cs="Arial" w:eastAsia="Arial" w:hAnsi="Arial"/>
                <w:sz w:val="16"/>
                <w:szCs w:val="16"/>
                <w:color w:val="auto"/>
              </w:rPr>
              <w:t>compensation</w:t>
            </w:r>
          </w:p>
        </w:tc>
        <w:tc>
          <w:tcPr>
            <w:tcW w:w="192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60" w:type="dxa"/>
            <w:vAlign w:val="bottom"/>
            <w:tcBorders>
              <w:bottom w:val="single" w:sz="8" w:color="00ACD2"/>
            </w:tcBorders>
          </w:tcPr>
          <w:p>
            <w:pPr>
              <w:spacing w:after="0"/>
              <w:rPr>
                <w:sz w:val="7"/>
                <w:szCs w:val="7"/>
                <w:color w:val="auto"/>
              </w:rPr>
            </w:pPr>
          </w:p>
        </w:tc>
        <w:tc>
          <w:tcPr>
            <w:tcW w:w="3080" w:type="dxa"/>
            <w:vAlign w:val="bottom"/>
            <w:tcBorders>
              <w:bottom w:val="single" w:sz="8" w:color="00ACD2"/>
            </w:tcBorders>
            <w:vMerge w:val="continue"/>
          </w:tcPr>
          <w:p>
            <w:pPr>
              <w:spacing w:after="0"/>
              <w:rPr>
                <w:sz w:val="7"/>
                <w:szCs w:val="7"/>
                <w:color w:val="auto"/>
              </w:rPr>
            </w:pPr>
          </w:p>
        </w:tc>
        <w:tc>
          <w:tcPr>
            <w:tcW w:w="1920" w:type="dxa"/>
            <w:vAlign w:val="bottom"/>
            <w:tcBorders>
              <w:bottom w:val="single" w:sz="8" w:color="00ACD2"/>
            </w:tcBorders>
          </w:tcPr>
          <w:p>
            <w:pPr>
              <w:spacing w:after="0"/>
              <w:rPr>
                <w:sz w:val="7"/>
                <w:szCs w:val="7"/>
                <w:color w:val="auto"/>
              </w:rPr>
            </w:pPr>
          </w:p>
        </w:tc>
        <w:tc>
          <w:tcPr>
            <w:tcW w:w="1740" w:type="dxa"/>
            <w:vAlign w:val="bottom"/>
            <w:tcBorders>
              <w:bottom w:val="single" w:sz="8" w:color="00ACD2"/>
            </w:tcBorders>
          </w:tcPr>
          <w:p>
            <w:pPr>
              <w:spacing w:after="0"/>
              <w:rPr>
                <w:sz w:val="7"/>
                <w:szCs w:val="7"/>
                <w:color w:val="auto"/>
              </w:rPr>
            </w:pPr>
          </w:p>
        </w:tc>
        <w:tc>
          <w:tcPr>
            <w:tcW w:w="1140" w:type="dxa"/>
            <w:vAlign w:val="bottom"/>
            <w:tcBorders>
              <w:bottom w:val="single" w:sz="8" w:color="00ACD2"/>
            </w:tcBorders>
          </w:tcPr>
          <w:p>
            <w:pPr>
              <w:spacing w:after="0"/>
              <w:rPr>
                <w:sz w:val="7"/>
                <w:szCs w:val="7"/>
                <w:color w:val="auto"/>
              </w:rPr>
            </w:pPr>
          </w:p>
        </w:tc>
        <w:tc>
          <w:tcPr>
            <w:tcW w:w="1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700" w:type="dxa"/>
            <w:vAlign w:val="bottom"/>
            <w:gridSpan w:val="3"/>
            <w:vMerge w:val="restart"/>
          </w:tcPr>
          <w:p>
            <w:pPr>
              <w:ind w:left="1540"/>
              <w:spacing w:after="0"/>
              <w:rPr>
                <w:sz w:val="20"/>
                <w:szCs w:val="20"/>
                <w:color w:val="auto"/>
              </w:rPr>
            </w:pPr>
            <w:r>
              <w:rPr>
                <w:rFonts w:ascii="Arial" w:cs="Arial" w:eastAsia="Arial" w:hAnsi="Arial"/>
                <w:sz w:val="16"/>
                <w:szCs w:val="16"/>
                <w:color w:val="auto"/>
              </w:rPr>
              <w:t>3.</w:t>
            </w:r>
          </w:p>
        </w:tc>
        <w:tc>
          <w:tcPr>
            <w:tcW w:w="3080" w:type="dxa"/>
            <w:vAlign w:val="bottom"/>
          </w:tcPr>
          <w:p>
            <w:pPr>
              <w:ind w:left="180"/>
              <w:spacing w:after="0" w:line="181" w:lineRule="exact"/>
              <w:rPr>
                <w:sz w:val="20"/>
                <w:szCs w:val="20"/>
                <w:color w:val="auto"/>
              </w:rPr>
            </w:pPr>
            <w:r>
              <w:rPr>
                <w:rFonts w:ascii="Arial" w:cs="Arial" w:eastAsia="Arial" w:hAnsi="Arial"/>
                <w:sz w:val="16"/>
                <w:szCs w:val="16"/>
                <w:color w:val="auto"/>
              </w:rPr>
              <w:t>Approval of the Uniti Group Inc.</w:t>
            </w:r>
          </w:p>
        </w:tc>
        <w:tc>
          <w:tcPr>
            <w:tcW w:w="1920" w:type="dxa"/>
            <w:vAlign w:val="bottom"/>
            <w:vMerge w:val="restart"/>
          </w:tcPr>
          <w:p>
            <w:pPr>
              <w:jc w:val="center"/>
              <w:spacing w:after="0"/>
              <w:rPr>
                <w:sz w:val="20"/>
                <w:szCs w:val="20"/>
                <w:color w:val="auto"/>
              </w:rPr>
            </w:pPr>
            <w:r>
              <w:rPr>
                <w:rFonts w:ascii="Arial" w:cs="Arial" w:eastAsia="Arial" w:hAnsi="Arial"/>
                <w:sz w:val="16"/>
                <w:szCs w:val="16"/>
                <w:color w:val="auto"/>
                <w:w w:val="99"/>
              </w:rPr>
              <w:t>Majority of Votes Cast</w:t>
            </w:r>
          </w:p>
        </w:tc>
        <w:tc>
          <w:tcPr>
            <w:tcW w:w="1740" w:type="dxa"/>
            <w:vAlign w:val="bottom"/>
            <w:vMerge w:val="restart"/>
          </w:tcPr>
          <w:p>
            <w:pPr>
              <w:jc w:val="center"/>
              <w:spacing w:after="0"/>
              <w:rPr>
                <w:sz w:val="20"/>
                <w:szCs w:val="20"/>
                <w:color w:val="auto"/>
              </w:rPr>
            </w:pPr>
            <w:r>
              <w:rPr>
                <w:rFonts w:ascii="Arial" w:cs="Arial" w:eastAsia="Arial" w:hAnsi="Arial"/>
                <w:sz w:val="16"/>
                <w:szCs w:val="16"/>
                <w:color w:val="auto"/>
                <w:w w:val="94"/>
              </w:rPr>
              <w:t>FOR</w:t>
            </w:r>
          </w:p>
        </w:tc>
        <w:tc>
          <w:tcPr>
            <w:tcW w:w="1140" w:type="dxa"/>
            <w:vAlign w:val="bottom"/>
            <w:vMerge w:val="restart"/>
          </w:tcPr>
          <w:p>
            <w:pPr>
              <w:jc w:val="center"/>
              <w:ind w:left="40"/>
              <w:spacing w:after="0"/>
              <w:rPr>
                <w:sz w:val="20"/>
                <w:szCs w:val="20"/>
                <w:color w:val="auto"/>
              </w:rPr>
            </w:pPr>
            <w:r>
              <w:rPr>
                <w:rFonts w:ascii="Arial" w:cs="Arial" w:eastAsia="Arial" w:hAnsi="Arial"/>
                <w:sz w:val="16"/>
                <w:szCs w:val="16"/>
                <w:color w:val="auto"/>
              </w:rPr>
              <w:t>49</w:t>
            </w: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1700" w:type="dxa"/>
            <w:vAlign w:val="bottom"/>
            <w:gridSpan w:val="3"/>
            <w:vMerge w:val="continue"/>
          </w:tcPr>
          <w:p>
            <w:pPr>
              <w:spacing w:after="0"/>
              <w:rPr>
                <w:sz w:val="8"/>
                <w:szCs w:val="8"/>
                <w:color w:val="auto"/>
              </w:rPr>
            </w:pPr>
          </w:p>
        </w:tc>
        <w:tc>
          <w:tcPr>
            <w:tcW w:w="3080" w:type="dxa"/>
            <w:vAlign w:val="bottom"/>
            <w:vMerge w:val="restart"/>
          </w:tcPr>
          <w:p>
            <w:pPr>
              <w:ind w:left="180"/>
              <w:spacing w:after="0" w:line="182" w:lineRule="exact"/>
              <w:rPr>
                <w:sz w:val="20"/>
                <w:szCs w:val="20"/>
                <w:color w:val="auto"/>
              </w:rPr>
            </w:pPr>
            <w:r>
              <w:rPr>
                <w:rFonts w:ascii="Arial" w:cs="Arial" w:eastAsia="Arial" w:hAnsi="Arial"/>
                <w:sz w:val="16"/>
                <w:szCs w:val="16"/>
                <w:color w:val="auto"/>
              </w:rPr>
              <w:t>Employee Stock Purchase Plan</w:t>
            </w:r>
          </w:p>
        </w:tc>
        <w:tc>
          <w:tcPr>
            <w:tcW w:w="192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60" w:type="dxa"/>
            <w:vAlign w:val="bottom"/>
            <w:tcBorders>
              <w:bottom w:val="single" w:sz="8" w:color="00ACD2"/>
            </w:tcBorders>
          </w:tcPr>
          <w:p>
            <w:pPr>
              <w:spacing w:after="0"/>
              <w:rPr>
                <w:sz w:val="7"/>
                <w:szCs w:val="7"/>
                <w:color w:val="auto"/>
              </w:rPr>
            </w:pPr>
          </w:p>
        </w:tc>
        <w:tc>
          <w:tcPr>
            <w:tcW w:w="3080" w:type="dxa"/>
            <w:vAlign w:val="bottom"/>
            <w:tcBorders>
              <w:bottom w:val="single" w:sz="8" w:color="00ACD2"/>
            </w:tcBorders>
            <w:vMerge w:val="continue"/>
          </w:tcPr>
          <w:p>
            <w:pPr>
              <w:spacing w:after="0"/>
              <w:rPr>
                <w:sz w:val="7"/>
                <w:szCs w:val="7"/>
                <w:color w:val="auto"/>
              </w:rPr>
            </w:pPr>
          </w:p>
        </w:tc>
        <w:tc>
          <w:tcPr>
            <w:tcW w:w="1920" w:type="dxa"/>
            <w:vAlign w:val="bottom"/>
            <w:tcBorders>
              <w:bottom w:val="single" w:sz="8" w:color="00ACD2"/>
            </w:tcBorders>
          </w:tcPr>
          <w:p>
            <w:pPr>
              <w:spacing w:after="0"/>
              <w:rPr>
                <w:sz w:val="7"/>
                <w:szCs w:val="7"/>
                <w:color w:val="auto"/>
              </w:rPr>
            </w:pPr>
          </w:p>
        </w:tc>
        <w:tc>
          <w:tcPr>
            <w:tcW w:w="1740" w:type="dxa"/>
            <w:vAlign w:val="bottom"/>
            <w:tcBorders>
              <w:bottom w:val="single" w:sz="8" w:color="00ACD2"/>
            </w:tcBorders>
          </w:tcPr>
          <w:p>
            <w:pPr>
              <w:spacing w:after="0"/>
              <w:rPr>
                <w:sz w:val="7"/>
                <w:szCs w:val="7"/>
                <w:color w:val="auto"/>
              </w:rPr>
            </w:pPr>
          </w:p>
        </w:tc>
        <w:tc>
          <w:tcPr>
            <w:tcW w:w="1140" w:type="dxa"/>
            <w:vAlign w:val="bottom"/>
            <w:tcBorders>
              <w:bottom w:val="single" w:sz="8" w:color="00ACD2"/>
            </w:tcBorders>
          </w:tcPr>
          <w:p>
            <w:pPr>
              <w:spacing w:after="0"/>
              <w:rPr>
                <w:sz w:val="7"/>
                <w:szCs w:val="7"/>
                <w:color w:val="auto"/>
              </w:rPr>
            </w:pPr>
          </w:p>
        </w:tc>
        <w:tc>
          <w:tcPr>
            <w:tcW w:w="1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80" w:type="dxa"/>
            <w:vAlign w:val="bottom"/>
          </w:tcPr>
          <w:p>
            <w:pPr>
              <w:ind w:left="180"/>
              <w:spacing w:after="0" w:line="181" w:lineRule="exact"/>
              <w:rPr>
                <w:sz w:val="20"/>
                <w:szCs w:val="20"/>
                <w:color w:val="auto"/>
              </w:rPr>
            </w:pPr>
            <w:r>
              <w:rPr>
                <w:rFonts w:ascii="Arial" w:cs="Arial" w:eastAsia="Arial" w:hAnsi="Arial"/>
                <w:sz w:val="16"/>
                <w:szCs w:val="16"/>
                <w:color w:val="auto"/>
              </w:rPr>
              <w:t>Charter amendment to provide</w:t>
            </w:r>
          </w:p>
        </w:tc>
        <w:tc>
          <w:tcPr>
            <w:tcW w:w="1920" w:type="dxa"/>
            <w:vAlign w:val="bottom"/>
            <w:vMerge w:val="restart"/>
          </w:tcPr>
          <w:p>
            <w:pPr>
              <w:jc w:val="center"/>
              <w:spacing w:after="0"/>
              <w:rPr>
                <w:sz w:val="20"/>
                <w:szCs w:val="20"/>
                <w:color w:val="auto"/>
              </w:rPr>
            </w:pPr>
            <w:r>
              <w:rPr>
                <w:rFonts w:ascii="Arial" w:cs="Arial" w:eastAsia="Arial" w:hAnsi="Arial"/>
                <w:sz w:val="16"/>
                <w:szCs w:val="16"/>
                <w:color w:val="auto"/>
              </w:rPr>
              <w:t>Majority of</w:t>
            </w:r>
          </w:p>
        </w:tc>
        <w:tc>
          <w:tcPr>
            <w:tcW w:w="1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1700" w:type="dxa"/>
            <w:vAlign w:val="bottom"/>
            <w:gridSpan w:val="3"/>
            <w:vMerge w:val="restart"/>
          </w:tcPr>
          <w:p>
            <w:pPr>
              <w:ind w:left="1540"/>
              <w:spacing w:after="0"/>
              <w:rPr>
                <w:sz w:val="20"/>
                <w:szCs w:val="20"/>
                <w:color w:val="auto"/>
              </w:rPr>
            </w:pPr>
            <w:r>
              <w:rPr>
                <w:rFonts w:ascii="Arial" w:cs="Arial" w:eastAsia="Arial" w:hAnsi="Arial"/>
                <w:sz w:val="16"/>
                <w:szCs w:val="16"/>
                <w:color w:val="auto"/>
              </w:rPr>
              <w:t>4.</w:t>
            </w:r>
          </w:p>
        </w:tc>
        <w:tc>
          <w:tcPr>
            <w:tcW w:w="3080" w:type="dxa"/>
            <w:vAlign w:val="bottom"/>
            <w:vMerge w:val="restart"/>
          </w:tcPr>
          <w:p>
            <w:pPr>
              <w:ind w:left="180"/>
              <w:spacing w:after="0"/>
              <w:rPr>
                <w:sz w:val="20"/>
                <w:szCs w:val="20"/>
                <w:color w:val="auto"/>
              </w:rPr>
            </w:pPr>
            <w:r>
              <w:rPr>
                <w:rFonts w:ascii="Arial" w:cs="Arial" w:eastAsia="Arial" w:hAnsi="Arial"/>
                <w:sz w:val="16"/>
                <w:szCs w:val="16"/>
                <w:color w:val="auto"/>
              </w:rPr>
              <w:t>stockholders with the power to amend</w:t>
            </w:r>
          </w:p>
        </w:tc>
        <w:tc>
          <w:tcPr>
            <w:tcW w:w="1920" w:type="dxa"/>
            <w:vAlign w:val="bottom"/>
            <w:vMerge w:val="continue"/>
          </w:tcPr>
          <w:p>
            <w:pPr>
              <w:spacing w:after="0"/>
              <w:rPr>
                <w:sz w:val="7"/>
                <w:szCs w:val="7"/>
                <w:color w:val="auto"/>
              </w:rPr>
            </w:pPr>
          </w:p>
        </w:tc>
        <w:tc>
          <w:tcPr>
            <w:tcW w:w="1740" w:type="dxa"/>
            <w:vAlign w:val="bottom"/>
            <w:vMerge w:val="restart"/>
          </w:tcPr>
          <w:p>
            <w:pPr>
              <w:jc w:val="center"/>
              <w:spacing w:after="0"/>
              <w:rPr>
                <w:sz w:val="20"/>
                <w:szCs w:val="20"/>
                <w:color w:val="auto"/>
              </w:rPr>
            </w:pPr>
            <w:r>
              <w:rPr>
                <w:rFonts w:ascii="Arial" w:cs="Arial" w:eastAsia="Arial" w:hAnsi="Arial"/>
                <w:sz w:val="16"/>
                <w:szCs w:val="16"/>
                <w:color w:val="auto"/>
                <w:w w:val="94"/>
              </w:rPr>
              <w:t>FOR</w:t>
            </w:r>
          </w:p>
        </w:tc>
        <w:tc>
          <w:tcPr>
            <w:tcW w:w="1140" w:type="dxa"/>
            <w:vAlign w:val="bottom"/>
            <w:vMerge w:val="restart"/>
          </w:tcPr>
          <w:p>
            <w:pPr>
              <w:jc w:val="center"/>
              <w:ind w:left="40"/>
              <w:spacing w:after="0"/>
              <w:rPr>
                <w:sz w:val="20"/>
                <w:szCs w:val="20"/>
                <w:color w:val="auto"/>
              </w:rPr>
            </w:pPr>
            <w:r>
              <w:rPr>
                <w:rFonts w:ascii="Arial" w:cs="Arial" w:eastAsia="Arial" w:hAnsi="Arial"/>
                <w:sz w:val="16"/>
                <w:szCs w:val="16"/>
                <w:color w:val="auto"/>
              </w:rPr>
              <w:t>53</w:t>
            </w:r>
          </w:p>
        </w:tc>
        <w:tc>
          <w:tcPr>
            <w:tcW w:w="1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700" w:type="dxa"/>
            <w:vAlign w:val="bottom"/>
            <w:gridSpan w:val="3"/>
            <w:vMerge w:val="continue"/>
          </w:tcPr>
          <w:p>
            <w:pPr>
              <w:spacing w:after="0"/>
              <w:rPr>
                <w:sz w:val="8"/>
                <w:szCs w:val="8"/>
                <w:color w:val="auto"/>
              </w:rPr>
            </w:pPr>
          </w:p>
        </w:tc>
        <w:tc>
          <w:tcPr>
            <w:tcW w:w="3080" w:type="dxa"/>
            <w:vAlign w:val="bottom"/>
            <w:vMerge w:val="continue"/>
          </w:tcPr>
          <w:p>
            <w:pPr>
              <w:spacing w:after="0"/>
              <w:rPr>
                <w:sz w:val="8"/>
                <w:szCs w:val="8"/>
                <w:color w:val="auto"/>
              </w:rPr>
            </w:pPr>
          </w:p>
        </w:tc>
        <w:tc>
          <w:tcPr>
            <w:tcW w:w="1920" w:type="dxa"/>
            <w:vAlign w:val="bottom"/>
            <w:vMerge w:val="restart"/>
          </w:tcPr>
          <w:p>
            <w:pPr>
              <w:jc w:val="center"/>
              <w:spacing w:after="0"/>
              <w:rPr>
                <w:sz w:val="20"/>
                <w:szCs w:val="20"/>
                <w:color w:val="auto"/>
              </w:rPr>
            </w:pPr>
            <w:r>
              <w:rPr>
                <w:rFonts w:ascii="Arial" w:cs="Arial" w:eastAsia="Arial" w:hAnsi="Arial"/>
                <w:sz w:val="16"/>
                <w:szCs w:val="16"/>
                <w:color w:val="auto"/>
              </w:rPr>
              <w:t>Outstanding Shares</w:t>
            </w:r>
          </w:p>
        </w:tc>
        <w:tc>
          <w:tcPr>
            <w:tcW w:w="174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80" w:type="dxa"/>
            <w:vAlign w:val="bottom"/>
            <w:vMerge w:val="restart"/>
          </w:tcPr>
          <w:p>
            <w:pPr>
              <w:ind w:left="180"/>
              <w:spacing w:after="0" w:line="182" w:lineRule="exact"/>
              <w:rPr>
                <w:sz w:val="20"/>
                <w:szCs w:val="20"/>
                <w:color w:val="auto"/>
              </w:rPr>
            </w:pPr>
            <w:r>
              <w:rPr>
                <w:rFonts w:ascii="Arial" w:cs="Arial" w:eastAsia="Arial" w:hAnsi="Arial"/>
                <w:sz w:val="16"/>
                <w:szCs w:val="16"/>
                <w:color w:val="auto"/>
              </w:rPr>
              <w:t>the bylaws</w:t>
            </w:r>
          </w:p>
        </w:tc>
        <w:tc>
          <w:tcPr>
            <w:tcW w:w="1920" w:type="dxa"/>
            <w:vAlign w:val="bottom"/>
            <w:vMerge w:val="continue"/>
          </w:tcPr>
          <w:p>
            <w:pPr>
              <w:spacing w:after="0"/>
              <w:rPr>
                <w:sz w:val="8"/>
                <w:szCs w:val="8"/>
                <w:color w:val="auto"/>
              </w:rPr>
            </w:pPr>
          </w:p>
        </w:tc>
        <w:tc>
          <w:tcPr>
            <w:tcW w:w="1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60" w:type="dxa"/>
            <w:vAlign w:val="bottom"/>
            <w:tcBorders>
              <w:bottom w:val="single" w:sz="8" w:color="00ACD2"/>
            </w:tcBorders>
          </w:tcPr>
          <w:p>
            <w:pPr>
              <w:spacing w:after="0"/>
              <w:rPr>
                <w:sz w:val="7"/>
                <w:szCs w:val="7"/>
                <w:color w:val="auto"/>
              </w:rPr>
            </w:pPr>
          </w:p>
        </w:tc>
        <w:tc>
          <w:tcPr>
            <w:tcW w:w="3080" w:type="dxa"/>
            <w:vAlign w:val="bottom"/>
            <w:tcBorders>
              <w:bottom w:val="single" w:sz="8" w:color="00ACD2"/>
            </w:tcBorders>
            <w:vMerge w:val="continue"/>
          </w:tcPr>
          <w:p>
            <w:pPr>
              <w:spacing w:after="0"/>
              <w:rPr>
                <w:sz w:val="7"/>
                <w:szCs w:val="7"/>
                <w:color w:val="auto"/>
              </w:rPr>
            </w:pPr>
          </w:p>
        </w:tc>
        <w:tc>
          <w:tcPr>
            <w:tcW w:w="1920" w:type="dxa"/>
            <w:vAlign w:val="bottom"/>
            <w:tcBorders>
              <w:bottom w:val="single" w:sz="8" w:color="00ACD2"/>
            </w:tcBorders>
          </w:tcPr>
          <w:p>
            <w:pPr>
              <w:spacing w:after="0"/>
              <w:rPr>
                <w:sz w:val="7"/>
                <w:szCs w:val="7"/>
                <w:color w:val="auto"/>
              </w:rPr>
            </w:pPr>
          </w:p>
        </w:tc>
        <w:tc>
          <w:tcPr>
            <w:tcW w:w="1740" w:type="dxa"/>
            <w:vAlign w:val="bottom"/>
            <w:tcBorders>
              <w:bottom w:val="single" w:sz="8" w:color="00ACD2"/>
            </w:tcBorders>
          </w:tcPr>
          <w:p>
            <w:pPr>
              <w:spacing w:after="0"/>
              <w:rPr>
                <w:sz w:val="7"/>
                <w:szCs w:val="7"/>
                <w:color w:val="auto"/>
              </w:rPr>
            </w:pPr>
          </w:p>
        </w:tc>
        <w:tc>
          <w:tcPr>
            <w:tcW w:w="1140" w:type="dxa"/>
            <w:vAlign w:val="bottom"/>
            <w:tcBorders>
              <w:bottom w:val="single" w:sz="8" w:color="00ACD2"/>
            </w:tcBorders>
          </w:tcPr>
          <w:p>
            <w:pPr>
              <w:spacing w:after="0"/>
              <w:rPr>
                <w:sz w:val="7"/>
                <w:szCs w:val="7"/>
                <w:color w:val="auto"/>
              </w:rPr>
            </w:pPr>
          </w:p>
        </w:tc>
        <w:tc>
          <w:tcPr>
            <w:tcW w:w="1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700" w:type="dxa"/>
            <w:vAlign w:val="bottom"/>
            <w:gridSpan w:val="3"/>
          </w:tcPr>
          <w:p>
            <w:pPr>
              <w:ind w:left="1540"/>
              <w:spacing w:after="0" w:line="178" w:lineRule="exact"/>
              <w:rPr>
                <w:sz w:val="20"/>
                <w:szCs w:val="20"/>
                <w:color w:val="auto"/>
              </w:rPr>
            </w:pPr>
            <w:r>
              <w:rPr>
                <w:rFonts w:ascii="Arial" w:cs="Arial" w:eastAsia="Arial" w:hAnsi="Arial"/>
                <w:sz w:val="16"/>
                <w:szCs w:val="16"/>
                <w:color w:val="auto"/>
              </w:rPr>
              <w:t>5.</w:t>
            </w:r>
          </w:p>
        </w:tc>
        <w:tc>
          <w:tcPr>
            <w:tcW w:w="3080" w:type="dxa"/>
            <w:vAlign w:val="bottom"/>
          </w:tcPr>
          <w:p>
            <w:pPr>
              <w:ind w:left="180"/>
              <w:spacing w:after="0" w:line="178" w:lineRule="exact"/>
              <w:rPr>
                <w:sz w:val="20"/>
                <w:szCs w:val="20"/>
                <w:color w:val="auto"/>
              </w:rPr>
            </w:pPr>
            <w:r>
              <w:rPr>
                <w:rFonts w:ascii="Arial" w:cs="Arial" w:eastAsia="Arial" w:hAnsi="Arial"/>
                <w:sz w:val="16"/>
                <w:szCs w:val="16"/>
                <w:color w:val="auto"/>
              </w:rPr>
              <w:t>Ratification of auditors</w:t>
            </w:r>
          </w:p>
        </w:tc>
        <w:tc>
          <w:tcPr>
            <w:tcW w:w="1920" w:type="dxa"/>
            <w:vAlign w:val="bottom"/>
          </w:tcPr>
          <w:p>
            <w:pPr>
              <w:jc w:val="center"/>
              <w:spacing w:after="0" w:line="178" w:lineRule="exact"/>
              <w:rPr>
                <w:sz w:val="20"/>
                <w:szCs w:val="20"/>
                <w:color w:val="auto"/>
              </w:rPr>
            </w:pPr>
            <w:r>
              <w:rPr>
                <w:rFonts w:ascii="Arial" w:cs="Arial" w:eastAsia="Arial" w:hAnsi="Arial"/>
                <w:sz w:val="16"/>
                <w:szCs w:val="16"/>
                <w:color w:val="auto"/>
                <w:w w:val="99"/>
              </w:rPr>
              <w:t>Majority of Votes Cast</w:t>
            </w:r>
          </w:p>
        </w:tc>
        <w:tc>
          <w:tcPr>
            <w:tcW w:w="1740" w:type="dxa"/>
            <w:vAlign w:val="bottom"/>
          </w:tcPr>
          <w:p>
            <w:pPr>
              <w:jc w:val="center"/>
              <w:spacing w:after="0" w:line="178" w:lineRule="exact"/>
              <w:rPr>
                <w:sz w:val="20"/>
                <w:szCs w:val="20"/>
                <w:color w:val="auto"/>
              </w:rPr>
            </w:pPr>
            <w:r>
              <w:rPr>
                <w:rFonts w:ascii="Arial" w:cs="Arial" w:eastAsia="Arial" w:hAnsi="Arial"/>
                <w:sz w:val="16"/>
                <w:szCs w:val="16"/>
                <w:color w:val="auto"/>
                <w:w w:val="94"/>
              </w:rPr>
              <w:t>FOR</w:t>
            </w:r>
          </w:p>
        </w:tc>
        <w:tc>
          <w:tcPr>
            <w:tcW w:w="1140" w:type="dxa"/>
            <w:vAlign w:val="bottom"/>
          </w:tcPr>
          <w:p>
            <w:pPr>
              <w:jc w:val="center"/>
              <w:ind w:left="40"/>
              <w:spacing w:after="0" w:line="178" w:lineRule="exact"/>
              <w:rPr>
                <w:sz w:val="20"/>
                <w:szCs w:val="20"/>
                <w:color w:val="auto"/>
              </w:rPr>
            </w:pPr>
            <w:r>
              <w:rPr>
                <w:rFonts w:ascii="Arial" w:cs="Arial" w:eastAsia="Arial" w:hAnsi="Arial"/>
                <w:sz w:val="16"/>
                <w:szCs w:val="16"/>
                <w:color w:val="auto"/>
              </w:rPr>
              <w:t>55</w:t>
            </w: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2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160" w:type="dxa"/>
            <w:vAlign w:val="bottom"/>
            <w:tcBorders>
              <w:top w:val="single" w:sz="8" w:color="00ACD2"/>
              <w:bottom w:val="single" w:sz="8" w:color="808080"/>
            </w:tcBorders>
          </w:tcPr>
          <w:p>
            <w:pPr>
              <w:spacing w:after="0"/>
              <w:rPr>
                <w:sz w:val="24"/>
                <w:szCs w:val="24"/>
                <w:color w:val="auto"/>
              </w:rPr>
            </w:pPr>
          </w:p>
        </w:tc>
        <w:tc>
          <w:tcPr>
            <w:tcW w:w="3080" w:type="dxa"/>
            <w:vAlign w:val="bottom"/>
            <w:tcBorders>
              <w:top w:val="single" w:sz="8" w:color="00ACD2"/>
              <w:bottom w:val="single" w:sz="8" w:color="808080"/>
            </w:tcBorders>
          </w:tcPr>
          <w:p>
            <w:pPr>
              <w:spacing w:after="0"/>
              <w:rPr>
                <w:sz w:val="24"/>
                <w:szCs w:val="24"/>
                <w:color w:val="auto"/>
              </w:rPr>
            </w:pPr>
          </w:p>
        </w:tc>
        <w:tc>
          <w:tcPr>
            <w:tcW w:w="1920" w:type="dxa"/>
            <w:vAlign w:val="bottom"/>
            <w:tcBorders>
              <w:top w:val="single" w:sz="8" w:color="00ACD2"/>
              <w:bottom w:val="single" w:sz="8" w:color="808080"/>
            </w:tcBorders>
          </w:tcPr>
          <w:p>
            <w:pPr>
              <w:spacing w:after="0"/>
              <w:rPr>
                <w:sz w:val="24"/>
                <w:szCs w:val="24"/>
                <w:color w:val="auto"/>
              </w:rPr>
            </w:pPr>
          </w:p>
        </w:tc>
        <w:tc>
          <w:tcPr>
            <w:tcW w:w="1740" w:type="dxa"/>
            <w:vAlign w:val="bottom"/>
            <w:tcBorders>
              <w:top w:val="single" w:sz="8" w:color="00ACD2"/>
              <w:bottom w:val="single" w:sz="8" w:color="808080"/>
            </w:tcBorders>
          </w:tcPr>
          <w:p>
            <w:pPr>
              <w:spacing w:after="0"/>
              <w:rPr>
                <w:sz w:val="24"/>
                <w:szCs w:val="24"/>
                <w:color w:val="auto"/>
              </w:rPr>
            </w:pPr>
          </w:p>
        </w:tc>
        <w:tc>
          <w:tcPr>
            <w:tcW w:w="1140" w:type="dxa"/>
            <w:vAlign w:val="bottom"/>
            <w:tcBorders>
              <w:top w:val="single" w:sz="8" w:color="00ACD2"/>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 w:name="page5"/>
    <w:bookmarkEnd w:id="4"/>
    <w:p>
      <w:pPr>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7255510" cy="66681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5510" cy="666813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00ACD2"/>
        </w:rPr>
        <w:t>Corporate Governance Highlights (see page 7)</w:t>
      </w:r>
    </w:p>
    <w:p>
      <w:pPr>
        <w:spacing w:after="0" w:line="259" w:lineRule="exact"/>
        <w:rPr>
          <w:sz w:val="20"/>
          <w:szCs w:val="20"/>
          <w:color w:val="auto"/>
        </w:rPr>
      </w:pPr>
    </w:p>
    <w:p>
      <w:pPr>
        <w:ind w:left="220" w:right="360" w:firstLine="624"/>
        <w:spacing w:after="0" w:line="253" w:lineRule="auto"/>
        <w:rPr>
          <w:sz w:val="20"/>
          <w:szCs w:val="20"/>
          <w:color w:val="auto"/>
        </w:rPr>
      </w:pPr>
      <w:r>
        <w:rPr>
          <w:rFonts w:ascii="Arial" w:cs="Arial" w:eastAsia="Arial" w:hAnsi="Arial"/>
          <w:sz w:val="16"/>
          <w:szCs w:val="16"/>
          <w:color w:val="auto"/>
        </w:rPr>
        <w:t>Uniti is committed to strong corporate governance practices and policies, which promote both the long-term interests of our stockholders and the accountability of the Board of Directors and management. The following table summarizes certain of our corporate governance practices and policies:</w:t>
      </w:r>
    </w:p>
    <w:p>
      <w:pPr>
        <w:sectPr>
          <w:pgSz w:w="11900" w:h="16838" w:orient="portrait"/>
          <w:cols w:equalWidth="0" w:num="1">
            <w:col w:w="11420"/>
          </w:cols>
          <w:pgMar w:left="240" w:top="142" w:right="239" w:bottom="1440" w:gutter="0" w:footer="0" w:header="0"/>
          <w:type w:val="continuous"/>
        </w:sectPr>
      </w:pPr>
    </w:p>
    <w:p>
      <w:pPr>
        <w:spacing w:after="0" w:line="21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Annual election of directors</w:t>
      </w:r>
    </w:p>
    <w:p>
      <w:pPr>
        <w:spacing w:after="0" w:line="8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Majority voting and resignation policy for director elections</w:t>
      </w:r>
    </w:p>
    <w:p>
      <w:pPr>
        <w:spacing w:after="0" w:line="38" w:lineRule="exact"/>
        <w:rPr>
          <w:sz w:val="20"/>
          <w:szCs w:val="20"/>
          <w:color w:val="auto"/>
        </w:rPr>
      </w:pPr>
    </w:p>
    <w:p>
      <w:pPr>
        <w:ind w:left="1000" w:right="740"/>
        <w:spacing w:after="0" w:line="241" w:lineRule="auto"/>
        <w:rPr>
          <w:sz w:val="20"/>
          <w:szCs w:val="20"/>
          <w:color w:val="auto"/>
        </w:rPr>
      </w:pPr>
      <w:r>
        <w:rPr>
          <w:rFonts w:ascii="Arial" w:cs="Arial" w:eastAsia="Arial" w:hAnsi="Arial"/>
          <w:sz w:val="16"/>
          <w:szCs w:val="16"/>
          <w:color w:val="auto"/>
        </w:rPr>
        <w:t>Independent directors regularly meet without management present</w:t>
      </w:r>
    </w:p>
    <w:p>
      <w:pPr>
        <w:ind w:left="1000" w:right="580"/>
        <w:spacing w:after="0" w:line="253" w:lineRule="auto"/>
        <w:rPr>
          <w:sz w:val="20"/>
          <w:szCs w:val="20"/>
          <w:color w:val="auto"/>
        </w:rPr>
      </w:pPr>
      <w:r>
        <w:rPr>
          <w:rFonts w:ascii="Arial" w:cs="Arial" w:eastAsia="Arial" w:hAnsi="Arial"/>
          <w:sz w:val="16"/>
          <w:szCs w:val="16"/>
          <w:color w:val="auto"/>
        </w:rPr>
        <w:t>Board regularly assesses its performance through board and committee self-evaluations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Active stockholder engagement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Policies prohibiting hedging of Company shares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Board is 83% independent (CEO is only management director)</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No poison pill</w:t>
      </w:r>
    </w:p>
    <w:p>
      <w:pPr>
        <w:spacing w:after="0" w:line="284" w:lineRule="exact"/>
        <w:rPr>
          <w:sz w:val="20"/>
          <w:szCs w:val="20"/>
          <w:color w:val="auto"/>
        </w:rPr>
      </w:pPr>
    </w:p>
    <w:p>
      <w:pPr>
        <w:sectPr>
          <w:pgSz w:w="11900" w:h="16838" w:orient="portrait"/>
          <w:cols w:equalWidth="0" w:num="2">
            <w:col w:w="5880" w:space="720"/>
            <w:col w:w="4820"/>
          </w:cols>
          <w:pgMar w:left="240" w:top="142" w:right="239" w:bottom="1440" w:gutter="0" w:footer="0" w:header="0"/>
          <w:type w:val="continuous"/>
        </w:sectPr>
      </w:pPr>
    </w:p>
    <w:p>
      <w:pPr>
        <w:ind w:left="1000"/>
        <w:spacing w:after="0"/>
        <w:rPr>
          <w:sz w:val="20"/>
          <w:szCs w:val="20"/>
          <w:color w:val="auto"/>
        </w:rPr>
      </w:pPr>
      <w:r>
        <w:rPr>
          <w:rFonts w:ascii="Arial" w:cs="Arial" w:eastAsia="Arial" w:hAnsi="Arial"/>
          <w:sz w:val="16"/>
          <w:szCs w:val="16"/>
          <w:color w:val="auto"/>
        </w:rPr>
        <w:t xml:space="preserve">Independent Chairman                                      </w:t>
      </w:r>
      <w:r>
        <w:rPr>
          <w:sz w:val="1"/>
          <w:szCs w:val="1"/>
          <w:color w:val="auto"/>
        </w:rPr>
        <w:drawing>
          <wp:inline distT="0" distB="0" distL="0" distR="0">
            <wp:extent cx="187960" cy="17208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7960" cy="172085"/>
                    </a:xfrm>
                    <a:prstGeom prst="rect">
                      <a:avLst/>
                    </a:prstGeom>
                    <a:noFill/>
                    <a:ln>
                      <a:noFill/>
                    </a:ln>
                  </pic:spPr>
                </pic:pic>
              </a:graphicData>
            </a:graphic>
          </wp:inline>
        </w:drawing>
      </w:r>
      <w:r>
        <w:rPr>
          <w:rFonts w:ascii="Arial" w:cs="Arial" w:eastAsia="Arial" w:hAnsi="Arial"/>
          <w:sz w:val="16"/>
          <w:szCs w:val="16"/>
          <w:color w:val="auto"/>
        </w:rPr>
        <w:t xml:space="preserve">    Robust stock ownership guidelines</w:t>
      </w:r>
    </w:p>
    <w:p>
      <w:pPr>
        <w:spacing w:after="0" w:line="200" w:lineRule="exact"/>
        <w:rPr>
          <w:sz w:val="20"/>
          <w:szCs w:val="20"/>
          <w:color w:val="auto"/>
        </w:rPr>
      </w:pPr>
    </w:p>
    <w:p>
      <w:pPr>
        <w:jc w:val="both"/>
        <w:ind w:left="220" w:right="240" w:firstLine="624"/>
        <w:spacing w:after="0" w:line="245" w:lineRule="auto"/>
        <w:rPr>
          <w:sz w:val="20"/>
          <w:szCs w:val="20"/>
          <w:color w:val="auto"/>
        </w:rPr>
      </w:pPr>
      <w:r>
        <w:rPr>
          <w:rFonts w:ascii="Arial" w:cs="Arial" w:eastAsia="Arial" w:hAnsi="Arial"/>
          <w:sz w:val="16"/>
          <w:szCs w:val="16"/>
          <w:color w:val="auto"/>
        </w:rPr>
        <w:t>We value an open and active dialogue with our stockholders and we believe that regular communication with our stockholders is vital to our long-term success. We strive to foster strong stockholder relationships that lead to a mutual understanding of issues and approaches. During 2017, members of our management team met and communicated with many of our stockholders to ensure that we fully understand our stockholders' concerns with respect to governance and compensation-related matters.</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00ACD2"/>
        </w:rPr>
        <w:t>Director Nominees (see page 13)</w:t>
      </w:r>
    </w:p>
    <w:p>
      <w:pPr>
        <w:spacing w:after="0" w:line="259" w:lineRule="exact"/>
        <w:rPr>
          <w:sz w:val="20"/>
          <w:szCs w:val="20"/>
          <w:color w:val="auto"/>
        </w:rPr>
      </w:pPr>
    </w:p>
    <w:p>
      <w:pPr>
        <w:ind w:left="220" w:right="460" w:firstLine="621"/>
        <w:spacing w:after="0" w:line="253" w:lineRule="auto"/>
        <w:rPr>
          <w:sz w:val="20"/>
          <w:szCs w:val="20"/>
          <w:color w:val="auto"/>
        </w:rPr>
      </w:pPr>
      <w:r>
        <w:rPr>
          <w:rFonts w:ascii="Arial" w:cs="Arial" w:eastAsia="Arial" w:hAnsi="Arial"/>
          <w:sz w:val="16"/>
          <w:szCs w:val="16"/>
          <w:color w:val="auto"/>
        </w:rPr>
        <w:t>The following table contains information about the six candidates who have been nominated for election to the Board of Directors of Uniti. Each nominee is currently a director of Uniti.</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00ACD2"/>
              </w:rPr>
              <w:t>Director</w:t>
            </w:r>
          </w:p>
        </w:tc>
        <w:tc>
          <w:tcPr>
            <w:tcW w:w="2120" w:type="dxa"/>
            <w:vAlign w:val="bottom"/>
            <w:vMerge w:val="restart"/>
          </w:tcPr>
          <w:p>
            <w:pPr>
              <w:jc w:val="center"/>
              <w:spacing w:after="0"/>
              <w:rPr>
                <w:sz w:val="20"/>
                <w:szCs w:val="20"/>
                <w:color w:val="auto"/>
              </w:rPr>
            </w:pPr>
            <w:r>
              <w:rPr>
                <w:rFonts w:ascii="Arial" w:cs="Arial" w:eastAsia="Arial" w:hAnsi="Arial"/>
                <w:sz w:val="13"/>
                <w:szCs w:val="13"/>
                <w:b w:val="1"/>
                <w:bCs w:val="1"/>
                <w:color w:val="00ACD2"/>
              </w:rPr>
              <w:t>Principal</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00ACD2"/>
              </w:rPr>
              <w:t>Financial</w:t>
            </w:r>
          </w:p>
        </w:tc>
        <w:tc>
          <w:tcPr>
            <w:tcW w:w="520" w:type="dxa"/>
            <w:vAlign w:val="bottom"/>
          </w:tcPr>
          <w:p>
            <w:pPr>
              <w:spacing w:after="0"/>
              <w:rPr>
                <w:sz w:val="15"/>
                <w:szCs w:val="15"/>
                <w:color w:val="auto"/>
              </w:rPr>
            </w:pPr>
          </w:p>
        </w:tc>
        <w:tc>
          <w:tcPr>
            <w:tcW w:w="3960" w:type="dxa"/>
            <w:vAlign w:val="bottom"/>
            <w:gridSpan w:val="3"/>
          </w:tcPr>
          <w:p>
            <w:pPr>
              <w:ind w:left="60"/>
              <w:spacing w:after="0"/>
              <w:rPr>
                <w:sz w:val="20"/>
                <w:szCs w:val="20"/>
                <w:color w:val="auto"/>
              </w:rPr>
            </w:pPr>
            <w:r>
              <w:rPr>
                <w:rFonts w:ascii="Arial" w:cs="Arial" w:eastAsia="Arial" w:hAnsi="Arial"/>
                <w:sz w:val="13"/>
                <w:szCs w:val="13"/>
                <w:b w:val="1"/>
                <w:bCs w:val="1"/>
                <w:color w:val="00ACD2"/>
              </w:rPr>
              <w:t>Committee Memberships</w:t>
            </w:r>
          </w:p>
        </w:tc>
        <w:tc>
          <w:tcPr>
            <w:tcW w:w="0" w:type="dxa"/>
            <w:vAlign w:val="bottom"/>
          </w:tcPr>
          <w:p>
            <w:pPr>
              <w:spacing w:after="0"/>
              <w:rPr>
                <w:sz w:val="1"/>
                <w:szCs w:val="1"/>
                <w:color w:val="auto"/>
              </w:rPr>
            </w:pPr>
          </w:p>
        </w:tc>
      </w:tr>
      <w:tr>
        <w:trPr>
          <w:trHeight w:val="123"/>
        </w:trPr>
        <w:tc>
          <w:tcPr>
            <w:tcW w:w="1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21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180" w:type="dxa"/>
            <w:vAlign w:val="bottom"/>
          </w:tcPr>
          <w:p>
            <w:pPr>
              <w:ind w:left="420"/>
              <w:spacing w:after="0"/>
              <w:rPr>
                <w:sz w:val="20"/>
                <w:szCs w:val="20"/>
                <w:color w:val="auto"/>
              </w:rPr>
            </w:pPr>
            <w:r>
              <w:rPr>
                <w:rFonts w:ascii="Arial" w:cs="Arial" w:eastAsia="Arial" w:hAnsi="Arial"/>
                <w:sz w:val="13"/>
                <w:szCs w:val="13"/>
                <w:b w:val="1"/>
                <w:bCs w:val="1"/>
                <w:color w:val="00ACD2"/>
              </w:rPr>
              <w:t>Name</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00ACD2"/>
                <w:w w:val="97"/>
              </w:rPr>
              <w:t>Age</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00ACD2"/>
                <w:w w:val="97"/>
              </w:rPr>
              <w:t>Since</w:t>
            </w:r>
          </w:p>
        </w:tc>
        <w:tc>
          <w:tcPr>
            <w:tcW w:w="2120" w:type="dxa"/>
            <w:vAlign w:val="bottom"/>
          </w:tcPr>
          <w:p>
            <w:pPr>
              <w:jc w:val="center"/>
              <w:spacing w:after="0"/>
              <w:rPr>
                <w:sz w:val="20"/>
                <w:szCs w:val="20"/>
                <w:color w:val="auto"/>
              </w:rPr>
            </w:pPr>
            <w:r>
              <w:rPr>
                <w:rFonts w:ascii="Arial" w:cs="Arial" w:eastAsia="Arial" w:hAnsi="Arial"/>
                <w:sz w:val="13"/>
                <w:szCs w:val="13"/>
                <w:b w:val="1"/>
                <w:bCs w:val="1"/>
                <w:color w:val="00ACD2"/>
              </w:rPr>
              <w:t>Occupation</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00ACD2"/>
                <w:w w:val="98"/>
              </w:rPr>
              <w:t>Expert</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00ACD2"/>
              </w:rPr>
              <w:t>Audit</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00ACD2"/>
              </w:rPr>
              <w:t>Compensation</w:t>
            </w:r>
          </w:p>
        </w:tc>
        <w:tc>
          <w:tcPr>
            <w:tcW w:w="2760" w:type="dxa"/>
            <w:vAlign w:val="bottom"/>
            <w:gridSpan w:val="2"/>
          </w:tcPr>
          <w:p>
            <w:pPr>
              <w:jc w:val="center"/>
              <w:ind w:right="1760"/>
              <w:spacing w:after="0"/>
              <w:rPr>
                <w:sz w:val="20"/>
                <w:szCs w:val="20"/>
                <w:color w:val="auto"/>
              </w:rPr>
            </w:pPr>
            <w:r>
              <w:rPr>
                <w:rFonts w:ascii="Arial" w:cs="Arial" w:eastAsia="Arial" w:hAnsi="Arial"/>
                <w:sz w:val="13"/>
                <w:szCs w:val="13"/>
                <w:b w:val="1"/>
                <w:bCs w:val="1"/>
                <w:color w:val="00ACD2"/>
              </w:rPr>
              <w:t>Governance</w:t>
            </w:r>
          </w:p>
        </w:tc>
        <w:tc>
          <w:tcPr>
            <w:tcW w:w="0" w:type="dxa"/>
            <w:vAlign w:val="bottom"/>
          </w:tcPr>
          <w:p>
            <w:pPr>
              <w:spacing w:after="0"/>
              <w:rPr>
                <w:sz w:val="1"/>
                <w:szCs w:val="1"/>
                <w:color w:val="auto"/>
              </w:rPr>
            </w:pPr>
          </w:p>
        </w:tc>
      </w:tr>
      <w:tr>
        <w:trPr>
          <w:trHeight w:val="367"/>
        </w:trPr>
        <w:tc>
          <w:tcPr>
            <w:tcW w:w="1540" w:type="dxa"/>
            <w:vAlign w:val="bottom"/>
          </w:tcPr>
          <w:p>
            <w:pPr>
              <w:spacing w:after="0"/>
              <w:rPr>
                <w:sz w:val="24"/>
                <w:szCs w:val="24"/>
                <w:color w:val="auto"/>
              </w:rPr>
            </w:pPr>
          </w:p>
        </w:tc>
        <w:tc>
          <w:tcPr>
            <w:tcW w:w="1180" w:type="dxa"/>
            <w:vAlign w:val="bottom"/>
            <w:tcBorders>
              <w:top w:val="single" w:sz="8" w:color="00ACD2"/>
            </w:tcBorders>
          </w:tcPr>
          <w:p>
            <w:pPr>
              <w:spacing w:after="0"/>
              <w:rPr>
                <w:sz w:val="20"/>
                <w:szCs w:val="20"/>
                <w:color w:val="auto"/>
              </w:rPr>
            </w:pPr>
            <w:r>
              <w:rPr>
                <w:rFonts w:ascii="Arial" w:cs="Arial" w:eastAsia="Arial" w:hAnsi="Arial"/>
                <w:sz w:val="13"/>
                <w:szCs w:val="13"/>
                <w:color w:val="auto"/>
              </w:rPr>
              <w:t>Jennifer S.</w:t>
            </w:r>
          </w:p>
        </w:tc>
        <w:tc>
          <w:tcPr>
            <w:tcW w:w="580" w:type="dxa"/>
            <w:vAlign w:val="bottom"/>
            <w:tcBorders>
              <w:top w:val="single" w:sz="8" w:color="00ACD2"/>
            </w:tcBorders>
          </w:tcPr>
          <w:p>
            <w:pPr>
              <w:jc w:val="center"/>
              <w:spacing w:after="0"/>
              <w:rPr>
                <w:sz w:val="20"/>
                <w:szCs w:val="20"/>
                <w:color w:val="auto"/>
              </w:rPr>
            </w:pPr>
            <w:r>
              <w:rPr>
                <w:rFonts w:ascii="Arial" w:cs="Arial" w:eastAsia="Arial" w:hAnsi="Arial"/>
                <w:sz w:val="13"/>
                <w:szCs w:val="13"/>
                <w:color w:val="auto"/>
              </w:rPr>
              <w:t>58</w:t>
            </w:r>
          </w:p>
        </w:tc>
        <w:tc>
          <w:tcPr>
            <w:tcW w:w="720" w:type="dxa"/>
            <w:vAlign w:val="bottom"/>
            <w:tcBorders>
              <w:top w:val="single" w:sz="8" w:color="00ACD2"/>
            </w:tcBorders>
          </w:tcPr>
          <w:p>
            <w:pPr>
              <w:jc w:val="center"/>
              <w:spacing w:after="0"/>
              <w:rPr>
                <w:sz w:val="20"/>
                <w:szCs w:val="20"/>
                <w:color w:val="auto"/>
              </w:rPr>
            </w:pPr>
            <w:r>
              <w:rPr>
                <w:rFonts w:ascii="Arial" w:cs="Arial" w:eastAsia="Arial" w:hAnsi="Arial"/>
                <w:sz w:val="13"/>
                <w:szCs w:val="13"/>
                <w:color w:val="auto"/>
              </w:rPr>
              <w:t>2015</w:t>
            </w:r>
          </w:p>
        </w:tc>
        <w:tc>
          <w:tcPr>
            <w:tcW w:w="2120" w:type="dxa"/>
            <w:vAlign w:val="bottom"/>
            <w:tcBorders>
              <w:top w:val="single" w:sz="8" w:color="00ACD2"/>
            </w:tcBorders>
          </w:tcPr>
          <w:p>
            <w:pPr>
              <w:jc w:val="center"/>
              <w:spacing w:after="0"/>
              <w:rPr>
                <w:sz w:val="20"/>
                <w:szCs w:val="20"/>
                <w:color w:val="auto"/>
              </w:rPr>
            </w:pPr>
            <w:r>
              <w:rPr>
                <w:rFonts w:ascii="Arial" w:cs="Arial" w:eastAsia="Arial" w:hAnsi="Arial"/>
                <w:sz w:val="13"/>
                <w:szCs w:val="13"/>
                <w:color w:val="auto"/>
              </w:rPr>
              <w:t>CEO of Schaad</w:t>
            </w:r>
          </w:p>
        </w:tc>
        <w:tc>
          <w:tcPr>
            <w:tcW w:w="800" w:type="dxa"/>
            <w:vAlign w:val="bottom"/>
            <w:tcBorders>
              <w:top w:val="single" w:sz="8" w:color="00ACD2"/>
            </w:tcBorders>
          </w:tcPr>
          <w:p>
            <w:pPr>
              <w:spacing w:after="0"/>
              <w:rPr>
                <w:sz w:val="24"/>
                <w:szCs w:val="24"/>
                <w:color w:val="auto"/>
              </w:rPr>
            </w:pPr>
          </w:p>
        </w:tc>
        <w:tc>
          <w:tcPr>
            <w:tcW w:w="520" w:type="dxa"/>
            <w:vAlign w:val="bottom"/>
            <w:tcBorders>
              <w:top w:val="single" w:sz="8" w:color="00ACD2"/>
            </w:tcBorders>
          </w:tcPr>
          <w:p>
            <w:pPr>
              <w:spacing w:after="0"/>
              <w:rPr>
                <w:sz w:val="24"/>
                <w:szCs w:val="24"/>
                <w:color w:val="auto"/>
              </w:rPr>
            </w:pPr>
          </w:p>
        </w:tc>
        <w:tc>
          <w:tcPr>
            <w:tcW w:w="1200" w:type="dxa"/>
            <w:vAlign w:val="bottom"/>
            <w:tcBorders>
              <w:top w:val="single" w:sz="8" w:color="00ACD2"/>
            </w:tcBorders>
          </w:tcPr>
          <w:p>
            <w:pPr>
              <w:spacing w:after="0"/>
              <w:rPr>
                <w:sz w:val="24"/>
                <w:szCs w:val="24"/>
                <w:color w:val="auto"/>
              </w:rPr>
            </w:pPr>
          </w:p>
        </w:tc>
        <w:tc>
          <w:tcPr>
            <w:tcW w:w="920" w:type="dxa"/>
            <w:vAlign w:val="bottom"/>
            <w:tcBorders>
              <w:top w:val="single" w:sz="8" w:color="00ACD2"/>
            </w:tcBorders>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5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Banner</w:t>
            </w: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Arial" w:cs="Arial" w:eastAsia="Arial" w:hAnsi="Arial"/>
                <w:sz w:val="13"/>
                <w:szCs w:val="13"/>
                <w:color w:val="auto"/>
              </w:rPr>
              <w:t>Companies, LLC</w:t>
            </w: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1540" w:type="dxa"/>
            <w:vAlign w:val="bottom"/>
          </w:tcPr>
          <w:p>
            <w:pPr>
              <w:spacing w:after="0"/>
              <w:rPr>
                <w:sz w:val="6"/>
                <w:szCs w:val="6"/>
                <w:color w:val="auto"/>
              </w:rPr>
            </w:pPr>
          </w:p>
        </w:tc>
        <w:tc>
          <w:tcPr>
            <w:tcW w:w="1180" w:type="dxa"/>
            <w:vAlign w:val="bottom"/>
            <w:tcBorders>
              <w:bottom w:val="single" w:sz="8" w:color="00ACD2"/>
            </w:tcBorders>
          </w:tcPr>
          <w:p>
            <w:pPr>
              <w:spacing w:after="0"/>
              <w:rPr>
                <w:sz w:val="6"/>
                <w:szCs w:val="6"/>
                <w:color w:val="auto"/>
              </w:rPr>
            </w:pPr>
          </w:p>
        </w:tc>
        <w:tc>
          <w:tcPr>
            <w:tcW w:w="580" w:type="dxa"/>
            <w:vAlign w:val="bottom"/>
            <w:tcBorders>
              <w:bottom w:val="single" w:sz="8" w:color="00ACD2"/>
            </w:tcBorders>
          </w:tcPr>
          <w:p>
            <w:pPr>
              <w:spacing w:after="0"/>
              <w:rPr>
                <w:sz w:val="6"/>
                <w:szCs w:val="6"/>
                <w:color w:val="auto"/>
              </w:rPr>
            </w:pPr>
          </w:p>
        </w:tc>
        <w:tc>
          <w:tcPr>
            <w:tcW w:w="720" w:type="dxa"/>
            <w:vAlign w:val="bottom"/>
            <w:tcBorders>
              <w:bottom w:val="single" w:sz="8" w:color="00ACD2"/>
            </w:tcBorders>
          </w:tcPr>
          <w:p>
            <w:pPr>
              <w:spacing w:after="0"/>
              <w:rPr>
                <w:sz w:val="6"/>
                <w:szCs w:val="6"/>
                <w:color w:val="auto"/>
              </w:rPr>
            </w:pPr>
          </w:p>
        </w:tc>
        <w:tc>
          <w:tcPr>
            <w:tcW w:w="2120" w:type="dxa"/>
            <w:vAlign w:val="bottom"/>
            <w:tcBorders>
              <w:bottom w:val="single" w:sz="8" w:color="00ACD2"/>
            </w:tcBorders>
          </w:tcPr>
          <w:p>
            <w:pPr>
              <w:spacing w:after="0"/>
              <w:rPr>
                <w:sz w:val="6"/>
                <w:szCs w:val="6"/>
                <w:color w:val="auto"/>
              </w:rPr>
            </w:pPr>
          </w:p>
        </w:tc>
        <w:tc>
          <w:tcPr>
            <w:tcW w:w="800" w:type="dxa"/>
            <w:vAlign w:val="bottom"/>
            <w:tcBorders>
              <w:bottom w:val="single" w:sz="8" w:color="00ACD2"/>
            </w:tcBorders>
          </w:tcPr>
          <w:p>
            <w:pPr>
              <w:spacing w:after="0"/>
              <w:rPr>
                <w:sz w:val="6"/>
                <w:szCs w:val="6"/>
                <w:color w:val="auto"/>
              </w:rPr>
            </w:pPr>
          </w:p>
        </w:tc>
        <w:tc>
          <w:tcPr>
            <w:tcW w:w="520" w:type="dxa"/>
            <w:vAlign w:val="bottom"/>
            <w:tcBorders>
              <w:bottom w:val="single" w:sz="8" w:color="00ACD2"/>
            </w:tcBorders>
          </w:tcPr>
          <w:p>
            <w:pPr>
              <w:spacing w:after="0"/>
              <w:rPr>
                <w:sz w:val="6"/>
                <w:szCs w:val="6"/>
                <w:color w:val="auto"/>
              </w:rPr>
            </w:pPr>
          </w:p>
        </w:tc>
        <w:tc>
          <w:tcPr>
            <w:tcW w:w="1200" w:type="dxa"/>
            <w:vAlign w:val="bottom"/>
            <w:tcBorders>
              <w:bottom w:val="single" w:sz="8" w:color="00ACD2"/>
            </w:tcBorders>
          </w:tcPr>
          <w:p>
            <w:pPr>
              <w:spacing w:after="0"/>
              <w:rPr>
                <w:sz w:val="6"/>
                <w:szCs w:val="6"/>
                <w:color w:val="auto"/>
              </w:rPr>
            </w:pPr>
          </w:p>
        </w:tc>
        <w:tc>
          <w:tcPr>
            <w:tcW w:w="920" w:type="dxa"/>
            <w:vAlign w:val="bottom"/>
            <w:tcBorders>
              <w:bottom w:val="single" w:sz="8" w:color="00ACD2"/>
            </w:tcBorders>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7"/>
        </w:trPr>
        <w:tc>
          <w:tcPr>
            <w:tcW w:w="15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Scott G. Bruce</w:t>
            </w:r>
          </w:p>
        </w:tc>
        <w:tc>
          <w:tcPr>
            <w:tcW w:w="580" w:type="dxa"/>
            <w:vAlign w:val="bottom"/>
          </w:tcPr>
          <w:p>
            <w:pPr>
              <w:jc w:val="center"/>
              <w:spacing w:after="0"/>
              <w:rPr>
                <w:sz w:val="20"/>
                <w:szCs w:val="20"/>
                <w:color w:val="auto"/>
              </w:rPr>
            </w:pPr>
            <w:r>
              <w:rPr>
                <w:rFonts w:ascii="Arial" w:cs="Arial" w:eastAsia="Arial" w:hAnsi="Arial"/>
                <w:sz w:val="13"/>
                <w:szCs w:val="13"/>
                <w:color w:val="auto"/>
              </w:rPr>
              <w:t>56</w:t>
            </w:r>
          </w:p>
        </w:tc>
        <w:tc>
          <w:tcPr>
            <w:tcW w:w="720" w:type="dxa"/>
            <w:vAlign w:val="bottom"/>
          </w:tcPr>
          <w:p>
            <w:pPr>
              <w:jc w:val="center"/>
              <w:spacing w:after="0"/>
              <w:rPr>
                <w:sz w:val="20"/>
                <w:szCs w:val="20"/>
                <w:color w:val="auto"/>
              </w:rPr>
            </w:pPr>
            <w:r>
              <w:rPr>
                <w:rFonts w:ascii="Arial" w:cs="Arial" w:eastAsia="Arial" w:hAnsi="Arial"/>
                <w:sz w:val="13"/>
                <w:szCs w:val="13"/>
                <w:color w:val="auto"/>
              </w:rPr>
              <w:t>2016</w:t>
            </w:r>
          </w:p>
        </w:tc>
        <w:tc>
          <w:tcPr>
            <w:tcW w:w="2120" w:type="dxa"/>
            <w:vAlign w:val="bottom"/>
          </w:tcPr>
          <w:p>
            <w:pPr>
              <w:jc w:val="center"/>
              <w:spacing w:after="0"/>
              <w:rPr>
                <w:sz w:val="20"/>
                <w:szCs w:val="20"/>
                <w:color w:val="auto"/>
              </w:rPr>
            </w:pPr>
            <w:r>
              <w:rPr>
                <w:rFonts w:ascii="Arial" w:cs="Arial" w:eastAsia="Arial" w:hAnsi="Arial"/>
                <w:sz w:val="13"/>
                <w:szCs w:val="13"/>
                <w:color w:val="auto"/>
              </w:rPr>
              <w:t>Managing Director of</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2760" w:type="dxa"/>
            <w:vAlign w:val="bottom"/>
            <w:gridSpan w:val="2"/>
          </w:tcPr>
          <w:p>
            <w:pPr>
              <w:jc w:val="center"/>
              <w:ind w:right="17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1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Arial" w:cs="Arial" w:eastAsia="Arial" w:hAnsi="Arial"/>
                <w:sz w:val="13"/>
                <w:szCs w:val="13"/>
                <w:color w:val="auto"/>
              </w:rPr>
              <w:t>Associated Partners, LP</w:t>
            </w: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1540" w:type="dxa"/>
            <w:vAlign w:val="bottom"/>
          </w:tcPr>
          <w:p>
            <w:pPr>
              <w:spacing w:after="0"/>
              <w:rPr>
                <w:sz w:val="6"/>
                <w:szCs w:val="6"/>
                <w:color w:val="auto"/>
              </w:rPr>
            </w:pPr>
          </w:p>
        </w:tc>
        <w:tc>
          <w:tcPr>
            <w:tcW w:w="1180" w:type="dxa"/>
            <w:vAlign w:val="bottom"/>
            <w:tcBorders>
              <w:bottom w:val="single" w:sz="8" w:color="00ACD2"/>
            </w:tcBorders>
          </w:tcPr>
          <w:p>
            <w:pPr>
              <w:spacing w:after="0"/>
              <w:rPr>
                <w:sz w:val="6"/>
                <w:szCs w:val="6"/>
                <w:color w:val="auto"/>
              </w:rPr>
            </w:pPr>
          </w:p>
        </w:tc>
        <w:tc>
          <w:tcPr>
            <w:tcW w:w="580" w:type="dxa"/>
            <w:vAlign w:val="bottom"/>
            <w:tcBorders>
              <w:bottom w:val="single" w:sz="8" w:color="00ACD2"/>
            </w:tcBorders>
          </w:tcPr>
          <w:p>
            <w:pPr>
              <w:spacing w:after="0"/>
              <w:rPr>
                <w:sz w:val="6"/>
                <w:szCs w:val="6"/>
                <w:color w:val="auto"/>
              </w:rPr>
            </w:pPr>
          </w:p>
        </w:tc>
        <w:tc>
          <w:tcPr>
            <w:tcW w:w="720" w:type="dxa"/>
            <w:vAlign w:val="bottom"/>
            <w:tcBorders>
              <w:bottom w:val="single" w:sz="8" w:color="00ACD2"/>
            </w:tcBorders>
          </w:tcPr>
          <w:p>
            <w:pPr>
              <w:spacing w:after="0"/>
              <w:rPr>
                <w:sz w:val="6"/>
                <w:szCs w:val="6"/>
                <w:color w:val="auto"/>
              </w:rPr>
            </w:pPr>
          </w:p>
        </w:tc>
        <w:tc>
          <w:tcPr>
            <w:tcW w:w="2120" w:type="dxa"/>
            <w:vAlign w:val="bottom"/>
            <w:tcBorders>
              <w:bottom w:val="single" w:sz="8" w:color="00ACD2"/>
            </w:tcBorders>
          </w:tcPr>
          <w:p>
            <w:pPr>
              <w:spacing w:after="0"/>
              <w:rPr>
                <w:sz w:val="6"/>
                <w:szCs w:val="6"/>
                <w:color w:val="auto"/>
              </w:rPr>
            </w:pPr>
          </w:p>
        </w:tc>
        <w:tc>
          <w:tcPr>
            <w:tcW w:w="800" w:type="dxa"/>
            <w:vAlign w:val="bottom"/>
            <w:tcBorders>
              <w:bottom w:val="single" w:sz="8" w:color="00ACD2"/>
            </w:tcBorders>
          </w:tcPr>
          <w:p>
            <w:pPr>
              <w:spacing w:after="0"/>
              <w:rPr>
                <w:sz w:val="6"/>
                <w:szCs w:val="6"/>
                <w:color w:val="auto"/>
              </w:rPr>
            </w:pPr>
          </w:p>
        </w:tc>
        <w:tc>
          <w:tcPr>
            <w:tcW w:w="520" w:type="dxa"/>
            <w:vAlign w:val="bottom"/>
            <w:tcBorders>
              <w:bottom w:val="single" w:sz="8" w:color="00ACD2"/>
            </w:tcBorders>
          </w:tcPr>
          <w:p>
            <w:pPr>
              <w:spacing w:after="0"/>
              <w:rPr>
                <w:sz w:val="6"/>
                <w:szCs w:val="6"/>
                <w:color w:val="auto"/>
              </w:rPr>
            </w:pPr>
          </w:p>
        </w:tc>
        <w:tc>
          <w:tcPr>
            <w:tcW w:w="1200" w:type="dxa"/>
            <w:vAlign w:val="bottom"/>
            <w:tcBorders>
              <w:bottom w:val="single" w:sz="8" w:color="00ACD2"/>
            </w:tcBorders>
          </w:tcPr>
          <w:p>
            <w:pPr>
              <w:spacing w:after="0"/>
              <w:rPr>
                <w:sz w:val="6"/>
                <w:szCs w:val="6"/>
                <w:color w:val="auto"/>
              </w:rPr>
            </w:pPr>
          </w:p>
        </w:tc>
        <w:tc>
          <w:tcPr>
            <w:tcW w:w="920" w:type="dxa"/>
            <w:vAlign w:val="bottom"/>
            <w:tcBorders>
              <w:bottom w:val="single" w:sz="8" w:color="00ACD2"/>
            </w:tcBorders>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7"/>
        </w:trPr>
        <w:tc>
          <w:tcPr>
            <w:tcW w:w="15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Francis X. ("Skip")</w:t>
            </w:r>
          </w:p>
        </w:tc>
        <w:tc>
          <w:tcPr>
            <w:tcW w:w="580" w:type="dxa"/>
            <w:vAlign w:val="bottom"/>
          </w:tcPr>
          <w:p>
            <w:pPr>
              <w:jc w:val="center"/>
              <w:spacing w:after="0"/>
              <w:rPr>
                <w:sz w:val="20"/>
                <w:szCs w:val="20"/>
                <w:color w:val="auto"/>
              </w:rPr>
            </w:pPr>
            <w:r>
              <w:rPr>
                <w:rFonts w:ascii="Arial" w:cs="Arial" w:eastAsia="Arial" w:hAnsi="Arial"/>
                <w:sz w:val="13"/>
                <w:szCs w:val="13"/>
                <w:color w:val="auto"/>
              </w:rPr>
              <w:t>64</w:t>
            </w:r>
          </w:p>
        </w:tc>
        <w:tc>
          <w:tcPr>
            <w:tcW w:w="720" w:type="dxa"/>
            <w:vAlign w:val="bottom"/>
          </w:tcPr>
          <w:p>
            <w:pPr>
              <w:jc w:val="center"/>
              <w:spacing w:after="0"/>
              <w:rPr>
                <w:sz w:val="20"/>
                <w:szCs w:val="20"/>
                <w:color w:val="auto"/>
              </w:rPr>
            </w:pPr>
            <w:r>
              <w:rPr>
                <w:rFonts w:ascii="Arial" w:cs="Arial" w:eastAsia="Arial" w:hAnsi="Arial"/>
                <w:sz w:val="13"/>
                <w:szCs w:val="13"/>
                <w:color w:val="auto"/>
              </w:rPr>
              <w:t>2015</w:t>
            </w:r>
          </w:p>
        </w:tc>
        <w:tc>
          <w:tcPr>
            <w:tcW w:w="2120" w:type="dxa"/>
            <w:vAlign w:val="bottom"/>
          </w:tcPr>
          <w:p>
            <w:pPr>
              <w:jc w:val="center"/>
              <w:spacing w:after="0"/>
              <w:rPr>
                <w:sz w:val="20"/>
                <w:szCs w:val="20"/>
                <w:color w:val="auto"/>
              </w:rPr>
            </w:pPr>
            <w:r>
              <w:rPr>
                <w:rFonts w:ascii="Arial" w:cs="Arial" w:eastAsia="Arial" w:hAnsi="Arial"/>
                <w:sz w:val="13"/>
                <w:szCs w:val="13"/>
                <w:color w:val="auto"/>
              </w:rPr>
              <w:t>Chairman of the Board of Uniti</w:t>
            </w:r>
          </w:p>
        </w:tc>
        <w:tc>
          <w:tcPr>
            <w:tcW w:w="800" w:type="dxa"/>
            <w:vAlign w:val="bottom"/>
          </w:tcPr>
          <w:p>
            <w:pPr>
              <w:jc w:val="center"/>
              <w:spacing w:after="0"/>
              <w:rPr>
                <w:sz w:val="20"/>
                <w:szCs w:val="20"/>
                <w:color w:val="auto"/>
              </w:rPr>
            </w:pPr>
            <w:r>
              <w:rPr>
                <w:rFonts w:ascii="Arial" w:cs="Arial" w:eastAsia="Arial" w:hAnsi="Arial"/>
                <w:sz w:val="13"/>
                <w:szCs w:val="13"/>
                <w:color w:val="auto"/>
              </w:rPr>
              <w:t>—</w:t>
            </w:r>
          </w:p>
        </w:tc>
        <w:tc>
          <w:tcPr>
            <w:tcW w:w="520" w:type="dxa"/>
            <w:vAlign w:val="bottom"/>
          </w:tcPr>
          <w:p>
            <w:pPr>
              <w:jc w:val="center"/>
              <w:spacing w:after="0"/>
              <w:rPr>
                <w:sz w:val="20"/>
                <w:szCs w:val="20"/>
                <w:color w:val="auto"/>
              </w:rPr>
            </w:pPr>
            <w:r>
              <w:rPr>
                <w:rFonts w:ascii="Arial" w:cs="Arial" w:eastAsia="Arial" w:hAnsi="Arial"/>
                <w:sz w:val="13"/>
                <w:szCs w:val="13"/>
                <w:color w:val="auto"/>
              </w:rPr>
              <w:t>—</w:t>
            </w: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5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Frantz</w:t>
            </w: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1540" w:type="dxa"/>
            <w:vAlign w:val="bottom"/>
          </w:tcPr>
          <w:p>
            <w:pPr>
              <w:spacing w:after="0"/>
              <w:rPr>
                <w:sz w:val="6"/>
                <w:szCs w:val="6"/>
                <w:color w:val="auto"/>
              </w:rPr>
            </w:pPr>
          </w:p>
        </w:tc>
        <w:tc>
          <w:tcPr>
            <w:tcW w:w="1180" w:type="dxa"/>
            <w:vAlign w:val="bottom"/>
            <w:tcBorders>
              <w:bottom w:val="single" w:sz="8" w:color="00ACD2"/>
            </w:tcBorders>
          </w:tcPr>
          <w:p>
            <w:pPr>
              <w:spacing w:after="0"/>
              <w:rPr>
                <w:sz w:val="6"/>
                <w:szCs w:val="6"/>
                <w:color w:val="auto"/>
              </w:rPr>
            </w:pPr>
          </w:p>
        </w:tc>
        <w:tc>
          <w:tcPr>
            <w:tcW w:w="580" w:type="dxa"/>
            <w:vAlign w:val="bottom"/>
            <w:tcBorders>
              <w:bottom w:val="single" w:sz="8" w:color="00ACD2"/>
            </w:tcBorders>
          </w:tcPr>
          <w:p>
            <w:pPr>
              <w:spacing w:after="0"/>
              <w:rPr>
                <w:sz w:val="6"/>
                <w:szCs w:val="6"/>
                <w:color w:val="auto"/>
              </w:rPr>
            </w:pPr>
          </w:p>
        </w:tc>
        <w:tc>
          <w:tcPr>
            <w:tcW w:w="720" w:type="dxa"/>
            <w:vAlign w:val="bottom"/>
            <w:tcBorders>
              <w:bottom w:val="single" w:sz="8" w:color="00ACD2"/>
            </w:tcBorders>
          </w:tcPr>
          <w:p>
            <w:pPr>
              <w:spacing w:after="0"/>
              <w:rPr>
                <w:sz w:val="6"/>
                <w:szCs w:val="6"/>
                <w:color w:val="auto"/>
              </w:rPr>
            </w:pPr>
          </w:p>
        </w:tc>
        <w:tc>
          <w:tcPr>
            <w:tcW w:w="2120" w:type="dxa"/>
            <w:vAlign w:val="bottom"/>
            <w:tcBorders>
              <w:bottom w:val="single" w:sz="8" w:color="00ACD2"/>
            </w:tcBorders>
          </w:tcPr>
          <w:p>
            <w:pPr>
              <w:spacing w:after="0"/>
              <w:rPr>
                <w:sz w:val="6"/>
                <w:szCs w:val="6"/>
                <w:color w:val="auto"/>
              </w:rPr>
            </w:pPr>
          </w:p>
        </w:tc>
        <w:tc>
          <w:tcPr>
            <w:tcW w:w="800" w:type="dxa"/>
            <w:vAlign w:val="bottom"/>
            <w:tcBorders>
              <w:bottom w:val="single" w:sz="8" w:color="00ACD2"/>
            </w:tcBorders>
          </w:tcPr>
          <w:p>
            <w:pPr>
              <w:spacing w:after="0"/>
              <w:rPr>
                <w:sz w:val="6"/>
                <w:szCs w:val="6"/>
                <w:color w:val="auto"/>
              </w:rPr>
            </w:pPr>
          </w:p>
        </w:tc>
        <w:tc>
          <w:tcPr>
            <w:tcW w:w="520" w:type="dxa"/>
            <w:vAlign w:val="bottom"/>
            <w:tcBorders>
              <w:bottom w:val="single" w:sz="8" w:color="00ACD2"/>
            </w:tcBorders>
          </w:tcPr>
          <w:p>
            <w:pPr>
              <w:spacing w:after="0"/>
              <w:rPr>
                <w:sz w:val="6"/>
                <w:szCs w:val="6"/>
                <w:color w:val="auto"/>
              </w:rPr>
            </w:pPr>
          </w:p>
        </w:tc>
        <w:tc>
          <w:tcPr>
            <w:tcW w:w="1200" w:type="dxa"/>
            <w:vAlign w:val="bottom"/>
            <w:tcBorders>
              <w:bottom w:val="single" w:sz="8" w:color="00ACD2"/>
            </w:tcBorders>
          </w:tcPr>
          <w:p>
            <w:pPr>
              <w:spacing w:after="0"/>
              <w:rPr>
                <w:sz w:val="6"/>
                <w:szCs w:val="6"/>
                <w:color w:val="auto"/>
              </w:rPr>
            </w:pPr>
          </w:p>
        </w:tc>
        <w:tc>
          <w:tcPr>
            <w:tcW w:w="920" w:type="dxa"/>
            <w:vAlign w:val="bottom"/>
            <w:tcBorders>
              <w:bottom w:val="single" w:sz="8" w:color="00ACD2"/>
            </w:tcBorders>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7"/>
        </w:trPr>
        <w:tc>
          <w:tcPr>
            <w:tcW w:w="15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Andrew Frey</w:t>
            </w:r>
          </w:p>
        </w:tc>
        <w:tc>
          <w:tcPr>
            <w:tcW w:w="580" w:type="dxa"/>
            <w:vAlign w:val="bottom"/>
          </w:tcPr>
          <w:p>
            <w:pPr>
              <w:jc w:val="center"/>
              <w:spacing w:after="0"/>
              <w:rPr>
                <w:sz w:val="20"/>
                <w:szCs w:val="20"/>
                <w:color w:val="auto"/>
              </w:rPr>
            </w:pPr>
            <w:r>
              <w:rPr>
                <w:rFonts w:ascii="Arial" w:cs="Arial" w:eastAsia="Arial" w:hAnsi="Arial"/>
                <w:sz w:val="13"/>
                <w:szCs w:val="13"/>
                <w:color w:val="auto"/>
              </w:rPr>
              <w:t>42</w:t>
            </w:r>
          </w:p>
        </w:tc>
        <w:tc>
          <w:tcPr>
            <w:tcW w:w="720" w:type="dxa"/>
            <w:vAlign w:val="bottom"/>
          </w:tcPr>
          <w:p>
            <w:pPr>
              <w:jc w:val="center"/>
              <w:spacing w:after="0"/>
              <w:rPr>
                <w:sz w:val="20"/>
                <w:szCs w:val="20"/>
                <w:color w:val="auto"/>
              </w:rPr>
            </w:pPr>
            <w:r>
              <w:rPr>
                <w:rFonts w:ascii="Arial" w:cs="Arial" w:eastAsia="Arial" w:hAnsi="Arial"/>
                <w:sz w:val="13"/>
                <w:szCs w:val="13"/>
                <w:color w:val="auto"/>
              </w:rPr>
              <w:t>2016</w:t>
            </w:r>
          </w:p>
        </w:tc>
        <w:tc>
          <w:tcPr>
            <w:tcW w:w="2120" w:type="dxa"/>
            <w:vAlign w:val="bottom"/>
          </w:tcPr>
          <w:p>
            <w:pPr>
              <w:jc w:val="center"/>
              <w:spacing w:after="0"/>
              <w:rPr>
                <w:sz w:val="20"/>
                <w:szCs w:val="20"/>
                <w:color w:val="auto"/>
              </w:rPr>
            </w:pPr>
            <w:r>
              <w:rPr>
                <w:rFonts w:ascii="Arial" w:cs="Arial" w:eastAsia="Arial" w:hAnsi="Arial"/>
                <w:sz w:val="13"/>
                <w:szCs w:val="13"/>
                <w:color w:val="auto"/>
              </w:rPr>
              <w:t>Partner of Searchlight Capital</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2760" w:type="dxa"/>
            <w:vAlign w:val="bottom"/>
            <w:gridSpan w:val="2"/>
          </w:tcPr>
          <w:p>
            <w:pPr>
              <w:jc w:val="center"/>
              <w:ind w:right="17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1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Arial" w:cs="Arial" w:eastAsia="Arial" w:hAnsi="Arial"/>
                <w:sz w:val="13"/>
                <w:szCs w:val="13"/>
                <w:color w:val="auto"/>
              </w:rPr>
              <w:t>Partners, L.P.</w:t>
            </w: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1540" w:type="dxa"/>
            <w:vAlign w:val="bottom"/>
          </w:tcPr>
          <w:p>
            <w:pPr>
              <w:spacing w:after="0"/>
              <w:rPr>
                <w:sz w:val="6"/>
                <w:szCs w:val="6"/>
                <w:color w:val="auto"/>
              </w:rPr>
            </w:pPr>
          </w:p>
        </w:tc>
        <w:tc>
          <w:tcPr>
            <w:tcW w:w="1180" w:type="dxa"/>
            <w:vAlign w:val="bottom"/>
            <w:tcBorders>
              <w:bottom w:val="single" w:sz="8" w:color="00ACD2"/>
            </w:tcBorders>
          </w:tcPr>
          <w:p>
            <w:pPr>
              <w:spacing w:after="0"/>
              <w:rPr>
                <w:sz w:val="6"/>
                <w:szCs w:val="6"/>
                <w:color w:val="auto"/>
              </w:rPr>
            </w:pPr>
          </w:p>
        </w:tc>
        <w:tc>
          <w:tcPr>
            <w:tcW w:w="580" w:type="dxa"/>
            <w:vAlign w:val="bottom"/>
            <w:tcBorders>
              <w:bottom w:val="single" w:sz="8" w:color="00ACD2"/>
            </w:tcBorders>
          </w:tcPr>
          <w:p>
            <w:pPr>
              <w:spacing w:after="0"/>
              <w:rPr>
                <w:sz w:val="6"/>
                <w:szCs w:val="6"/>
                <w:color w:val="auto"/>
              </w:rPr>
            </w:pPr>
          </w:p>
        </w:tc>
        <w:tc>
          <w:tcPr>
            <w:tcW w:w="720" w:type="dxa"/>
            <w:vAlign w:val="bottom"/>
            <w:tcBorders>
              <w:bottom w:val="single" w:sz="8" w:color="00ACD2"/>
            </w:tcBorders>
          </w:tcPr>
          <w:p>
            <w:pPr>
              <w:spacing w:after="0"/>
              <w:rPr>
                <w:sz w:val="6"/>
                <w:szCs w:val="6"/>
                <w:color w:val="auto"/>
              </w:rPr>
            </w:pPr>
          </w:p>
        </w:tc>
        <w:tc>
          <w:tcPr>
            <w:tcW w:w="2120" w:type="dxa"/>
            <w:vAlign w:val="bottom"/>
            <w:tcBorders>
              <w:bottom w:val="single" w:sz="8" w:color="00ACD2"/>
            </w:tcBorders>
          </w:tcPr>
          <w:p>
            <w:pPr>
              <w:spacing w:after="0"/>
              <w:rPr>
                <w:sz w:val="6"/>
                <w:szCs w:val="6"/>
                <w:color w:val="auto"/>
              </w:rPr>
            </w:pPr>
          </w:p>
        </w:tc>
        <w:tc>
          <w:tcPr>
            <w:tcW w:w="800" w:type="dxa"/>
            <w:vAlign w:val="bottom"/>
            <w:tcBorders>
              <w:bottom w:val="single" w:sz="8" w:color="00ACD2"/>
            </w:tcBorders>
          </w:tcPr>
          <w:p>
            <w:pPr>
              <w:spacing w:after="0"/>
              <w:rPr>
                <w:sz w:val="6"/>
                <w:szCs w:val="6"/>
                <w:color w:val="auto"/>
              </w:rPr>
            </w:pPr>
          </w:p>
        </w:tc>
        <w:tc>
          <w:tcPr>
            <w:tcW w:w="520" w:type="dxa"/>
            <w:vAlign w:val="bottom"/>
            <w:tcBorders>
              <w:bottom w:val="single" w:sz="8" w:color="00ACD2"/>
            </w:tcBorders>
          </w:tcPr>
          <w:p>
            <w:pPr>
              <w:spacing w:after="0"/>
              <w:rPr>
                <w:sz w:val="6"/>
                <w:szCs w:val="6"/>
                <w:color w:val="auto"/>
              </w:rPr>
            </w:pPr>
          </w:p>
        </w:tc>
        <w:tc>
          <w:tcPr>
            <w:tcW w:w="1200" w:type="dxa"/>
            <w:vAlign w:val="bottom"/>
            <w:tcBorders>
              <w:bottom w:val="single" w:sz="8" w:color="00ACD2"/>
            </w:tcBorders>
          </w:tcPr>
          <w:p>
            <w:pPr>
              <w:spacing w:after="0"/>
              <w:rPr>
                <w:sz w:val="6"/>
                <w:szCs w:val="6"/>
                <w:color w:val="auto"/>
              </w:rPr>
            </w:pPr>
          </w:p>
        </w:tc>
        <w:tc>
          <w:tcPr>
            <w:tcW w:w="920" w:type="dxa"/>
            <w:vAlign w:val="bottom"/>
            <w:tcBorders>
              <w:bottom w:val="single" w:sz="8" w:color="00ACD2"/>
            </w:tcBorders>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7"/>
        </w:trPr>
        <w:tc>
          <w:tcPr>
            <w:tcW w:w="15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Kenneth A.</w:t>
            </w:r>
          </w:p>
        </w:tc>
        <w:tc>
          <w:tcPr>
            <w:tcW w:w="580" w:type="dxa"/>
            <w:vAlign w:val="bottom"/>
          </w:tcPr>
          <w:p>
            <w:pPr>
              <w:jc w:val="center"/>
              <w:spacing w:after="0"/>
              <w:rPr>
                <w:sz w:val="20"/>
                <w:szCs w:val="20"/>
                <w:color w:val="auto"/>
              </w:rPr>
            </w:pPr>
            <w:r>
              <w:rPr>
                <w:rFonts w:ascii="Arial" w:cs="Arial" w:eastAsia="Arial" w:hAnsi="Arial"/>
                <w:sz w:val="13"/>
                <w:szCs w:val="13"/>
                <w:color w:val="auto"/>
              </w:rPr>
              <w:t>47</w:t>
            </w:r>
          </w:p>
        </w:tc>
        <w:tc>
          <w:tcPr>
            <w:tcW w:w="720" w:type="dxa"/>
            <w:vAlign w:val="bottom"/>
          </w:tcPr>
          <w:p>
            <w:pPr>
              <w:jc w:val="center"/>
              <w:spacing w:after="0"/>
              <w:rPr>
                <w:sz w:val="20"/>
                <w:szCs w:val="20"/>
                <w:color w:val="auto"/>
              </w:rPr>
            </w:pPr>
            <w:r>
              <w:rPr>
                <w:rFonts w:ascii="Arial" w:cs="Arial" w:eastAsia="Arial" w:hAnsi="Arial"/>
                <w:sz w:val="13"/>
                <w:szCs w:val="13"/>
                <w:color w:val="auto"/>
              </w:rPr>
              <w:t>2015</w:t>
            </w:r>
          </w:p>
        </w:tc>
        <w:tc>
          <w:tcPr>
            <w:tcW w:w="2120" w:type="dxa"/>
            <w:vAlign w:val="bottom"/>
          </w:tcPr>
          <w:p>
            <w:pPr>
              <w:jc w:val="center"/>
              <w:spacing w:after="0"/>
              <w:rPr>
                <w:sz w:val="20"/>
                <w:szCs w:val="20"/>
                <w:color w:val="auto"/>
              </w:rPr>
            </w:pPr>
            <w:r>
              <w:rPr>
                <w:rFonts w:ascii="Arial" w:cs="Arial" w:eastAsia="Arial" w:hAnsi="Arial"/>
                <w:sz w:val="13"/>
                <w:szCs w:val="13"/>
                <w:color w:val="auto"/>
                <w:w w:val="99"/>
              </w:rPr>
              <w:t>President and CEO</w:t>
            </w:r>
          </w:p>
        </w:tc>
        <w:tc>
          <w:tcPr>
            <w:tcW w:w="800" w:type="dxa"/>
            <w:vAlign w:val="bottom"/>
          </w:tcPr>
          <w:p>
            <w:pPr>
              <w:jc w:val="center"/>
              <w:spacing w:after="0"/>
              <w:rPr>
                <w:sz w:val="20"/>
                <w:szCs w:val="20"/>
                <w:color w:val="auto"/>
              </w:rPr>
            </w:pPr>
            <w:r>
              <w:rPr>
                <w:rFonts w:ascii="Arial" w:cs="Arial" w:eastAsia="Arial" w:hAnsi="Arial"/>
                <w:sz w:val="13"/>
                <w:szCs w:val="13"/>
                <w:color w:val="auto"/>
              </w:rPr>
              <w:t>—</w:t>
            </w:r>
          </w:p>
        </w:tc>
        <w:tc>
          <w:tcPr>
            <w:tcW w:w="520" w:type="dxa"/>
            <w:vAlign w:val="bottom"/>
          </w:tcPr>
          <w:p>
            <w:pPr>
              <w:jc w:val="center"/>
              <w:spacing w:after="0"/>
              <w:rPr>
                <w:sz w:val="20"/>
                <w:szCs w:val="20"/>
                <w:color w:val="auto"/>
              </w:rPr>
            </w:pPr>
            <w:r>
              <w:rPr>
                <w:rFonts w:ascii="Arial" w:cs="Arial" w:eastAsia="Arial" w:hAnsi="Arial"/>
                <w:sz w:val="13"/>
                <w:szCs w:val="13"/>
                <w:color w:val="auto"/>
              </w:rPr>
              <w:t>—</w:t>
            </w:r>
          </w:p>
        </w:tc>
        <w:tc>
          <w:tcPr>
            <w:tcW w:w="12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2760" w:type="dxa"/>
            <w:vAlign w:val="bottom"/>
            <w:gridSpan w:val="2"/>
          </w:tcPr>
          <w:p>
            <w:pPr>
              <w:jc w:val="center"/>
              <w:ind w:right="17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1180" w:type="dxa"/>
            <w:vAlign w:val="bottom"/>
            <w:tcBorders>
              <w:bottom w:val="single" w:sz="8" w:color="00ACD2"/>
            </w:tcBorders>
          </w:tcPr>
          <w:p>
            <w:pPr>
              <w:spacing w:after="0" w:line="144" w:lineRule="exact"/>
              <w:rPr>
                <w:sz w:val="20"/>
                <w:szCs w:val="20"/>
                <w:color w:val="auto"/>
              </w:rPr>
            </w:pPr>
            <w:r>
              <w:rPr>
                <w:rFonts w:ascii="Arial" w:cs="Arial" w:eastAsia="Arial" w:hAnsi="Arial"/>
                <w:sz w:val="13"/>
                <w:szCs w:val="13"/>
                <w:color w:val="auto"/>
              </w:rPr>
              <w:t>Gunderman</w:t>
            </w:r>
          </w:p>
        </w:tc>
        <w:tc>
          <w:tcPr>
            <w:tcW w:w="580" w:type="dxa"/>
            <w:vAlign w:val="bottom"/>
            <w:tcBorders>
              <w:bottom w:val="single" w:sz="8" w:color="00ACD2"/>
            </w:tcBorders>
          </w:tcPr>
          <w:p>
            <w:pPr>
              <w:spacing w:after="0"/>
              <w:rPr>
                <w:sz w:val="12"/>
                <w:szCs w:val="12"/>
                <w:color w:val="auto"/>
              </w:rPr>
            </w:pPr>
          </w:p>
        </w:tc>
        <w:tc>
          <w:tcPr>
            <w:tcW w:w="720" w:type="dxa"/>
            <w:vAlign w:val="bottom"/>
            <w:tcBorders>
              <w:bottom w:val="single" w:sz="8" w:color="00ACD2"/>
            </w:tcBorders>
          </w:tcPr>
          <w:p>
            <w:pPr>
              <w:spacing w:after="0"/>
              <w:rPr>
                <w:sz w:val="12"/>
                <w:szCs w:val="12"/>
                <w:color w:val="auto"/>
              </w:rPr>
            </w:pPr>
          </w:p>
        </w:tc>
        <w:tc>
          <w:tcPr>
            <w:tcW w:w="2120" w:type="dxa"/>
            <w:vAlign w:val="bottom"/>
            <w:tcBorders>
              <w:bottom w:val="single" w:sz="8" w:color="00ACD2"/>
            </w:tcBorders>
          </w:tcPr>
          <w:p>
            <w:pPr>
              <w:jc w:val="center"/>
              <w:spacing w:after="0" w:line="144" w:lineRule="exact"/>
              <w:rPr>
                <w:sz w:val="20"/>
                <w:szCs w:val="20"/>
                <w:color w:val="auto"/>
              </w:rPr>
            </w:pPr>
            <w:r>
              <w:rPr>
                <w:rFonts w:ascii="Arial" w:cs="Arial" w:eastAsia="Arial" w:hAnsi="Arial"/>
                <w:sz w:val="13"/>
                <w:szCs w:val="13"/>
                <w:color w:val="auto"/>
                <w:w w:val="98"/>
              </w:rPr>
              <w:t>of Uniti</w:t>
            </w:r>
          </w:p>
        </w:tc>
        <w:tc>
          <w:tcPr>
            <w:tcW w:w="800" w:type="dxa"/>
            <w:vAlign w:val="bottom"/>
            <w:tcBorders>
              <w:bottom w:val="single" w:sz="8" w:color="00ACD2"/>
            </w:tcBorders>
          </w:tcPr>
          <w:p>
            <w:pPr>
              <w:spacing w:after="0"/>
              <w:rPr>
                <w:sz w:val="12"/>
                <w:szCs w:val="12"/>
                <w:color w:val="auto"/>
              </w:rPr>
            </w:pPr>
          </w:p>
        </w:tc>
        <w:tc>
          <w:tcPr>
            <w:tcW w:w="520" w:type="dxa"/>
            <w:vAlign w:val="bottom"/>
            <w:tcBorders>
              <w:bottom w:val="single" w:sz="8" w:color="00ACD2"/>
            </w:tcBorders>
          </w:tcPr>
          <w:p>
            <w:pPr>
              <w:spacing w:after="0"/>
              <w:rPr>
                <w:sz w:val="12"/>
                <w:szCs w:val="12"/>
                <w:color w:val="auto"/>
              </w:rPr>
            </w:pPr>
          </w:p>
        </w:tc>
        <w:tc>
          <w:tcPr>
            <w:tcW w:w="1200" w:type="dxa"/>
            <w:vAlign w:val="bottom"/>
            <w:tcBorders>
              <w:bottom w:val="single" w:sz="8" w:color="00ACD2"/>
            </w:tcBorders>
          </w:tcPr>
          <w:p>
            <w:pPr>
              <w:spacing w:after="0"/>
              <w:rPr>
                <w:sz w:val="12"/>
                <w:szCs w:val="12"/>
                <w:color w:val="auto"/>
              </w:rPr>
            </w:pPr>
          </w:p>
        </w:tc>
        <w:tc>
          <w:tcPr>
            <w:tcW w:w="920" w:type="dxa"/>
            <w:vAlign w:val="bottom"/>
            <w:tcBorders>
              <w:bottom w:val="single" w:sz="8" w:color="00ACD2"/>
            </w:tcBorders>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7"/>
        </w:trPr>
        <w:tc>
          <w:tcPr>
            <w:tcW w:w="15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David L. Solomon</w:t>
            </w:r>
          </w:p>
        </w:tc>
        <w:tc>
          <w:tcPr>
            <w:tcW w:w="580" w:type="dxa"/>
            <w:vAlign w:val="bottom"/>
          </w:tcPr>
          <w:p>
            <w:pPr>
              <w:jc w:val="center"/>
              <w:spacing w:after="0"/>
              <w:rPr>
                <w:sz w:val="20"/>
                <w:szCs w:val="20"/>
                <w:color w:val="auto"/>
              </w:rPr>
            </w:pPr>
            <w:r>
              <w:rPr>
                <w:rFonts w:ascii="Arial" w:cs="Arial" w:eastAsia="Arial" w:hAnsi="Arial"/>
                <w:sz w:val="13"/>
                <w:szCs w:val="13"/>
                <w:color w:val="auto"/>
              </w:rPr>
              <w:t>58</w:t>
            </w:r>
          </w:p>
        </w:tc>
        <w:tc>
          <w:tcPr>
            <w:tcW w:w="720" w:type="dxa"/>
            <w:vAlign w:val="bottom"/>
          </w:tcPr>
          <w:p>
            <w:pPr>
              <w:jc w:val="center"/>
              <w:spacing w:after="0"/>
              <w:rPr>
                <w:sz w:val="20"/>
                <w:szCs w:val="20"/>
                <w:color w:val="auto"/>
              </w:rPr>
            </w:pPr>
            <w:r>
              <w:rPr>
                <w:rFonts w:ascii="Arial" w:cs="Arial" w:eastAsia="Arial" w:hAnsi="Arial"/>
                <w:sz w:val="13"/>
                <w:szCs w:val="13"/>
                <w:color w:val="auto"/>
              </w:rPr>
              <w:t>2015</w:t>
            </w:r>
          </w:p>
        </w:tc>
        <w:tc>
          <w:tcPr>
            <w:tcW w:w="2120" w:type="dxa"/>
            <w:vAlign w:val="bottom"/>
          </w:tcPr>
          <w:p>
            <w:pPr>
              <w:jc w:val="center"/>
              <w:spacing w:after="0"/>
              <w:rPr>
                <w:sz w:val="20"/>
                <w:szCs w:val="20"/>
                <w:color w:val="auto"/>
              </w:rPr>
            </w:pPr>
            <w:r>
              <w:rPr>
                <w:rFonts w:ascii="Arial" w:cs="Arial" w:eastAsia="Arial" w:hAnsi="Arial"/>
                <w:sz w:val="13"/>
                <w:szCs w:val="13"/>
                <w:color w:val="auto"/>
              </w:rPr>
              <w:t>Founder and Managing Director</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Arial" w:cs="Arial" w:eastAsia="Arial" w:hAnsi="Arial"/>
                <w:sz w:val="13"/>
                <w:szCs w:val="13"/>
                <w:color w:val="auto"/>
              </w:rPr>
              <w:t>of Meritage Funds</w:t>
            </w: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1540" w:type="dxa"/>
            <w:vAlign w:val="bottom"/>
          </w:tcPr>
          <w:p>
            <w:pPr>
              <w:spacing w:after="0"/>
              <w:rPr>
                <w:sz w:val="6"/>
                <w:szCs w:val="6"/>
                <w:color w:val="auto"/>
              </w:rPr>
            </w:pPr>
          </w:p>
        </w:tc>
        <w:tc>
          <w:tcPr>
            <w:tcW w:w="1180" w:type="dxa"/>
            <w:vAlign w:val="bottom"/>
            <w:tcBorders>
              <w:bottom w:val="single" w:sz="8" w:color="00ACD2"/>
            </w:tcBorders>
          </w:tcPr>
          <w:p>
            <w:pPr>
              <w:spacing w:after="0"/>
              <w:rPr>
                <w:sz w:val="6"/>
                <w:szCs w:val="6"/>
                <w:color w:val="auto"/>
              </w:rPr>
            </w:pPr>
          </w:p>
        </w:tc>
        <w:tc>
          <w:tcPr>
            <w:tcW w:w="1300" w:type="dxa"/>
            <w:vAlign w:val="bottom"/>
            <w:tcBorders>
              <w:bottom w:val="single" w:sz="8" w:color="00ACD2"/>
            </w:tcBorders>
            <w:gridSpan w:val="2"/>
          </w:tcPr>
          <w:p>
            <w:pPr>
              <w:spacing w:after="0"/>
              <w:rPr>
                <w:sz w:val="6"/>
                <w:szCs w:val="6"/>
                <w:color w:val="auto"/>
              </w:rPr>
            </w:pPr>
          </w:p>
        </w:tc>
        <w:tc>
          <w:tcPr>
            <w:tcW w:w="2120" w:type="dxa"/>
            <w:vAlign w:val="bottom"/>
            <w:tcBorders>
              <w:bottom w:val="single" w:sz="8" w:color="00ACD2"/>
            </w:tcBorders>
          </w:tcPr>
          <w:p>
            <w:pPr>
              <w:spacing w:after="0"/>
              <w:rPr>
                <w:sz w:val="6"/>
                <w:szCs w:val="6"/>
                <w:color w:val="auto"/>
              </w:rPr>
            </w:pPr>
          </w:p>
        </w:tc>
        <w:tc>
          <w:tcPr>
            <w:tcW w:w="800" w:type="dxa"/>
            <w:vAlign w:val="bottom"/>
            <w:tcBorders>
              <w:bottom w:val="single" w:sz="8" w:color="00ACD2"/>
            </w:tcBorders>
          </w:tcPr>
          <w:p>
            <w:pPr>
              <w:spacing w:after="0"/>
              <w:rPr>
                <w:sz w:val="6"/>
                <w:szCs w:val="6"/>
                <w:color w:val="auto"/>
              </w:rPr>
            </w:pPr>
          </w:p>
        </w:tc>
        <w:tc>
          <w:tcPr>
            <w:tcW w:w="520" w:type="dxa"/>
            <w:vAlign w:val="bottom"/>
            <w:tcBorders>
              <w:bottom w:val="single" w:sz="8" w:color="00ACD2"/>
            </w:tcBorders>
          </w:tcPr>
          <w:p>
            <w:pPr>
              <w:spacing w:after="0"/>
              <w:rPr>
                <w:sz w:val="6"/>
                <w:szCs w:val="6"/>
                <w:color w:val="auto"/>
              </w:rPr>
            </w:pPr>
          </w:p>
        </w:tc>
        <w:tc>
          <w:tcPr>
            <w:tcW w:w="1200" w:type="dxa"/>
            <w:vAlign w:val="bottom"/>
            <w:tcBorders>
              <w:bottom w:val="single" w:sz="8" w:color="00ACD2"/>
            </w:tcBorders>
          </w:tcPr>
          <w:p>
            <w:pPr>
              <w:spacing w:after="0"/>
              <w:rPr>
                <w:sz w:val="6"/>
                <w:szCs w:val="6"/>
                <w:color w:val="auto"/>
              </w:rPr>
            </w:pPr>
          </w:p>
        </w:tc>
        <w:tc>
          <w:tcPr>
            <w:tcW w:w="920" w:type="dxa"/>
            <w:vAlign w:val="bottom"/>
            <w:tcBorders>
              <w:bottom w:val="single" w:sz="8" w:color="00ACD2"/>
            </w:tcBorders>
          </w:tcPr>
          <w:p>
            <w:pPr>
              <w:spacing w:after="0"/>
              <w:rPr>
                <w:sz w:val="6"/>
                <w:szCs w:val="6"/>
                <w:color w:val="auto"/>
              </w:rPr>
            </w:pPr>
          </w:p>
        </w:tc>
        <w:tc>
          <w:tcPr>
            <w:tcW w:w="1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0"/>
        </w:trPr>
        <w:tc>
          <w:tcPr>
            <w:tcW w:w="1540" w:type="dxa"/>
            <w:vAlign w:val="bottom"/>
          </w:tcPr>
          <w:p>
            <w:pPr>
              <w:spacing w:after="0"/>
              <w:rPr>
                <w:sz w:val="24"/>
                <w:szCs w:val="24"/>
                <w:color w:val="auto"/>
              </w:rPr>
            </w:pPr>
          </w:p>
        </w:tc>
        <w:tc>
          <w:tcPr>
            <w:tcW w:w="1180" w:type="dxa"/>
            <w:vAlign w:val="bottom"/>
          </w:tcPr>
          <w:p>
            <w:pPr>
              <w:ind w:left="300"/>
              <w:spacing w:after="0"/>
              <w:rPr>
                <w:sz w:val="20"/>
                <w:szCs w:val="20"/>
                <w:color w:val="auto"/>
              </w:rPr>
            </w:pPr>
            <w:r>
              <w:rPr>
                <w:rFonts w:ascii="Arial" w:cs="Arial" w:eastAsia="Arial" w:hAnsi="Arial"/>
                <w:sz w:val="13"/>
                <w:szCs w:val="13"/>
                <w:color w:val="auto"/>
              </w:rPr>
              <w:t>Member</w:t>
            </w:r>
          </w:p>
        </w:tc>
        <w:tc>
          <w:tcPr>
            <w:tcW w:w="1300" w:type="dxa"/>
            <w:vAlign w:val="bottom"/>
            <w:gridSpan w:val="2"/>
          </w:tcPr>
          <w:p>
            <w:pPr>
              <w:ind w:left="120"/>
              <w:spacing w:after="0"/>
              <w:rPr>
                <w:sz w:val="20"/>
                <w:szCs w:val="20"/>
                <w:color w:val="auto"/>
              </w:rPr>
            </w:pPr>
            <w:r>
              <w:rPr>
                <w:rFonts w:ascii="Arial" w:cs="Arial" w:eastAsia="Arial" w:hAnsi="Arial"/>
                <w:sz w:val="13"/>
                <w:szCs w:val="13"/>
                <w:color w:val="auto"/>
              </w:rPr>
              <w:t>Chairperson</w:t>
            </w:r>
          </w:p>
        </w:tc>
        <w:tc>
          <w:tcPr>
            <w:tcW w:w="2120" w:type="dxa"/>
            <w:vAlign w:val="bottom"/>
          </w:tcPr>
          <w:p>
            <w:pPr>
              <w:ind w:left="80"/>
              <w:spacing w:after="0"/>
              <w:rPr>
                <w:sz w:val="20"/>
                <w:szCs w:val="20"/>
                <w:color w:val="auto"/>
              </w:rPr>
            </w:pPr>
            <w:r>
              <w:rPr>
                <w:rFonts w:ascii="Arial" w:cs="Arial" w:eastAsia="Arial" w:hAnsi="Arial"/>
                <w:sz w:val="13"/>
                <w:szCs w:val="13"/>
                <w:color w:val="auto"/>
              </w:rPr>
              <w:t>Financial Expert</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5"/>
        </w:trPr>
        <w:tc>
          <w:tcPr>
            <w:tcW w:w="154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5" w:name="page6"/>
    <w:bookmarkEnd w:id="5"/>
    <w:p>
      <w:pPr>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132715</wp:posOffset>
            </wp:positionV>
            <wp:extent cx="7255510" cy="3505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5510" cy="3505200"/>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00ACD2"/>
        </w:rPr>
        <w:t>2017 Executive Compensation (see page 21)</w:t>
      </w:r>
    </w:p>
    <w:p>
      <w:pPr>
        <w:spacing w:after="0" w:line="259" w:lineRule="exact"/>
        <w:rPr>
          <w:sz w:val="20"/>
          <w:szCs w:val="20"/>
          <w:color w:val="auto"/>
        </w:rPr>
      </w:pPr>
    </w:p>
    <w:p>
      <w:pPr>
        <w:ind w:left="220" w:right="140" w:firstLine="624"/>
        <w:spacing w:after="0" w:line="247" w:lineRule="auto"/>
        <w:rPr>
          <w:sz w:val="20"/>
          <w:szCs w:val="20"/>
          <w:color w:val="auto"/>
        </w:rPr>
      </w:pPr>
      <w:r>
        <w:rPr>
          <w:rFonts w:ascii="Arial" w:cs="Arial" w:eastAsia="Arial" w:hAnsi="Arial"/>
          <w:sz w:val="16"/>
          <w:szCs w:val="16"/>
          <w:color w:val="auto"/>
        </w:rPr>
        <w:t>Compensation decisions regarding executive compensation are made by the Compensation Committee. The Compensation Committee believes that a sensibly-structured, incentive-aligning compensation program is critical to the creation of long-term stockholder value. The following table summarizes certain highlights of our compensation practices:</w:t>
      </w:r>
    </w:p>
    <w:p>
      <w:pPr>
        <w:sectPr>
          <w:pgSz w:w="11900" w:h="16838" w:orient="portrait"/>
          <w:cols w:equalWidth="0" w:num="1">
            <w:col w:w="11200"/>
          </w:cols>
          <w:pgMar w:left="240" w:top="142" w:right="459" w:bottom="1440" w:gutter="0" w:footer="0" w:header="0"/>
          <w:type w:val="continuous"/>
        </w:sectPr>
      </w:pPr>
    </w:p>
    <w:p>
      <w:pPr>
        <w:spacing w:after="0" w:line="16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What We Do:</w:t>
      </w:r>
    </w:p>
    <w:p>
      <w:pPr>
        <w:spacing w:after="0" w:line="21" w:lineRule="exact"/>
        <w:rPr>
          <w:sz w:val="20"/>
          <w:szCs w:val="20"/>
          <w:color w:val="auto"/>
        </w:rPr>
      </w:pPr>
    </w:p>
    <w:p>
      <w:pPr>
        <w:jc w:val="both"/>
        <w:ind w:left="1000" w:right="240"/>
        <w:spacing w:after="0" w:line="247" w:lineRule="auto"/>
        <w:rPr>
          <w:sz w:val="20"/>
          <w:szCs w:val="20"/>
          <w:color w:val="auto"/>
        </w:rPr>
      </w:pPr>
      <w:r>
        <w:rPr>
          <w:rFonts w:ascii="Arial" w:cs="Arial" w:eastAsia="Arial" w:hAnsi="Arial"/>
          <w:sz w:val="16"/>
          <w:szCs w:val="16"/>
          <w:color w:val="auto"/>
        </w:rPr>
        <w:t>Align pay with performance by linking a substantial portion of compensation to the achievement of predefined performance metrics</w:t>
      </w:r>
    </w:p>
    <w:p>
      <w:pPr>
        <w:spacing w:after="0" w:line="2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Retain an independent compensation consultant</w:t>
      </w:r>
    </w:p>
    <w:p>
      <w:pPr>
        <w:spacing w:after="0" w:line="38" w:lineRule="exact"/>
        <w:rPr>
          <w:sz w:val="20"/>
          <w:szCs w:val="20"/>
          <w:color w:val="auto"/>
        </w:rPr>
      </w:pPr>
    </w:p>
    <w:p>
      <w:pPr>
        <w:ind w:left="1000" w:right="620"/>
        <w:spacing w:after="0" w:line="241" w:lineRule="auto"/>
        <w:rPr>
          <w:sz w:val="20"/>
          <w:szCs w:val="20"/>
          <w:color w:val="auto"/>
        </w:rPr>
      </w:pPr>
      <w:r>
        <w:rPr>
          <w:rFonts w:ascii="Arial" w:cs="Arial" w:eastAsia="Arial" w:hAnsi="Arial"/>
          <w:sz w:val="16"/>
          <w:szCs w:val="16"/>
          <w:color w:val="auto"/>
        </w:rPr>
        <w:t>Require compliance with stock ownership guidelines for executives and non-employee directors</w:t>
      </w:r>
    </w:p>
    <w:p>
      <w:pPr>
        <w:ind w:left="1000" w:right="320"/>
        <w:spacing w:after="0" w:line="241" w:lineRule="auto"/>
        <w:rPr>
          <w:sz w:val="20"/>
          <w:szCs w:val="20"/>
          <w:color w:val="auto"/>
        </w:rPr>
      </w:pPr>
      <w:r>
        <w:rPr>
          <w:rFonts w:ascii="Arial" w:cs="Arial" w:eastAsia="Arial" w:hAnsi="Arial"/>
          <w:sz w:val="16"/>
          <w:szCs w:val="16"/>
          <w:color w:val="auto"/>
        </w:rPr>
        <w:t>Include double-trigger change-in-control provisions in equity awards</w:t>
      </w:r>
    </w:p>
    <w:p>
      <w:pPr>
        <w:ind w:left="1000"/>
        <w:spacing w:after="0" w:line="253" w:lineRule="auto"/>
        <w:rPr>
          <w:sz w:val="20"/>
          <w:szCs w:val="20"/>
          <w:color w:val="auto"/>
        </w:rPr>
      </w:pPr>
      <w:r>
        <w:rPr>
          <w:rFonts w:ascii="Arial" w:cs="Arial" w:eastAsia="Arial" w:hAnsi="Arial"/>
          <w:sz w:val="16"/>
          <w:szCs w:val="16"/>
          <w:color w:val="auto"/>
        </w:rPr>
        <w:t>Place caps on incentive award opportunities and conduct annual risk assessment</w:t>
      </w:r>
    </w:p>
    <w:p>
      <w:pPr>
        <w:spacing w:after="0" w:line="1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Maintain a clawback policy</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Prohibit hedging of Company shares and option trading</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We Don't Do:</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Do NOT provide tax gross-ups in any circumstance</w:t>
      </w:r>
    </w:p>
    <w:p>
      <w:pPr>
        <w:spacing w:after="0" w:line="223" w:lineRule="exact"/>
        <w:rPr>
          <w:sz w:val="20"/>
          <w:szCs w:val="20"/>
          <w:color w:val="auto"/>
        </w:rPr>
      </w:pPr>
    </w:p>
    <w:p>
      <w:pPr>
        <w:ind w:left="800" w:right="840"/>
        <w:spacing w:after="0" w:line="386" w:lineRule="auto"/>
        <w:rPr>
          <w:sz w:val="20"/>
          <w:szCs w:val="20"/>
          <w:color w:val="auto"/>
        </w:rPr>
      </w:pPr>
      <w:r>
        <w:rPr>
          <w:rFonts w:ascii="Arial" w:cs="Arial" w:eastAsia="Arial" w:hAnsi="Arial"/>
          <w:sz w:val="16"/>
          <w:szCs w:val="16"/>
          <w:color w:val="auto"/>
        </w:rPr>
        <w:t>Do NOT provide excessive perquisites for executives Do NOT provide guaranteed bonuses</w:t>
      </w:r>
    </w:p>
    <w:p>
      <w:pPr>
        <w:ind w:left="800" w:right="300"/>
        <w:spacing w:after="0" w:line="241" w:lineRule="auto"/>
        <w:rPr>
          <w:sz w:val="20"/>
          <w:szCs w:val="20"/>
          <w:color w:val="auto"/>
        </w:rPr>
      </w:pPr>
      <w:r>
        <w:rPr>
          <w:rFonts w:ascii="Arial" w:cs="Arial" w:eastAsia="Arial" w:hAnsi="Arial"/>
          <w:sz w:val="16"/>
          <w:szCs w:val="16"/>
          <w:color w:val="auto"/>
        </w:rPr>
        <w:t>Do NOT provide discount stock options or stock appreciation rights</w:t>
      </w:r>
    </w:p>
    <w:p>
      <w:pPr>
        <w:ind w:left="800" w:right="220"/>
        <w:spacing w:after="0" w:line="253" w:lineRule="auto"/>
        <w:rPr>
          <w:sz w:val="20"/>
          <w:szCs w:val="20"/>
          <w:color w:val="auto"/>
        </w:rPr>
      </w:pPr>
      <w:r>
        <w:rPr>
          <w:rFonts w:ascii="Arial" w:cs="Arial" w:eastAsia="Arial" w:hAnsi="Arial"/>
          <w:sz w:val="16"/>
          <w:szCs w:val="16"/>
          <w:color w:val="auto"/>
        </w:rPr>
        <w:t>Do NOT pay dividends on performance-based restricted stock units prior to vesting</w:t>
      </w:r>
    </w:p>
    <w:p>
      <w:pPr>
        <w:spacing w:after="0" w:line="1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Do NOT permit unapproved pledging of our common stock</w:t>
      </w:r>
    </w:p>
    <w:p>
      <w:pPr>
        <w:spacing w:after="0" w:line="38" w:lineRule="exact"/>
        <w:rPr>
          <w:sz w:val="20"/>
          <w:szCs w:val="20"/>
          <w:color w:val="auto"/>
        </w:rPr>
      </w:pPr>
    </w:p>
    <w:p>
      <w:pPr>
        <w:ind w:left="800" w:right="40"/>
        <w:spacing w:after="0" w:line="253" w:lineRule="auto"/>
        <w:rPr>
          <w:sz w:val="20"/>
          <w:szCs w:val="20"/>
          <w:color w:val="auto"/>
        </w:rPr>
      </w:pPr>
      <w:r>
        <w:rPr>
          <w:rFonts w:ascii="Arial" w:cs="Arial" w:eastAsia="Arial" w:hAnsi="Arial"/>
          <w:sz w:val="16"/>
          <w:szCs w:val="16"/>
          <w:color w:val="auto"/>
        </w:rPr>
        <w:t>Do NOT add back to our equity compensation plan reserves any shares tendered as payment for shares withheld for taxes</w:t>
      </w:r>
    </w:p>
    <w:p>
      <w:pPr>
        <w:spacing w:after="0" w:line="179" w:lineRule="exact"/>
        <w:rPr>
          <w:sz w:val="20"/>
          <w:szCs w:val="20"/>
          <w:color w:val="auto"/>
        </w:rPr>
      </w:pPr>
    </w:p>
    <w:p>
      <w:pPr>
        <w:sectPr>
          <w:pgSz w:w="11900" w:h="16838" w:orient="portrait"/>
          <w:cols w:equalWidth="0" w:num="2">
            <w:col w:w="5560" w:space="240"/>
            <w:col w:w="5400"/>
          </w:cols>
          <w:pgMar w:left="240" w:top="142" w:right="459" w:bottom="1440" w:gutter="0" w:footer="0" w:header="0"/>
          <w:type w:val="continuous"/>
        </w:sectPr>
      </w:pPr>
    </w:p>
    <w:p>
      <w:pPr>
        <w:jc w:val="both"/>
        <w:ind w:left="220" w:firstLine="615"/>
        <w:spacing w:after="0" w:line="247" w:lineRule="auto"/>
        <w:rPr>
          <w:sz w:val="20"/>
          <w:szCs w:val="20"/>
          <w:color w:val="auto"/>
        </w:rPr>
      </w:pPr>
      <w:r>
        <w:rPr>
          <w:rFonts w:ascii="Arial" w:cs="Arial" w:eastAsia="Arial" w:hAnsi="Arial"/>
          <w:sz w:val="16"/>
          <w:szCs w:val="16"/>
          <w:color w:val="auto"/>
        </w:rPr>
        <w:t>At the 2017 annual meeting of stockholders, approximately 90% of votes cast in the annual "say-on-pay" vote were in favor of the compensation of the Company's named executive officers ("NEOs"). In light of this strong support, the Compensation Committee decided to maintain the core design of our compensation program for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308610</wp:posOffset>
            </wp:positionV>
            <wp:extent cx="726313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10100" w:type="dxa"/>
            <w:vAlign w:val="bottom"/>
            <w:gridSpan w:val="30"/>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Table of Contents</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583"/>
        </w:trPr>
        <w:tc>
          <w:tcPr>
            <w:tcW w:w="1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40" w:type="dxa"/>
            <w:vAlign w:val="bottom"/>
            <w:gridSpan w:val="11"/>
          </w:tcPr>
          <w:p>
            <w:pPr>
              <w:ind w:left="280"/>
              <w:spacing w:after="0"/>
              <w:rPr>
                <w:sz w:val="20"/>
                <w:szCs w:val="20"/>
                <w:color w:val="auto"/>
              </w:rPr>
            </w:pPr>
            <w:r>
              <w:rPr>
                <w:rFonts w:ascii="Arial" w:cs="Arial" w:eastAsia="Arial" w:hAnsi="Arial"/>
                <w:sz w:val="16"/>
                <w:szCs w:val="16"/>
                <w:color w:val="auto"/>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7"/>
        </w:trPr>
        <w:tc>
          <w:tcPr>
            <w:tcW w:w="1140" w:type="dxa"/>
            <w:vAlign w:val="bottom"/>
          </w:tcPr>
          <w:p>
            <w:pPr>
              <w:spacing w:after="0"/>
              <w:rPr>
                <w:sz w:val="24"/>
                <w:szCs w:val="24"/>
                <w:color w:val="auto"/>
              </w:rPr>
            </w:pPr>
          </w:p>
        </w:tc>
        <w:tc>
          <w:tcPr>
            <w:tcW w:w="4660" w:type="dxa"/>
            <w:vAlign w:val="bottom"/>
            <w:gridSpan w:val="21"/>
          </w:tcPr>
          <w:p>
            <w:pPr>
              <w:spacing w:after="0"/>
              <w:rPr>
                <w:rFonts w:ascii="Arial" w:cs="Arial" w:eastAsia="Arial" w:hAnsi="Arial"/>
                <w:sz w:val="16"/>
                <w:szCs w:val="16"/>
                <w:color w:val="0000EE"/>
                <w:w w:val="99"/>
              </w:rPr>
            </w:pPr>
            <w:hyperlink w:anchor="page10">
              <w:r>
                <w:rPr>
                  <w:rFonts w:ascii="Arial" w:cs="Arial" w:eastAsia="Arial" w:hAnsi="Arial"/>
                  <w:sz w:val="16"/>
                  <w:szCs w:val="16"/>
                  <w:color w:val="0000EE"/>
                  <w:w w:val="99"/>
                </w:rPr>
                <w:t>QUESTIONS AND ANSWERS ABOUT OUR ANNUAL MEETING</w:t>
              </w:r>
            </w:hyperlink>
          </w:p>
        </w:tc>
        <w:tc>
          <w:tcPr>
            <w:tcW w:w="4300" w:type="dxa"/>
            <w:vAlign w:val="bottom"/>
            <w:gridSpan w:val="8"/>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6"/>
                <w:szCs w:val="16"/>
                <w:color w:val="0000EE"/>
              </w:rPr>
            </w:pPr>
            <w:hyperlink w:anchor="page10">
              <w:r>
                <w:rPr>
                  <w:rFonts w:ascii="Arial" w:cs="Arial" w:eastAsia="Arial" w:hAnsi="Arial"/>
                  <w:sz w:val="16"/>
                  <w:szCs w:val="16"/>
                  <w:color w:val="0000EE"/>
                </w:rPr>
                <w:t>1</w:t>
              </w:r>
            </w:hyperlink>
          </w:p>
        </w:tc>
      </w:tr>
      <w:tr>
        <w:trPr>
          <w:trHeight w:val="20"/>
        </w:trPr>
        <w:tc>
          <w:tcPr>
            <w:tcW w:w="1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3380" w:type="dxa"/>
            <w:vAlign w:val="bottom"/>
            <w:gridSpan w:val="17"/>
          </w:tcPr>
          <w:p>
            <w:pPr>
              <w:spacing w:after="0"/>
              <w:rPr>
                <w:rFonts w:ascii="Arial" w:cs="Arial" w:eastAsia="Arial" w:hAnsi="Arial"/>
                <w:sz w:val="16"/>
                <w:szCs w:val="16"/>
                <w:color w:val="0000EE"/>
                <w:w w:val="99"/>
              </w:rPr>
            </w:pPr>
            <w:hyperlink w:anchor="page16">
              <w:r>
                <w:rPr>
                  <w:rFonts w:ascii="Arial" w:cs="Arial" w:eastAsia="Arial" w:hAnsi="Arial"/>
                  <w:sz w:val="16"/>
                  <w:szCs w:val="16"/>
                  <w:color w:val="0000EE"/>
                  <w:w w:val="99"/>
                </w:rPr>
                <w:t>BOARD AND BOARD COMMITTEE MATTERS</w:t>
              </w:r>
            </w:hyperlink>
          </w:p>
        </w:tc>
        <w:tc>
          <w:tcPr>
            <w:tcW w:w="1280" w:type="dxa"/>
            <w:vAlign w:val="bottom"/>
            <w:gridSpan w:val="4"/>
          </w:tcPr>
          <w:p>
            <w:pPr>
              <w:spacing w:after="0"/>
              <w:rPr>
                <w:sz w:val="24"/>
                <w:szCs w:val="24"/>
                <w:color w:val="auto"/>
              </w:rPr>
            </w:pPr>
          </w:p>
        </w:tc>
        <w:tc>
          <w:tcPr>
            <w:tcW w:w="4300" w:type="dxa"/>
            <w:vAlign w:val="bottom"/>
            <w:gridSpan w:val="8"/>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6"/>
                <w:szCs w:val="16"/>
                <w:color w:val="0000EE"/>
              </w:rPr>
            </w:pPr>
            <w:hyperlink w:anchor="page16">
              <w:r>
                <w:rPr>
                  <w:rFonts w:ascii="Arial" w:cs="Arial" w:eastAsia="Arial" w:hAnsi="Arial"/>
                  <w:sz w:val="16"/>
                  <w:szCs w:val="16"/>
                  <w:color w:val="0000EE"/>
                </w:rPr>
                <w:t>7</w:t>
              </w:r>
            </w:hyperlink>
          </w:p>
        </w:tc>
      </w:tr>
      <w:tr>
        <w:trPr>
          <w:trHeight w:val="20"/>
        </w:trPr>
        <w:tc>
          <w:tcPr>
            <w:tcW w:w="1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gridSpan w:val="5"/>
          </w:tcPr>
          <w:p>
            <w:pPr>
              <w:spacing w:after="0"/>
              <w:rPr>
                <w:rFonts w:ascii="Arial" w:cs="Arial" w:eastAsia="Arial" w:hAnsi="Arial"/>
                <w:sz w:val="16"/>
                <w:szCs w:val="16"/>
                <w:color w:val="0000EE"/>
                <w:w w:val="98"/>
              </w:rPr>
            </w:pPr>
            <w:hyperlink w:anchor="page16">
              <w:r>
                <w:rPr>
                  <w:rFonts w:ascii="Arial" w:cs="Arial" w:eastAsia="Arial" w:hAnsi="Arial"/>
                  <w:sz w:val="16"/>
                  <w:szCs w:val="16"/>
                  <w:color w:val="0000EE"/>
                  <w:w w:val="98"/>
                </w:rPr>
                <w:t>Director Independence</w:t>
              </w:r>
            </w:hyperlink>
          </w:p>
        </w:tc>
        <w:tc>
          <w:tcPr>
            <w:tcW w:w="1060" w:type="dxa"/>
            <w:vAlign w:val="bottom"/>
            <w:gridSpan w:val="10"/>
          </w:tcPr>
          <w:p>
            <w:pPr>
              <w:spacing w:after="0"/>
              <w:rPr>
                <w:sz w:val="24"/>
                <w:szCs w:val="24"/>
                <w:color w:val="auto"/>
              </w:rPr>
            </w:pPr>
          </w:p>
        </w:tc>
        <w:tc>
          <w:tcPr>
            <w:tcW w:w="5580" w:type="dxa"/>
            <w:vAlign w:val="bottom"/>
            <w:gridSpan w:val="12"/>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6"/>
                <w:szCs w:val="16"/>
                <w:color w:val="0000EE"/>
              </w:rPr>
            </w:pPr>
            <w:hyperlink w:anchor="page16">
              <w:r>
                <w:rPr>
                  <w:rFonts w:ascii="Arial" w:cs="Arial" w:eastAsia="Arial" w:hAnsi="Arial"/>
                  <w:sz w:val="16"/>
                  <w:szCs w:val="16"/>
                  <w:color w:val="0000EE"/>
                </w:rPr>
                <w:t>7</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60" w:type="dxa"/>
            <w:vAlign w:val="bottom"/>
            <w:gridSpan w:val="27"/>
          </w:tcPr>
          <w:p>
            <w:pPr>
              <w:spacing w:after="0"/>
              <w:rPr>
                <w:rFonts w:ascii="Arial" w:cs="Arial" w:eastAsia="Arial" w:hAnsi="Arial"/>
                <w:sz w:val="16"/>
                <w:szCs w:val="16"/>
                <w:color w:val="0000EE"/>
              </w:rPr>
            </w:pPr>
            <w:hyperlink w:anchor="page16">
              <w:r>
                <w:rPr>
                  <w:rFonts w:ascii="Arial" w:cs="Arial" w:eastAsia="Arial" w:hAnsi="Arial"/>
                  <w:sz w:val="16"/>
                  <w:szCs w:val="16"/>
                  <w:color w:val="0000EE"/>
                </w:rPr>
                <w:t>Meetings of the Board of Directors</w:t>
              </w:r>
            </w:hyperlink>
          </w:p>
        </w:tc>
        <w:tc>
          <w:tcPr>
            <w:tcW w:w="1320" w:type="dxa"/>
            <w:vAlign w:val="bottom"/>
            <w:gridSpan w:val="3"/>
          </w:tcPr>
          <w:p>
            <w:pPr>
              <w:jc w:val="right"/>
              <w:ind w:right="1140"/>
              <w:spacing w:after="0"/>
              <w:rPr>
                <w:rFonts w:ascii="Arial" w:cs="Arial" w:eastAsia="Arial" w:hAnsi="Arial"/>
                <w:sz w:val="16"/>
                <w:szCs w:val="16"/>
                <w:color w:val="0000EE"/>
              </w:rPr>
            </w:pPr>
            <w:hyperlink w:anchor="page16">
              <w:r>
                <w:rPr>
                  <w:rFonts w:ascii="Arial" w:cs="Arial" w:eastAsia="Arial" w:hAnsi="Arial"/>
                  <w:sz w:val="16"/>
                  <w:szCs w:val="16"/>
                  <w:color w:val="0000EE"/>
                </w:rPr>
                <w:t>7</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80" w:type="dxa"/>
            <w:vAlign w:val="bottom"/>
            <w:gridSpan w:val="14"/>
          </w:tcPr>
          <w:p>
            <w:pPr>
              <w:spacing w:after="0"/>
              <w:rPr>
                <w:rFonts w:ascii="Arial" w:cs="Arial" w:eastAsia="Arial" w:hAnsi="Arial"/>
                <w:sz w:val="16"/>
                <w:szCs w:val="16"/>
                <w:color w:val="0000EE"/>
                <w:w w:val="96"/>
              </w:rPr>
            </w:pPr>
            <w:hyperlink w:anchor="page16">
              <w:r>
                <w:rPr>
                  <w:rFonts w:ascii="Arial" w:cs="Arial" w:eastAsia="Arial" w:hAnsi="Arial"/>
                  <w:sz w:val="16"/>
                  <w:szCs w:val="16"/>
                  <w:color w:val="0000EE"/>
                  <w:w w:val="96"/>
                </w:rPr>
                <w:t>Committees of the Board of Directors</w:t>
              </w:r>
            </w:hyperlink>
          </w:p>
        </w:tc>
        <w:tc>
          <w:tcPr>
            <w:tcW w:w="5680" w:type="dxa"/>
            <w:vAlign w:val="bottom"/>
            <w:gridSpan w:val="13"/>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6"/>
                <w:szCs w:val="16"/>
                <w:color w:val="0000EE"/>
              </w:rPr>
            </w:pPr>
            <w:hyperlink w:anchor="page16">
              <w:r>
                <w:rPr>
                  <w:rFonts w:ascii="Arial" w:cs="Arial" w:eastAsia="Arial" w:hAnsi="Arial"/>
                  <w:sz w:val="16"/>
                  <w:szCs w:val="16"/>
                  <w:color w:val="0000EE"/>
                </w:rPr>
                <w:t>7</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60" w:type="dxa"/>
            <w:vAlign w:val="bottom"/>
            <w:gridSpan w:val="8"/>
          </w:tcPr>
          <w:p>
            <w:pPr>
              <w:spacing w:after="0"/>
              <w:rPr>
                <w:rFonts w:ascii="Arial" w:cs="Arial" w:eastAsia="Arial" w:hAnsi="Arial"/>
                <w:sz w:val="16"/>
                <w:szCs w:val="16"/>
                <w:color w:val="0000EE"/>
                <w:w w:val="99"/>
              </w:rPr>
            </w:pPr>
            <w:hyperlink w:anchor="page18">
              <w:r>
                <w:rPr>
                  <w:rFonts w:ascii="Arial" w:cs="Arial" w:eastAsia="Arial" w:hAnsi="Arial"/>
                  <w:sz w:val="16"/>
                  <w:szCs w:val="16"/>
                  <w:color w:val="0000EE"/>
                  <w:w w:val="99"/>
                </w:rPr>
                <w:t>Board Leadership Structure</w:t>
              </w:r>
            </w:hyperlink>
          </w:p>
        </w:tc>
        <w:tc>
          <w:tcPr>
            <w:tcW w:w="620" w:type="dxa"/>
            <w:vAlign w:val="bottom"/>
            <w:gridSpan w:val="6"/>
          </w:tcPr>
          <w:p>
            <w:pPr>
              <w:spacing w:after="0"/>
              <w:rPr>
                <w:sz w:val="24"/>
                <w:szCs w:val="24"/>
                <w:color w:val="auto"/>
              </w:rPr>
            </w:pPr>
          </w:p>
        </w:tc>
        <w:tc>
          <w:tcPr>
            <w:tcW w:w="5680" w:type="dxa"/>
            <w:vAlign w:val="bottom"/>
            <w:gridSpan w:val="13"/>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6"/>
                <w:szCs w:val="16"/>
                <w:color w:val="0000EE"/>
              </w:rPr>
            </w:pPr>
            <w:hyperlink w:anchor="page18">
              <w:r>
                <w:rPr>
                  <w:rFonts w:ascii="Arial" w:cs="Arial" w:eastAsia="Arial" w:hAnsi="Arial"/>
                  <w:sz w:val="16"/>
                  <w:szCs w:val="16"/>
                  <w:color w:val="0000EE"/>
                </w:rPr>
                <w:t>9</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60" w:type="dxa"/>
            <w:vAlign w:val="bottom"/>
            <w:gridSpan w:val="8"/>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Executive Sessions</w:t>
              </w:r>
            </w:hyperlink>
          </w:p>
        </w:tc>
        <w:tc>
          <w:tcPr>
            <w:tcW w:w="6300" w:type="dxa"/>
            <w:vAlign w:val="bottom"/>
            <w:gridSpan w:val="19"/>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6"/>
                <w:szCs w:val="16"/>
                <w:color w:val="0000EE"/>
              </w:rPr>
            </w:pPr>
            <w:hyperlink w:anchor="page18">
              <w:r>
                <w:rPr>
                  <w:rFonts w:ascii="Arial" w:cs="Arial" w:eastAsia="Arial" w:hAnsi="Arial"/>
                  <w:sz w:val="16"/>
                  <w:szCs w:val="16"/>
                  <w:color w:val="0000EE"/>
                </w:rPr>
                <w:t>9</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gridSpan w:val="7"/>
          </w:tcPr>
          <w:p>
            <w:pPr>
              <w:spacing w:after="0"/>
              <w:rPr>
                <w:rFonts w:ascii="Arial" w:cs="Arial" w:eastAsia="Arial" w:hAnsi="Arial"/>
                <w:sz w:val="16"/>
                <w:szCs w:val="16"/>
                <w:color w:val="0000EE"/>
                <w:w w:val="99"/>
              </w:rPr>
            </w:pPr>
            <w:hyperlink w:anchor="page18">
              <w:r>
                <w:rPr>
                  <w:rFonts w:ascii="Arial" w:cs="Arial" w:eastAsia="Arial" w:hAnsi="Arial"/>
                  <w:sz w:val="16"/>
                  <w:szCs w:val="16"/>
                  <w:color w:val="0000EE"/>
                  <w:w w:val="99"/>
                </w:rPr>
                <w:t>Board Size and Diversity</w:t>
              </w:r>
            </w:hyperlink>
          </w:p>
        </w:tc>
        <w:tc>
          <w:tcPr>
            <w:tcW w:w="6500" w:type="dxa"/>
            <w:vAlign w:val="bottom"/>
            <w:gridSpan w:val="20"/>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6"/>
                <w:szCs w:val="16"/>
                <w:color w:val="0000EE"/>
              </w:rPr>
            </w:pPr>
            <w:hyperlink w:anchor="page18">
              <w:r>
                <w:rPr>
                  <w:rFonts w:ascii="Arial" w:cs="Arial" w:eastAsia="Arial" w:hAnsi="Arial"/>
                  <w:sz w:val="16"/>
                  <w:szCs w:val="16"/>
                  <w:color w:val="0000EE"/>
                </w:rPr>
                <w:t>9</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20" w:type="dxa"/>
            <w:vAlign w:val="bottom"/>
            <w:gridSpan w:val="16"/>
          </w:tcPr>
          <w:p>
            <w:pPr>
              <w:spacing w:after="0"/>
              <w:rPr>
                <w:rFonts w:ascii="Arial" w:cs="Arial" w:eastAsia="Arial" w:hAnsi="Arial"/>
                <w:sz w:val="16"/>
                <w:szCs w:val="16"/>
                <w:color w:val="0000EE"/>
                <w:w w:val="97"/>
              </w:rPr>
            </w:pPr>
            <w:hyperlink w:anchor="page19">
              <w:r>
                <w:rPr>
                  <w:rFonts w:ascii="Arial" w:cs="Arial" w:eastAsia="Arial" w:hAnsi="Arial"/>
                  <w:sz w:val="16"/>
                  <w:szCs w:val="16"/>
                  <w:color w:val="0000EE"/>
                  <w:w w:val="97"/>
                </w:rPr>
                <w:t>Board and Committee Self-Evaluations</w:t>
              </w:r>
            </w:hyperlink>
          </w:p>
        </w:tc>
        <w:tc>
          <w:tcPr>
            <w:tcW w:w="5540" w:type="dxa"/>
            <w:vAlign w:val="bottom"/>
            <w:gridSpan w:val="11"/>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6"/>
                <w:szCs w:val="16"/>
                <w:color w:val="0000EE"/>
                <w:w w:val="89"/>
              </w:rPr>
            </w:pPr>
            <w:hyperlink w:anchor="page19">
              <w:r>
                <w:rPr>
                  <w:rFonts w:ascii="Arial" w:cs="Arial" w:eastAsia="Arial" w:hAnsi="Arial"/>
                  <w:sz w:val="16"/>
                  <w:szCs w:val="16"/>
                  <w:color w:val="0000EE"/>
                  <w:w w:val="89"/>
                </w:rPr>
                <w:t>10</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rFonts w:ascii="Arial" w:cs="Arial" w:eastAsia="Arial" w:hAnsi="Arial"/>
                <w:sz w:val="16"/>
                <w:szCs w:val="16"/>
                <w:color w:val="0000EE"/>
                <w:w w:val="98"/>
              </w:rPr>
            </w:pPr>
            <w:hyperlink w:anchor="page19">
              <w:r>
                <w:rPr>
                  <w:rFonts w:ascii="Arial" w:cs="Arial" w:eastAsia="Arial" w:hAnsi="Arial"/>
                  <w:sz w:val="16"/>
                  <w:szCs w:val="16"/>
                  <w:color w:val="0000EE"/>
                  <w:w w:val="98"/>
                </w:rPr>
                <w:t>Risk Oversight</w:t>
              </w:r>
            </w:hyperlink>
          </w:p>
        </w:tc>
        <w:tc>
          <w:tcPr>
            <w:tcW w:w="1680" w:type="dxa"/>
            <w:vAlign w:val="bottom"/>
            <w:gridSpan w:val="15"/>
          </w:tcPr>
          <w:p>
            <w:pPr>
              <w:spacing w:after="0"/>
              <w:rPr>
                <w:sz w:val="24"/>
                <w:szCs w:val="24"/>
                <w:color w:val="auto"/>
              </w:rPr>
            </w:pPr>
          </w:p>
        </w:tc>
        <w:tc>
          <w:tcPr>
            <w:tcW w:w="5540" w:type="dxa"/>
            <w:vAlign w:val="bottom"/>
            <w:gridSpan w:val="11"/>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6"/>
                <w:szCs w:val="16"/>
                <w:color w:val="0000EE"/>
                <w:w w:val="89"/>
              </w:rPr>
            </w:pPr>
            <w:hyperlink w:anchor="page19">
              <w:r>
                <w:rPr>
                  <w:rFonts w:ascii="Arial" w:cs="Arial" w:eastAsia="Arial" w:hAnsi="Arial"/>
                  <w:sz w:val="16"/>
                  <w:szCs w:val="16"/>
                  <w:color w:val="0000EE"/>
                  <w:w w:val="89"/>
                </w:rPr>
                <w:t>10</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60" w:type="dxa"/>
            <w:vAlign w:val="bottom"/>
            <w:gridSpan w:val="21"/>
          </w:tcPr>
          <w:p>
            <w:pPr>
              <w:spacing w:after="0"/>
              <w:rPr>
                <w:rFonts w:ascii="Arial" w:cs="Arial" w:eastAsia="Arial" w:hAnsi="Arial"/>
                <w:sz w:val="16"/>
                <w:szCs w:val="16"/>
                <w:color w:val="0000EE"/>
                <w:w w:val="99"/>
              </w:rPr>
            </w:pPr>
            <w:hyperlink w:anchor="page20">
              <w:r>
                <w:rPr>
                  <w:rFonts w:ascii="Arial" w:cs="Arial" w:eastAsia="Arial" w:hAnsi="Arial"/>
                  <w:sz w:val="16"/>
                  <w:szCs w:val="16"/>
                  <w:color w:val="0000EE"/>
                  <w:w w:val="99"/>
                </w:rPr>
                <w:t>Code of Business Conduct and Ethics &amp; Whistleblower Policy</w:t>
              </w:r>
            </w:hyperlink>
          </w:p>
        </w:tc>
        <w:tc>
          <w:tcPr>
            <w:tcW w:w="3900" w:type="dxa"/>
            <w:vAlign w:val="bottom"/>
            <w:gridSpan w:val="6"/>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6"/>
                <w:szCs w:val="16"/>
                <w:color w:val="0000EE"/>
                <w:w w:val="89"/>
              </w:rPr>
            </w:pPr>
            <w:hyperlink w:anchor="page20">
              <w:r>
                <w:rPr>
                  <w:rFonts w:ascii="Arial" w:cs="Arial" w:eastAsia="Arial" w:hAnsi="Arial"/>
                  <w:sz w:val="16"/>
                  <w:szCs w:val="16"/>
                  <w:color w:val="0000EE"/>
                  <w:w w:val="89"/>
                </w:rPr>
                <w:t>11</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40" w:type="dxa"/>
            <w:vAlign w:val="bottom"/>
            <w:gridSpan w:val="6"/>
          </w:tcPr>
          <w:p>
            <w:pPr>
              <w:spacing w:after="0"/>
              <w:rPr>
                <w:rFonts w:ascii="Arial" w:cs="Arial" w:eastAsia="Arial" w:hAnsi="Arial"/>
                <w:sz w:val="16"/>
                <w:szCs w:val="16"/>
                <w:color w:val="0000EE"/>
                <w:w w:val="98"/>
              </w:rPr>
            </w:pPr>
            <w:hyperlink w:anchor="page20">
              <w:r>
                <w:rPr>
                  <w:rFonts w:ascii="Arial" w:cs="Arial" w:eastAsia="Arial" w:hAnsi="Arial"/>
                  <w:sz w:val="16"/>
                  <w:szCs w:val="16"/>
                  <w:color w:val="0000EE"/>
                  <w:w w:val="98"/>
                </w:rPr>
                <w:t>Director Compensation</w:t>
              </w:r>
            </w:hyperlink>
          </w:p>
        </w:tc>
        <w:tc>
          <w:tcPr>
            <w:tcW w:w="2720" w:type="dxa"/>
            <w:vAlign w:val="bottom"/>
            <w:gridSpan w:val="15"/>
          </w:tcPr>
          <w:p>
            <w:pPr>
              <w:spacing w:after="0"/>
              <w:rPr>
                <w:sz w:val="24"/>
                <w:szCs w:val="24"/>
                <w:color w:val="auto"/>
              </w:rPr>
            </w:pPr>
          </w:p>
        </w:tc>
        <w:tc>
          <w:tcPr>
            <w:tcW w:w="3900" w:type="dxa"/>
            <w:vAlign w:val="bottom"/>
            <w:gridSpan w:val="6"/>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6"/>
                <w:szCs w:val="16"/>
                <w:color w:val="0000EE"/>
                <w:w w:val="89"/>
              </w:rPr>
            </w:pPr>
            <w:hyperlink w:anchor="page20">
              <w:r>
                <w:rPr>
                  <w:rFonts w:ascii="Arial" w:cs="Arial" w:eastAsia="Arial" w:hAnsi="Arial"/>
                  <w:sz w:val="16"/>
                  <w:szCs w:val="16"/>
                  <w:color w:val="0000EE"/>
                  <w:w w:val="89"/>
                </w:rPr>
                <w:t>11</w:t>
              </w:r>
            </w:hyperlink>
          </w:p>
        </w:tc>
      </w:tr>
      <w:tr>
        <w:trPr>
          <w:trHeight w:val="20"/>
        </w:trPr>
        <w:tc>
          <w:tcPr>
            <w:tcW w:w="1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8960" w:type="dxa"/>
            <w:vAlign w:val="bottom"/>
            <w:gridSpan w:val="29"/>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PROPOSAL NO. 1  Election of Directors</w:t>
              </w:r>
            </w:hyperlink>
          </w:p>
        </w:tc>
        <w:tc>
          <w:tcPr>
            <w:tcW w:w="1320" w:type="dxa"/>
            <w:vAlign w:val="bottom"/>
            <w:gridSpan w:val="3"/>
          </w:tcPr>
          <w:p>
            <w:pPr>
              <w:jc w:val="right"/>
              <w:ind w:right="1140"/>
              <w:spacing w:after="0"/>
              <w:rPr>
                <w:rFonts w:ascii="Arial" w:cs="Arial" w:eastAsia="Arial" w:hAnsi="Arial"/>
                <w:sz w:val="16"/>
                <w:szCs w:val="16"/>
                <w:color w:val="0000EE"/>
                <w:w w:val="89"/>
              </w:rPr>
            </w:pPr>
            <w:hyperlink w:anchor="page22">
              <w:r>
                <w:rPr>
                  <w:rFonts w:ascii="Arial" w:cs="Arial" w:eastAsia="Arial" w:hAnsi="Arial"/>
                  <w:sz w:val="16"/>
                  <w:szCs w:val="16"/>
                  <w:color w:val="0000EE"/>
                  <w:w w:val="89"/>
                </w:rPr>
                <w:t>13</w:t>
              </w:r>
            </w:hyperlink>
          </w:p>
        </w:tc>
      </w:tr>
      <w:tr>
        <w:trPr>
          <w:trHeight w:val="20"/>
        </w:trPr>
        <w:tc>
          <w:tcPr>
            <w:tcW w:w="1140" w:type="dxa"/>
            <w:vAlign w:val="bottom"/>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6180" w:type="dxa"/>
            <w:vAlign w:val="bottom"/>
            <w:gridSpan w:val="26"/>
          </w:tcPr>
          <w:p>
            <w:pPr>
              <w:spacing w:after="0"/>
              <w:rPr>
                <w:rFonts w:ascii="Arial" w:cs="Arial" w:eastAsia="Arial" w:hAnsi="Arial"/>
                <w:sz w:val="16"/>
                <w:szCs w:val="16"/>
                <w:color w:val="0000EE"/>
                <w:w w:val="99"/>
              </w:rPr>
            </w:pPr>
            <w:hyperlink w:anchor="page26">
              <w:r>
                <w:rPr>
                  <w:rFonts w:ascii="Arial" w:cs="Arial" w:eastAsia="Arial" w:hAnsi="Arial"/>
                  <w:sz w:val="16"/>
                  <w:szCs w:val="16"/>
                  <w:color w:val="0000EE"/>
                  <w:w w:val="99"/>
                </w:rPr>
                <w:t>SECURITY OWNERSHIP OF CERTAIN BENEFICIAL OWNERS AND MANAGEMENT</w:t>
              </w:r>
            </w:hyperlink>
          </w:p>
        </w:tc>
        <w:tc>
          <w:tcPr>
            <w:tcW w:w="2780" w:type="dxa"/>
            <w:vAlign w:val="bottom"/>
            <w:gridSpan w:val="3"/>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6"/>
                <w:szCs w:val="16"/>
                <w:color w:val="0000EE"/>
                <w:w w:val="89"/>
              </w:rPr>
            </w:pPr>
            <w:hyperlink w:anchor="page26">
              <w:r>
                <w:rPr>
                  <w:rFonts w:ascii="Arial" w:cs="Arial" w:eastAsia="Arial" w:hAnsi="Arial"/>
                  <w:sz w:val="16"/>
                  <w:szCs w:val="16"/>
                  <w:color w:val="0000EE"/>
                  <w:w w:val="89"/>
                </w:rPr>
                <w:t>17</w:t>
              </w:r>
            </w:hyperlink>
          </w:p>
        </w:tc>
      </w:tr>
      <w:tr>
        <w:trPr>
          <w:trHeight w:val="20"/>
        </w:trPr>
        <w:tc>
          <w:tcPr>
            <w:tcW w:w="1140" w:type="dxa"/>
            <w:vAlign w:val="bottom"/>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6180" w:type="dxa"/>
            <w:vAlign w:val="bottom"/>
            <w:gridSpan w:val="26"/>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AUDIT COMMITTEE REPORT</w:t>
              </w:r>
            </w:hyperlink>
          </w:p>
        </w:tc>
        <w:tc>
          <w:tcPr>
            <w:tcW w:w="2780" w:type="dxa"/>
            <w:vAlign w:val="bottom"/>
            <w:gridSpan w:val="3"/>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6"/>
                <w:szCs w:val="16"/>
                <w:color w:val="0000EE"/>
                <w:w w:val="89"/>
              </w:rPr>
            </w:pPr>
            <w:hyperlink w:anchor="page28">
              <w:r>
                <w:rPr>
                  <w:rFonts w:ascii="Arial" w:cs="Arial" w:eastAsia="Arial" w:hAnsi="Arial"/>
                  <w:sz w:val="16"/>
                  <w:szCs w:val="16"/>
                  <w:color w:val="0000EE"/>
                  <w:w w:val="89"/>
                </w:rPr>
                <w:t>19</w:t>
              </w:r>
            </w:hyperlink>
          </w:p>
        </w:tc>
      </w:tr>
      <w:tr>
        <w:trPr>
          <w:trHeight w:val="20"/>
        </w:trPr>
        <w:tc>
          <w:tcPr>
            <w:tcW w:w="1140" w:type="dxa"/>
            <w:vAlign w:val="bottom"/>
          </w:tcPr>
          <w:p>
            <w:pPr>
              <w:spacing w:after="0" w:line="20" w:lineRule="exact"/>
              <w:rPr>
                <w:sz w:val="1"/>
                <w:szCs w:val="1"/>
                <w:color w:val="auto"/>
              </w:rPr>
            </w:pPr>
          </w:p>
        </w:tc>
        <w:tc>
          <w:tcPr>
            <w:tcW w:w="22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8960" w:type="dxa"/>
            <w:vAlign w:val="bottom"/>
            <w:gridSpan w:val="29"/>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EXECUTIVE OFFICERS OF THE COMPANY</w:t>
              </w:r>
            </w:hyperlink>
          </w:p>
        </w:tc>
        <w:tc>
          <w:tcPr>
            <w:tcW w:w="1320" w:type="dxa"/>
            <w:vAlign w:val="bottom"/>
            <w:gridSpan w:val="3"/>
          </w:tcPr>
          <w:p>
            <w:pPr>
              <w:jc w:val="right"/>
              <w:ind w:right="1140"/>
              <w:spacing w:after="0"/>
              <w:rPr>
                <w:rFonts w:ascii="Arial" w:cs="Arial" w:eastAsia="Arial" w:hAnsi="Arial"/>
                <w:sz w:val="16"/>
                <w:szCs w:val="16"/>
                <w:color w:val="0000EE"/>
                <w:w w:val="89"/>
              </w:rPr>
            </w:pPr>
            <w:hyperlink w:anchor="page29">
              <w:r>
                <w:rPr>
                  <w:rFonts w:ascii="Arial" w:cs="Arial" w:eastAsia="Arial" w:hAnsi="Arial"/>
                  <w:sz w:val="16"/>
                  <w:szCs w:val="16"/>
                  <w:color w:val="0000EE"/>
                  <w:w w:val="89"/>
                </w:rPr>
                <w:t>20</w:t>
              </w:r>
            </w:hyperlink>
          </w:p>
        </w:tc>
      </w:tr>
      <w:tr>
        <w:trPr>
          <w:trHeight w:val="20"/>
        </w:trPr>
        <w:tc>
          <w:tcPr>
            <w:tcW w:w="1140" w:type="dxa"/>
            <w:vAlign w:val="bottom"/>
          </w:tcPr>
          <w:p>
            <w:pPr>
              <w:spacing w:after="0" w:line="20" w:lineRule="exact"/>
              <w:rPr>
                <w:sz w:val="1"/>
                <w:szCs w:val="1"/>
                <w:color w:val="auto"/>
              </w:rPr>
            </w:pPr>
          </w:p>
        </w:tc>
        <w:tc>
          <w:tcPr>
            <w:tcW w:w="2240" w:type="dxa"/>
            <w:vAlign w:val="bottom"/>
            <w:gridSpan w:val="6"/>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3240" w:type="dxa"/>
            <w:vAlign w:val="bottom"/>
            <w:gridSpan w:val="15"/>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EXECUTIVE COMPENSATION</w:t>
              </w:r>
            </w:hyperlink>
          </w:p>
        </w:tc>
        <w:tc>
          <w:tcPr>
            <w:tcW w:w="5720" w:type="dxa"/>
            <w:vAlign w:val="bottom"/>
            <w:gridSpan w:val="14"/>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6"/>
                <w:szCs w:val="16"/>
                <w:color w:val="0000EE"/>
                <w:w w:val="89"/>
              </w:rPr>
            </w:pPr>
            <w:hyperlink w:anchor="page30">
              <w:r>
                <w:rPr>
                  <w:rFonts w:ascii="Arial" w:cs="Arial" w:eastAsia="Arial" w:hAnsi="Arial"/>
                  <w:sz w:val="16"/>
                  <w:szCs w:val="16"/>
                  <w:color w:val="0000EE"/>
                  <w:w w:val="89"/>
                </w:rPr>
                <w:t>21</w:t>
              </w:r>
            </w:hyperlink>
          </w:p>
        </w:tc>
      </w:tr>
      <w:tr>
        <w:trPr>
          <w:trHeight w:val="20"/>
        </w:trPr>
        <w:tc>
          <w:tcPr>
            <w:tcW w:w="1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60" w:type="dxa"/>
            <w:vAlign w:val="bottom"/>
            <w:gridSpan w:val="27"/>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Compensation Discussion &amp; Analysis</w:t>
              </w:r>
            </w:hyperlink>
          </w:p>
        </w:tc>
        <w:tc>
          <w:tcPr>
            <w:tcW w:w="1320" w:type="dxa"/>
            <w:vAlign w:val="bottom"/>
            <w:gridSpan w:val="3"/>
          </w:tcPr>
          <w:p>
            <w:pPr>
              <w:jc w:val="right"/>
              <w:ind w:right="1140"/>
              <w:spacing w:after="0"/>
              <w:rPr>
                <w:rFonts w:ascii="Arial" w:cs="Arial" w:eastAsia="Arial" w:hAnsi="Arial"/>
                <w:sz w:val="16"/>
                <w:szCs w:val="16"/>
                <w:color w:val="0000EE"/>
                <w:w w:val="89"/>
              </w:rPr>
            </w:pPr>
            <w:hyperlink w:anchor="page30">
              <w:r>
                <w:rPr>
                  <w:rFonts w:ascii="Arial" w:cs="Arial" w:eastAsia="Arial" w:hAnsi="Arial"/>
                  <w:sz w:val="16"/>
                  <w:szCs w:val="16"/>
                  <w:color w:val="0000EE"/>
                  <w:w w:val="89"/>
                </w:rPr>
                <w:t>21</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20" w:type="dxa"/>
            <w:vAlign w:val="bottom"/>
            <w:gridSpan w:val="22"/>
          </w:tcPr>
          <w:p>
            <w:pPr>
              <w:spacing w:after="0"/>
              <w:rPr>
                <w:rFonts w:ascii="Arial" w:cs="Arial" w:eastAsia="Arial" w:hAnsi="Arial"/>
                <w:sz w:val="16"/>
                <w:szCs w:val="16"/>
                <w:color w:val="0000EE"/>
                <w:w w:val="99"/>
              </w:rPr>
            </w:pPr>
            <w:hyperlink w:anchor="page43">
              <w:r>
                <w:rPr>
                  <w:rFonts w:ascii="Arial" w:cs="Arial" w:eastAsia="Arial" w:hAnsi="Arial"/>
                  <w:sz w:val="16"/>
                  <w:szCs w:val="16"/>
                  <w:color w:val="0000EE"/>
                  <w:w w:val="99"/>
                </w:rPr>
                <w:t>Compensation Committee Report on Executive Compensation</w:t>
              </w:r>
            </w:hyperlink>
          </w:p>
        </w:tc>
        <w:tc>
          <w:tcPr>
            <w:tcW w:w="3840" w:type="dxa"/>
            <w:vAlign w:val="bottom"/>
            <w:gridSpan w:val="5"/>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6"/>
                <w:szCs w:val="16"/>
                <w:color w:val="0000EE"/>
                <w:w w:val="89"/>
              </w:rPr>
            </w:pPr>
            <w:hyperlink w:anchor="page43">
              <w:r>
                <w:rPr>
                  <w:rFonts w:ascii="Arial" w:cs="Arial" w:eastAsia="Arial" w:hAnsi="Arial"/>
                  <w:sz w:val="16"/>
                  <w:szCs w:val="16"/>
                  <w:color w:val="0000EE"/>
                  <w:w w:val="89"/>
                </w:rPr>
                <w:t>34</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20" w:type="dxa"/>
            <w:vAlign w:val="bottom"/>
            <w:gridSpan w:val="22"/>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Summary Compensation Table</w:t>
              </w:r>
            </w:hyperlink>
          </w:p>
        </w:tc>
        <w:tc>
          <w:tcPr>
            <w:tcW w:w="3840" w:type="dxa"/>
            <w:vAlign w:val="bottom"/>
            <w:gridSpan w:val="5"/>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6"/>
                <w:szCs w:val="16"/>
                <w:color w:val="0000EE"/>
                <w:w w:val="89"/>
              </w:rPr>
            </w:pPr>
            <w:hyperlink w:anchor="page44">
              <w:r>
                <w:rPr>
                  <w:rFonts w:ascii="Arial" w:cs="Arial" w:eastAsia="Arial" w:hAnsi="Arial"/>
                  <w:sz w:val="16"/>
                  <w:szCs w:val="16"/>
                  <w:color w:val="0000EE"/>
                  <w:w w:val="89"/>
                </w:rPr>
                <w:t>35</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80" w:type="dxa"/>
            <w:vAlign w:val="bottom"/>
            <w:gridSpan w:val="10"/>
          </w:tcPr>
          <w:p>
            <w:pPr>
              <w:spacing w:after="0"/>
              <w:rPr>
                <w:rFonts w:ascii="Arial" w:cs="Arial" w:eastAsia="Arial" w:hAnsi="Arial"/>
                <w:sz w:val="16"/>
                <w:szCs w:val="16"/>
                <w:color w:val="0000EE"/>
              </w:rPr>
            </w:pPr>
            <w:hyperlink w:anchor="page46">
              <w:r>
                <w:rPr>
                  <w:rFonts w:ascii="Arial" w:cs="Arial" w:eastAsia="Arial" w:hAnsi="Arial"/>
                  <w:sz w:val="16"/>
                  <w:szCs w:val="16"/>
                  <w:color w:val="0000EE"/>
                </w:rPr>
                <w:t>Grants of Plan-Based Awards</w:t>
              </w:r>
            </w:hyperlink>
          </w:p>
        </w:tc>
        <w:tc>
          <w:tcPr>
            <w:tcW w:w="6080" w:type="dxa"/>
            <w:vAlign w:val="bottom"/>
            <w:gridSpan w:val="17"/>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6"/>
                <w:szCs w:val="16"/>
                <w:color w:val="0000EE"/>
                <w:w w:val="89"/>
              </w:rPr>
            </w:pPr>
            <w:hyperlink w:anchor="page46">
              <w:r>
                <w:rPr>
                  <w:rFonts w:ascii="Arial" w:cs="Arial" w:eastAsia="Arial" w:hAnsi="Arial"/>
                  <w:sz w:val="16"/>
                  <w:szCs w:val="16"/>
                  <w:color w:val="0000EE"/>
                  <w:w w:val="89"/>
                </w:rPr>
                <w:t>37</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9"/>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80" w:type="dxa"/>
            <w:vAlign w:val="bottom"/>
            <w:gridSpan w:val="17"/>
          </w:tcPr>
          <w:p>
            <w:pPr>
              <w:spacing w:after="0"/>
              <w:rPr>
                <w:rFonts w:ascii="Arial" w:cs="Arial" w:eastAsia="Arial" w:hAnsi="Arial"/>
                <w:sz w:val="16"/>
                <w:szCs w:val="16"/>
                <w:color w:val="0000EE"/>
                <w:w w:val="99"/>
              </w:rPr>
            </w:pPr>
            <w:hyperlink w:anchor="page47">
              <w:r>
                <w:rPr>
                  <w:rFonts w:ascii="Arial" w:cs="Arial" w:eastAsia="Arial" w:hAnsi="Arial"/>
                  <w:sz w:val="16"/>
                  <w:szCs w:val="16"/>
                  <w:color w:val="0000EE"/>
                  <w:w w:val="99"/>
                </w:rPr>
                <w:t>Outstanding Equity Awards at Fiscal Year-End</w:t>
              </w:r>
            </w:hyperlink>
          </w:p>
        </w:tc>
        <w:tc>
          <w:tcPr>
            <w:tcW w:w="4980" w:type="dxa"/>
            <w:vAlign w:val="bottom"/>
            <w:gridSpan w:val="10"/>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6"/>
                <w:szCs w:val="16"/>
                <w:color w:val="0000EE"/>
                <w:w w:val="89"/>
              </w:rPr>
            </w:pPr>
            <w:hyperlink w:anchor="page47">
              <w:r>
                <w:rPr>
                  <w:rFonts w:ascii="Arial" w:cs="Arial" w:eastAsia="Arial" w:hAnsi="Arial"/>
                  <w:sz w:val="16"/>
                  <w:szCs w:val="16"/>
                  <w:color w:val="0000EE"/>
                  <w:w w:val="89"/>
                </w:rPr>
                <w:t>38</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80" w:type="dxa"/>
            <w:vAlign w:val="bottom"/>
            <w:gridSpan w:val="14"/>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80" w:type="dxa"/>
            <w:vAlign w:val="bottom"/>
            <w:gridSpan w:val="14"/>
          </w:tcPr>
          <w:p>
            <w:pPr>
              <w:spacing w:after="0"/>
              <w:rPr>
                <w:rFonts w:ascii="Arial" w:cs="Arial" w:eastAsia="Arial" w:hAnsi="Arial"/>
                <w:sz w:val="16"/>
                <w:szCs w:val="16"/>
                <w:color w:val="0000EE"/>
                <w:w w:val="98"/>
              </w:rPr>
            </w:pPr>
            <w:hyperlink w:anchor="page48">
              <w:r>
                <w:rPr>
                  <w:rFonts w:ascii="Arial" w:cs="Arial" w:eastAsia="Arial" w:hAnsi="Arial"/>
                  <w:sz w:val="16"/>
                  <w:szCs w:val="16"/>
                  <w:color w:val="0000EE"/>
                  <w:w w:val="98"/>
                </w:rPr>
                <w:t>Options Exercises and Stock Vested</w:t>
              </w:r>
            </w:hyperlink>
          </w:p>
        </w:tc>
        <w:tc>
          <w:tcPr>
            <w:tcW w:w="700" w:type="dxa"/>
            <w:vAlign w:val="bottom"/>
            <w:gridSpan w:val="3"/>
          </w:tcPr>
          <w:p>
            <w:pPr>
              <w:spacing w:after="0"/>
              <w:rPr>
                <w:sz w:val="24"/>
                <w:szCs w:val="24"/>
                <w:color w:val="auto"/>
              </w:rPr>
            </w:pPr>
          </w:p>
        </w:tc>
        <w:tc>
          <w:tcPr>
            <w:tcW w:w="4980" w:type="dxa"/>
            <w:vAlign w:val="bottom"/>
            <w:gridSpan w:val="10"/>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6"/>
                <w:szCs w:val="16"/>
                <w:color w:val="0000EE"/>
                <w:w w:val="89"/>
              </w:rPr>
            </w:pPr>
            <w:hyperlink w:anchor="page48">
              <w:r>
                <w:rPr>
                  <w:rFonts w:ascii="Arial" w:cs="Arial" w:eastAsia="Arial" w:hAnsi="Arial"/>
                  <w:sz w:val="16"/>
                  <w:szCs w:val="16"/>
                  <w:color w:val="0000EE"/>
                  <w:w w:val="89"/>
                </w:rPr>
                <w:t>39</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80" w:type="dxa"/>
            <w:vAlign w:val="bottom"/>
            <w:gridSpan w:val="1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60" w:type="dxa"/>
            <w:vAlign w:val="bottom"/>
            <w:gridSpan w:val="27"/>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Non-Qualified Deferred Compensation</w:t>
              </w:r>
            </w:hyperlink>
          </w:p>
        </w:tc>
        <w:tc>
          <w:tcPr>
            <w:tcW w:w="1320" w:type="dxa"/>
            <w:vAlign w:val="bottom"/>
            <w:gridSpan w:val="3"/>
          </w:tcPr>
          <w:p>
            <w:pPr>
              <w:jc w:val="right"/>
              <w:ind w:right="1140"/>
              <w:spacing w:after="0"/>
              <w:rPr>
                <w:rFonts w:ascii="Arial" w:cs="Arial" w:eastAsia="Arial" w:hAnsi="Arial"/>
                <w:sz w:val="16"/>
                <w:szCs w:val="16"/>
                <w:color w:val="0000EE"/>
                <w:w w:val="89"/>
              </w:rPr>
            </w:pPr>
            <w:hyperlink w:anchor="page49">
              <w:r>
                <w:rPr>
                  <w:rFonts w:ascii="Arial" w:cs="Arial" w:eastAsia="Arial" w:hAnsi="Arial"/>
                  <w:sz w:val="16"/>
                  <w:szCs w:val="16"/>
                  <w:color w:val="0000EE"/>
                  <w:w w:val="89"/>
                </w:rPr>
                <w:t>40</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gridSpan w:val="16"/>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0" w:type="dxa"/>
            <w:vAlign w:val="bottom"/>
            <w:gridSpan w:val="18"/>
          </w:tcPr>
          <w:p>
            <w:pPr>
              <w:spacing w:after="0"/>
              <w:rPr>
                <w:rFonts w:ascii="Arial" w:cs="Arial" w:eastAsia="Arial" w:hAnsi="Arial"/>
                <w:sz w:val="16"/>
                <w:szCs w:val="16"/>
                <w:color w:val="0000EE"/>
                <w:w w:val="99"/>
              </w:rPr>
            </w:pPr>
            <w:hyperlink w:anchor="page50">
              <w:r>
                <w:rPr>
                  <w:rFonts w:ascii="Arial" w:cs="Arial" w:eastAsia="Arial" w:hAnsi="Arial"/>
                  <w:sz w:val="16"/>
                  <w:szCs w:val="16"/>
                  <w:color w:val="0000EE"/>
                  <w:w w:val="99"/>
                </w:rPr>
                <w:t>Agreements with Our Named Executive Officers</w:t>
              </w:r>
            </w:hyperlink>
          </w:p>
        </w:tc>
        <w:tc>
          <w:tcPr>
            <w:tcW w:w="4860" w:type="dxa"/>
            <w:vAlign w:val="bottom"/>
            <w:gridSpan w:val="9"/>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6"/>
                <w:szCs w:val="16"/>
                <w:color w:val="0000EE"/>
                <w:w w:val="89"/>
              </w:rPr>
            </w:pPr>
            <w:hyperlink w:anchor="page50">
              <w:r>
                <w:rPr>
                  <w:rFonts w:ascii="Arial" w:cs="Arial" w:eastAsia="Arial" w:hAnsi="Arial"/>
                  <w:sz w:val="16"/>
                  <w:szCs w:val="16"/>
                  <w:color w:val="0000EE"/>
                  <w:w w:val="89"/>
                </w:rPr>
                <w:t>41</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0" w:type="dxa"/>
            <w:vAlign w:val="bottom"/>
            <w:gridSpan w:val="18"/>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80" w:type="dxa"/>
            <w:vAlign w:val="bottom"/>
            <w:gridSpan w:val="20"/>
          </w:tcPr>
          <w:p>
            <w:pPr>
              <w:spacing w:after="0"/>
              <w:rPr>
                <w:rFonts w:ascii="Arial" w:cs="Arial" w:eastAsia="Arial" w:hAnsi="Arial"/>
                <w:sz w:val="16"/>
                <w:szCs w:val="16"/>
                <w:color w:val="0000EE"/>
                <w:w w:val="99"/>
              </w:rPr>
            </w:pPr>
            <w:hyperlink w:anchor="page52">
              <w:r>
                <w:rPr>
                  <w:rFonts w:ascii="Arial" w:cs="Arial" w:eastAsia="Arial" w:hAnsi="Arial"/>
                  <w:sz w:val="16"/>
                  <w:szCs w:val="16"/>
                  <w:color w:val="0000EE"/>
                  <w:w w:val="99"/>
                </w:rPr>
                <w:t>Potential Payments upon Termination or Change in Control</w:t>
              </w:r>
            </w:hyperlink>
          </w:p>
        </w:tc>
        <w:tc>
          <w:tcPr>
            <w:tcW w:w="4080" w:type="dxa"/>
            <w:vAlign w:val="bottom"/>
            <w:gridSpan w:val="7"/>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6"/>
                <w:szCs w:val="16"/>
                <w:color w:val="0000EE"/>
                <w:w w:val="89"/>
              </w:rPr>
            </w:pPr>
            <w:hyperlink w:anchor="page52">
              <w:r>
                <w:rPr>
                  <w:rFonts w:ascii="Arial" w:cs="Arial" w:eastAsia="Arial" w:hAnsi="Arial"/>
                  <w:sz w:val="16"/>
                  <w:szCs w:val="16"/>
                  <w:color w:val="0000EE"/>
                  <w:w w:val="89"/>
                </w:rPr>
                <w:t>43</w:t>
              </w:r>
            </w:hyperlink>
          </w:p>
        </w:tc>
      </w:tr>
      <w:tr>
        <w:trPr>
          <w:trHeight w:val="20"/>
        </w:trPr>
        <w:tc>
          <w:tcPr>
            <w:tcW w:w="1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180" w:type="dxa"/>
            <w:vAlign w:val="bottom"/>
            <w:gridSpan w:val="20"/>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7580" w:type="dxa"/>
            <w:vAlign w:val="bottom"/>
            <w:gridSpan w:val="28"/>
          </w:tcPr>
          <w:p>
            <w:pPr>
              <w:spacing w:after="0"/>
              <w:rPr>
                <w:rFonts w:ascii="Arial" w:cs="Arial" w:eastAsia="Arial" w:hAnsi="Arial"/>
                <w:sz w:val="16"/>
                <w:szCs w:val="16"/>
                <w:color w:val="0000EE"/>
              </w:rPr>
            </w:pPr>
            <w:hyperlink w:anchor="page57">
              <w:r>
                <w:rPr>
                  <w:rFonts w:ascii="Arial" w:cs="Arial" w:eastAsia="Arial" w:hAnsi="Arial"/>
                  <w:sz w:val="16"/>
                  <w:szCs w:val="16"/>
                  <w:color w:val="0000EE"/>
                </w:rPr>
                <w:t>PROPOSAL NO. 2  Advisory Vote to Approve Compensation of the Company's Named Executive Officers</w:t>
              </w:r>
            </w:hyperlink>
          </w:p>
        </w:tc>
        <w:tc>
          <w:tcPr>
            <w:tcW w:w="1380" w:type="dxa"/>
            <w:vAlign w:val="bottom"/>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6"/>
                <w:szCs w:val="16"/>
                <w:color w:val="0000EE"/>
                <w:w w:val="89"/>
              </w:rPr>
            </w:pPr>
            <w:hyperlink w:anchor="page57">
              <w:r>
                <w:rPr>
                  <w:rFonts w:ascii="Arial" w:cs="Arial" w:eastAsia="Arial" w:hAnsi="Arial"/>
                  <w:sz w:val="16"/>
                  <w:szCs w:val="16"/>
                  <w:color w:val="0000EE"/>
                  <w:w w:val="89"/>
                </w:rPr>
                <w:t>48</w:t>
              </w:r>
            </w:hyperlink>
          </w:p>
        </w:tc>
      </w:tr>
      <w:tr>
        <w:trPr>
          <w:trHeight w:val="20"/>
        </w:trPr>
        <w:tc>
          <w:tcPr>
            <w:tcW w:w="1140" w:type="dxa"/>
            <w:vAlign w:val="bottom"/>
          </w:tcPr>
          <w:p>
            <w:pPr>
              <w:spacing w:after="0" w:line="20" w:lineRule="exact"/>
              <w:rPr>
                <w:sz w:val="1"/>
                <w:szCs w:val="1"/>
                <w:color w:val="auto"/>
              </w:rPr>
            </w:pPr>
          </w:p>
        </w:tc>
        <w:tc>
          <w:tcPr>
            <w:tcW w:w="6040" w:type="dxa"/>
            <w:vAlign w:val="bottom"/>
            <w:gridSpan w:val="25"/>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7580" w:type="dxa"/>
            <w:vAlign w:val="bottom"/>
            <w:gridSpan w:val="28"/>
          </w:tcPr>
          <w:p>
            <w:pPr>
              <w:spacing w:after="0"/>
              <w:rPr>
                <w:rFonts w:ascii="Arial" w:cs="Arial" w:eastAsia="Arial" w:hAnsi="Arial"/>
                <w:sz w:val="16"/>
                <w:szCs w:val="16"/>
                <w:color w:val="0000EE"/>
              </w:rPr>
            </w:pPr>
            <w:hyperlink w:anchor="page58">
              <w:r>
                <w:rPr>
                  <w:rFonts w:ascii="Arial" w:cs="Arial" w:eastAsia="Arial" w:hAnsi="Arial"/>
                  <w:sz w:val="16"/>
                  <w:szCs w:val="16"/>
                  <w:color w:val="0000EE"/>
                </w:rPr>
                <w:t>PROPOSAL NO. 3  Approval of the Uniti Group Inc. Employee Stock Purchase Plan</w:t>
              </w:r>
            </w:hyperlink>
          </w:p>
        </w:tc>
        <w:tc>
          <w:tcPr>
            <w:tcW w:w="1380" w:type="dxa"/>
            <w:vAlign w:val="bottom"/>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6"/>
                <w:szCs w:val="16"/>
                <w:color w:val="0000EE"/>
                <w:w w:val="89"/>
              </w:rPr>
            </w:pPr>
            <w:hyperlink w:anchor="page58">
              <w:r>
                <w:rPr>
                  <w:rFonts w:ascii="Arial" w:cs="Arial" w:eastAsia="Arial" w:hAnsi="Arial"/>
                  <w:sz w:val="16"/>
                  <w:szCs w:val="16"/>
                  <w:color w:val="0000EE"/>
                  <w:w w:val="89"/>
                </w:rPr>
                <w:t>49</w:t>
              </w:r>
            </w:hyperlink>
          </w:p>
        </w:tc>
      </w:tr>
      <w:tr>
        <w:trPr>
          <w:trHeight w:val="20"/>
        </w:trPr>
        <w:tc>
          <w:tcPr>
            <w:tcW w:w="1140" w:type="dxa"/>
            <w:vAlign w:val="bottom"/>
          </w:tcPr>
          <w:p>
            <w:pPr>
              <w:spacing w:after="0" w:line="20" w:lineRule="exact"/>
              <w:rPr>
                <w:sz w:val="1"/>
                <w:szCs w:val="1"/>
                <w:color w:val="auto"/>
              </w:rPr>
            </w:pPr>
          </w:p>
        </w:tc>
        <w:tc>
          <w:tcPr>
            <w:tcW w:w="6040" w:type="dxa"/>
            <w:vAlign w:val="bottom"/>
            <w:gridSpan w:val="25"/>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8960" w:type="dxa"/>
            <w:vAlign w:val="bottom"/>
            <w:gridSpan w:val="29"/>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PROPOSAL NO. 4  Amendment to Provide Stockholders With the Power to Amend the Bylaws</w:t>
              </w:r>
            </w:hyperlink>
          </w:p>
        </w:tc>
        <w:tc>
          <w:tcPr>
            <w:tcW w:w="1320" w:type="dxa"/>
            <w:vAlign w:val="bottom"/>
            <w:gridSpan w:val="3"/>
          </w:tcPr>
          <w:p>
            <w:pPr>
              <w:jc w:val="right"/>
              <w:ind w:right="1140"/>
              <w:spacing w:after="0"/>
              <w:rPr>
                <w:rFonts w:ascii="Arial" w:cs="Arial" w:eastAsia="Arial" w:hAnsi="Arial"/>
                <w:sz w:val="16"/>
                <w:szCs w:val="16"/>
                <w:color w:val="0000EE"/>
                <w:w w:val="89"/>
              </w:rPr>
            </w:pPr>
            <w:hyperlink w:anchor="page62">
              <w:r>
                <w:rPr>
                  <w:rFonts w:ascii="Arial" w:cs="Arial" w:eastAsia="Arial" w:hAnsi="Arial"/>
                  <w:sz w:val="16"/>
                  <w:szCs w:val="16"/>
                  <w:color w:val="0000EE"/>
                  <w:w w:val="89"/>
                </w:rPr>
                <w:t>53</w:t>
              </w:r>
            </w:hyperlink>
          </w:p>
        </w:tc>
      </w:tr>
      <w:tr>
        <w:trPr>
          <w:trHeight w:val="112"/>
        </w:trPr>
        <w:tc>
          <w:tcPr>
            <w:tcW w:w="1140" w:type="dxa"/>
            <w:vAlign w:val="bottom"/>
            <w:tcBorders>
              <w:bottom w:val="single" w:sz="8" w:color="808080"/>
            </w:tcBorders>
          </w:tcPr>
          <w:p>
            <w:pPr>
              <w:spacing w:after="0"/>
              <w:rPr>
                <w:sz w:val="9"/>
                <w:szCs w:val="9"/>
                <w:color w:val="auto"/>
              </w:rPr>
            </w:pPr>
          </w:p>
        </w:tc>
        <w:tc>
          <w:tcPr>
            <w:tcW w:w="100" w:type="dxa"/>
            <w:vAlign w:val="bottom"/>
            <w:tcBorders>
              <w:top w:val="single" w:sz="8" w:color="0000EE"/>
              <w:bottom w:val="single" w:sz="8" w:color="808080"/>
            </w:tcBorders>
          </w:tcPr>
          <w:p>
            <w:pPr>
              <w:spacing w:after="0"/>
              <w:rPr>
                <w:sz w:val="9"/>
                <w:szCs w:val="9"/>
                <w:color w:val="auto"/>
              </w:rPr>
            </w:pPr>
          </w:p>
        </w:tc>
        <w:tc>
          <w:tcPr>
            <w:tcW w:w="600" w:type="dxa"/>
            <w:vAlign w:val="bottom"/>
            <w:tcBorders>
              <w:top w:val="single" w:sz="8" w:color="0000EE"/>
              <w:bottom w:val="single" w:sz="8" w:color="808080"/>
            </w:tcBorders>
          </w:tcPr>
          <w:p>
            <w:pPr>
              <w:spacing w:after="0"/>
              <w:rPr>
                <w:sz w:val="9"/>
                <w:szCs w:val="9"/>
                <w:color w:val="auto"/>
              </w:rPr>
            </w:pPr>
          </w:p>
        </w:tc>
        <w:tc>
          <w:tcPr>
            <w:tcW w:w="1040" w:type="dxa"/>
            <w:vAlign w:val="bottom"/>
            <w:tcBorders>
              <w:top w:val="single" w:sz="8" w:color="0000EE"/>
              <w:bottom w:val="single" w:sz="8" w:color="808080"/>
            </w:tcBorders>
          </w:tcPr>
          <w:p>
            <w:pPr>
              <w:spacing w:after="0"/>
              <w:rPr>
                <w:sz w:val="9"/>
                <w:szCs w:val="9"/>
                <w:color w:val="auto"/>
              </w:rPr>
            </w:pPr>
          </w:p>
        </w:tc>
        <w:tc>
          <w:tcPr>
            <w:tcW w:w="340" w:type="dxa"/>
            <w:vAlign w:val="bottom"/>
            <w:tcBorders>
              <w:top w:val="single" w:sz="8" w:color="0000EE"/>
              <w:bottom w:val="single" w:sz="8" w:color="808080"/>
            </w:tcBorders>
          </w:tcPr>
          <w:p>
            <w:pPr>
              <w:spacing w:after="0"/>
              <w:rPr>
                <w:sz w:val="9"/>
                <w:szCs w:val="9"/>
                <w:color w:val="auto"/>
              </w:rPr>
            </w:pPr>
          </w:p>
        </w:tc>
        <w:tc>
          <w:tcPr>
            <w:tcW w:w="120" w:type="dxa"/>
            <w:vAlign w:val="bottom"/>
            <w:tcBorders>
              <w:top w:val="single" w:sz="8" w:color="0000EE"/>
              <w:bottom w:val="single" w:sz="8" w:color="808080"/>
            </w:tcBorders>
          </w:tcPr>
          <w:p>
            <w:pPr>
              <w:spacing w:after="0"/>
              <w:rPr>
                <w:sz w:val="9"/>
                <w:szCs w:val="9"/>
                <w:color w:val="auto"/>
              </w:rPr>
            </w:pPr>
          </w:p>
        </w:tc>
        <w:tc>
          <w:tcPr>
            <w:tcW w:w="40" w:type="dxa"/>
            <w:vAlign w:val="bottom"/>
            <w:tcBorders>
              <w:top w:val="single" w:sz="8" w:color="0000EE"/>
              <w:bottom w:val="single" w:sz="8" w:color="808080"/>
            </w:tcBorders>
          </w:tcPr>
          <w:p>
            <w:pPr>
              <w:spacing w:after="0"/>
              <w:rPr>
                <w:sz w:val="9"/>
                <w:szCs w:val="9"/>
                <w:color w:val="auto"/>
              </w:rPr>
            </w:pPr>
          </w:p>
        </w:tc>
        <w:tc>
          <w:tcPr>
            <w:tcW w:w="80" w:type="dxa"/>
            <w:vAlign w:val="bottom"/>
            <w:tcBorders>
              <w:top w:val="single" w:sz="8" w:color="0000EE"/>
              <w:bottom w:val="single" w:sz="8" w:color="808080"/>
            </w:tcBorders>
          </w:tcPr>
          <w:p>
            <w:pPr>
              <w:spacing w:after="0"/>
              <w:rPr>
                <w:sz w:val="9"/>
                <w:szCs w:val="9"/>
                <w:color w:val="auto"/>
              </w:rPr>
            </w:pPr>
          </w:p>
        </w:tc>
        <w:tc>
          <w:tcPr>
            <w:tcW w:w="20" w:type="dxa"/>
            <w:vAlign w:val="bottom"/>
            <w:tcBorders>
              <w:top w:val="single" w:sz="8" w:color="0000EE"/>
              <w:bottom w:val="single" w:sz="8" w:color="808080"/>
            </w:tcBorders>
          </w:tcPr>
          <w:p>
            <w:pPr>
              <w:spacing w:after="0"/>
              <w:rPr>
                <w:sz w:val="9"/>
                <w:szCs w:val="9"/>
                <w:color w:val="auto"/>
              </w:rPr>
            </w:pPr>
          </w:p>
        </w:tc>
        <w:tc>
          <w:tcPr>
            <w:tcW w:w="120" w:type="dxa"/>
            <w:vAlign w:val="bottom"/>
            <w:tcBorders>
              <w:top w:val="single" w:sz="8" w:color="0000EE"/>
              <w:bottom w:val="single" w:sz="8" w:color="808080"/>
            </w:tcBorders>
          </w:tcPr>
          <w:p>
            <w:pPr>
              <w:spacing w:after="0"/>
              <w:rPr>
                <w:sz w:val="9"/>
                <w:szCs w:val="9"/>
                <w:color w:val="auto"/>
              </w:rPr>
            </w:pPr>
          </w:p>
        </w:tc>
        <w:tc>
          <w:tcPr>
            <w:tcW w:w="200" w:type="dxa"/>
            <w:vAlign w:val="bottom"/>
            <w:tcBorders>
              <w:top w:val="single" w:sz="8" w:color="0000EE"/>
              <w:bottom w:val="single" w:sz="8" w:color="808080"/>
            </w:tcBorders>
          </w:tcPr>
          <w:p>
            <w:pPr>
              <w:spacing w:after="0"/>
              <w:rPr>
                <w:sz w:val="9"/>
                <w:szCs w:val="9"/>
                <w:color w:val="auto"/>
              </w:rPr>
            </w:pPr>
          </w:p>
        </w:tc>
        <w:tc>
          <w:tcPr>
            <w:tcW w:w="140" w:type="dxa"/>
            <w:vAlign w:val="bottom"/>
            <w:tcBorders>
              <w:top w:val="single" w:sz="8" w:color="0000EE"/>
              <w:bottom w:val="single" w:sz="8" w:color="808080"/>
            </w:tcBorders>
          </w:tcPr>
          <w:p>
            <w:pPr>
              <w:spacing w:after="0"/>
              <w:rPr>
                <w:sz w:val="9"/>
                <w:szCs w:val="9"/>
                <w:color w:val="auto"/>
              </w:rPr>
            </w:pPr>
          </w:p>
        </w:tc>
        <w:tc>
          <w:tcPr>
            <w:tcW w:w="80" w:type="dxa"/>
            <w:vAlign w:val="bottom"/>
            <w:tcBorders>
              <w:top w:val="single" w:sz="8" w:color="0000EE"/>
              <w:bottom w:val="single" w:sz="8" w:color="808080"/>
            </w:tcBorders>
          </w:tcPr>
          <w:p>
            <w:pPr>
              <w:spacing w:after="0"/>
              <w:rPr>
                <w:sz w:val="9"/>
                <w:szCs w:val="9"/>
                <w:color w:val="auto"/>
              </w:rPr>
            </w:pPr>
          </w:p>
        </w:tc>
        <w:tc>
          <w:tcPr>
            <w:tcW w:w="80" w:type="dxa"/>
            <w:vAlign w:val="bottom"/>
            <w:tcBorders>
              <w:top w:val="single" w:sz="8" w:color="0000EE"/>
              <w:bottom w:val="single" w:sz="8" w:color="808080"/>
            </w:tcBorders>
          </w:tcPr>
          <w:p>
            <w:pPr>
              <w:spacing w:after="0"/>
              <w:rPr>
                <w:sz w:val="9"/>
                <w:szCs w:val="9"/>
                <w:color w:val="auto"/>
              </w:rPr>
            </w:pPr>
          </w:p>
        </w:tc>
        <w:tc>
          <w:tcPr>
            <w:tcW w:w="160" w:type="dxa"/>
            <w:vAlign w:val="bottom"/>
            <w:tcBorders>
              <w:top w:val="single" w:sz="8" w:color="0000EE"/>
              <w:bottom w:val="single" w:sz="8" w:color="808080"/>
            </w:tcBorders>
          </w:tcPr>
          <w:p>
            <w:pPr>
              <w:spacing w:after="0"/>
              <w:rPr>
                <w:sz w:val="9"/>
                <w:szCs w:val="9"/>
                <w:color w:val="auto"/>
              </w:rPr>
            </w:pPr>
          </w:p>
        </w:tc>
        <w:tc>
          <w:tcPr>
            <w:tcW w:w="120" w:type="dxa"/>
            <w:vAlign w:val="bottom"/>
            <w:tcBorders>
              <w:top w:val="single" w:sz="8" w:color="0000EE"/>
              <w:bottom w:val="single" w:sz="8" w:color="808080"/>
            </w:tcBorders>
          </w:tcPr>
          <w:p>
            <w:pPr>
              <w:spacing w:after="0"/>
              <w:rPr>
                <w:sz w:val="9"/>
                <w:szCs w:val="9"/>
                <w:color w:val="auto"/>
              </w:rPr>
            </w:pPr>
          </w:p>
        </w:tc>
        <w:tc>
          <w:tcPr>
            <w:tcW w:w="40" w:type="dxa"/>
            <w:vAlign w:val="bottom"/>
            <w:tcBorders>
              <w:top w:val="single" w:sz="8" w:color="0000EE"/>
              <w:bottom w:val="single" w:sz="8" w:color="808080"/>
            </w:tcBorders>
          </w:tcPr>
          <w:p>
            <w:pPr>
              <w:spacing w:after="0"/>
              <w:rPr>
                <w:sz w:val="9"/>
                <w:szCs w:val="9"/>
                <w:color w:val="auto"/>
              </w:rPr>
            </w:pPr>
          </w:p>
        </w:tc>
        <w:tc>
          <w:tcPr>
            <w:tcW w:w="100" w:type="dxa"/>
            <w:vAlign w:val="bottom"/>
            <w:tcBorders>
              <w:top w:val="single" w:sz="8" w:color="0000EE"/>
              <w:bottom w:val="single" w:sz="8" w:color="808080"/>
            </w:tcBorders>
          </w:tcPr>
          <w:p>
            <w:pPr>
              <w:spacing w:after="0"/>
              <w:rPr>
                <w:sz w:val="9"/>
                <w:szCs w:val="9"/>
                <w:color w:val="auto"/>
              </w:rPr>
            </w:pPr>
          </w:p>
        </w:tc>
        <w:tc>
          <w:tcPr>
            <w:tcW w:w="40" w:type="dxa"/>
            <w:vAlign w:val="bottom"/>
            <w:tcBorders>
              <w:top w:val="single" w:sz="8" w:color="0000EE"/>
              <w:bottom w:val="single" w:sz="8" w:color="808080"/>
            </w:tcBorders>
          </w:tcPr>
          <w:p>
            <w:pPr>
              <w:spacing w:after="0"/>
              <w:rPr>
                <w:sz w:val="9"/>
                <w:szCs w:val="9"/>
                <w:color w:val="auto"/>
              </w:rPr>
            </w:pPr>
          </w:p>
        </w:tc>
        <w:tc>
          <w:tcPr>
            <w:tcW w:w="560" w:type="dxa"/>
            <w:vAlign w:val="bottom"/>
            <w:tcBorders>
              <w:top w:val="single" w:sz="8" w:color="0000EE"/>
              <w:bottom w:val="single" w:sz="8" w:color="808080"/>
            </w:tcBorders>
          </w:tcPr>
          <w:p>
            <w:pPr>
              <w:spacing w:after="0"/>
              <w:rPr>
                <w:sz w:val="9"/>
                <w:szCs w:val="9"/>
                <w:color w:val="auto"/>
              </w:rPr>
            </w:pPr>
          </w:p>
        </w:tc>
        <w:tc>
          <w:tcPr>
            <w:tcW w:w="120" w:type="dxa"/>
            <w:vAlign w:val="bottom"/>
            <w:tcBorders>
              <w:top w:val="single" w:sz="8" w:color="0000EE"/>
              <w:bottom w:val="single" w:sz="8" w:color="808080"/>
            </w:tcBorders>
          </w:tcPr>
          <w:p>
            <w:pPr>
              <w:spacing w:after="0"/>
              <w:rPr>
                <w:sz w:val="9"/>
                <w:szCs w:val="9"/>
                <w:color w:val="auto"/>
              </w:rPr>
            </w:pPr>
          </w:p>
        </w:tc>
        <w:tc>
          <w:tcPr>
            <w:tcW w:w="560" w:type="dxa"/>
            <w:vAlign w:val="bottom"/>
            <w:tcBorders>
              <w:top w:val="single" w:sz="8" w:color="0000EE"/>
              <w:bottom w:val="single" w:sz="8" w:color="808080"/>
            </w:tcBorders>
          </w:tcPr>
          <w:p>
            <w:pPr>
              <w:spacing w:after="0"/>
              <w:rPr>
                <w:sz w:val="9"/>
                <w:szCs w:val="9"/>
                <w:color w:val="auto"/>
              </w:rPr>
            </w:pPr>
          </w:p>
        </w:tc>
        <w:tc>
          <w:tcPr>
            <w:tcW w:w="220" w:type="dxa"/>
            <w:vAlign w:val="bottom"/>
            <w:tcBorders>
              <w:top w:val="single" w:sz="8" w:color="0000EE"/>
              <w:bottom w:val="single" w:sz="8" w:color="808080"/>
            </w:tcBorders>
          </w:tcPr>
          <w:p>
            <w:pPr>
              <w:spacing w:after="0"/>
              <w:rPr>
                <w:sz w:val="9"/>
                <w:szCs w:val="9"/>
                <w:color w:val="auto"/>
              </w:rPr>
            </w:pPr>
          </w:p>
        </w:tc>
        <w:tc>
          <w:tcPr>
            <w:tcW w:w="180" w:type="dxa"/>
            <w:vAlign w:val="bottom"/>
            <w:tcBorders>
              <w:top w:val="single" w:sz="8" w:color="0000EE"/>
              <w:bottom w:val="single" w:sz="8" w:color="808080"/>
            </w:tcBorders>
          </w:tcPr>
          <w:p>
            <w:pPr>
              <w:spacing w:after="0"/>
              <w:rPr>
                <w:sz w:val="9"/>
                <w:szCs w:val="9"/>
                <w:color w:val="auto"/>
              </w:rPr>
            </w:pPr>
          </w:p>
        </w:tc>
        <w:tc>
          <w:tcPr>
            <w:tcW w:w="60" w:type="dxa"/>
            <w:vAlign w:val="bottom"/>
            <w:tcBorders>
              <w:top w:val="single" w:sz="8" w:color="0000EE"/>
              <w:bottom w:val="single" w:sz="8" w:color="808080"/>
            </w:tcBorders>
          </w:tcPr>
          <w:p>
            <w:pPr>
              <w:spacing w:after="0"/>
              <w:rPr>
                <w:sz w:val="9"/>
                <w:szCs w:val="9"/>
                <w:color w:val="auto"/>
              </w:rPr>
            </w:pPr>
          </w:p>
        </w:tc>
        <w:tc>
          <w:tcPr>
            <w:tcW w:w="920" w:type="dxa"/>
            <w:vAlign w:val="bottom"/>
            <w:tcBorders>
              <w:top w:val="single" w:sz="8" w:color="0000EE"/>
              <w:bottom w:val="single" w:sz="8" w:color="808080"/>
            </w:tcBorders>
          </w:tcPr>
          <w:p>
            <w:pPr>
              <w:spacing w:after="0"/>
              <w:rPr>
                <w:sz w:val="9"/>
                <w:szCs w:val="9"/>
                <w:color w:val="auto"/>
              </w:rPr>
            </w:pPr>
          </w:p>
        </w:tc>
        <w:tc>
          <w:tcPr>
            <w:tcW w:w="140" w:type="dxa"/>
            <w:vAlign w:val="bottom"/>
            <w:tcBorders>
              <w:top w:val="single" w:sz="8" w:color="0000EE"/>
              <w:bottom w:val="single" w:sz="8" w:color="808080"/>
            </w:tcBorders>
          </w:tcPr>
          <w:p>
            <w:pPr>
              <w:spacing w:after="0"/>
              <w:rPr>
                <w:sz w:val="9"/>
                <w:szCs w:val="9"/>
                <w:color w:val="auto"/>
              </w:rPr>
            </w:pPr>
          </w:p>
        </w:tc>
        <w:tc>
          <w:tcPr>
            <w:tcW w:w="620" w:type="dxa"/>
            <w:vAlign w:val="bottom"/>
            <w:tcBorders>
              <w:top w:val="single" w:sz="8" w:color="0000EE"/>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0" w:type="dxa"/>
            <w:vAlign w:val="bottom"/>
            <w:tcBorders>
              <w:top w:val="single" w:sz="8" w:color="0000EE"/>
              <w:bottom w:val="single" w:sz="8" w:color="808080"/>
            </w:tcBorders>
          </w:tcPr>
          <w:p>
            <w:pPr>
              <w:spacing w:after="0"/>
              <w:rPr>
                <w:sz w:val="9"/>
                <w:szCs w:val="9"/>
                <w:color w:val="auto"/>
              </w:rPr>
            </w:pPr>
          </w:p>
        </w:tc>
        <w:tc>
          <w:tcPr>
            <w:tcW w:w="80" w:type="dxa"/>
            <w:vAlign w:val="bottom"/>
            <w:tcBorders>
              <w:top w:val="single" w:sz="8" w:color="0000EE"/>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10100" w:type="dxa"/>
            <w:vAlign w:val="bottom"/>
            <w:gridSpan w:val="14"/>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Table of Contents</w:t>
              </w:r>
            </w:hyperlink>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6820" w:type="dxa"/>
            <w:vAlign w:val="bottom"/>
            <w:gridSpan w:val="12"/>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PROPOSAL NO. 5  Ratification of Selection of Independent Registered Public Accounting Firm</w:t>
              </w:r>
            </w:hyperlink>
          </w:p>
        </w:tc>
        <w:tc>
          <w:tcPr>
            <w:tcW w:w="2140" w:type="dxa"/>
            <w:vAlign w:val="bottom"/>
          </w:tcPr>
          <w:p>
            <w:pPr>
              <w:spacing w:after="0"/>
              <w:rPr>
                <w:sz w:val="24"/>
                <w:szCs w:val="24"/>
                <w:color w:val="auto"/>
              </w:rPr>
            </w:pPr>
          </w:p>
        </w:tc>
        <w:tc>
          <w:tcPr>
            <w:tcW w:w="1320" w:type="dxa"/>
            <w:vAlign w:val="bottom"/>
            <w:gridSpan w:val="2"/>
          </w:tcPr>
          <w:p>
            <w:pPr>
              <w:jc w:val="right"/>
              <w:ind w:right="1140"/>
              <w:spacing w:after="0"/>
              <w:rPr>
                <w:rFonts w:ascii="Arial" w:cs="Arial" w:eastAsia="Arial" w:hAnsi="Arial"/>
                <w:sz w:val="16"/>
                <w:szCs w:val="16"/>
                <w:color w:val="0000EE"/>
                <w:w w:val="89"/>
              </w:rPr>
            </w:pPr>
            <w:hyperlink w:anchor="page64">
              <w:r>
                <w:rPr>
                  <w:rFonts w:ascii="Arial" w:cs="Arial" w:eastAsia="Arial" w:hAnsi="Arial"/>
                  <w:sz w:val="16"/>
                  <w:szCs w:val="16"/>
                  <w:color w:val="0000EE"/>
                  <w:w w:val="89"/>
                </w:rPr>
                <w:t>55</w:t>
              </w:r>
            </w:hyperlink>
          </w:p>
        </w:tc>
      </w:tr>
      <w:tr>
        <w:trPr>
          <w:trHeight w:val="20"/>
        </w:trPr>
        <w:tc>
          <w:tcPr>
            <w:tcW w:w="1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6820" w:type="dxa"/>
            <w:vAlign w:val="bottom"/>
            <w:gridSpan w:val="12"/>
          </w:tcPr>
          <w:p>
            <w:pPr>
              <w:spacing w:after="0"/>
              <w:rPr>
                <w:rFonts w:ascii="Arial" w:cs="Arial" w:eastAsia="Arial" w:hAnsi="Arial"/>
                <w:sz w:val="16"/>
                <w:szCs w:val="16"/>
                <w:color w:val="0000EE"/>
              </w:rPr>
            </w:pPr>
            <w:hyperlink w:anchor="page66">
              <w:r>
                <w:rPr>
                  <w:rFonts w:ascii="Arial" w:cs="Arial" w:eastAsia="Arial" w:hAnsi="Arial"/>
                  <w:sz w:val="16"/>
                  <w:szCs w:val="16"/>
                  <w:color w:val="0000EE"/>
                </w:rPr>
                <w:t>ADDITIONAL INFORMATION</w:t>
              </w:r>
            </w:hyperlink>
          </w:p>
        </w:tc>
        <w:tc>
          <w:tcPr>
            <w:tcW w:w="2140" w:type="dxa"/>
            <w:vAlign w:val="bottom"/>
          </w:tcPr>
          <w:p>
            <w:pPr>
              <w:spacing w:after="0"/>
              <w:rPr>
                <w:sz w:val="24"/>
                <w:szCs w:val="24"/>
                <w:color w:val="auto"/>
              </w:rPr>
            </w:pPr>
          </w:p>
        </w:tc>
        <w:tc>
          <w:tcPr>
            <w:tcW w:w="1320" w:type="dxa"/>
            <w:vAlign w:val="bottom"/>
            <w:gridSpan w:val="2"/>
          </w:tcPr>
          <w:p>
            <w:pPr>
              <w:jc w:val="right"/>
              <w:ind w:right="1140"/>
              <w:spacing w:after="0"/>
              <w:rPr>
                <w:rFonts w:ascii="Arial" w:cs="Arial" w:eastAsia="Arial" w:hAnsi="Arial"/>
                <w:sz w:val="16"/>
                <w:szCs w:val="16"/>
                <w:color w:val="0000EE"/>
                <w:w w:val="89"/>
              </w:rPr>
            </w:pPr>
            <w:hyperlink w:anchor="page66">
              <w:r>
                <w:rPr>
                  <w:rFonts w:ascii="Arial" w:cs="Arial" w:eastAsia="Arial" w:hAnsi="Arial"/>
                  <w:sz w:val="16"/>
                  <w:szCs w:val="16"/>
                  <w:color w:val="0000EE"/>
                  <w:w w:val="89"/>
                </w:rPr>
                <w:t>57</w:t>
              </w:r>
            </w:hyperlink>
          </w:p>
        </w:tc>
      </w:tr>
      <w:tr>
        <w:trPr>
          <w:trHeight w:val="20"/>
        </w:trPr>
        <w:tc>
          <w:tcPr>
            <w:tcW w:w="1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60" w:type="dxa"/>
            <w:vAlign w:val="bottom"/>
            <w:gridSpan w:val="7"/>
          </w:tcPr>
          <w:p>
            <w:pPr>
              <w:spacing w:after="0"/>
              <w:rPr>
                <w:rFonts w:ascii="Arial" w:cs="Arial" w:eastAsia="Arial" w:hAnsi="Arial"/>
                <w:sz w:val="16"/>
                <w:szCs w:val="16"/>
                <w:color w:val="0000EE"/>
                <w:w w:val="99"/>
              </w:rPr>
            </w:pPr>
            <w:hyperlink w:anchor="page66">
              <w:r>
                <w:rPr>
                  <w:rFonts w:ascii="Arial" w:cs="Arial" w:eastAsia="Arial" w:hAnsi="Arial"/>
                  <w:sz w:val="16"/>
                  <w:szCs w:val="16"/>
                  <w:color w:val="0000EE"/>
                  <w:w w:val="99"/>
                </w:rPr>
                <w:t>Stockholder Proposals for the 2019 Annual Meeting</w:t>
              </w:r>
            </w:hyperlink>
          </w:p>
        </w:tc>
        <w:tc>
          <w:tcPr>
            <w:tcW w:w="4600" w:type="dxa"/>
            <w:vAlign w:val="bottom"/>
            <w:gridSpan w:val="4"/>
          </w:tcPr>
          <w:p>
            <w:pPr>
              <w:spacing w:after="0"/>
              <w:rPr>
                <w:sz w:val="24"/>
                <w:szCs w:val="24"/>
                <w:color w:val="auto"/>
              </w:rPr>
            </w:pPr>
          </w:p>
        </w:tc>
        <w:tc>
          <w:tcPr>
            <w:tcW w:w="1320" w:type="dxa"/>
            <w:vAlign w:val="bottom"/>
            <w:gridSpan w:val="2"/>
          </w:tcPr>
          <w:p>
            <w:pPr>
              <w:jc w:val="right"/>
              <w:ind w:right="1140"/>
              <w:spacing w:after="0"/>
              <w:rPr>
                <w:rFonts w:ascii="Arial" w:cs="Arial" w:eastAsia="Arial" w:hAnsi="Arial"/>
                <w:sz w:val="16"/>
                <w:szCs w:val="16"/>
                <w:color w:val="0000EE"/>
                <w:w w:val="89"/>
              </w:rPr>
            </w:pPr>
            <w:hyperlink w:anchor="page66">
              <w:r>
                <w:rPr>
                  <w:rFonts w:ascii="Arial" w:cs="Arial" w:eastAsia="Arial" w:hAnsi="Arial"/>
                  <w:sz w:val="16"/>
                  <w:szCs w:val="16"/>
                  <w:color w:val="0000EE"/>
                  <w:w w:val="89"/>
                </w:rPr>
                <w:t>57</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20" w:type="dxa"/>
            <w:vAlign w:val="bottom"/>
            <w:gridSpan w:val="8"/>
          </w:tcPr>
          <w:p>
            <w:pPr>
              <w:spacing w:after="0"/>
              <w:rPr>
                <w:rFonts w:ascii="Arial" w:cs="Arial" w:eastAsia="Arial" w:hAnsi="Arial"/>
                <w:sz w:val="16"/>
                <w:szCs w:val="16"/>
                <w:color w:val="0000EE"/>
                <w:w w:val="99"/>
              </w:rPr>
            </w:pPr>
            <w:hyperlink w:anchor="page66">
              <w:r>
                <w:rPr>
                  <w:rFonts w:ascii="Arial" w:cs="Arial" w:eastAsia="Arial" w:hAnsi="Arial"/>
                  <w:sz w:val="16"/>
                  <w:szCs w:val="16"/>
                  <w:color w:val="0000EE"/>
                  <w:w w:val="99"/>
                </w:rPr>
                <w:t>Stockholder Communications with the Board of Directors</w:t>
              </w:r>
            </w:hyperlink>
          </w:p>
        </w:tc>
        <w:tc>
          <w:tcPr>
            <w:tcW w:w="4240" w:type="dxa"/>
            <w:vAlign w:val="bottom"/>
            <w:gridSpan w:val="3"/>
          </w:tcPr>
          <w:p>
            <w:pPr>
              <w:spacing w:after="0"/>
              <w:rPr>
                <w:sz w:val="24"/>
                <w:szCs w:val="24"/>
                <w:color w:val="auto"/>
              </w:rPr>
            </w:pPr>
          </w:p>
        </w:tc>
        <w:tc>
          <w:tcPr>
            <w:tcW w:w="1320" w:type="dxa"/>
            <w:vAlign w:val="bottom"/>
            <w:gridSpan w:val="2"/>
          </w:tcPr>
          <w:p>
            <w:pPr>
              <w:jc w:val="right"/>
              <w:ind w:right="1140"/>
              <w:spacing w:after="0"/>
              <w:rPr>
                <w:rFonts w:ascii="Arial" w:cs="Arial" w:eastAsia="Arial" w:hAnsi="Arial"/>
                <w:sz w:val="16"/>
                <w:szCs w:val="16"/>
                <w:color w:val="0000EE"/>
                <w:w w:val="89"/>
              </w:rPr>
            </w:pPr>
            <w:hyperlink w:anchor="page66">
              <w:r>
                <w:rPr>
                  <w:rFonts w:ascii="Arial" w:cs="Arial" w:eastAsia="Arial" w:hAnsi="Arial"/>
                  <w:sz w:val="16"/>
                  <w:szCs w:val="16"/>
                  <w:color w:val="0000EE"/>
                  <w:w w:val="89"/>
                </w:rPr>
                <w:t>57</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20" w:type="dxa"/>
            <w:vAlign w:val="bottom"/>
            <w:gridSpan w:val="8"/>
          </w:tcPr>
          <w:p>
            <w:pPr>
              <w:spacing w:after="0"/>
              <w:rPr>
                <w:rFonts w:ascii="Arial" w:cs="Arial" w:eastAsia="Arial" w:hAnsi="Arial"/>
                <w:sz w:val="16"/>
                <w:szCs w:val="16"/>
                <w:color w:val="0000EE"/>
              </w:rPr>
            </w:pPr>
            <w:hyperlink w:anchor="page66">
              <w:r>
                <w:rPr>
                  <w:rFonts w:ascii="Arial" w:cs="Arial" w:eastAsia="Arial" w:hAnsi="Arial"/>
                  <w:sz w:val="16"/>
                  <w:szCs w:val="16"/>
                  <w:color w:val="0000EE"/>
                </w:rPr>
                <w:t>Relationships and Certain Related Transactions</w:t>
              </w:r>
            </w:hyperlink>
          </w:p>
        </w:tc>
        <w:tc>
          <w:tcPr>
            <w:tcW w:w="4240" w:type="dxa"/>
            <w:vAlign w:val="bottom"/>
            <w:gridSpan w:val="3"/>
          </w:tcPr>
          <w:p>
            <w:pPr>
              <w:spacing w:after="0"/>
              <w:rPr>
                <w:sz w:val="24"/>
                <w:szCs w:val="24"/>
                <w:color w:val="auto"/>
              </w:rPr>
            </w:pPr>
          </w:p>
        </w:tc>
        <w:tc>
          <w:tcPr>
            <w:tcW w:w="1320" w:type="dxa"/>
            <w:vAlign w:val="bottom"/>
            <w:gridSpan w:val="2"/>
          </w:tcPr>
          <w:p>
            <w:pPr>
              <w:jc w:val="right"/>
              <w:ind w:right="1140"/>
              <w:spacing w:after="0"/>
              <w:rPr>
                <w:rFonts w:ascii="Arial" w:cs="Arial" w:eastAsia="Arial" w:hAnsi="Arial"/>
                <w:sz w:val="16"/>
                <w:szCs w:val="16"/>
                <w:color w:val="0000EE"/>
                <w:w w:val="89"/>
              </w:rPr>
            </w:pPr>
            <w:hyperlink w:anchor="page66">
              <w:r>
                <w:rPr>
                  <w:rFonts w:ascii="Arial" w:cs="Arial" w:eastAsia="Arial" w:hAnsi="Arial"/>
                  <w:sz w:val="16"/>
                  <w:szCs w:val="16"/>
                  <w:color w:val="0000EE"/>
                  <w:w w:val="89"/>
                </w:rPr>
                <w:t>57</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40" w:type="dxa"/>
            <w:vAlign w:val="bottom"/>
            <w:gridSpan w:val="9"/>
          </w:tcPr>
          <w:p>
            <w:pPr>
              <w:spacing w:after="0"/>
              <w:rPr>
                <w:rFonts w:ascii="Arial" w:cs="Arial" w:eastAsia="Arial" w:hAnsi="Arial"/>
                <w:sz w:val="16"/>
                <w:szCs w:val="16"/>
                <w:color w:val="0000EE"/>
                <w:w w:val="99"/>
              </w:rPr>
            </w:pPr>
            <w:hyperlink w:anchor="page67">
              <w:r>
                <w:rPr>
                  <w:rFonts w:ascii="Arial" w:cs="Arial" w:eastAsia="Arial" w:hAnsi="Arial"/>
                  <w:sz w:val="16"/>
                  <w:szCs w:val="16"/>
                  <w:color w:val="0000EE"/>
                  <w:w w:val="99"/>
                </w:rPr>
                <w:t>Section 16(a) Beneficial Ownership Reporting Compliance</w:t>
              </w:r>
            </w:hyperlink>
          </w:p>
        </w:tc>
        <w:tc>
          <w:tcPr>
            <w:tcW w:w="4120" w:type="dxa"/>
            <w:vAlign w:val="bottom"/>
            <w:gridSpan w:val="2"/>
          </w:tcPr>
          <w:p>
            <w:pPr>
              <w:spacing w:after="0"/>
              <w:rPr>
                <w:sz w:val="24"/>
                <w:szCs w:val="24"/>
                <w:color w:val="auto"/>
              </w:rPr>
            </w:pPr>
          </w:p>
        </w:tc>
        <w:tc>
          <w:tcPr>
            <w:tcW w:w="1320" w:type="dxa"/>
            <w:vAlign w:val="bottom"/>
            <w:gridSpan w:val="2"/>
          </w:tcPr>
          <w:p>
            <w:pPr>
              <w:jc w:val="right"/>
              <w:ind w:right="1140"/>
              <w:spacing w:after="0"/>
              <w:rPr>
                <w:rFonts w:ascii="Arial" w:cs="Arial" w:eastAsia="Arial" w:hAnsi="Arial"/>
                <w:sz w:val="16"/>
                <w:szCs w:val="16"/>
                <w:color w:val="0000EE"/>
                <w:w w:val="89"/>
              </w:rPr>
            </w:pPr>
            <w:hyperlink w:anchor="page67">
              <w:r>
                <w:rPr>
                  <w:rFonts w:ascii="Arial" w:cs="Arial" w:eastAsia="Arial" w:hAnsi="Arial"/>
                  <w:sz w:val="16"/>
                  <w:szCs w:val="16"/>
                  <w:color w:val="0000EE"/>
                  <w:w w:val="89"/>
                </w:rPr>
                <w:t>58</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40" w:type="dxa"/>
            <w:vAlign w:val="bottom"/>
            <w:gridSpan w:val="9"/>
          </w:tcPr>
          <w:p>
            <w:pPr>
              <w:spacing w:after="0"/>
              <w:rPr>
                <w:rFonts w:ascii="Arial" w:cs="Arial" w:eastAsia="Arial" w:hAnsi="Arial"/>
                <w:sz w:val="16"/>
                <w:szCs w:val="16"/>
                <w:color w:val="0000EE"/>
              </w:rPr>
            </w:pPr>
            <w:hyperlink w:anchor="page67">
              <w:r>
                <w:rPr>
                  <w:rFonts w:ascii="Arial" w:cs="Arial" w:eastAsia="Arial" w:hAnsi="Arial"/>
                  <w:sz w:val="16"/>
                  <w:szCs w:val="16"/>
                  <w:color w:val="0000EE"/>
                </w:rPr>
                <w:t>Annual Report/Householding</w:t>
              </w:r>
            </w:hyperlink>
          </w:p>
        </w:tc>
        <w:tc>
          <w:tcPr>
            <w:tcW w:w="4120" w:type="dxa"/>
            <w:vAlign w:val="bottom"/>
            <w:gridSpan w:val="2"/>
          </w:tcPr>
          <w:p>
            <w:pPr>
              <w:spacing w:after="0"/>
              <w:rPr>
                <w:sz w:val="24"/>
                <w:szCs w:val="24"/>
                <w:color w:val="auto"/>
              </w:rPr>
            </w:pPr>
          </w:p>
        </w:tc>
        <w:tc>
          <w:tcPr>
            <w:tcW w:w="1320" w:type="dxa"/>
            <w:vAlign w:val="bottom"/>
            <w:gridSpan w:val="2"/>
          </w:tcPr>
          <w:p>
            <w:pPr>
              <w:jc w:val="right"/>
              <w:ind w:right="1140"/>
              <w:spacing w:after="0"/>
              <w:rPr>
                <w:rFonts w:ascii="Arial" w:cs="Arial" w:eastAsia="Arial" w:hAnsi="Arial"/>
                <w:sz w:val="16"/>
                <w:szCs w:val="16"/>
                <w:color w:val="0000EE"/>
                <w:w w:val="89"/>
              </w:rPr>
            </w:pPr>
            <w:hyperlink w:anchor="page67">
              <w:r>
                <w:rPr>
                  <w:rFonts w:ascii="Arial" w:cs="Arial" w:eastAsia="Arial" w:hAnsi="Arial"/>
                  <w:sz w:val="16"/>
                  <w:szCs w:val="16"/>
                  <w:color w:val="0000EE"/>
                  <w:w w:val="89"/>
                </w:rPr>
                <w:t>58</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220" w:type="dxa"/>
            <w:vAlign w:val="bottom"/>
            <w:gridSpan w:val="6"/>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6"/>
                <w:szCs w:val="16"/>
                <w:color w:val="0000EE"/>
                <w:w w:val="98"/>
              </w:rPr>
            </w:pPr>
            <w:hyperlink w:anchor="page68">
              <w:r>
                <w:rPr>
                  <w:rFonts w:ascii="Arial" w:cs="Arial" w:eastAsia="Arial" w:hAnsi="Arial"/>
                  <w:sz w:val="16"/>
                  <w:szCs w:val="16"/>
                  <w:color w:val="0000EE"/>
                  <w:w w:val="98"/>
                </w:rPr>
                <w:t>Other Matters</w:t>
              </w:r>
            </w:hyperlink>
          </w:p>
        </w:tc>
        <w:tc>
          <w:tcPr>
            <w:tcW w:w="1060" w:type="dxa"/>
            <w:vAlign w:val="bottom"/>
            <w:gridSpan w:val="2"/>
          </w:tcPr>
          <w:p>
            <w:pPr>
              <w:spacing w:after="0"/>
              <w:rPr>
                <w:sz w:val="24"/>
                <w:szCs w:val="24"/>
                <w:color w:val="auto"/>
              </w:rPr>
            </w:pPr>
          </w:p>
        </w:tc>
        <w:tc>
          <w:tcPr>
            <w:tcW w:w="6220" w:type="dxa"/>
            <w:vAlign w:val="bottom"/>
            <w:gridSpan w:val="6"/>
          </w:tcPr>
          <w:p>
            <w:pPr>
              <w:spacing w:after="0"/>
              <w:rPr>
                <w:sz w:val="24"/>
                <w:szCs w:val="24"/>
                <w:color w:val="auto"/>
              </w:rPr>
            </w:pPr>
          </w:p>
        </w:tc>
        <w:tc>
          <w:tcPr>
            <w:tcW w:w="1320" w:type="dxa"/>
            <w:vAlign w:val="bottom"/>
            <w:gridSpan w:val="2"/>
          </w:tcPr>
          <w:p>
            <w:pPr>
              <w:jc w:val="right"/>
              <w:ind w:right="1140"/>
              <w:spacing w:after="0"/>
              <w:rPr>
                <w:rFonts w:ascii="Arial" w:cs="Arial" w:eastAsia="Arial" w:hAnsi="Arial"/>
                <w:sz w:val="16"/>
                <w:szCs w:val="16"/>
                <w:color w:val="0000EE"/>
                <w:w w:val="89"/>
              </w:rPr>
            </w:pPr>
            <w:hyperlink w:anchor="page68">
              <w:r>
                <w:rPr>
                  <w:rFonts w:ascii="Arial" w:cs="Arial" w:eastAsia="Arial" w:hAnsi="Arial"/>
                  <w:sz w:val="16"/>
                  <w:szCs w:val="16"/>
                  <w:color w:val="0000EE"/>
                  <w:w w:val="89"/>
                </w:rPr>
                <w:t>59</w:t>
              </w:r>
            </w:hyperlink>
          </w:p>
        </w:tc>
      </w:tr>
      <w:tr>
        <w:trPr>
          <w:trHeight w:val="20"/>
        </w:trPr>
        <w:tc>
          <w:tcPr>
            <w:tcW w:w="1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280" w:type="dxa"/>
            <w:vAlign w:val="bottom"/>
            <w:gridSpan w:val="8"/>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820" w:type="dxa"/>
            <w:vAlign w:val="bottom"/>
            <w:tcBorders>
              <w:bottom w:val="single" w:sz="8" w:color="0000EE"/>
            </w:tcBorders>
            <w:gridSpan w:val="3"/>
          </w:tcPr>
          <w:p>
            <w:pPr>
              <w:spacing w:after="0"/>
              <w:rPr>
                <w:rFonts w:ascii="Arial" w:cs="Arial" w:eastAsia="Arial" w:hAnsi="Arial"/>
                <w:sz w:val="16"/>
                <w:szCs w:val="16"/>
                <w:color w:val="0000EE"/>
                <w:w w:val="97"/>
              </w:rPr>
            </w:pPr>
            <w:hyperlink w:anchor="page69">
              <w:r>
                <w:rPr>
                  <w:rFonts w:ascii="Arial" w:cs="Arial" w:eastAsia="Arial" w:hAnsi="Arial"/>
                  <w:sz w:val="16"/>
                  <w:szCs w:val="16"/>
                  <w:color w:val="0000EE"/>
                  <w:w w:val="97"/>
                </w:rPr>
                <w:t>Appendix A</w:t>
              </w:r>
            </w:hyperlink>
          </w:p>
        </w:tc>
        <w:tc>
          <w:tcPr>
            <w:tcW w:w="8140" w:type="dxa"/>
            <w:vAlign w:val="bottom"/>
            <w:gridSpan w:val="10"/>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2"/>
        </w:trPr>
        <w:tc>
          <w:tcPr>
            <w:tcW w:w="1140" w:type="dxa"/>
            <w:vAlign w:val="bottom"/>
          </w:tcPr>
          <w:p>
            <w:pPr>
              <w:spacing w:after="0"/>
              <w:rPr>
                <w:sz w:val="24"/>
                <w:szCs w:val="24"/>
                <w:color w:val="auto"/>
              </w:rPr>
            </w:pPr>
          </w:p>
        </w:tc>
        <w:tc>
          <w:tcPr>
            <w:tcW w:w="8960" w:type="dxa"/>
            <w:vAlign w:val="bottom"/>
            <w:gridSpan w:val="13"/>
          </w:tcPr>
          <w:p>
            <w:pPr>
              <w:spacing w:after="0"/>
              <w:rPr>
                <w:rFonts w:ascii="Arial" w:cs="Arial" w:eastAsia="Arial" w:hAnsi="Arial"/>
                <w:sz w:val="16"/>
                <w:szCs w:val="16"/>
                <w:color w:val="0000EE"/>
              </w:rPr>
            </w:pPr>
            <w:hyperlink w:anchor="page71">
              <w:r>
                <w:rPr>
                  <w:rFonts w:ascii="Arial" w:cs="Arial" w:eastAsia="Arial" w:hAnsi="Arial"/>
                  <w:sz w:val="16"/>
                  <w:szCs w:val="16"/>
                  <w:color w:val="0000EE"/>
                </w:rPr>
                <w:t>Appendix B</w:t>
              </w:r>
            </w:hyperlink>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12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2"/>
        </w:trPr>
        <w:tc>
          <w:tcPr>
            <w:tcW w:w="1140" w:type="dxa"/>
            <w:vAlign w:val="bottom"/>
          </w:tcPr>
          <w:p>
            <w:pPr>
              <w:spacing w:after="0"/>
              <w:rPr>
                <w:sz w:val="24"/>
                <w:szCs w:val="24"/>
                <w:color w:val="auto"/>
              </w:rPr>
            </w:pPr>
          </w:p>
        </w:tc>
        <w:tc>
          <w:tcPr>
            <w:tcW w:w="8960" w:type="dxa"/>
            <w:vAlign w:val="bottom"/>
            <w:gridSpan w:val="13"/>
          </w:tcPr>
          <w:p>
            <w:pPr>
              <w:spacing w:after="0"/>
              <w:rPr>
                <w:rFonts w:ascii="Arial" w:cs="Arial" w:eastAsia="Arial" w:hAnsi="Arial"/>
                <w:sz w:val="16"/>
                <w:szCs w:val="16"/>
                <w:color w:val="0000EE"/>
              </w:rPr>
            </w:pPr>
            <w:hyperlink w:anchor="page80">
              <w:r>
                <w:rPr>
                  <w:rFonts w:ascii="Arial" w:cs="Arial" w:eastAsia="Arial" w:hAnsi="Arial"/>
                  <w:sz w:val="16"/>
                  <w:szCs w:val="16"/>
                  <w:color w:val="0000EE"/>
                </w:rPr>
                <w:t>Appendix C</w:t>
              </w:r>
            </w:hyperlink>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2"/>
        </w:trPr>
        <w:tc>
          <w:tcPr>
            <w:tcW w:w="1140" w:type="dxa"/>
            <w:vAlign w:val="bottom"/>
            <w:tcBorders>
              <w:bottom w:val="single" w:sz="8" w:color="808080"/>
            </w:tcBorders>
          </w:tcPr>
          <w:p>
            <w:pPr>
              <w:spacing w:after="0"/>
              <w:rPr>
                <w:sz w:val="9"/>
                <w:szCs w:val="9"/>
                <w:color w:val="auto"/>
              </w:rPr>
            </w:pPr>
          </w:p>
        </w:tc>
        <w:tc>
          <w:tcPr>
            <w:tcW w:w="100" w:type="dxa"/>
            <w:vAlign w:val="bottom"/>
            <w:tcBorders>
              <w:top w:val="single" w:sz="8" w:color="0000EE"/>
              <w:bottom w:val="single" w:sz="8" w:color="808080"/>
            </w:tcBorders>
          </w:tcPr>
          <w:p>
            <w:pPr>
              <w:spacing w:after="0"/>
              <w:rPr>
                <w:sz w:val="9"/>
                <w:szCs w:val="9"/>
                <w:color w:val="auto"/>
              </w:rPr>
            </w:pPr>
          </w:p>
        </w:tc>
        <w:tc>
          <w:tcPr>
            <w:tcW w:w="600" w:type="dxa"/>
            <w:vAlign w:val="bottom"/>
            <w:tcBorders>
              <w:top w:val="single" w:sz="8" w:color="0000EE"/>
              <w:bottom w:val="single" w:sz="8" w:color="808080"/>
            </w:tcBorders>
          </w:tcPr>
          <w:p>
            <w:pPr>
              <w:spacing w:after="0"/>
              <w:rPr>
                <w:sz w:val="9"/>
                <w:szCs w:val="9"/>
                <w:color w:val="auto"/>
              </w:rPr>
            </w:pPr>
          </w:p>
        </w:tc>
        <w:tc>
          <w:tcPr>
            <w:tcW w:w="120" w:type="dxa"/>
            <w:vAlign w:val="bottom"/>
            <w:tcBorders>
              <w:top w:val="single" w:sz="8" w:color="0000EE"/>
              <w:bottom w:val="single" w:sz="8" w:color="808080"/>
            </w:tcBorders>
          </w:tcPr>
          <w:p>
            <w:pPr>
              <w:spacing w:after="0"/>
              <w:rPr>
                <w:sz w:val="9"/>
                <w:szCs w:val="9"/>
                <w:color w:val="auto"/>
              </w:rPr>
            </w:pPr>
          </w:p>
        </w:tc>
        <w:tc>
          <w:tcPr>
            <w:tcW w:w="20" w:type="dxa"/>
            <w:vAlign w:val="bottom"/>
            <w:tcBorders>
              <w:top w:val="single" w:sz="8" w:color="0000EE"/>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2481580</wp:posOffset>
            </wp:positionH>
            <wp:positionV relativeFrom="paragraph">
              <wp:posOffset>123825</wp:posOffset>
            </wp:positionV>
            <wp:extent cx="2301875" cy="665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01875" cy="66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10802 Executive Center Drive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Benton Building, Suite 300</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Little Rock, Arkansas 72211</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Telephone: (501) 850-0820</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00ACD2"/>
        </w:rPr>
        <w:t>www.uniti.com</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ACD2"/>
        </w:rPr>
        <w:t>PROXY STATEMENT</w:t>
      </w:r>
    </w:p>
    <w:p>
      <w:pPr>
        <w:spacing w:after="0" w:line="210" w:lineRule="exact"/>
        <w:rPr>
          <w:sz w:val="20"/>
          <w:szCs w:val="20"/>
          <w:color w:val="auto"/>
        </w:rPr>
      </w:pPr>
    </w:p>
    <w:p>
      <w:pPr>
        <w:jc w:val="both"/>
        <w:ind w:right="260" w:firstLine="621"/>
        <w:spacing w:after="0" w:line="262" w:lineRule="auto"/>
        <w:rPr>
          <w:sz w:val="20"/>
          <w:szCs w:val="20"/>
          <w:color w:val="auto"/>
        </w:rPr>
      </w:pPr>
      <w:r>
        <w:rPr>
          <w:rFonts w:ascii="Arial" w:cs="Arial" w:eastAsia="Arial" w:hAnsi="Arial"/>
          <w:sz w:val="16"/>
          <w:szCs w:val="16"/>
          <w:color w:val="auto"/>
        </w:rPr>
        <w:t>This proxy statement (this "Proxy Statement") is being furnished to stockholders beginning on April [ · ], 2018 in connection with the solicitation of proxies by the Board of Directors of Uniti Group Inc. ("Uniti," "the Company," "we," "our" and "us") to be used at its 2018 annual meeting of stockholders (the "Annual Meeting") to be held on May 17, 2018 at 8:00 a.m. (Eastern time), and at any postponement or adjournment thereof.</w:t>
      </w:r>
    </w:p>
    <w:p>
      <w:pPr>
        <w:spacing w:after="0" w:line="174" w:lineRule="exact"/>
        <w:rPr>
          <w:sz w:val="20"/>
          <w:szCs w:val="20"/>
          <w:color w:val="auto"/>
        </w:rPr>
      </w:pPr>
    </w:p>
    <w:p>
      <w:pPr>
        <w:ind w:firstLine="624"/>
        <w:spacing w:after="0" w:line="242" w:lineRule="auto"/>
        <w:rPr>
          <w:sz w:val="20"/>
          <w:szCs w:val="20"/>
          <w:color w:val="auto"/>
        </w:rPr>
      </w:pPr>
      <w:r>
        <w:rPr>
          <w:rFonts w:ascii="Arial" w:cs="Arial" w:eastAsia="Arial" w:hAnsi="Arial"/>
          <w:sz w:val="16"/>
          <w:szCs w:val="16"/>
          <w:color w:val="auto"/>
        </w:rPr>
        <w:t xml:space="preserve">We are excited to once again offer our stockholders a completely "virtual" Annual Meeting. We believe a virtual Annual Meeting provides our stockholders expanded access to participate in the meeting, improves communication between stockholders and management and results in cost savings for the Company and our stockholders. Hosting a virtual meeting enables increased stockholder attendance and participation, because more stockholders can attend and participate in the Annual Meeting, including the ability to vote and ask questions, from almost any location around the world. You will be able to attend the Annual Meeting as well as vote and submit your questions during the live webcast of the meeting by visiting </w:t>
      </w:r>
      <w:r>
        <w:rPr>
          <w:rFonts w:ascii="Arial" w:cs="Arial" w:eastAsia="Arial" w:hAnsi="Arial"/>
          <w:sz w:val="16"/>
          <w:szCs w:val="16"/>
          <w:b w:val="1"/>
          <w:bCs w:val="1"/>
          <w:color w:val="00ACD2"/>
        </w:rPr>
        <w:t>www.virtualshareholdermeeting.com/UNIT2018</w:t>
      </w:r>
      <w:r>
        <w:rPr>
          <w:rFonts w:ascii="Arial" w:cs="Arial" w:eastAsia="Arial" w:hAnsi="Arial"/>
          <w:sz w:val="16"/>
          <w:szCs w:val="16"/>
          <w:color w:val="auto"/>
        </w:rPr>
        <w:t xml:space="preserve"> and entering the control number included in your Notice of Internet Availability of Proxy Materials, on your proxy card or in the instructions that accompanied your proxy materials. </w:t>
      </w:r>
      <w:r>
        <w:rPr>
          <w:rFonts w:ascii="Arial" w:cs="Arial" w:eastAsia="Arial" w:hAnsi="Arial"/>
          <w:sz w:val="16"/>
          <w:szCs w:val="16"/>
          <w:b w:val="1"/>
          <w:bCs w:val="1"/>
          <w:color w:val="auto"/>
        </w:rPr>
        <w:t>Because the Annual Meeting is entirely virtual and being webcast live over the Internet, stockholders will not be able to attend the</w:t>
      </w:r>
      <w:r>
        <w:rPr>
          <w:rFonts w:ascii="Arial" w:cs="Arial" w:eastAsia="Arial" w:hAnsi="Arial"/>
          <w:sz w:val="16"/>
          <w:szCs w:val="16"/>
          <w:color w:val="auto"/>
        </w:rPr>
        <w:t xml:space="preserve"> </w:t>
      </w:r>
      <w:r>
        <w:rPr>
          <w:rFonts w:ascii="Arial" w:cs="Arial" w:eastAsia="Arial" w:hAnsi="Arial"/>
          <w:sz w:val="16"/>
          <w:szCs w:val="16"/>
          <w:b w:val="1"/>
          <w:bCs w:val="1"/>
          <w:color w:val="auto"/>
        </w:rPr>
        <w:t>Annual Meeting in person.</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Please read this Proxy Statement carefully and then vote your shares promptly by telephone, by Internet or by signing, dating and returning your proxy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9" w:name="page10"/>
    <w:bookmarkEnd w:id="9"/>
    <w:p>
      <w:pPr>
        <w:ind w:left="1"/>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ACD2"/>
        </w:rPr>
        <w:t>QUESTIONS AND ANSWERS ABOUT OUR ANNUAL MEETING</w:t>
      </w:r>
    </w:p>
    <w:p>
      <w:pPr>
        <w:spacing w:after="0" w:line="202" w:lineRule="exact"/>
        <w:rPr>
          <w:sz w:val="20"/>
          <w:szCs w:val="20"/>
          <w:color w:val="auto"/>
        </w:rPr>
      </w:pPr>
    </w:p>
    <w:p>
      <w:pPr>
        <w:ind w:left="501" w:hanging="501"/>
        <w:spacing w:after="0"/>
        <w:tabs>
          <w:tab w:leader="none" w:pos="501" w:val="left"/>
        </w:tabs>
        <w:numPr>
          <w:ilvl w:val="0"/>
          <w:numId w:val="4"/>
        </w:numPr>
        <w:rPr>
          <w:rFonts w:ascii="Arial" w:cs="Arial" w:eastAsia="Arial" w:hAnsi="Arial"/>
          <w:sz w:val="16"/>
          <w:szCs w:val="16"/>
          <w:b w:val="1"/>
          <w:bCs w:val="1"/>
          <w:color w:val="00ACD2"/>
        </w:rPr>
      </w:pPr>
      <w:r>
        <w:rPr>
          <w:rFonts w:ascii="Arial" w:cs="Arial" w:eastAsia="Arial" w:hAnsi="Arial"/>
          <w:sz w:val="16"/>
          <w:szCs w:val="16"/>
          <w:b w:val="1"/>
          <w:bCs w:val="1"/>
          <w:color w:val="00ACD2"/>
        </w:rPr>
        <w:t>What is included in the proxy materials?</w:t>
      </w:r>
    </w:p>
    <w:p>
      <w:pPr>
        <w:spacing w:after="0" w:line="218" w:lineRule="exact"/>
        <w:rPr>
          <w:sz w:val="20"/>
          <w:szCs w:val="20"/>
          <w:color w:val="auto"/>
        </w:rPr>
      </w:pPr>
    </w:p>
    <w:p>
      <w:pPr>
        <w:ind w:left="501" w:hanging="501"/>
        <w:spacing w:after="0"/>
        <w:tabs>
          <w:tab w:leader="none" w:pos="50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internet version of the proxy materials includes:</w:t>
      </w:r>
    </w:p>
    <w:p>
      <w:pPr>
        <w:spacing w:after="0" w:line="383" w:lineRule="exact"/>
        <w:rPr>
          <w:rFonts w:ascii="Arial" w:cs="Arial" w:eastAsia="Arial" w:hAnsi="Arial"/>
          <w:sz w:val="16"/>
          <w:szCs w:val="16"/>
          <w:color w:val="auto"/>
        </w:rPr>
      </w:pPr>
    </w:p>
    <w:p>
      <w:pPr>
        <w:ind w:left="981" w:hanging="488"/>
        <w:spacing w:after="0"/>
        <w:tabs>
          <w:tab w:leader="none" w:pos="981" w:val="left"/>
        </w:tabs>
        <w:numPr>
          <w:ilvl w:val="1"/>
          <w:numId w:val="5"/>
        </w:numPr>
        <w:rPr>
          <w:rFonts w:ascii="Arial" w:cs="Arial" w:eastAsia="Arial" w:hAnsi="Arial"/>
          <w:sz w:val="16"/>
          <w:szCs w:val="16"/>
          <w:color w:val="auto"/>
        </w:rPr>
      </w:pPr>
      <w:r>
        <w:rPr>
          <w:rFonts w:ascii="Arial" w:cs="Arial" w:eastAsia="Arial" w:hAnsi="Arial"/>
          <w:sz w:val="16"/>
          <w:szCs w:val="16"/>
          <w:color w:val="auto"/>
        </w:rPr>
        <w:t>This Proxy Statement for the Annual Meeting; and</w:t>
      </w:r>
    </w:p>
    <w:p>
      <w:pPr>
        <w:spacing w:after="0" w:line="185" w:lineRule="exact"/>
        <w:rPr>
          <w:rFonts w:ascii="Arial" w:cs="Arial" w:eastAsia="Arial" w:hAnsi="Arial"/>
          <w:sz w:val="16"/>
          <w:szCs w:val="16"/>
          <w:color w:val="auto"/>
        </w:rPr>
      </w:pPr>
    </w:p>
    <w:p>
      <w:pPr>
        <w:ind w:left="981" w:right="20" w:hanging="488"/>
        <w:spacing w:after="0" w:line="253" w:lineRule="auto"/>
        <w:tabs>
          <w:tab w:leader="none" w:pos="981" w:val="left"/>
        </w:tabs>
        <w:numPr>
          <w:ilvl w:val="1"/>
          <w:numId w:val="5"/>
        </w:numPr>
        <w:rPr>
          <w:rFonts w:ascii="Arial" w:cs="Arial" w:eastAsia="Arial" w:hAnsi="Arial"/>
          <w:sz w:val="16"/>
          <w:szCs w:val="16"/>
          <w:color w:val="auto"/>
        </w:rPr>
      </w:pPr>
      <w:r>
        <w:rPr>
          <w:rFonts w:ascii="Arial" w:cs="Arial" w:eastAsia="Arial" w:hAnsi="Arial"/>
          <w:sz w:val="16"/>
          <w:szCs w:val="16"/>
          <w:color w:val="auto"/>
        </w:rPr>
        <w:t>Our 2017 annual report to stockholders, which includes our Annual Report on Form 10-K for the fiscal year ended December 31, 2017 (the "Annual Report").</w:t>
      </w:r>
    </w:p>
    <w:p>
      <w:pPr>
        <w:spacing w:after="0" w:line="200" w:lineRule="exact"/>
        <w:rPr>
          <w:sz w:val="20"/>
          <w:szCs w:val="20"/>
          <w:color w:val="auto"/>
        </w:rPr>
      </w:pPr>
    </w:p>
    <w:p>
      <w:pPr>
        <w:spacing w:after="0" w:line="214" w:lineRule="exact"/>
        <w:rPr>
          <w:sz w:val="20"/>
          <w:szCs w:val="20"/>
          <w:color w:val="auto"/>
        </w:rPr>
      </w:pPr>
    </w:p>
    <w:p>
      <w:pPr>
        <w:ind w:left="501"/>
        <w:spacing w:after="0"/>
        <w:rPr>
          <w:sz w:val="20"/>
          <w:szCs w:val="20"/>
          <w:color w:val="auto"/>
        </w:rPr>
      </w:pPr>
      <w:r>
        <w:rPr>
          <w:rFonts w:ascii="Arial" w:cs="Arial" w:eastAsia="Arial" w:hAnsi="Arial"/>
          <w:sz w:val="16"/>
          <w:szCs w:val="16"/>
          <w:color w:val="auto"/>
        </w:rPr>
        <w:t>If you received a printed copy of these materials by mail, the proxy materials also include a proxy card or a voting instruction form for the Annual Meeting.</w:t>
      </w:r>
    </w:p>
    <w:p>
      <w:pPr>
        <w:spacing w:after="0" w:line="178" w:lineRule="exact"/>
        <w:rPr>
          <w:sz w:val="20"/>
          <w:szCs w:val="20"/>
          <w:color w:val="auto"/>
        </w:rPr>
      </w:pPr>
    </w:p>
    <w:p>
      <w:pPr>
        <w:ind w:left="501" w:hanging="501"/>
        <w:spacing w:after="0"/>
        <w:tabs>
          <w:tab w:leader="none" w:pos="501" w:val="left"/>
        </w:tabs>
        <w:numPr>
          <w:ilvl w:val="0"/>
          <w:numId w:val="6"/>
        </w:numPr>
        <w:rPr>
          <w:rFonts w:ascii="Arial" w:cs="Arial" w:eastAsia="Arial" w:hAnsi="Arial"/>
          <w:sz w:val="16"/>
          <w:szCs w:val="16"/>
          <w:b w:val="1"/>
          <w:bCs w:val="1"/>
          <w:color w:val="00ACD2"/>
        </w:rPr>
      </w:pPr>
      <w:r>
        <w:rPr>
          <w:rFonts w:ascii="Arial" w:cs="Arial" w:eastAsia="Arial" w:hAnsi="Arial"/>
          <w:sz w:val="16"/>
          <w:szCs w:val="16"/>
          <w:b w:val="1"/>
          <w:bCs w:val="1"/>
          <w:color w:val="00ACD2"/>
        </w:rPr>
        <w:t>What items of business will be conducted at the Annual Meeting?</w:t>
      </w:r>
    </w:p>
    <w:p>
      <w:pPr>
        <w:spacing w:after="0" w:line="206" w:lineRule="exact"/>
        <w:rPr>
          <w:sz w:val="20"/>
          <w:szCs w:val="20"/>
          <w:color w:val="auto"/>
        </w:rPr>
      </w:pPr>
    </w:p>
    <w:p>
      <w:pPr>
        <w:ind w:left="501" w:hanging="501"/>
        <w:spacing w:after="0"/>
        <w:tabs>
          <w:tab w:leader="none" w:pos="50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following matters will be presented for stockholder consideration and voting at the Annual Meeting:</w:t>
      </w:r>
    </w:p>
    <w:p>
      <w:pPr>
        <w:spacing w:after="0" w:line="395" w:lineRule="exact"/>
        <w:rPr>
          <w:rFonts w:ascii="Arial" w:cs="Arial" w:eastAsia="Arial" w:hAnsi="Arial"/>
          <w:sz w:val="16"/>
          <w:szCs w:val="16"/>
          <w:color w:val="auto"/>
        </w:rPr>
      </w:pPr>
    </w:p>
    <w:p>
      <w:pPr>
        <w:ind w:left="981" w:hanging="488"/>
        <w:spacing w:after="0" w:line="253" w:lineRule="auto"/>
        <w:tabs>
          <w:tab w:leader="none" w:pos="981"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election of six nominees to serve as directors of the Company until the 2019 annual meeting of stockholders and until their successors are duly elected and qualified (Proposal No. 1);</w:t>
      </w:r>
    </w:p>
    <w:p>
      <w:pPr>
        <w:spacing w:after="0" w:line="166" w:lineRule="exact"/>
        <w:rPr>
          <w:rFonts w:ascii="Arial" w:cs="Arial" w:eastAsia="Arial" w:hAnsi="Arial"/>
          <w:sz w:val="16"/>
          <w:szCs w:val="16"/>
          <w:color w:val="auto"/>
        </w:rPr>
      </w:pPr>
    </w:p>
    <w:p>
      <w:pPr>
        <w:ind w:left="981" w:hanging="488"/>
        <w:spacing w:after="0"/>
        <w:tabs>
          <w:tab w:leader="none" w:pos="981" w:val="left"/>
        </w:tabs>
        <w:numPr>
          <w:ilvl w:val="1"/>
          <w:numId w:val="7"/>
        </w:numPr>
        <w:rPr>
          <w:rFonts w:ascii="Arial" w:cs="Arial" w:eastAsia="Arial" w:hAnsi="Arial"/>
          <w:sz w:val="16"/>
          <w:szCs w:val="16"/>
          <w:color w:val="auto"/>
        </w:rPr>
      </w:pPr>
      <w:r>
        <w:rPr>
          <w:rFonts w:ascii="Arial" w:cs="Arial" w:eastAsia="Arial" w:hAnsi="Arial"/>
          <w:sz w:val="16"/>
          <w:szCs w:val="16"/>
          <w:color w:val="auto"/>
        </w:rPr>
        <w:t>An advisory vote to approve the compensation of the Company's NEOs (Proposal No. 2);</w:t>
      </w:r>
    </w:p>
    <w:p>
      <w:pPr>
        <w:spacing w:after="0" w:line="185" w:lineRule="exact"/>
        <w:rPr>
          <w:rFonts w:ascii="Arial" w:cs="Arial" w:eastAsia="Arial" w:hAnsi="Arial"/>
          <w:sz w:val="16"/>
          <w:szCs w:val="16"/>
          <w:color w:val="auto"/>
        </w:rPr>
      </w:pPr>
    </w:p>
    <w:p>
      <w:pPr>
        <w:ind w:left="981" w:hanging="488"/>
        <w:spacing w:after="0"/>
        <w:tabs>
          <w:tab w:leader="none" w:pos="981" w:val="left"/>
        </w:tabs>
        <w:numPr>
          <w:ilvl w:val="1"/>
          <w:numId w:val="7"/>
        </w:numPr>
        <w:rPr>
          <w:rFonts w:ascii="Arial" w:cs="Arial" w:eastAsia="Arial" w:hAnsi="Arial"/>
          <w:sz w:val="16"/>
          <w:szCs w:val="16"/>
          <w:color w:val="auto"/>
        </w:rPr>
      </w:pPr>
      <w:r>
        <w:rPr>
          <w:rFonts w:ascii="Arial" w:cs="Arial" w:eastAsia="Arial" w:hAnsi="Arial"/>
          <w:sz w:val="16"/>
          <w:szCs w:val="16"/>
          <w:color w:val="auto"/>
        </w:rPr>
        <w:t>A vote to approve the Uniti Group Inc. Employee Stock Purchase Plan (Proposal No. 3);</w:t>
      </w:r>
    </w:p>
    <w:p>
      <w:pPr>
        <w:spacing w:after="0" w:line="198" w:lineRule="exact"/>
        <w:rPr>
          <w:rFonts w:ascii="Arial" w:cs="Arial" w:eastAsia="Arial" w:hAnsi="Arial"/>
          <w:sz w:val="16"/>
          <w:szCs w:val="16"/>
          <w:color w:val="auto"/>
        </w:rPr>
      </w:pPr>
    </w:p>
    <w:p>
      <w:pPr>
        <w:ind w:left="981" w:right="380" w:hanging="488"/>
        <w:spacing w:after="0" w:line="253" w:lineRule="auto"/>
        <w:tabs>
          <w:tab w:leader="none" w:pos="981" w:val="left"/>
        </w:tabs>
        <w:numPr>
          <w:ilvl w:val="1"/>
          <w:numId w:val="7"/>
        </w:numPr>
        <w:rPr>
          <w:rFonts w:ascii="Arial" w:cs="Arial" w:eastAsia="Arial" w:hAnsi="Arial"/>
          <w:sz w:val="16"/>
          <w:szCs w:val="16"/>
          <w:color w:val="auto"/>
        </w:rPr>
      </w:pPr>
      <w:r>
        <w:rPr>
          <w:rFonts w:ascii="Arial" w:cs="Arial" w:eastAsia="Arial" w:hAnsi="Arial"/>
          <w:sz w:val="16"/>
          <w:szCs w:val="16"/>
          <w:color w:val="auto"/>
        </w:rPr>
        <w:t>A vote to approve an amendment to the Company's charter to provide stockholders with the power to amend the Company's bylaws (Proposal No. 4); and</w:t>
      </w:r>
    </w:p>
    <w:p>
      <w:pPr>
        <w:spacing w:after="0" w:line="166" w:lineRule="exact"/>
        <w:rPr>
          <w:rFonts w:ascii="Arial" w:cs="Arial" w:eastAsia="Arial" w:hAnsi="Arial"/>
          <w:sz w:val="16"/>
          <w:szCs w:val="16"/>
          <w:color w:val="auto"/>
        </w:rPr>
      </w:pPr>
    </w:p>
    <w:p>
      <w:pPr>
        <w:ind w:left="981" w:right="660" w:hanging="488"/>
        <w:spacing w:after="0" w:line="253" w:lineRule="auto"/>
        <w:tabs>
          <w:tab w:leader="none" w:pos="981"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ratification of the appointment of PricewaterhouseCoopers LLP ("PwC") as our independent public accounting firm for the year ending December 31, 2018 (Proposal No. 5).</w:t>
      </w:r>
    </w:p>
    <w:p>
      <w:pPr>
        <w:spacing w:after="0" w:line="159" w:lineRule="exact"/>
        <w:rPr>
          <w:sz w:val="20"/>
          <w:szCs w:val="20"/>
          <w:color w:val="auto"/>
        </w:rPr>
      </w:pPr>
    </w:p>
    <w:p>
      <w:pPr>
        <w:ind w:left="501" w:hanging="501"/>
        <w:spacing w:after="0"/>
        <w:tabs>
          <w:tab w:leader="none" w:pos="501" w:val="left"/>
        </w:tabs>
        <w:numPr>
          <w:ilvl w:val="0"/>
          <w:numId w:val="8"/>
        </w:numPr>
        <w:rPr>
          <w:rFonts w:ascii="Arial" w:cs="Arial" w:eastAsia="Arial" w:hAnsi="Arial"/>
          <w:sz w:val="16"/>
          <w:szCs w:val="16"/>
          <w:b w:val="1"/>
          <w:bCs w:val="1"/>
          <w:color w:val="00ACD2"/>
        </w:rPr>
      </w:pPr>
      <w:r>
        <w:rPr>
          <w:rFonts w:ascii="Arial" w:cs="Arial" w:eastAsia="Arial" w:hAnsi="Arial"/>
          <w:sz w:val="16"/>
          <w:szCs w:val="16"/>
          <w:b w:val="1"/>
          <w:bCs w:val="1"/>
          <w:color w:val="00ACD2"/>
        </w:rPr>
        <w:t>How does the Board of Directors recommend that I vote?</w:t>
      </w:r>
    </w:p>
    <w:p>
      <w:pPr>
        <w:spacing w:after="0" w:line="218" w:lineRule="exact"/>
        <w:rPr>
          <w:sz w:val="20"/>
          <w:szCs w:val="20"/>
          <w:color w:val="auto"/>
        </w:rPr>
      </w:pPr>
    </w:p>
    <w:p>
      <w:pPr>
        <w:ind w:left="501" w:hanging="501"/>
        <w:spacing w:after="0"/>
        <w:tabs>
          <w:tab w:leader="none" w:pos="501"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Board of Directors of Uniti recommends you vote:</w:t>
      </w:r>
    </w:p>
    <w:p>
      <w:pPr>
        <w:spacing w:after="0" w:line="363" w:lineRule="exact"/>
        <w:rPr>
          <w:rFonts w:ascii="Arial" w:cs="Arial" w:eastAsia="Arial" w:hAnsi="Arial"/>
          <w:sz w:val="16"/>
          <w:szCs w:val="16"/>
          <w:color w:val="auto"/>
        </w:rPr>
      </w:pPr>
    </w:p>
    <w:p>
      <w:pPr>
        <w:ind w:left="981" w:hanging="488"/>
        <w:spacing w:after="0"/>
        <w:tabs>
          <w:tab w:leader="none" w:pos="981" w:val="left"/>
        </w:tabs>
        <w:numPr>
          <w:ilvl w:val="1"/>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00ACD2"/>
        </w:rPr>
        <w:t>FOR</w:t>
      </w:r>
      <w:r>
        <w:rPr>
          <w:rFonts w:ascii="Arial" w:cs="Arial" w:eastAsia="Arial" w:hAnsi="Arial"/>
          <w:sz w:val="16"/>
          <w:szCs w:val="16"/>
          <w:color w:val="auto"/>
        </w:rPr>
        <w:t>" the election of each of the six nominees to serve as directors of the Company (Proposal No. 1);</w:t>
      </w:r>
    </w:p>
    <w:p>
      <w:pPr>
        <w:spacing w:after="0" w:line="198" w:lineRule="exact"/>
        <w:rPr>
          <w:rFonts w:ascii="Arial" w:cs="Arial" w:eastAsia="Arial" w:hAnsi="Arial"/>
          <w:sz w:val="16"/>
          <w:szCs w:val="16"/>
          <w:color w:val="auto"/>
        </w:rPr>
      </w:pPr>
    </w:p>
    <w:p>
      <w:pPr>
        <w:ind w:left="981" w:hanging="488"/>
        <w:spacing w:after="0"/>
        <w:tabs>
          <w:tab w:leader="none" w:pos="981" w:val="left"/>
        </w:tabs>
        <w:numPr>
          <w:ilvl w:val="1"/>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00ACD2"/>
        </w:rPr>
        <w:t>FOR</w:t>
      </w:r>
      <w:r>
        <w:rPr>
          <w:rFonts w:ascii="Arial" w:cs="Arial" w:eastAsia="Arial" w:hAnsi="Arial"/>
          <w:sz w:val="16"/>
          <w:szCs w:val="16"/>
          <w:color w:val="auto"/>
        </w:rPr>
        <w:t>" approval of the resolution regarding compensation of the Company's NEOs (Proposal No. 2);</w:t>
      </w:r>
    </w:p>
    <w:p>
      <w:pPr>
        <w:spacing w:after="0" w:line="185" w:lineRule="exact"/>
        <w:rPr>
          <w:rFonts w:ascii="Arial" w:cs="Arial" w:eastAsia="Arial" w:hAnsi="Arial"/>
          <w:sz w:val="16"/>
          <w:szCs w:val="16"/>
          <w:color w:val="auto"/>
        </w:rPr>
      </w:pPr>
    </w:p>
    <w:p>
      <w:pPr>
        <w:ind w:left="981" w:hanging="488"/>
        <w:spacing w:after="0"/>
        <w:tabs>
          <w:tab w:leader="none" w:pos="981" w:val="left"/>
        </w:tabs>
        <w:numPr>
          <w:ilvl w:val="1"/>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00ACD2"/>
        </w:rPr>
        <w:t>FOR</w:t>
      </w:r>
      <w:r>
        <w:rPr>
          <w:rFonts w:ascii="Arial" w:cs="Arial" w:eastAsia="Arial" w:hAnsi="Arial"/>
          <w:sz w:val="16"/>
          <w:szCs w:val="16"/>
          <w:color w:val="auto"/>
        </w:rPr>
        <w:t>" approval of the Uniti Group Inc. Employee Stock Purchase Plan (Proposal No. 3);</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6313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42" w:right="239" w:bottom="1440" w:gutter="0" w:footer="0" w:header="0"/>
        </w:sectPr>
      </w:pPr>
    </w:p>
    <w:bookmarkStart w:id="10" w:name="page11"/>
    <w:bookmarkEnd w:id="10"/>
    <w:p>
      <w:pPr>
        <w:ind w:left="1"/>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78" w:lineRule="exact"/>
        <w:rPr>
          <w:sz w:val="20"/>
          <w:szCs w:val="20"/>
          <w:color w:val="auto"/>
        </w:rPr>
      </w:pPr>
    </w:p>
    <w:p>
      <w:pPr>
        <w:ind w:left="981" w:right="340" w:hanging="488"/>
        <w:spacing w:after="0" w:line="279" w:lineRule="auto"/>
        <w:tabs>
          <w:tab w:leader="none" w:pos="981" w:val="left"/>
        </w:tabs>
        <w:numPr>
          <w:ilvl w:val="1"/>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00ACD2"/>
        </w:rPr>
        <w:t>FOR</w:t>
      </w:r>
      <w:r>
        <w:rPr>
          <w:rFonts w:ascii="Arial" w:cs="Arial" w:eastAsia="Arial" w:hAnsi="Arial"/>
          <w:sz w:val="16"/>
          <w:szCs w:val="16"/>
          <w:color w:val="auto"/>
        </w:rPr>
        <w:t>" approval of an amendment to the Company's charter to provide stockholders with the power to amend the Company's bylaws (Proposal No. 4); and</w:t>
      </w:r>
    </w:p>
    <w:p>
      <w:pPr>
        <w:spacing w:after="0" w:line="139" w:lineRule="exact"/>
        <w:rPr>
          <w:rFonts w:ascii="Arial" w:cs="Arial" w:eastAsia="Arial" w:hAnsi="Arial"/>
          <w:sz w:val="16"/>
          <w:szCs w:val="16"/>
          <w:color w:val="auto"/>
        </w:rPr>
      </w:pPr>
    </w:p>
    <w:p>
      <w:pPr>
        <w:ind w:left="981" w:right="440" w:hanging="488"/>
        <w:spacing w:after="0" w:line="279" w:lineRule="auto"/>
        <w:tabs>
          <w:tab w:leader="none" w:pos="981" w:val="left"/>
        </w:tabs>
        <w:numPr>
          <w:ilvl w:val="1"/>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00ACD2"/>
        </w:rPr>
        <w:t>FOR</w:t>
      </w:r>
      <w:r>
        <w:rPr>
          <w:rFonts w:ascii="Arial" w:cs="Arial" w:eastAsia="Arial" w:hAnsi="Arial"/>
          <w:sz w:val="16"/>
          <w:szCs w:val="16"/>
          <w:color w:val="auto"/>
        </w:rPr>
        <w:t>" the ratification of the appointment of PwC as our independent public accounting firm for the year ending December 31, 2018 (Proposal No. 5).</w:t>
      </w:r>
    </w:p>
    <w:p>
      <w:pPr>
        <w:spacing w:after="0" w:line="139" w:lineRule="exact"/>
        <w:rPr>
          <w:rFonts w:ascii="Arial" w:cs="Arial" w:eastAsia="Arial" w:hAnsi="Arial"/>
          <w:sz w:val="16"/>
          <w:szCs w:val="16"/>
          <w:color w:val="auto"/>
        </w:rPr>
      </w:pPr>
    </w:p>
    <w:p>
      <w:pPr>
        <w:ind w:left="501" w:hanging="501"/>
        <w:spacing w:after="0"/>
        <w:tabs>
          <w:tab w:leader="none" w:pos="501" w:val="left"/>
        </w:tabs>
        <w:numPr>
          <w:ilvl w:val="0"/>
          <w:numId w:val="10"/>
        </w:numPr>
        <w:rPr>
          <w:rFonts w:ascii="Arial" w:cs="Arial" w:eastAsia="Arial" w:hAnsi="Arial"/>
          <w:sz w:val="16"/>
          <w:szCs w:val="16"/>
          <w:b w:val="1"/>
          <w:bCs w:val="1"/>
          <w:color w:val="00ACD2"/>
        </w:rPr>
      </w:pPr>
      <w:r>
        <w:rPr>
          <w:rFonts w:ascii="Arial" w:cs="Arial" w:eastAsia="Arial" w:hAnsi="Arial"/>
          <w:sz w:val="16"/>
          <w:szCs w:val="16"/>
          <w:b w:val="1"/>
          <w:bCs w:val="1"/>
          <w:color w:val="00ACD2"/>
        </w:rPr>
        <w:t>Who is entitled to vote at the Annual Meeting?</w:t>
      </w:r>
    </w:p>
    <w:p>
      <w:pPr>
        <w:spacing w:after="0" w:line="206" w:lineRule="exact"/>
        <w:rPr>
          <w:sz w:val="20"/>
          <w:szCs w:val="20"/>
          <w:color w:val="auto"/>
        </w:rPr>
      </w:pPr>
    </w:p>
    <w:p>
      <w:pPr>
        <w:ind w:left="501" w:hanging="501"/>
        <w:spacing w:after="0" w:line="245" w:lineRule="auto"/>
        <w:tabs>
          <w:tab w:leader="none" w:pos="501" w:val="left"/>
        </w:tabs>
        <w:numPr>
          <w:ilvl w:val="0"/>
          <w:numId w:val="11"/>
        </w:numPr>
        <w:rPr>
          <w:rFonts w:ascii="Arial" w:cs="Arial" w:eastAsia="Arial" w:hAnsi="Arial"/>
          <w:sz w:val="16"/>
          <w:szCs w:val="16"/>
          <w:color w:val="auto"/>
        </w:rPr>
      </w:pPr>
      <w:r>
        <w:rPr>
          <w:rFonts w:ascii="Arial" w:cs="Arial" w:eastAsia="Arial" w:hAnsi="Arial"/>
          <w:sz w:val="16"/>
          <w:szCs w:val="16"/>
          <w:color w:val="auto"/>
        </w:rPr>
        <w:t>Each share of Uniti common stock is entitled to one vote on each proposal presented at the Annual Meeting. Holders of record of our common stock at the close of business on March 16, 2018 (the "Record Date" for the Annual Meeting) are entitled to receive notice of the Annual Meeting and to vote their shares of common stock held on that date at the Annual Meeting or any postponements or adjournments of the Annual Meeting. On the Record Date, 175,779,917 shares of common stock of Uniti were outstanding.</w:t>
      </w:r>
    </w:p>
    <w:p>
      <w:pPr>
        <w:spacing w:after="0" w:line="178" w:lineRule="exact"/>
        <w:rPr>
          <w:sz w:val="20"/>
          <w:szCs w:val="20"/>
          <w:color w:val="auto"/>
        </w:rPr>
      </w:pPr>
    </w:p>
    <w:p>
      <w:pPr>
        <w:ind w:left="501" w:hanging="501"/>
        <w:spacing w:after="0"/>
        <w:tabs>
          <w:tab w:leader="none" w:pos="501" w:val="left"/>
        </w:tabs>
        <w:numPr>
          <w:ilvl w:val="0"/>
          <w:numId w:val="12"/>
        </w:numPr>
        <w:rPr>
          <w:rFonts w:ascii="Arial" w:cs="Arial" w:eastAsia="Arial" w:hAnsi="Arial"/>
          <w:sz w:val="16"/>
          <w:szCs w:val="16"/>
          <w:b w:val="1"/>
          <w:bCs w:val="1"/>
          <w:color w:val="00ACD2"/>
        </w:rPr>
      </w:pPr>
      <w:r>
        <w:rPr>
          <w:rFonts w:ascii="Arial" w:cs="Arial" w:eastAsia="Arial" w:hAnsi="Arial"/>
          <w:sz w:val="16"/>
          <w:szCs w:val="16"/>
          <w:b w:val="1"/>
          <w:bCs w:val="1"/>
          <w:color w:val="00ACD2"/>
        </w:rPr>
        <w:t>How can I attend and participate in the Annual Meeting?</w:t>
      </w:r>
    </w:p>
    <w:p>
      <w:pPr>
        <w:spacing w:after="0" w:line="186" w:lineRule="exact"/>
        <w:rPr>
          <w:sz w:val="20"/>
          <w:szCs w:val="20"/>
          <w:color w:val="auto"/>
        </w:rPr>
      </w:pPr>
    </w:p>
    <w:p>
      <w:pPr>
        <w:ind w:left="501" w:right="100" w:hanging="501"/>
        <w:spacing w:after="0" w:line="260" w:lineRule="auto"/>
        <w:tabs>
          <w:tab w:leader="none" w:pos="5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Stockholders may attend and participate in the Annual Meeting online by visiting </w:t>
      </w:r>
      <w:r>
        <w:rPr>
          <w:rFonts w:ascii="Arial" w:cs="Arial" w:eastAsia="Arial" w:hAnsi="Arial"/>
          <w:sz w:val="16"/>
          <w:szCs w:val="16"/>
          <w:b w:val="1"/>
          <w:bCs w:val="1"/>
          <w:color w:val="00ACD2"/>
        </w:rPr>
        <w:t>www.virtualshareholdermeeting.com/UNIT2018</w:t>
      </w:r>
      <w:r>
        <w:rPr>
          <w:rFonts w:ascii="Arial" w:cs="Arial" w:eastAsia="Arial" w:hAnsi="Arial"/>
          <w:sz w:val="16"/>
          <w:szCs w:val="16"/>
          <w:color w:val="auto"/>
        </w:rPr>
        <w:t>. The Annual Meeting will begin promptly at 8:00 a.m. (Eastern time). We encourage you to access the Annual Meeting prior to the start time. Online check-in will begin at 7:50 a.m. (Eastern time), and you should allow ample time for the check-in procedures.</w:t>
      </w:r>
    </w:p>
    <w:p>
      <w:pPr>
        <w:spacing w:after="0" w:line="198" w:lineRule="exact"/>
        <w:rPr>
          <w:rFonts w:ascii="Arial" w:cs="Arial" w:eastAsia="Arial" w:hAnsi="Arial"/>
          <w:sz w:val="16"/>
          <w:szCs w:val="16"/>
          <w:color w:val="auto"/>
        </w:rPr>
      </w:pPr>
    </w:p>
    <w:p>
      <w:pPr>
        <w:ind w:left="501"/>
        <w:spacing w:after="0" w:line="245" w:lineRule="auto"/>
        <w:rPr>
          <w:rFonts w:ascii="Arial" w:cs="Arial" w:eastAsia="Arial" w:hAnsi="Arial"/>
          <w:sz w:val="16"/>
          <w:szCs w:val="16"/>
          <w:color w:val="auto"/>
        </w:rPr>
      </w:pPr>
      <w:r>
        <w:rPr>
          <w:rFonts w:ascii="Arial" w:cs="Arial" w:eastAsia="Arial" w:hAnsi="Arial"/>
          <w:sz w:val="16"/>
          <w:szCs w:val="16"/>
          <w:color w:val="auto"/>
        </w:rPr>
        <w:t xml:space="preserve">While all Uniti stockholders will be permitted to attend the Annual Meeting, only stockholders of record and beneficial owners as of the close of business on the Record Date, March 16, 2018, may vote and ask questions during the Annual Meeting. In order to vote or submit a question during the meeting, you will need to follow the instructions posted at </w:t>
      </w:r>
      <w:r>
        <w:rPr>
          <w:rFonts w:ascii="Arial" w:cs="Arial" w:eastAsia="Arial" w:hAnsi="Arial"/>
          <w:sz w:val="16"/>
          <w:szCs w:val="16"/>
          <w:b w:val="1"/>
          <w:bCs w:val="1"/>
          <w:color w:val="00ACD2"/>
        </w:rPr>
        <w:t>www.virtualshareholdermeeting.com/UNIT2018</w:t>
      </w:r>
      <w:r>
        <w:rPr>
          <w:rFonts w:ascii="Arial" w:cs="Arial" w:eastAsia="Arial" w:hAnsi="Arial"/>
          <w:sz w:val="16"/>
          <w:szCs w:val="16"/>
          <w:color w:val="auto"/>
        </w:rPr>
        <w:t xml:space="preserve"> and will also need the control number included on your Notice of Internet Availability of Proxy Materials or proxy card.</w:t>
      </w:r>
    </w:p>
    <w:p>
      <w:pPr>
        <w:spacing w:after="0" w:line="223" w:lineRule="exact"/>
        <w:rPr>
          <w:sz w:val="20"/>
          <w:szCs w:val="20"/>
          <w:color w:val="auto"/>
        </w:rPr>
      </w:pPr>
    </w:p>
    <w:p>
      <w:pPr>
        <w:ind w:left="501" w:right="240"/>
        <w:spacing w:after="0" w:line="253" w:lineRule="auto"/>
        <w:rPr>
          <w:sz w:val="20"/>
          <w:szCs w:val="20"/>
          <w:color w:val="auto"/>
        </w:rPr>
      </w:pPr>
      <w:r>
        <w:rPr>
          <w:rFonts w:ascii="Arial" w:cs="Arial" w:eastAsia="Arial" w:hAnsi="Arial"/>
          <w:sz w:val="16"/>
          <w:szCs w:val="16"/>
          <w:color w:val="auto"/>
        </w:rPr>
        <w:t>Broadridge Financial Solutions, Inc. is hosting the Annual Meeting and, on the date of the Annual Meeting, will be available via telephone at 1-855-449-0991 to answer your questions regarding how to attend and participate in the Annual Meeting virtually via the Internet.</w:t>
      </w:r>
    </w:p>
    <w:p>
      <w:pPr>
        <w:spacing w:after="0" w:line="159" w:lineRule="exact"/>
        <w:rPr>
          <w:sz w:val="20"/>
          <w:szCs w:val="20"/>
          <w:color w:val="auto"/>
        </w:rPr>
      </w:pPr>
    </w:p>
    <w:p>
      <w:pPr>
        <w:ind w:left="501" w:hanging="501"/>
        <w:spacing w:after="0"/>
        <w:tabs>
          <w:tab w:leader="none" w:pos="501" w:val="left"/>
        </w:tabs>
        <w:numPr>
          <w:ilvl w:val="0"/>
          <w:numId w:val="14"/>
        </w:numPr>
        <w:rPr>
          <w:rFonts w:ascii="Arial" w:cs="Arial" w:eastAsia="Arial" w:hAnsi="Arial"/>
          <w:sz w:val="16"/>
          <w:szCs w:val="16"/>
          <w:b w:val="1"/>
          <w:bCs w:val="1"/>
          <w:color w:val="00ACD2"/>
        </w:rPr>
      </w:pPr>
      <w:r>
        <w:rPr>
          <w:rFonts w:ascii="Arial" w:cs="Arial" w:eastAsia="Arial" w:hAnsi="Arial"/>
          <w:sz w:val="16"/>
          <w:szCs w:val="16"/>
          <w:b w:val="1"/>
          <w:bCs w:val="1"/>
          <w:color w:val="00ACD2"/>
        </w:rPr>
        <w:t>What is the difference between a stockholder of record and a beneficial owner of shares held in street name?</w:t>
      </w:r>
    </w:p>
    <w:p>
      <w:pPr>
        <w:spacing w:after="0" w:line="186" w:lineRule="exact"/>
        <w:rPr>
          <w:sz w:val="20"/>
          <w:szCs w:val="20"/>
          <w:color w:val="auto"/>
        </w:rPr>
      </w:pPr>
    </w:p>
    <w:p>
      <w:pPr>
        <w:ind w:left="501" w:hanging="501"/>
        <w:spacing w:after="0"/>
        <w:tabs>
          <w:tab w:leader="none" w:pos="501"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Stockholder of record.</w:t>
      </w:r>
    </w:p>
    <w:p>
      <w:pPr>
        <w:spacing w:after="0" w:line="255" w:lineRule="exact"/>
        <w:rPr>
          <w:rFonts w:ascii="Arial" w:cs="Arial" w:eastAsia="Arial" w:hAnsi="Arial"/>
          <w:sz w:val="16"/>
          <w:szCs w:val="16"/>
          <w:color w:val="auto"/>
        </w:rPr>
      </w:pPr>
    </w:p>
    <w:p>
      <w:pPr>
        <w:jc w:val="both"/>
        <w:ind w:left="501" w:right="100"/>
        <w:spacing w:after="0" w:line="247" w:lineRule="auto"/>
        <w:rPr>
          <w:rFonts w:ascii="Arial" w:cs="Arial" w:eastAsia="Arial" w:hAnsi="Arial"/>
          <w:sz w:val="16"/>
          <w:szCs w:val="16"/>
          <w:color w:val="auto"/>
        </w:rPr>
      </w:pPr>
      <w:r>
        <w:rPr>
          <w:rFonts w:ascii="Arial" w:cs="Arial" w:eastAsia="Arial" w:hAnsi="Arial"/>
          <w:sz w:val="16"/>
          <w:szCs w:val="16"/>
          <w:color w:val="auto"/>
        </w:rPr>
        <w:t>If your shares are registered directly in your name with our transfer agent, Wells Fargo Bank, National Association, you are considered the stockholder of record with respect to those shares, and we sent a Notice of Internet Availability of Proxy Materials or a printed set of the proxy materials, together with a proxy card, directly to you.</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6313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42" w:right="239" w:bottom="1440" w:gutter="0" w:footer="0" w:header="0"/>
        </w:sectPr>
      </w:pPr>
    </w:p>
    <w:bookmarkStart w:id="11" w:name="page12"/>
    <w:bookmarkEnd w:id="11"/>
    <w:p>
      <w:pPr>
        <w:ind w:left="1"/>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215" w:lineRule="exact"/>
        <w:rPr>
          <w:sz w:val="20"/>
          <w:szCs w:val="20"/>
          <w:color w:val="auto"/>
        </w:rPr>
      </w:pPr>
    </w:p>
    <w:p>
      <w:pPr>
        <w:ind w:left="501"/>
        <w:spacing w:after="0"/>
        <w:rPr>
          <w:sz w:val="20"/>
          <w:szCs w:val="20"/>
          <w:color w:val="auto"/>
        </w:rPr>
      </w:pPr>
      <w:r>
        <w:rPr>
          <w:rFonts w:ascii="Arial" w:cs="Arial" w:eastAsia="Arial" w:hAnsi="Arial"/>
          <w:sz w:val="16"/>
          <w:szCs w:val="16"/>
          <w:b w:val="1"/>
          <w:bCs w:val="1"/>
          <w:i w:val="1"/>
          <w:iCs w:val="1"/>
          <w:color w:val="auto"/>
        </w:rPr>
        <w:t>Beneficial owner of shares held in street name.</w:t>
      </w:r>
    </w:p>
    <w:p>
      <w:pPr>
        <w:spacing w:after="0" w:line="255" w:lineRule="exact"/>
        <w:rPr>
          <w:sz w:val="20"/>
          <w:szCs w:val="20"/>
          <w:color w:val="auto"/>
        </w:rPr>
      </w:pPr>
    </w:p>
    <w:p>
      <w:pPr>
        <w:ind w:left="501"/>
        <w:spacing w:after="0" w:line="244" w:lineRule="auto"/>
        <w:rPr>
          <w:sz w:val="20"/>
          <w:szCs w:val="20"/>
          <w:color w:val="auto"/>
        </w:rPr>
      </w:pPr>
      <w:r>
        <w:rPr>
          <w:rFonts w:ascii="Arial" w:cs="Arial" w:eastAsia="Arial" w:hAnsi="Arial"/>
          <w:sz w:val="16"/>
          <w:szCs w:val="16"/>
          <w:color w:val="auto"/>
        </w:rPr>
        <w:t>If your shares are held in an account at a broker, bank or other nominee, then you are the beneficial owner of those shares held in "street name," and a Notice of Internet Availability of Proxy Materials or a printed set of the proxy materials, together with a voting instruction form, was forwarded to you by your broker, bank or other nominee who is considered the stockholder of record with respect to those shares. As a beneficial owner, you have the right to instruct your broker, bank or other nominee on how to vote the shares held in your account by following the instructions in the Notice of Internet Availability of Proxy Materials or on the voting instruction form you received.</w:t>
      </w:r>
    </w:p>
    <w:p>
      <w:pPr>
        <w:spacing w:after="0" w:line="167" w:lineRule="exact"/>
        <w:rPr>
          <w:sz w:val="20"/>
          <w:szCs w:val="20"/>
          <w:color w:val="auto"/>
        </w:rPr>
      </w:pPr>
    </w:p>
    <w:p>
      <w:pPr>
        <w:ind w:left="501" w:hanging="501"/>
        <w:spacing w:after="0"/>
        <w:tabs>
          <w:tab w:leader="none" w:pos="501" w:val="left"/>
        </w:tabs>
        <w:numPr>
          <w:ilvl w:val="0"/>
          <w:numId w:val="16"/>
        </w:numPr>
        <w:rPr>
          <w:rFonts w:ascii="Arial" w:cs="Arial" w:eastAsia="Arial" w:hAnsi="Arial"/>
          <w:sz w:val="16"/>
          <w:szCs w:val="16"/>
          <w:b w:val="1"/>
          <w:bCs w:val="1"/>
          <w:color w:val="00ACD2"/>
        </w:rPr>
      </w:pPr>
      <w:r>
        <w:rPr>
          <w:rFonts w:ascii="Arial" w:cs="Arial" w:eastAsia="Arial" w:hAnsi="Arial"/>
          <w:sz w:val="16"/>
          <w:szCs w:val="16"/>
          <w:b w:val="1"/>
          <w:bCs w:val="1"/>
          <w:color w:val="00ACD2"/>
        </w:rPr>
        <w:t>How can I vote my shares?</w:t>
      </w:r>
    </w:p>
    <w:p>
      <w:pPr>
        <w:spacing w:after="0" w:line="206" w:lineRule="exact"/>
        <w:rPr>
          <w:sz w:val="20"/>
          <w:szCs w:val="20"/>
          <w:color w:val="auto"/>
        </w:rPr>
      </w:pPr>
    </w:p>
    <w:p>
      <w:pPr>
        <w:jc w:val="both"/>
        <w:ind w:left="501" w:right="80" w:hanging="501"/>
        <w:spacing w:after="0" w:line="247" w:lineRule="auto"/>
        <w:tabs>
          <w:tab w:leader="none" w:pos="5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process for voting your shares depends on how your shares are held. Generally, as discussed above, you may hold shares as a "record holder" (that is, in your own name) or in "street name" (that is, through a nominee, such as a broker or bank). As explained above, if you hold shares in "street name," you are considered to be the "beneficial owner" of those shares.</w:t>
      </w:r>
    </w:p>
    <w:p>
      <w:pPr>
        <w:spacing w:after="0" w:line="201" w:lineRule="exact"/>
        <w:rPr>
          <w:rFonts w:ascii="Arial" w:cs="Arial" w:eastAsia="Arial" w:hAnsi="Arial"/>
          <w:sz w:val="16"/>
          <w:szCs w:val="16"/>
          <w:color w:val="auto"/>
        </w:rPr>
      </w:pPr>
    </w:p>
    <w:p>
      <w:pPr>
        <w:ind w:left="501" w:right="60"/>
        <w:spacing w:after="0" w:line="260" w:lineRule="auto"/>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Voting by record holders. </w:t>
      </w:r>
      <w:r>
        <w:rPr>
          <w:rFonts w:ascii="Arial" w:cs="Arial" w:eastAsia="Arial" w:hAnsi="Arial"/>
          <w:sz w:val="16"/>
          <w:szCs w:val="16"/>
          <w:color w:val="auto"/>
        </w:rPr>
        <w:t>If you are a record holder, you may vote by proxy prior to the Annual Meeting or you may vote during the Annual Meeting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joining the live webcast and following the instructions at </w:t>
      </w:r>
      <w:r>
        <w:rPr>
          <w:rFonts w:ascii="Arial" w:cs="Arial" w:eastAsia="Arial" w:hAnsi="Arial"/>
          <w:sz w:val="16"/>
          <w:szCs w:val="16"/>
          <w:b w:val="1"/>
          <w:bCs w:val="1"/>
          <w:color w:val="00ACD2"/>
        </w:rPr>
        <w:t>www.virtualshareholdermeeting.com/UNIT2018</w:t>
      </w:r>
      <w:r>
        <w:rPr>
          <w:rFonts w:ascii="Arial" w:cs="Arial" w:eastAsia="Arial" w:hAnsi="Arial"/>
          <w:sz w:val="16"/>
          <w:szCs w:val="16"/>
          <w:color w:val="auto"/>
        </w:rPr>
        <w:t>. If you are a record holder and would like to vote your shares by proxy prior to the Annual Meeting, you have three ways to vote:</w:t>
      </w:r>
    </w:p>
    <w:p>
      <w:pPr>
        <w:spacing w:after="0" w:line="154" w:lineRule="exact"/>
        <w:rPr>
          <w:sz w:val="20"/>
          <w:szCs w:val="20"/>
          <w:color w:val="auto"/>
        </w:rPr>
      </w:pPr>
    </w:p>
    <w:p>
      <w:pPr>
        <w:ind w:left="1301"/>
        <w:spacing w:after="0"/>
        <w:rPr>
          <w:sz w:val="20"/>
          <w:szCs w:val="20"/>
          <w:color w:val="auto"/>
        </w:rPr>
      </w:pPr>
      <w:r>
        <w:rPr>
          <w:rFonts w:ascii="Arial" w:cs="Arial" w:eastAsia="Arial" w:hAnsi="Arial"/>
          <w:sz w:val="16"/>
          <w:szCs w:val="16"/>
          <w:color w:val="auto"/>
        </w:rPr>
        <w:t xml:space="preserve">go to the website </w:t>
      </w:r>
      <w:r>
        <w:rPr>
          <w:rFonts w:ascii="Arial" w:cs="Arial" w:eastAsia="Arial" w:hAnsi="Arial"/>
          <w:sz w:val="16"/>
          <w:szCs w:val="16"/>
          <w:b w:val="1"/>
          <w:bCs w:val="1"/>
          <w:color w:val="00ACD2"/>
        </w:rPr>
        <w:t>www.proxyvote.com</w:t>
      </w:r>
      <w:r>
        <w:rPr>
          <w:rFonts w:ascii="Arial" w:cs="Arial" w:eastAsia="Arial" w:hAnsi="Arial"/>
          <w:sz w:val="16"/>
          <w:szCs w:val="16"/>
          <w:color w:val="auto"/>
        </w:rPr>
        <w:t xml:space="preserve"> and follow the instructions at that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-105410</wp:posOffset>
            </wp:positionV>
            <wp:extent cx="266065" cy="2584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6065" cy="258445"/>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293370</wp:posOffset>
            </wp:positionV>
            <wp:extent cx="125095" cy="2425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5095" cy="24257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301"/>
        <w:spacing w:after="0"/>
        <w:rPr>
          <w:sz w:val="20"/>
          <w:szCs w:val="20"/>
          <w:color w:val="auto"/>
        </w:rPr>
      </w:pPr>
      <w:r>
        <w:rPr>
          <w:rFonts w:ascii="Arial" w:cs="Arial" w:eastAsia="Arial" w:hAnsi="Arial"/>
          <w:sz w:val="16"/>
          <w:szCs w:val="16"/>
          <w:color w:val="auto"/>
        </w:rPr>
        <w:t>call 1-800-690-6903 and follow the instructions provided on the call;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264795</wp:posOffset>
            </wp:positionV>
            <wp:extent cx="234950" cy="2349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4950" cy="234950"/>
                    </a:xfrm>
                    <a:prstGeom prst="rect">
                      <a:avLst/>
                    </a:prstGeom>
                    <a:noFill/>
                  </pic:spPr>
                </pic:pic>
              </a:graphicData>
            </a:graphic>
          </wp:anchor>
        </w:drawing>
      </w:r>
    </w:p>
    <w:p>
      <w:pPr>
        <w:spacing w:after="0" w:line="400" w:lineRule="exact"/>
        <w:rPr>
          <w:sz w:val="20"/>
          <w:szCs w:val="20"/>
          <w:color w:val="auto"/>
        </w:rPr>
      </w:pPr>
    </w:p>
    <w:p>
      <w:pPr>
        <w:ind w:left="1301"/>
        <w:spacing w:after="0"/>
        <w:rPr>
          <w:sz w:val="20"/>
          <w:szCs w:val="20"/>
          <w:color w:val="auto"/>
        </w:rPr>
      </w:pPr>
      <w:r>
        <w:rPr>
          <w:rFonts w:ascii="Arial" w:cs="Arial" w:eastAsia="Arial" w:hAnsi="Arial"/>
          <w:sz w:val="16"/>
          <w:szCs w:val="16"/>
          <w:color w:val="auto"/>
        </w:rPr>
        <w:t>if you received a proxy card in the mail, complete, sign, date, and mail the proxy card in the return envelope provided to you.</w:t>
      </w:r>
    </w:p>
    <w:p>
      <w:pPr>
        <w:spacing w:after="0" w:line="200" w:lineRule="exact"/>
        <w:rPr>
          <w:sz w:val="20"/>
          <w:szCs w:val="20"/>
          <w:color w:val="auto"/>
        </w:rPr>
      </w:pPr>
    </w:p>
    <w:p>
      <w:pPr>
        <w:spacing w:after="0" w:line="220" w:lineRule="exact"/>
        <w:rPr>
          <w:sz w:val="20"/>
          <w:szCs w:val="20"/>
          <w:color w:val="auto"/>
        </w:rPr>
      </w:pPr>
    </w:p>
    <w:p>
      <w:pPr>
        <w:jc w:val="both"/>
        <w:ind w:left="501" w:right="120"/>
        <w:spacing w:after="0" w:line="247" w:lineRule="auto"/>
        <w:rPr>
          <w:sz w:val="20"/>
          <w:szCs w:val="20"/>
          <w:color w:val="auto"/>
        </w:rPr>
      </w:pPr>
      <w:r>
        <w:rPr>
          <w:rFonts w:ascii="Arial" w:cs="Arial" w:eastAsia="Arial" w:hAnsi="Arial"/>
          <w:sz w:val="16"/>
          <w:szCs w:val="16"/>
          <w:color w:val="auto"/>
        </w:rPr>
        <w:t>Please note that telephone and internet proxy voting will close at 11:59 p.m. (Eastern time) on May 16, 2018. If you received a proxy card in the mail and wish to vote by completing and returning the proxy card via mail, please note that your completed proxy card must be received before the polls close for voting at the Annual Meeting.</w:t>
      </w:r>
    </w:p>
    <w:p>
      <w:pPr>
        <w:spacing w:after="0" w:line="189" w:lineRule="exact"/>
        <w:rPr>
          <w:sz w:val="20"/>
          <w:szCs w:val="20"/>
          <w:color w:val="auto"/>
        </w:rPr>
      </w:pPr>
    </w:p>
    <w:p>
      <w:pPr>
        <w:ind w:left="501" w:right="240"/>
        <w:spacing w:after="0" w:line="279" w:lineRule="auto"/>
        <w:rPr>
          <w:sz w:val="20"/>
          <w:szCs w:val="20"/>
          <w:color w:val="auto"/>
        </w:rPr>
      </w:pPr>
      <w:r>
        <w:rPr>
          <w:rFonts w:ascii="Arial" w:cs="Arial" w:eastAsia="Arial" w:hAnsi="Arial"/>
          <w:sz w:val="16"/>
          <w:szCs w:val="16"/>
          <w:b w:val="1"/>
          <w:bCs w:val="1"/>
          <w:i w:val="1"/>
          <w:iCs w:val="1"/>
          <w:color w:val="auto"/>
        </w:rPr>
        <w:t xml:space="preserve">Voting by beneficial owners of shares held in "street name." </w:t>
      </w:r>
      <w:r>
        <w:rPr>
          <w:rFonts w:ascii="Arial" w:cs="Arial" w:eastAsia="Arial" w:hAnsi="Arial"/>
          <w:sz w:val="16"/>
          <w:szCs w:val="16"/>
          <w:color w:val="auto"/>
        </w:rPr>
        <w:t>If your shares are held in the name of a broker, bank, or other nominee (that is, your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are held in "street name"), you should receive separate instructions from your broker, bank or other nominee describing how to vote.</w:t>
      </w:r>
    </w:p>
    <w:p>
      <w:pPr>
        <w:spacing w:after="0" w:line="152" w:lineRule="exact"/>
        <w:rPr>
          <w:sz w:val="20"/>
          <w:szCs w:val="20"/>
          <w:color w:val="auto"/>
        </w:rPr>
      </w:pPr>
    </w:p>
    <w:p>
      <w:pPr>
        <w:ind w:left="501" w:hanging="501"/>
        <w:spacing w:after="0"/>
        <w:tabs>
          <w:tab w:leader="none" w:pos="501" w:val="left"/>
        </w:tabs>
        <w:numPr>
          <w:ilvl w:val="0"/>
          <w:numId w:val="18"/>
        </w:numPr>
        <w:rPr>
          <w:rFonts w:ascii="Arial" w:cs="Arial" w:eastAsia="Arial" w:hAnsi="Arial"/>
          <w:sz w:val="16"/>
          <w:szCs w:val="16"/>
          <w:b w:val="1"/>
          <w:bCs w:val="1"/>
          <w:color w:val="00ACD2"/>
        </w:rPr>
      </w:pPr>
      <w:r>
        <w:rPr>
          <w:rFonts w:ascii="Arial" w:cs="Arial" w:eastAsia="Arial" w:hAnsi="Arial"/>
          <w:sz w:val="16"/>
          <w:szCs w:val="16"/>
          <w:b w:val="1"/>
          <w:bCs w:val="1"/>
          <w:color w:val="00ACD2"/>
        </w:rPr>
        <w:t>What constitutes a quorum?</w:t>
      </w:r>
    </w:p>
    <w:p>
      <w:pPr>
        <w:spacing w:after="0" w:line="206" w:lineRule="exact"/>
        <w:rPr>
          <w:sz w:val="20"/>
          <w:szCs w:val="20"/>
          <w:color w:val="auto"/>
        </w:rPr>
      </w:pPr>
    </w:p>
    <w:p>
      <w:pPr>
        <w:ind w:left="501" w:right="540" w:hanging="501"/>
        <w:spacing w:after="0" w:line="253" w:lineRule="auto"/>
        <w:tabs>
          <w:tab w:leader="none" w:pos="501"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presence at the Annual Meeting, virtually or by proxy, of stockholders entitled to cast a majority of all the votes entitled to be cast at the Annual Meeting</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6313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42" w:right="239" w:bottom="1440" w:gutter="0" w:footer="0" w:header="0"/>
        </w:sectPr>
      </w:pPr>
    </w:p>
    <w:bookmarkStart w:id="12" w:name="page13"/>
    <w:bookmarkEnd w:id="12"/>
    <w:p>
      <w:pPr>
        <w:ind w:left="1"/>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501" w:right="280"/>
        <w:spacing w:after="0" w:line="245" w:lineRule="auto"/>
        <w:rPr>
          <w:sz w:val="20"/>
          <w:szCs w:val="20"/>
          <w:color w:val="auto"/>
        </w:rPr>
      </w:pPr>
      <w:r>
        <w:rPr>
          <w:rFonts w:ascii="Arial" w:cs="Arial" w:eastAsia="Arial" w:hAnsi="Arial"/>
          <w:sz w:val="16"/>
          <w:szCs w:val="16"/>
          <w:color w:val="auto"/>
        </w:rPr>
        <w:t>constitutes a quorum. If a quorum is established, each holder of common stock will be entitled to one vote on each matter to be voted on at the Annual Meeting for each issued and outstanding share of common stock owned on the Record Date. Proxies received but marked as abstentions and broker "non-votes" will be included in the calculation of the number of votes considered to be present at the Annual Meeting and will be counted for quorum purposes. If a quorum is not present, the Annual Meeting may be adjourned until a quorum is obtained.</w:t>
      </w:r>
    </w:p>
    <w:p>
      <w:pPr>
        <w:spacing w:after="0" w:line="166" w:lineRule="exact"/>
        <w:rPr>
          <w:sz w:val="20"/>
          <w:szCs w:val="20"/>
          <w:color w:val="auto"/>
        </w:rPr>
      </w:pPr>
    </w:p>
    <w:p>
      <w:pPr>
        <w:ind w:left="501" w:hanging="501"/>
        <w:spacing w:after="0"/>
        <w:tabs>
          <w:tab w:leader="none" w:pos="501" w:val="left"/>
        </w:tabs>
        <w:numPr>
          <w:ilvl w:val="0"/>
          <w:numId w:val="20"/>
        </w:numPr>
        <w:rPr>
          <w:rFonts w:ascii="Arial" w:cs="Arial" w:eastAsia="Arial" w:hAnsi="Arial"/>
          <w:sz w:val="16"/>
          <w:szCs w:val="16"/>
          <w:b w:val="1"/>
          <w:bCs w:val="1"/>
          <w:color w:val="00ACD2"/>
        </w:rPr>
      </w:pPr>
      <w:r>
        <w:rPr>
          <w:rFonts w:ascii="Arial" w:cs="Arial" w:eastAsia="Arial" w:hAnsi="Arial"/>
          <w:sz w:val="16"/>
          <w:szCs w:val="16"/>
          <w:b w:val="1"/>
          <w:bCs w:val="1"/>
          <w:color w:val="00ACD2"/>
        </w:rPr>
        <w:t>How many votes are needed to approve each proposal?</w:t>
      </w:r>
    </w:p>
    <w:p>
      <w:pPr>
        <w:spacing w:after="0" w:line="218" w:lineRule="exact"/>
        <w:rPr>
          <w:sz w:val="20"/>
          <w:szCs w:val="20"/>
          <w:color w:val="auto"/>
        </w:rPr>
      </w:pPr>
    </w:p>
    <w:p>
      <w:pPr>
        <w:ind w:left="501" w:hanging="501"/>
        <w:spacing w:after="0"/>
        <w:tabs>
          <w:tab w:leader="none" w:pos="50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stockholder vote required to approve each proposal is set forth below:</w:t>
      </w:r>
    </w:p>
    <w:p>
      <w:pPr>
        <w:spacing w:after="0" w:line="178" w:lineRule="exact"/>
        <w:rPr>
          <w:sz w:val="20"/>
          <w:szCs w:val="20"/>
          <w:color w:val="auto"/>
        </w:rPr>
      </w:pPr>
    </w:p>
    <w:tbl>
      <w:tblPr>
        <w:tblLayout w:type="fixed"/>
        <w:tblInd w:w="541" w:type="dxa"/>
        <w:tblCellMar>
          <w:top w:w="0" w:type="dxa"/>
          <w:left w:w="0" w:type="dxa"/>
          <w:bottom w:w="0" w:type="dxa"/>
          <w:right w:w="0" w:type="dxa"/>
        </w:tblCellMar>
      </w:tblPr>
      <w:tr>
        <w:trPr>
          <w:trHeight w:val="185"/>
        </w:trPr>
        <w:tc>
          <w:tcPr>
            <w:tcW w:w="6880" w:type="dxa"/>
            <w:vAlign w:val="bottom"/>
            <w:gridSpan w:val="2"/>
            <w:vMerge w:val="restart"/>
          </w:tcPr>
          <w:p>
            <w:pPr>
              <w:spacing w:after="0"/>
              <w:rPr>
                <w:sz w:val="20"/>
                <w:szCs w:val="20"/>
                <w:color w:val="auto"/>
              </w:rPr>
            </w:pPr>
            <w:r>
              <w:rPr>
                <w:rFonts w:ascii="Arial" w:cs="Arial" w:eastAsia="Arial" w:hAnsi="Arial"/>
                <w:sz w:val="16"/>
                <w:szCs w:val="16"/>
                <w:b w:val="1"/>
                <w:bCs w:val="1"/>
                <w:color w:val="00ACD2"/>
              </w:rPr>
              <w:t>Proposals</w:t>
            </w:r>
          </w:p>
        </w:tc>
        <w:tc>
          <w:tcPr>
            <w:tcW w:w="4000" w:type="dxa"/>
            <w:vAlign w:val="bottom"/>
          </w:tcPr>
          <w:p>
            <w:pPr>
              <w:jc w:val="center"/>
              <w:ind w:left="440"/>
              <w:spacing w:after="0"/>
              <w:rPr>
                <w:sz w:val="20"/>
                <w:szCs w:val="20"/>
                <w:color w:val="auto"/>
              </w:rPr>
            </w:pPr>
            <w:r>
              <w:rPr>
                <w:rFonts w:ascii="Arial" w:cs="Arial" w:eastAsia="Arial" w:hAnsi="Arial"/>
                <w:sz w:val="16"/>
                <w:szCs w:val="16"/>
                <w:b w:val="1"/>
                <w:bCs w:val="1"/>
                <w:color w:val="00ACD2"/>
                <w:w w:val="97"/>
              </w:rPr>
              <w:t>Required</w:t>
            </w:r>
          </w:p>
        </w:tc>
        <w:tc>
          <w:tcPr>
            <w:tcW w:w="0" w:type="dxa"/>
            <w:vAlign w:val="bottom"/>
          </w:tcPr>
          <w:p>
            <w:pPr>
              <w:spacing w:after="0"/>
              <w:rPr>
                <w:sz w:val="1"/>
                <w:szCs w:val="1"/>
                <w:color w:val="auto"/>
              </w:rPr>
            </w:pPr>
          </w:p>
        </w:tc>
      </w:tr>
      <w:tr>
        <w:trPr>
          <w:trHeight w:val="114"/>
        </w:trPr>
        <w:tc>
          <w:tcPr>
            <w:tcW w:w="6880" w:type="dxa"/>
            <w:vAlign w:val="bottom"/>
            <w:gridSpan w:val="2"/>
            <w:vMerge w:val="continue"/>
          </w:tcPr>
          <w:p>
            <w:pPr>
              <w:spacing w:after="0"/>
              <w:rPr>
                <w:sz w:val="9"/>
                <w:szCs w:val="9"/>
                <w:color w:val="auto"/>
              </w:rPr>
            </w:pPr>
          </w:p>
        </w:tc>
        <w:tc>
          <w:tcPr>
            <w:tcW w:w="4000" w:type="dxa"/>
            <w:vAlign w:val="bottom"/>
            <w:vMerge w:val="restart"/>
          </w:tcPr>
          <w:p>
            <w:pPr>
              <w:jc w:val="center"/>
              <w:ind w:left="440"/>
              <w:spacing w:after="0"/>
              <w:rPr>
                <w:sz w:val="20"/>
                <w:szCs w:val="20"/>
                <w:color w:val="auto"/>
              </w:rPr>
            </w:pPr>
            <w:r>
              <w:rPr>
                <w:rFonts w:ascii="Arial" w:cs="Arial" w:eastAsia="Arial" w:hAnsi="Arial"/>
                <w:sz w:val="16"/>
                <w:szCs w:val="16"/>
                <w:b w:val="1"/>
                <w:bCs w:val="1"/>
                <w:color w:val="00ACD2"/>
                <w:w w:val="97"/>
              </w:rPr>
              <w:t>Approval</w:t>
            </w:r>
          </w:p>
        </w:tc>
        <w:tc>
          <w:tcPr>
            <w:tcW w:w="0" w:type="dxa"/>
            <w:vAlign w:val="bottom"/>
          </w:tcPr>
          <w:p>
            <w:pPr>
              <w:spacing w:after="0"/>
              <w:rPr>
                <w:sz w:val="1"/>
                <w:szCs w:val="1"/>
                <w:color w:val="auto"/>
              </w:rPr>
            </w:pPr>
          </w:p>
        </w:tc>
      </w:tr>
      <w:tr>
        <w:trPr>
          <w:trHeight w:val="88"/>
        </w:trPr>
        <w:tc>
          <w:tcPr>
            <w:tcW w:w="240" w:type="dxa"/>
            <w:vAlign w:val="bottom"/>
            <w:tcBorders>
              <w:bottom w:val="single" w:sz="8" w:color="00ACD2"/>
            </w:tcBorders>
          </w:tcPr>
          <w:p>
            <w:pPr>
              <w:spacing w:after="0"/>
              <w:rPr>
                <w:sz w:val="7"/>
                <w:szCs w:val="7"/>
                <w:color w:val="auto"/>
              </w:rPr>
            </w:pPr>
          </w:p>
        </w:tc>
        <w:tc>
          <w:tcPr>
            <w:tcW w:w="6640" w:type="dxa"/>
            <w:vAlign w:val="bottom"/>
            <w:tcBorders>
              <w:bottom w:val="single" w:sz="8" w:color="00ACD2"/>
            </w:tcBorders>
          </w:tcPr>
          <w:p>
            <w:pPr>
              <w:spacing w:after="0"/>
              <w:rPr>
                <w:sz w:val="7"/>
                <w:szCs w:val="7"/>
                <w:color w:val="auto"/>
              </w:rPr>
            </w:pPr>
          </w:p>
        </w:tc>
        <w:tc>
          <w:tcPr>
            <w:tcW w:w="4000" w:type="dxa"/>
            <w:vAlign w:val="bottom"/>
            <w:tcBorders>
              <w:bottom w:val="single" w:sz="8" w:color="00ACD2"/>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40" w:type="dxa"/>
            <w:vAlign w:val="bottom"/>
            <w:tcBorders>
              <w:bottom w:val="single" w:sz="8" w:color="00ACD2"/>
            </w:tcBorders>
          </w:tcPr>
          <w:p>
            <w:pPr>
              <w:spacing w:after="0" w:line="178" w:lineRule="exact"/>
              <w:rPr>
                <w:sz w:val="20"/>
                <w:szCs w:val="20"/>
                <w:color w:val="auto"/>
              </w:rPr>
            </w:pPr>
            <w:r>
              <w:rPr>
                <w:rFonts w:ascii="Arial" w:cs="Arial" w:eastAsia="Arial" w:hAnsi="Arial"/>
                <w:sz w:val="16"/>
                <w:szCs w:val="16"/>
                <w:color w:val="auto"/>
              </w:rPr>
              <w:t>1.</w:t>
            </w:r>
          </w:p>
        </w:tc>
        <w:tc>
          <w:tcPr>
            <w:tcW w:w="6640" w:type="dxa"/>
            <w:vAlign w:val="bottom"/>
            <w:tcBorders>
              <w:bottom w:val="single" w:sz="8" w:color="00ACD2"/>
            </w:tcBorders>
          </w:tcPr>
          <w:p>
            <w:pPr>
              <w:ind w:left="100"/>
              <w:spacing w:after="0" w:line="178" w:lineRule="exact"/>
              <w:rPr>
                <w:sz w:val="20"/>
                <w:szCs w:val="20"/>
                <w:color w:val="auto"/>
              </w:rPr>
            </w:pPr>
            <w:r>
              <w:rPr>
                <w:rFonts w:ascii="Arial" w:cs="Arial" w:eastAsia="Arial" w:hAnsi="Arial"/>
                <w:sz w:val="16"/>
                <w:szCs w:val="16"/>
                <w:color w:val="auto"/>
              </w:rPr>
              <w:t>Election of directors</w:t>
            </w:r>
          </w:p>
        </w:tc>
        <w:tc>
          <w:tcPr>
            <w:tcW w:w="4000" w:type="dxa"/>
            <w:vAlign w:val="bottom"/>
            <w:tcBorders>
              <w:bottom w:val="single" w:sz="8" w:color="00ACD2"/>
            </w:tcBorders>
          </w:tcPr>
          <w:p>
            <w:pPr>
              <w:jc w:val="center"/>
              <w:ind w:left="440"/>
              <w:spacing w:after="0" w:line="178" w:lineRule="exact"/>
              <w:rPr>
                <w:sz w:val="20"/>
                <w:szCs w:val="20"/>
                <w:color w:val="auto"/>
              </w:rPr>
            </w:pPr>
            <w:r>
              <w:rPr>
                <w:rFonts w:ascii="Arial" w:cs="Arial" w:eastAsia="Arial" w:hAnsi="Arial"/>
                <w:sz w:val="16"/>
                <w:szCs w:val="16"/>
                <w:color w:val="auto"/>
                <w:w w:val="99"/>
              </w:rPr>
              <w:t>Majority of Votes Cast for Each Nominee</w:t>
            </w:r>
          </w:p>
        </w:tc>
        <w:tc>
          <w:tcPr>
            <w:tcW w:w="0" w:type="dxa"/>
            <w:vAlign w:val="bottom"/>
          </w:tcPr>
          <w:p>
            <w:pPr>
              <w:spacing w:after="0"/>
              <w:rPr>
                <w:sz w:val="1"/>
                <w:szCs w:val="1"/>
                <w:color w:val="auto"/>
              </w:rPr>
            </w:pPr>
          </w:p>
        </w:tc>
      </w:tr>
      <w:tr>
        <w:trPr>
          <w:trHeight w:val="177"/>
        </w:trPr>
        <w:tc>
          <w:tcPr>
            <w:tcW w:w="240" w:type="dxa"/>
            <w:vAlign w:val="bottom"/>
            <w:tcBorders>
              <w:bottom w:val="single" w:sz="8" w:color="00ACD2"/>
            </w:tcBorders>
          </w:tcPr>
          <w:p>
            <w:pPr>
              <w:spacing w:after="0" w:line="178" w:lineRule="exact"/>
              <w:rPr>
                <w:sz w:val="20"/>
                <w:szCs w:val="20"/>
                <w:color w:val="auto"/>
              </w:rPr>
            </w:pPr>
            <w:r>
              <w:rPr>
                <w:rFonts w:ascii="Arial" w:cs="Arial" w:eastAsia="Arial" w:hAnsi="Arial"/>
                <w:sz w:val="16"/>
                <w:szCs w:val="16"/>
                <w:color w:val="auto"/>
              </w:rPr>
              <w:t>2.</w:t>
            </w:r>
          </w:p>
        </w:tc>
        <w:tc>
          <w:tcPr>
            <w:tcW w:w="6640" w:type="dxa"/>
            <w:vAlign w:val="bottom"/>
            <w:tcBorders>
              <w:bottom w:val="single" w:sz="8" w:color="00ACD2"/>
            </w:tcBorders>
          </w:tcPr>
          <w:p>
            <w:pPr>
              <w:ind w:left="100"/>
              <w:spacing w:after="0" w:line="178" w:lineRule="exact"/>
              <w:rPr>
                <w:sz w:val="20"/>
                <w:szCs w:val="20"/>
                <w:color w:val="auto"/>
              </w:rPr>
            </w:pPr>
            <w:r>
              <w:rPr>
                <w:rFonts w:ascii="Arial" w:cs="Arial" w:eastAsia="Arial" w:hAnsi="Arial"/>
                <w:sz w:val="16"/>
                <w:szCs w:val="16"/>
                <w:color w:val="auto"/>
              </w:rPr>
              <w:t>Advisory vote to approve executive compensation</w:t>
            </w:r>
          </w:p>
        </w:tc>
        <w:tc>
          <w:tcPr>
            <w:tcW w:w="4000" w:type="dxa"/>
            <w:vAlign w:val="bottom"/>
            <w:tcBorders>
              <w:bottom w:val="single" w:sz="8" w:color="00ACD2"/>
            </w:tcBorders>
          </w:tcPr>
          <w:p>
            <w:pPr>
              <w:jc w:val="center"/>
              <w:ind w:left="440"/>
              <w:spacing w:after="0" w:line="178" w:lineRule="exact"/>
              <w:rPr>
                <w:sz w:val="20"/>
                <w:szCs w:val="20"/>
                <w:color w:val="auto"/>
              </w:rPr>
            </w:pPr>
            <w:r>
              <w:rPr>
                <w:rFonts w:ascii="Arial" w:cs="Arial" w:eastAsia="Arial" w:hAnsi="Arial"/>
                <w:sz w:val="16"/>
                <w:szCs w:val="16"/>
                <w:color w:val="auto"/>
                <w:w w:val="99"/>
              </w:rPr>
              <w:t>Majority of Votes Cast</w:t>
            </w:r>
          </w:p>
        </w:tc>
        <w:tc>
          <w:tcPr>
            <w:tcW w:w="0" w:type="dxa"/>
            <w:vAlign w:val="bottom"/>
          </w:tcPr>
          <w:p>
            <w:pPr>
              <w:spacing w:after="0"/>
              <w:rPr>
                <w:sz w:val="1"/>
                <w:szCs w:val="1"/>
                <w:color w:val="auto"/>
              </w:rPr>
            </w:pPr>
          </w:p>
        </w:tc>
      </w:tr>
      <w:tr>
        <w:trPr>
          <w:trHeight w:val="177"/>
        </w:trPr>
        <w:tc>
          <w:tcPr>
            <w:tcW w:w="240" w:type="dxa"/>
            <w:vAlign w:val="bottom"/>
            <w:tcBorders>
              <w:bottom w:val="single" w:sz="8" w:color="00ACD2"/>
            </w:tcBorders>
          </w:tcPr>
          <w:p>
            <w:pPr>
              <w:spacing w:after="0" w:line="178" w:lineRule="exact"/>
              <w:rPr>
                <w:sz w:val="20"/>
                <w:szCs w:val="20"/>
                <w:color w:val="auto"/>
              </w:rPr>
            </w:pPr>
            <w:r>
              <w:rPr>
                <w:rFonts w:ascii="Arial" w:cs="Arial" w:eastAsia="Arial" w:hAnsi="Arial"/>
                <w:sz w:val="16"/>
                <w:szCs w:val="16"/>
                <w:color w:val="auto"/>
              </w:rPr>
              <w:t>3.</w:t>
            </w:r>
          </w:p>
        </w:tc>
        <w:tc>
          <w:tcPr>
            <w:tcW w:w="6640" w:type="dxa"/>
            <w:vAlign w:val="bottom"/>
            <w:tcBorders>
              <w:bottom w:val="single" w:sz="8" w:color="00ACD2"/>
            </w:tcBorders>
          </w:tcPr>
          <w:p>
            <w:pPr>
              <w:ind w:left="100"/>
              <w:spacing w:after="0" w:line="178" w:lineRule="exact"/>
              <w:rPr>
                <w:sz w:val="20"/>
                <w:szCs w:val="20"/>
                <w:color w:val="auto"/>
              </w:rPr>
            </w:pPr>
            <w:r>
              <w:rPr>
                <w:rFonts w:ascii="Arial" w:cs="Arial" w:eastAsia="Arial" w:hAnsi="Arial"/>
                <w:sz w:val="16"/>
                <w:szCs w:val="16"/>
                <w:color w:val="auto"/>
              </w:rPr>
              <w:t>Approval of the Uniti Group Inc. Employee Stock Purchase Plan</w:t>
            </w:r>
          </w:p>
        </w:tc>
        <w:tc>
          <w:tcPr>
            <w:tcW w:w="4000" w:type="dxa"/>
            <w:vAlign w:val="bottom"/>
            <w:tcBorders>
              <w:bottom w:val="single" w:sz="8" w:color="00ACD2"/>
            </w:tcBorders>
          </w:tcPr>
          <w:p>
            <w:pPr>
              <w:jc w:val="center"/>
              <w:ind w:left="440"/>
              <w:spacing w:after="0" w:line="178" w:lineRule="exact"/>
              <w:rPr>
                <w:sz w:val="20"/>
                <w:szCs w:val="20"/>
                <w:color w:val="auto"/>
              </w:rPr>
            </w:pPr>
            <w:r>
              <w:rPr>
                <w:rFonts w:ascii="Arial" w:cs="Arial" w:eastAsia="Arial" w:hAnsi="Arial"/>
                <w:sz w:val="16"/>
                <w:szCs w:val="16"/>
                <w:color w:val="auto"/>
                <w:w w:val="99"/>
              </w:rPr>
              <w:t>Majority of Votes Cast</w:t>
            </w:r>
          </w:p>
        </w:tc>
        <w:tc>
          <w:tcPr>
            <w:tcW w:w="0" w:type="dxa"/>
            <w:vAlign w:val="bottom"/>
          </w:tcPr>
          <w:p>
            <w:pPr>
              <w:spacing w:after="0"/>
              <w:rPr>
                <w:sz w:val="1"/>
                <w:szCs w:val="1"/>
                <w:color w:val="auto"/>
              </w:rPr>
            </w:pPr>
          </w:p>
        </w:tc>
      </w:tr>
      <w:tr>
        <w:trPr>
          <w:trHeight w:val="177"/>
        </w:trPr>
        <w:tc>
          <w:tcPr>
            <w:tcW w:w="240" w:type="dxa"/>
            <w:vAlign w:val="bottom"/>
            <w:tcBorders>
              <w:bottom w:val="single" w:sz="8" w:color="00ACD2"/>
            </w:tcBorders>
          </w:tcPr>
          <w:p>
            <w:pPr>
              <w:spacing w:after="0" w:line="178" w:lineRule="exact"/>
              <w:rPr>
                <w:sz w:val="20"/>
                <w:szCs w:val="20"/>
                <w:color w:val="auto"/>
              </w:rPr>
            </w:pPr>
            <w:r>
              <w:rPr>
                <w:rFonts w:ascii="Arial" w:cs="Arial" w:eastAsia="Arial" w:hAnsi="Arial"/>
                <w:sz w:val="16"/>
                <w:szCs w:val="16"/>
                <w:color w:val="auto"/>
              </w:rPr>
              <w:t>4.</w:t>
            </w:r>
          </w:p>
        </w:tc>
        <w:tc>
          <w:tcPr>
            <w:tcW w:w="6640" w:type="dxa"/>
            <w:vAlign w:val="bottom"/>
            <w:tcBorders>
              <w:bottom w:val="single" w:sz="8" w:color="00ACD2"/>
            </w:tcBorders>
          </w:tcPr>
          <w:p>
            <w:pPr>
              <w:ind w:left="100"/>
              <w:spacing w:after="0" w:line="178" w:lineRule="exact"/>
              <w:rPr>
                <w:sz w:val="20"/>
                <w:szCs w:val="20"/>
                <w:color w:val="auto"/>
              </w:rPr>
            </w:pPr>
            <w:r>
              <w:rPr>
                <w:rFonts w:ascii="Arial" w:cs="Arial" w:eastAsia="Arial" w:hAnsi="Arial"/>
                <w:sz w:val="16"/>
                <w:szCs w:val="16"/>
                <w:color w:val="auto"/>
              </w:rPr>
              <w:t>Charter amendment to provide stockholders with the power to amend the bylaws</w:t>
            </w:r>
          </w:p>
        </w:tc>
        <w:tc>
          <w:tcPr>
            <w:tcW w:w="4000" w:type="dxa"/>
            <w:vAlign w:val="bottom"/>
            <w:tcBorders>
              <w:bottom w:val="single" w:sz="8" w:color="00ACD2"/>
            </w:tcBorders>
          </w:tcPr>
          <w:p>
            <w:pPr>
              <w:jc w:val="center"/>
              <w:ind w:left="440"/>
              <w:spacing w:after="0" w:line="178" w:lineRule="exact"/>
              <w:rPr>
                <w:sz w:val="20"/>
                <w:szCs w:val="20"/>
                <w:color w:val="auto"/>
              </w:rPr>
            </w:pPr>
            <w:r>
              <w:rPr>
                <w:rFonts w:ascii="Arial" w:cs="Arial" w:eastAsia="Arial" w:hAnsi="Arial"/>
                <w:sz w:val="16"/>
                <w:szCs w:val="16"/>
                <w:color w:val="auto"/>
              </w:rPr>
              <w:t>Majority of Outstanding Shares</w:t>
            </w:r>
          </w:p>
        </w:tc>
        <w:tc>
          <w:tcPr>
            <w:tcW w:w="0" w:type="dxa"/>
            <w:vAlign w:val="bottom"/>
          </w:tcPr>
          <w:p>
            <w:pPr>
              <w:spacing w:after="0"/>
              <w:rPr>
                <w:sz w:val="1"/>
                <w:szCs w:val="1"/>
                <w:color w:val="auto"/>
              </w:rPr>
            </w:pPr>
          </w:p>
        </w:tc>
      </w:tr>
      <w:tr>
        <w:trPr>
          <w:trHeight w:val="177"/>
        </w:trPr>
        <w:tc>
          <w:tcPr>
            <w:tcW w:w="240" w:type="dxa"/>
            <w:vAlign w:val="bottom"/>
            <w:tcBorders>
              <w:bottom w:val="single" w:sz="8" w:color="00ACD2"/>
            </w:tcBorders>
          </w:tcPr>
          <w:p>
            <w:pPr>
              <w:spacing w:after="0" w:line="178" w:lineRule="exact"/>
              <w:rPr>
                <w:sz w:val="20"/>
                <w:szCs w:val="20"/>
                <w:color w:val="auto"/>
              </w:rPr>
            </w:pPr>
            <w:r>
              <w:rPr>
                <w:rFonts w:ascii="Arial" w:cs="Arial" w:eastAsia="Arial" w:hAnsi="Arial"/>
                <w:sz w:val="16"/>
                <w:szCs w:val="16"/>
                <w:color w:val="auto"/>
              </w:rPr>
              <w:t>5.</w:t>
            </w:r>
          </w:p>
        </w:tc>
        <w:tc>
          <w:tcPr>
            <w:tcW w:w="6640" w:type="dxa"/>
            <w:vAlign w:val="bottom"/>
            <w:tcBorders>
              <w:bottom w:val="single" w:sz="8" w:color="00ACD2"/>
            </w:tcBorders>
          </w:tcPr>
          <w:p>
            <w:pPr>
              <w:ind w:left="100"/>
              <w:spacing w:after="0" w:line="178" w:lineRule="exact"/>
              <w:rPr>
                <w:sz w:val="20"/>
                <w:szCs w:val="20"/>
                <w:color w:val="auto"/>
              </w:rPr>
            </w:pPr>
            <w:r>
              <w:rPr>
                <w:rFonts w:ascii="Arial" w:cs="Arial" w:eastAsia="Arial" w:hAnsi="Arial"/>
                <w:sz w:val="16"/>
                <w:szCs w:val="16"/>
                <w:color w:val="auto"/>
              </w:rPr>
              <w:t>Ratification of auditors</w:t>
            </w:r>
          </w:p>
        </w:tc>
        <w:tc>
          <w:tcPr>
            <w:tcW w:w="4000" w:type="dxa"/>
            <w:vAlign w:val="bottom"/>
            <w:tcBorders>
              <w:bottom w:val="single" w:sz="8" w:color="00ACD2"/>
            </w:tcBorders>
          </w:tcPr>
          <w:p>
            <w:pPr>
              <w:jc w:val="center"/>
              <w:ind w:left="440"/>
              <w:spacing w:after="0" w:line="178" w:lineRule="exact"/>
              <w:rPr>
                <w:sz w:val="20"/>
                <w:szCs w:val="20"/>
                <w:color w:val="auto"/>
              </w:rPr>
            </w:pPr>
            <w:r>
              <w:rPr>
                <w:rFonts w:ascii="Arial" w:cs="Arial" w:eastAsia="Arial" w:hAnsi="Arial"/>
                <w:sz w:val="16"/>
                <w:szCs w:val="16"/>
                <w:color w:val="auto"/>
                <w:w w:val="99"/>
              </w:rPr>
              <w:t>Majority of Votes Cast</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501" w:right="40"/>
        <w:spacing w:after="0" w:line="248" w:lineRule="auto"/>
        <w:rPr>
          <w:sz w:val="20"/>
          <w:szCs w:val="20"/>
          <w:color w:val="auto"/>
        </w:rPr>
      </w:pPr>
      <w:r>
        <w:rPr>
          <w:rFonts w:ascii="Arial" w:cs="Arial" w:eastAsia="Arial" w:hAnsi="Arial"/>
          <w:sz w:val="16"/>
          <w:szCs w:val="16"/>
          <w:b w:val="1"/>
          <w:bCs w:val="1"/>
          <w:i w:val="1"/>
          <w:iCs w:val="1"/>
          <w:color w:val="auto"/>
        </w:rPr>
        <w:t xml:space="preserve">Director Resignation Policy. </w:t>
      </w:r>
      <w:r>
        <w:rPr>
          <w:rFonts w:ascii="Arial" w:cs="Arial" w:eastAsia="Arial" w:hAnsi="Arial"/>
          <w:sz w:val="16"/>
          <w:szCs w:val="16"/>
          <w:color w:val="auto"/>
        </w:rPr>
        <w:t>In accordance with our bylaws with respect to an uncontested election of directors, a director nominee must receive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votes cast "for" than "against" his or her election in order to be elected to the Board. Pursuant to our bylaws and Corporate Governance Guidelines, each director promptly following his or her failure to receive a majority of votes cast for his or her election is required to tender a contingent, irrevocable resignation. If this occurs, the Governance Committee will consider such resignation and make a recommendation to the Board regarding whether to accept or reject such resignation. The Board will act on the Governance Committee's recommendation within 90 days of the date the election results are certified and publicly disclose its decision.</w:t>
      </w:r>
    </w:p>
    <w:p>
      <w:pPr>
        <w:spacing w:after="0" w:line="191" w:lineRule="exact"/>
        <w:rPr>
          <w:sz w:val="20"/>
          <w:szCs w:val="20"/>
          <w:color w:val="auto"/>
        </w:rPr>
      </w:pPr>
    </w:p>
    <w:p>
      <w:pPr>
        <w:ind w:left="501" w:right="20"/>
        <w:spacing w:after="0" w:line="253" w:lineRule="auto"/>
        <w:rPr>
          <w:sz w:val="20"/>
          <w:szCs w:val="20"/>
          <w:color w:val="auto"/>
        </w:rPr>
      </w:pPr>
      <w:r>
        <w:rPr>
          <w:rFonts w:ascii="Arial" w:cs="Arial" w:eastAsia="Arial" w:hAnsi="Arial"/>
          <w:sz w:val="16"/>
          <w:szCs w:val="16"/>
          <w:b w:val="1"/>
          <w:bCs w:val="1"/>
          <w:i w:val="1"/>
          <w:iCs w:val="1"/>
          <w:color w:val="auto"/>
        </w:rPr>
        <w:t xml:space="preserve">Advisory Vote on Executive Compensation. </w:t>
      </w:r>
      <w:r>
        <w:rPr>
          <w:rFonts w:ascii="Arial" w:cs="Arial" w:eastAsia="Arial" w:hAnsi="Arial"/>
          <w:sz w:val="16"/>
          <w:szCs w:val="16"/>
          <w:color w:val="auto"/>
        </w:rPr>
        <w:t>As noted above, approval of the compensation of our NEOs (Proposal No. 2) requires the affirmative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vote of a majority of votes cast. This proposal, however, is merely advisory and is not binding on the Company, the Board or its Compensation Committee. Despite the fact it is non-binding, the Board and the Compensation Committee will take the proposal's voting results under advisement when making future decisions regarding the Company's executive compensation program.</w:t>
      </w:r>
    </w:p>
    <w:p>
      <w:pPr>
        <w:spacing w:after="0" w:line="174" w:lineRule="exact"/>
        <w:rPr>
          <w:sz w:val="20"/>
          <w:szCs w:val="20"/>
          <w:color w:val="auto"/>
        </w:rPr>
      </w:pPr>
    </w:p>
    <w:p>
      <w:pPr>
        <w:ind w:left="501" w:hanging="501"/>
        <w:spacing w:after="0"/>
        <w:tabs>
          <w:tab w:leader="none" w:pos="501" w:val="left"/>
        </w:tabs>
        <w:numPr>
          <w:ilvl w:val="0"/>
          <w:numId w:val="22"/>
        </w:numPr>
        <w:rPr>
          <w:rFonts w:ascii="Arial" w:cs="Arial" w:eastAsia="Arial" w:hAnsi="Arial"/>
          <w:sz w:val="16"/>
          <w:szCs w:val="16"/>
          <w:b w:val="1"/>
          <w:bCs w:val="1"/>
          <w:color w:val="00ACD2"/>
        </w:rPr>
      </w:pPr>
      <w:r>
        <w:rPr>
          <w:rFonts w:ascii="Arial" w:cs="Arial" w:eastAsia="Arial" w:hAnsi="Arial"/>
          <w:sz w:val="16"/>
          <w:szCs w:val="16"/>
          <w:b w:val="1"/>
          <w:bCs w:val="1"/>
          <w:color w:val="00ACD2"/>
        </w:rPr>
        <w:t>How are proxies voted?</w:t>
      </w:r>
    </w:p>
    <w:p>
      <w:pPr>
        <w:spacing w:after="0" w:line="206" w:lineRule="exact"/>
        <w:rPr>
          <w:sz w:val="20"/>
          <w:szCs w:val="20"/>
          <w:color w:val="auto"/>
        </w:rPr>
      </w:pPr>
    </w:p>
    <w:p>
      <w:pPr>
        <w:ind w:left="501" w:right="380" w:hanging="501"/>
        <w:spacing w:after="0" w:line="253" w:lineRule="auto"/>
        <w:tabs>
          <w:tab w:leader="none" w:pos="501"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 shares represented by valid proxies received prior to the Annual Meeting will be voted, and where a stockholder specifies by means of the proxy a choice with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6313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42" w:right="239" w:bottom="1440" w:gutter="0" w:footer="0" w:header="0"/>
        </w:sectPr>
      </w:pPr>
    </w:p>
    <w:bookmarkStart w:id="13" w:name="page14"/>
    <w:bookmarkEnd w:id="13"/>
    <w:p>
      <w:pPr>
        <w:ind w:left="1"/>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501"/>
        <w:spacing w:after="0"/>
        <w:rPr>
          <w:sz w:val="20"/>
          <w:szCs w:val="20"/>
          <w:color w:val="auto"/>
        </w:rPr>
      </w:pPr>
      <w:r>
        <w:rPr>
          <w:rFonts w:ascii="Arial" w:cs="Arial" w:eastAsia="Arial" w:hAnsi="Arial"/>
          <w:sz w:val="16"/>
          <w:szCs w:val="16"/>
          <w:color w:val="auto"/>
        </w:rPr>
        <w:t>respect to any matter to be acted upon, the shares will be voted in accordance with the stockholder's instructions.</w:t>
      </w:r>
    </w:p>
    <w:p>
      <w:pPr>
        <w:spacing w:after="0" w:line="178" w:lineRule="exact"/>
        <w:rPr>
          <w:sz w:val="20"/>
          <w:szCs w:val="20"/>
          <w:color w:val="auto"/>
        </w:rPr>
      </w:pPr>
    </w:p>
    <w:p>
      <w:pPr>
        <w:ind w:left="501" w:hanging="501"/>
        <w:spacing w:after="0"/>
        <w:tabs>
          <w:tab w:leader="none" w:pos="501" w:val="left"/>
        </w:tabs>
        <w:numPr>
          <w:ilvl w:val="0"/>
          <w:numId w:val="24"/>
        </w:numPr>
        <w:rPr>
          <w:rFonts w:ascii="Arial" w:cs="Arial" w:eastAsia="Arial" w:hAnsi="Arial"/>
          <w:sz w:val="16"/>
          <w:szCs w:val="16"/>
          <w:b w:val="1"/>
          <w:bCs w:val="1"/>
          <w:color w:val="00ACD2"/>
        </w:rPr>
      </w:pPr>
      <w:r>
        <w:rPr>
          <w:rFonts w:ascii="Arial" w:cs="Arial" w:eastAsia="Arial" w:hAnsi="Arial"/>
          <w:sz w:val="16"/>
          <w:szCs w:val="16"/>
          <w:b w:val="1"/>
          <w:bCs w:val="1"/>
          <w:color w:val="00ACD2"/>
        </w:rPr>
        <w:t>What happens if I do not give specific voting instructions?</w:t>
      </w:r>
    </w:p>
    <w:p>
      <w:pPr>
        <w:spacing w:after="0" w:line="198" w:lineRule="exact"/>
        <w:rPr>
          <w:sz w:val="20"/>
          <w:szCs w:val="20"/>
          <w:color w:val="auto"/>
        </w:rPr>
      </w:pPr>
    </w:p>
    <w:p>
      <w:pPr>
        <w:ind w:left="501" w:hanging="501"/>
        <w:spacing w:after="0"/>
        <w:tabs>
          <w:tab w:leader="none" w:pos="501" w:val="left"/>
        </w:tabs>
        <w:numPr>
          <w:ilvl w:val="0"/>
          <w:numId w:val="2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Stockholders of record.</w:t>
      </w:r>
    </w:p>
    <w:p>
      <w:pPr>
        <w:spacing w:after="0" w:line="242" w:lineRule="exact"/>
        <w:rPr>
          <w:rFonts w:ascii="Arial" w:cs="Arial" w:eastAsia="Arial" w:hAnsi="Arial"/>
          <w:sz w:val="16"/>
          <w:szCs w:val="16"/>
          <w:b w:val="1"/>
          <w:bCs w:val="1"/>
          <w:i w:val="1"/>
          <w:iCs w:val="1"/>
          <w:color w:val="auto"/>
        </w:rPr>
      </w:pPr>
    </w:p>
    <w:p>
      <w:pPr>
        <w:ind w:left="501" w:right="20"/>
        <w:spacing w:after="0" w:line="245" w:lineRule="auto"/>
        <w:rPr>
          <w:rFonts w:ascii="Arial" w:cs="Arial" w:eastAsia="Arial" w:hAnsi="Arial"/>
          <w:sz w:val="16"/>
          <w:szCs w:val="16"/>
          <w:b w:val="1"/>
          <w:bCs w:val="1"/>
          <w:i w:val="1"/>
          <w:iCs w:val="1"/>
          <w:color w:val="auto"/>
        </w:rPr>
      </w:pPr>
      <w:r>
        <w:rPr>
          <w:rFonts w:ascii="Arial" w:cs="Arial" w:eastAsia="Arial" w:hAnsi="Arial"/>
          <w:sz w:val="16"/>
          <w:szCs w:val="16"/>
          <w:color w:val="auto"/>
        </w:rPr>
        <w:t>If you are a stockholder of record and you sign and return a proxy card without giving specific voting instructions or you indicate when voting on the Internet or by telephone that you wish to vote as recommended by the Board, then the proxy holders will vote your shares in the manner recommended by the Board on all matters presented in this Proxy Statement and as the proxy holders may determine in their discretion with respect to any other matters properly presented for a vote at the Annual Meeting.</w:t>
      </w:r>
    </w:p>
    <w:p>
      <w:pPr>
        <w:spacing w:after="0" w:line="190" w:lineRule="exact"/>
        <w:rPr>
          <w:rFonts w:ascii="Arial" w:cs="Arial" w:eastAsia="Arial" w:hAnsi="Arial"/>
          <w:sz w:val="16"/>
          <w:szCs w:val="16"/>
          <w:b w:val="1"/>
          <w:bCs w:val="1"/>
          <w:i w:val="1"/>
          <w:iCs w:val="1"/>
          <w:color w:val="auto"/>
        </w:rPr>
      </w:pPr>
    </w:p>
    <w:p>
      <w:pPr>
        <w:ind w:left="501"/>
        <w:spacing w:after="0"/>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Beneficial owners of shares held in street name.</w:t>
      </w:r>
    </w:p>
    <w:p>
      <w:pPr>
        <w:spacing w:after="0" w:line="255" w:lineRule="exact"/>
        <w:rPr>
          <w:rFonts w:ascii="Arial" w:cs="Arial" w:eastAsia="Arial" w:hAnsi="Arial"/>
          <w:sz w:val="16"/>
          <w:szCs w:val="16"/>
          <w:b w:val="1"/>
          <w:bCs w:val="1"/>
          <w:i w:val="1"/>
          <w:iCs w:val="1"/>
          <w:color w:val="auto"/>
        </w:rPr>
      </w:pPr>
    </w:p>
    <w:p>
      <w:pPr>
        <w:ind w:left="501" w:right="20"/>
        <w:spacing w:after="0" w:line="243" w:lineRule="auto"/>
        <w:rPr>
          <w:rFonts w:ascii="Arial" w:cs="Arial" w:eastAsia="Arial" w:hAnsi="Arial"/>
          <w:sz w:val="16"/>
          <w:szCs w:val="16"/>
          <w:b w:val="1"/>
          <w:bCs w:val="1"/>
          <w:i w:val="1"/>
          <w:iCs w:val="1"/>
          <w:color w:val="auto"/>
        </w:rPr>
      </w:pPr>
      <w:r>
        <w:rPr>
          <w:rFonts w:ascii="Arial" w:cs="Arial" w:eastAsia="Arial" w:hAnsi="Arial"/>
          <w:sz w:val="16"/>
          <w:szCs w:val="16"/>
          <w:color w:val="auto"/>
        </w:rPr>
        <w:t>If you are a beneficial owner of shares held in street name and do not join and vote at the Annual Meeting or provide the broker, bank or other nominee that holds your shares with specific voting instructions, under the rules of various national and regional securities exchanges, the broker, bank or other nominee that holds your shares may generally vote on routine matters but cannot vote on non-routine matters. If the broker, bank or other nominee that holds your shares does not receive instructions from you on how to vote your shares on a non-routine matter, the broker, bank or other nominee that holds your shares will inform the inspector of election that it does not have the authority to vote on such matter with respect to your shares. This is generally referred to as a "broker non-vote."</w:t>
      </w:r>
    </w:p>
    <w:p>
      <w:pPr>
        <w:spacing w:after="0" w:line="169" w:lineRule="exact"/>
        <w:rPr>
          <w:sz w:val="20"/>
          <w:szCs w:val="20"/>
          <w:color w:val="auto"/>
        </w:rPr>
      </w:pPr>
    </w:p>
    <w:p>
      <w:pPr>
        <w:ind w:left="501" w:hanging="501"/>
        <w:spacing w:after="0"/>
        <w:tabs>
          <w:tab w:leader="none" w:pos="501" w:val="left"/>
        </w:tabs>
        <w:numPr>
          <w:ilvl w:val="0"/>
          <w:numId w:val="26"/>
        </w:numPr>
        <w:rPr>
          <w:rFonts w:ascii="Arial" w:cs="Arial" w:eastAsia="Arial" w:hAnsi="Arial"/>
          <w:sz w:val="16"/>
          <w:szCs w:val="16"/>
          <w:b w:val="1"/>
          <w:bCs w:val="1"/>
          <w:color w:val="00ACD2"/>
        </w:rPr>
      </w:pPr>
      <w:r>
        <w:rPr>
          <w:rFonts w:ascii="Arial" w:cs="Arial" w:eastAsia="Arial" w:hAnsi="Arial"/>
          <w:sz w:val="16"/>
          <w:szCs w:val="16"/>
          <w:b w:val="1"/>
          <w:bCs w:val="1"/>
          <w:color w:val="00ACD2"/>
        </w:rPr>
        <w:t>Which ballot measures are considered "routine" or "non-routine"?</w:t>
      </w:r>
    </w:p>
    <w:p>
      <w:pPr>
        <w:spacing w:after="0" w:line="206" w:lineRule="exact"/>
        <w:rPr>
          <w:sz w:val="20"/>
          <w:szCs w:val="20"/>
          <w:color w:val="auto"/>
        </w:rPr>
      </w:pPr>
    </w:p>
    <w:p>
      <w:pPr>
        <w:ind w:left="501" w:right="40" w:hanging="501"/>
        <w:spacing w:after="0" w:line="244" w:lineRule="auto"/>
        <w:tabs>
          <w:tab w:leader="none" w:pos="501"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ratification of PwC as our independent registered public accounting firm for the year ending December 31, 2018 (Proposal No. 5) is considered a routine matter under applicable rules, and no broker non-votes will occur in connection with Proposal No. 5. The election of directors (Proposal No. 1), the approval of the compensation of our NEOs (Proposal No. 2), the approval of the Uniti Group Inc. Employee Stock Purchase Plan (Proposal No. 3), and the amendment to our charter to provide stockholders with the power to amend the bylaws (Proposal No. 4) are considered non-routine matters under applicable rules, and therefore broker non-votes may exist in connection with these proposals.</w:t>
      </w:r>
    </w:p>
    <w:p>
      <w:pPr>
        <w:spacing w:after="0" w:line="179" w:lineRule="exact"/>
        <w:rPr>
          <w:sz w:val="20"/>
          <w:szCs w:val="20"/>
          <w:color w:val="auto"/>
        </w:rPr>
      </w:pPr>
    </w:p>
    <w:p>
      <w:pPr>
        <w:ind w:left="501" w:hanging="501"/>
        <w:spacing w:after="0"/>
        <w:tabs>
          <w:tab w:leader="none" w:pos="501" w:val="left"/>
        </w:tabs>
        <w:numPr>
          <w:ilvl w:val="0"/>
          <w:numId w:val="28"/>
        </w:numPr>
        <w:rPr>
          <w:rFonts w:ascii="Arial" w:cs="Arial" w:eastAsia="Arial" w:hAnsi="Arial"/>
          <w:sz w:val="16"/>
          <w:szCs w:val="16"/>
          <w:b w:val="1"/>
          <w:bCs w:val="1"/>
          <w:color w:val="00ACD2"/>
        </w:rPr>
      </w:pPr>
      <w:r>
        <w:rPr>
          <w:rFonts w:ascii="Arial" w:cs="Arial" w:eastAsia="Arial" w:hAnsi="Arial"/>
          <w:sz w:val="16"/>
          <w:szCs w:val="16"/>
          <w:b w:val="1"/>
          <w:bCs w:val="1"/>
          <w:color w:val="00ACD2"/>
        </w:rPr>
        <w:t>How are abstentions and broker non-votes counted?</w:t>
      </w:r>
    </w:p>
    <w:p>
      <w:pPr>
        <w:spacing w:after="0" w:line="206" w:lineRule="exact"/>
        <w:rPr>
          <w:sz w:val="20"/>
          <w:szCs w:val="20"/>
          <w:color w:val="auto"/>
        </w:rPr>
      </w:pPr>
    </w:p>
    <w:p>
      <w:pPr>
        <w:ind w:left="501" w:hanging="501"/>
        <w:spacing w:after="0" w:line="245" w:lineRule="auto"/>
        <w:tabs>
          <w:tab w:leader="none" w:pos="501" w:val="left"/>
        </w:tabs>
        <w:numPr>
          <w:ilvl w:val="0"/>
          <w:numId w:val="29"/>
        </w:numPr>
        <w:rPr>
          <w:rFonts w:ascii="Arial" w:cs="Arial" w:eastAsia="Arial" w:hAnsi="Arial"/>
          <w:sz w:val="16"/>
          <w:szCs w:val="16"/>
          <w:color w:val="auto"/>
        </w:rPr>
      </w:pPr>
      <w:r>
        <w:rPr>
          <w:rFonts w:ascii="Arial" w:cs="Arial" w:eastAsia="Arial" w:hAnsi="Arial"/>
          <w:sz w:val="16"/>
          <w:szCs w:val="16"/>
          <w:color w:val="auto"/>
        </w:rPr>
        <w:t>Abstentions and broker non-votes will be counted to determine whether there is a quorum present at the Annual Meeting. With respect to Proposals No. 1-3 and Proposal No. 5, abstentions and broker non-votes will not be considered votes cast for voting purposes and will have no effect on such proposals. Abstentions and broker non-votes will, however, constitute a vote AGAINST the corporate governance proposal set forth in Proposal No. 4. The effect of abstentions and</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6313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42" w:right="239" w:bottom="1440" w:gutter="0" w:footer="0" w:header="0"/>
        </w:sectPr>
      </w:pPr>
    </w:p>
    <w:bookmarkStart w:id="14" w:name="page15"/>
    <w:bookmarkEnd w:id="14"/>
    <w:tbl>
      <w:tblPr>
        <w:tblLayout w:type="fixed"/>
        <w:tblInd w:w="1" w:type="dxa"/>
        <w:tblCellMar>
          <w:top w:w="0" w:type="dxa"/>
          <w:left w:w="0" w:type="dxa"/>
          <w:bottom w:w="0" w:type="dxa"/>
          <w:right w:w="0" w:type="dxa"/>
        </w:tblCellMar>
      </w:tblPr>
      <w:tr>
        <w:trPr>
          <w:trHeight w:val="184"/>
        </w:trPr>
        <w:tc>
          <w:tcPr>
            <w:tcW w:w="7700" w:type="dxa"/>
            <w:vAlign w:val="bottom"/>
            <w:gridSpan w:val="4"/>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Table of Contents</w:t>
              </w:r>
            </w:hyperlink>
          </w:p>
        </w:tc>
        <w:tc>
          <w:tcPr>
            <w:tcW w:w="194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398"/>
        </w:trPr>
        <w:tc>
          <w:tcPr>
            <w:tcW w:w="7700" w:type="dxa"/>
            <w:vAlign w:val="bottom"/>
            <w:gridSpan w:val="4"/>
          </w:tcPr>
          <w:p>
            <w:pPr>
              <w:ind w:left="500"/>
              <w:spacing w:after="0"/>
              <w:rPr>
                <w:sz w:val="20"/>
                <w:szCs w:val="20"/>
                <w:color w:val="auto"/>
              </w:rPr>
            </w:pPr>
            <w:r>
              <w:rPr>
                <w:rFonts w:ascii="Arial" w:cs="Arial" w:eastAsia="Arial" w:hAnsi="Arial"/>
                <w:sz w:val="16"/>
                <w:szCs w:val="16"/>
                <w:color w:val="auto"/>
              </w:rPr>
              <w:t>broker non-votes on each of the proposals presented in this Proxy Statement is as follows:</w:t>
            </w:r>
          </w:p>
        </w:tc>
        <w:tc>
          <w:tcPr>
            <w:tcW w:w="19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71"/>
        </w:trPr>
        <w:tc>
          <w:tcPr>
            <w:tcW w:w="540" w:type="dxa"/>
            <w:vAlign w:val="bottom"/>
          </w:tcPr>
          <w:p>
            <w:pPr>
              <w:spacing w:after="0"/>
              <w:rPr>
                <w:sz w:val="24"/>
                <w:szCs w:val="24"/>
                <w:color w:val="auto"/>
              </w:rPr>
            </w:pPr>
          </w:p>
        </w:tc>
        <w:tc>
          <w:tcPr>
            <w:tcW w:w="7160" w:type="dxa"/>
            <w:vAlign w:val="bottom"/>
            <w:tcBorders>
              <w:bottom w:val="single" w:sz="8" w:color="00ACD2"/>
            </w:tcBorders>
            <w:gridSpan w:val="3"/>
          </w:tcPr>
          <w:p>
            <w:pPr>
              <w:spacing w:after="0"/>
              <w:rPr>
                <w:sz w:val="20"/>
                <w:szCs w:val="20"/>
                <w:color w:val="auto"/>
              </w:rPr>
            </w:pPr>
            <w:r>
              <w:rPr>
                <w:rFonts w:ascii="Arial" w:cs="Arial" w:eastAsia="Arial" w:hAnsi="Arial"/>
                <w:sz w:val="16"/>
                <w:szCs w:val="16"/>
                <w:b w:val="1"/>
                <w:bCs w:val="1"/>
                <w:color w:val="00ACD2"/>
              </w:rPr>
              <w:t>Proposals</w:t>
            </w:r>
          </w:p>
        </w:tc>
        <w:tc>
          <w:tcPr>
            <w:tcW w:w="1940" w:type="dxa"/>
            <w:vAlign w:val="bottom"/>
            <w:tcBorders>
              <w:bottom w:val="single" w:sz="8" w:color="00ACD2"/>
            </w:tcBorders>
          </w:tcPr>
          <w:p>
            <w:pPr>
              <w:jc w:val="center"/>
              <w:ind w:left="480"/>
              <w:spacing w:after="0"/>
              <w:rPr>
                <w:sz w:val="20"/>
                <w:szCs w:val="20"/>
                <w:color w:val="auto"/>
              </w:rPr>
            </w:pPr>
            <w:r>
              <w:rPr>
                <w:rFonts w:ascii="Arial" w:cs="Arial" w:eastAsia="Arial" w:hAnsi="Arial"/>
                <w:sz w:val="16"/>
                <w:szCs w:val="16"/>
                <w:b w:val="1"/>
                <w:bCs w:val="1"/>
                <w:color w:val="00ACD2"/>
              </w:rPr>
              <w:t>Abstentions</w:t>
            </w:r>
          </w:p>
        </w:tc>
        <w:tc>
          <w:tcPr>
            <w:tcW w:w="1780" w:type="dxa"/>
            <w:vAlign w:val="bottom"/>
            <w:tcBorders>
              <w:bottom w:val="single" w:sz="8" w:color="00ACD2"/>
            </w:tcBorders>
          </w:tcPr>
          <w:p>
            <w:pPr>
              <w:jc w:val="center"/>
              <w:spacing w:after="0"/>
              <w:rPr>
                <w:sz w:val="20"/>
                <w:szCs w:val="20"/>
                <w:color w:val="auto"/>
              </w:rPr>
            </w:pPr>
            <w:r>
              <w:rPr>
                <w:rFonts w:ascii="Arial" w:cs="Arial" w:eastAsia="Arial" w:hAnsi="Arial"/>
                <w:sz w:val="16"/>
                <w:szCs w:val="16"/>
                <w:b w:val="1"/>
                <w:bCs w:val="1"/>
                <w:color w:val="00ACD2"/>
                <w:w w:val="99"/>
              </w:rPr>
              <w:t>Broker Non-Votes</w:t>
            </w:r>
          </w:p>
        </w:tc>
      </w:tr>
      <w:tr>
        <w:trPr>
          <w:trHeight w:val="177"/>
        </w:trPr>
        <w:tc>
          <w:tcPr>
            <w:tcW w:w="540" w:type="dxa"/>
            <w:vAlign w:val="bottom"/>
          </w:tcPr>
          <w:p>
            <w:pPr>
              <w:spacing w:after="0"/>
              <w:rPr>
                <w:sz w:val="15"/>
                <w:szCs w:val="15"/>
                <w:color w:val="auto"/>
              </w:rPr>
            </w:pPr>
          </w:p>
        </w:tc>
        <w:tc>
          <w:tcPr>
            <w:tcW w:w="240" w:type="dxa"/>
            <w:vAlign w:val="bottom"/>
            <w:tcBorders>
              <w:bottom w:val="single" w:sz="8" w:color="00ACD2"/>
            </w:tcBorders>
          </w:tcPr>
          <w:p>
            <w:pPr>
              <w:spacing w:after="0" w:line="178" w:lineRule="exact"/>
              <w:rPr>
                <w:sz w:val="20"/>
                <w:szCs w:val="20"/>
                <w:color w:val="auto"/>
              </w:rPr>
            </w:pPr>
            <w:r>
              <w:rPr>
                <w:rFonts w:ascii="Arial" w:cs="Arial" w:eastAsia="Arial" w:hAnsi="Arial"/>
                <w:sz w:val="16"/>
                <w:szCs w:val="16"/>
                <w:color w:val="auto"/>
              </w:rPr>
              <w:t>1.</w:t>
            </w:r>
          </w:p>
        </w:tc>
        <w:tc>
          <w:tcPr>
            <w:tcW w:w="6920" w:type="dxa"/>
            <w:vAlign w:val="bottom"/>
            <w:tcBorders>
              <w:bottom w:val="single" w:sz="8" w:color="00ACD2"/>
            </w:tcBorders>
            <w:gridSpan w:val="2"/>
          </w:tcPr>
          <w:p>
            <w:pPr>
              <w:ind w:left="100"/>
              <w:spacing w:after="0" w:line="178" w:lineRule="exact"/>
              <w:rPr>
                <w:sz w:val="20"/>
                <w:szCs w:val="20"/>
                <w:color w:val="auto"/>
              </w:rPr>
            </w:pPr>
            <w:r>
              <w:rPr>
                <w:rFonts w:ascii="Arial" w:cs="Arial" w:eastAsia="Arial" w:hAnsi="Arial"/>
                <w:sz w:val="16"/>
                <w:szCs w:val="16"/>
                <w:color w:val="auto"/>
              </w:rPr>
              <w:t>Election of directors</w:t>
            </w:r>
          </w:p>
        </w:tc>
        <w:tc>
          <w:tcPr>
            <w:tcW w:w="1940" w:type="dxa"/>
            <w:vAlign w:val="bottom"/>
            <w:tcBorders>
              <w:bottom w:val="single" w:sz="8" w:color="00ACD2"/>
            </w:tcBorders>
          </w:tcPr>
          <w:p>
            <w:pPr>
              <w:jc w:val="center"/>
              <w:ind w:left="480"/>
              <w:spacing w:after="0" w:line="178" w:lineRule="exact"/>
              <w:rPr>
                <w:sz w:val="20"/>
                <w:szCs w:val="20"/>
                <w:color w:val="auto"/>
              </w:rPr>
            </w:pPr>
            <w:r>
              <w:rPr>
                <w:rFonts w:ascii="Arial" w:cs="Arial" w:eastAsia="Arial" w:hAnsi="Arial"/>
                <w:sz w:val="16"/>
                <w:szCs w:val="16"/>
                <w:color w:val="auto"/>
              </w:rPr>
              <w:t>No Effect</w:t>
            </w:r>
          </w:p>
        </w:tc>
        <w:tc>
          <w:tcPr>
            <w:tcW w:w="1780" w:type="dxa"/>
            <w:vAlign w:val="bottom"/>
            <w:tcBorders>
              <w:bottom w:val="single" w:sz="8" w:color="00ACD2"/>
            </w:tcBorders>
          </w:tcPr>
          <w:p>
            <w:pPr>
              <w:jc w:val="center"/>
              <w:spacing w:after="0" w:line="178" w:lineRule="exact"/>
              <w:rPr>
                <w:sz w:val="20"/>
                <w:szCs w:val="20"/>
                <w:color w:val="auto"/>
              </w:rPr>
            </w:pPr>
            <w:r>
              <w:rPr>
                <w:rFonts w:ascii="Arial" w:cs="Arial" w:eastAsia="Arial" w:hAnsi="Arial"/>
                <w:sz w:val="16"/>
                <w:szCs w:val="16"/>
                <w:color w:val="auto"/>
                <w:w w:val="97"/>
              </w:rPr>
              <w:t>No Effect</w:t>
            </w:r>
          </w:p>
        </w:tc>
      </w:tr>
      <w:tr>
        <w:trPr>
          <w:trHeight w:val="177"/>
        </w:trPr>
        <w:tc>
          <w:tcPr>
            <w:tcW w:w="540" w:type="dxa"/>
            <w:vAlign w:val="bottom"/>
          </w:tcPr>
          <w:p>
            <w:pPr>
              <w:spacing w:after="0"/>
              <w:rPr>
                <w:sz w:val="15"/>
                <w:szCs w:val="15"/>
                <w:color w:val="auto"/>
              </w:rPr>
            </w:pPr>
          </w:p>
        </w:tc>
        <w:tc>
          <w:tcPr>
            <w:tcW w:w="240" w:type="dxa"/>
            <w:vAlign w:val="bottom"/>
            <w:tcBorders>
              <w:bottom w:val="single" w:sz="8" w:color="00ACD2"/>
            </w:tcBorders>
          </w:tcPr>
          <w:p>
            <w:pPr>
              <w:spacing w:after="0" w:line="178" w:lineRule="exact"/>
              <w:rPr>
                <w:sz w:val="20"/>
                <w:szCs w:val="20"/>
                <w:color w:val="auto"/>
              </w:rPr>
            </w:pPr>
            <w:r>
              <w:rPr>
                <w:rFonts w:ascii="Arial" w:cs="Arial" w:eastAsia="Arial" w:hAnsi="Arial"/>
                <w:sz w:val="16"/>
                <w:szCs w:val="16"/>
                <w:color w:val="auto"/>
              </w:rPr>
              <w:t>2.</w:t>
            </w:r>
          </w:p>
        </w:tc>
        <w:tc>
          <w:tcPr>
            <w:tcW w:w="6920" w:type="dxa"/>
            <w:vAlign w:val="bottom"/>
            <w:tcBorders>
              <w:bottom w:val="single" w:sz="8" w:color="00ACD2"/>
            </w:tcBorders>
            <w:gridSpan w:val="2"/>
          </w:tcPr>
          <w:p>
            <w:pPr>
              <w:ind w:left="100"/>
              <w:spacing w:after="0" w:line="178" w:lineRule="exact"/>
              <w:rPr>
                <w:sz w:val="20"/>
                <w:szCs w:val="20"/>
                <w:color w:val="auto"/>
              </w:rPr>
            </w:pPr>
            <w:r>
              <w:rPr>
                <w:rFonts w:ascii="Arial" w:cs="Arial" w:eastAsia="Arial" w:hAnsi="Arial"/>
                <w:sz w:val="16"/>
                <w:szCs w:val="16"/>
                <w:color w:val="auto"/>
              </w:rPr>
              <w:t>Advisory vote to approve executive compensation</w:t>
            </w:r>
          </w:p>
        </w:tc>
        <w:tc>
          <w:tcPr>
            <w:tcW w:w="1940" w:type="dxa"/>
            <w:vAlign w:val="bottom"/>
            <w:tcBorders>
              <w:bottom w:val="single" w:sz="8" w:color="00ACD2"/>
            </w:tcBorders>
          </w:tcPr>
          <w:p>
            <w:pPr>
              <w:jc w:val="center"/>
              <w:ind w:left="480"/>
              <w:spacing w:after="0" w:line="178" w:lineRule="exact"/>
              <w:rPr>
                <w:sz w:val="20"/>
                <w:szCs w:val="20"/>
                <w:color w:val="auto"/>
              </w:rPr>
            </w:pPr>
            <w:r>
              <w:rPr>
                <w:rFonts w:ascii="Arial" w:cs="Arial" w:eastAsia="Arial" w:hAnsi="Arial"/>
                <w:sz w:val="16"/>
                <w:szCs w:val="16"/>
                <w:color w:val="auto"/>
              </w:rPr>
              <w:t>No Effect</w:t>
            </w:r>
          </w:p>
        </w:tc>
        <w:tc>
          <w:tcPr>
            <w:tcW w:w="1780" w:type="dxa"/>
            <w:vAlign w:val="bottom"/>
            <w:tcBorders>
              <w:bottom w:val="single" w:sz="8" w:color="00ACD2"/>
            </w:tcBorders>
          </w:tcPr>
          <w:p>
            <w:pPr>
              <w:jc w:val="center"/>
              <w:spacing w:after="0" w:line="178" w:lineRule="exact"/>
              <w:rPr>
                <w:sz w:val="20"/>
                <w:szCs w:val="20"/>
                <w:color w:val="auto"/>
              </w:rPr>
            </w:pPr>
            <w:r>
              <w:rPr>
                <w:rFonts w:ascii="Arial" w:cs="Arial" w:eastAsia="Arial" w:hAnsi="Arial"/>
                <w:sz w:val="16"/>
                <w:szCs w:val="16"/>
                <w:color w:val="auto"/>
                <w:w w:val="97"/>
              </w:rPr>
              <w:t>No Effect</w:t>
            </w:r>
          </w:p>
        </w:tc>
      </w:tr>
      <w:tr>
        <w:trPr>
          <w:trHeight w:val="177"/>
        </w:trPr>
        <w:tc>
          <w:tcPr>
            <w:tcW w:w="540" w:type="dxa"/>
            <w:vAlign w:val="bottom"/>
          </w:tcPr>
          <w:p>
            <w:pPr>
              <w:spacing w:after="0"/>
              <w:rPr>
                <w:sz w:val="15"/>
                <w:szCs w:val="15"/>
                <w:color w:val="auto"/>
              </w:rPr>
            </w:pPr>
          </w:p>
        </w:tc>
        <w:tc>
          <w:tcPr>
            <w:tcW w:w="240" w:type="dxa"/>
            <w:vAlign w:val="bottom"/>
            <w:tcBorders>
              <w:bottom w:val="single" w:sz="8" w:color="00ACD2"/>
            </w:tcBorders>
          </w:tcPr>
          <w:p>
            <w:pPr>
              <w:spacing w:after="0" w:line="178" w:lineRule="exact"/>
              <w:rPr>
                <w:sz w:val="20"/>
                <w:szCs w:val="20"/>
                <w:color w:val="auto"/>
              </w:rPr>
            </w:pPr>
            <w:r>
              <w:rPr>
                <w:rFonts w:ascii="Arial" w:cs="Arial" w:eastAsia="Arial" w:hAnsi="Arial"/>
                <w:sz w:val="16"/>
                <w:szCs w:val="16"/>
                <w:color w:val="auto"/>
              </w:rPr>
              <w:t>3.</w:t>
            </w:r>
          </w:p>
        </w:tc>
        <w:tc>
          <w:tcPr>
            <w:tcW w:w="6920" w:type="dxa"/>
            <w:vAlign w:val="bottom"/>
            <w:tcBorders>
              <w:bottom w:val="single" w:sz="8" w:color="00ACD2"/>
            </w:tcBorders>
            <w:gridSpan w:val="2"/>
          </w:tcPr>
          <w:p>
            <w:pPr>
              <w:ind w:left="100"/>
              <w:spacing w:after="0" w:line="178" w:lineRule="exact"/>
              <w:rPr>
                <w:sz w:val="20"/>
                <w:szCs w:val="20"/>
                <w:color w:val="auto"/>
              </w:rPr>
            </w:pPr>
            <w:r>
              <w:rPr>
                <w:rFonts w:ascii="Arial" w:cs="Arial" w:eastAsia="Arial" w:hAnsi="Arial"/>
                <w:sz w:val="16"/>
                <w:szCs w:val="16"/>
                <w:color w:val="auto"/>
              </w:rPr>
              <w:t>Approval of the Uniti Group Inc. Employee Stock Purchase Plan</w:t>
            </w:r>
          </w:p>
        </w:tc>
        <w:tc>
          <w:tcPr>
            <w:tcW w:w="1940" w:type="dxa"/>
            <w:vAlign w:val="bottom"/>
            <w:tcBorders>
              <w:bottom w:val="single" w:sz="8" w:color="00ACD2"/>
            </w:tcBorders>
          </w:tcPr>
          <w:p>
            <w:pPr>
              <w:jc w:val="center"/>
              <w:ind w:left="480"/>
              <w:spacing w:after="0" w:line="178" w:lineRule="exact"/>
              <w:rPr>
                <w:sz w:val="20"/>
                <w:szCs w:val="20"/>
                <w:color w:val="auto"/>
              </w:rPr>
            </w:pPr>
            <w:r>
              <w:rPr>
                <w:rFonts w:ascii="Arial" w:cs="Arial" w:eastAsia="Arial" w:hAnsi="Arial"/>
                <w:sz w:val="16"/>
                <w:szCs w:val="16"/>
                <w:color w:val="auto"/>
              </w:rPr>
              <w:t>No Effect</w:t>
            </w:r>
          </w:p>
        </w:tc>
        <w:tc>
          <w:tcPr>
            <w:tcW w:w="1780" w:type="dxa"/>
            <w:vAlign w:val="bottom"/>
            <w:tcBorders>
              <w:bottom w:val="single" w:sz="8" w:color="00ACD2"/>
            </w:tcBorders>
          </w:tcPr>
          <w:p>
            <w:pPr>
              <w:jc w:val="center"/>
              <w:spacing w:after="0" w:line="178" w:lineRule="exact"/>
              <w:rPr>
                <w:sz w:val="20"/>
                <w:szCs w:val="20"/>
                <w:color w:val="auto"/>
              </w:rPr>
            </w:pPr>
            <w:r>
              <w:rPr>
                <w:rFonts w:ascii="Arial" w:cs="Arial" w:eastAsia="Arial" w:hAnsi="Arial"/>
                <w:sz w:val="16"/>
                <w:szCs w:val="16"/>
                <w:color w:val="auto"/>
                <w:w w:val="97"/>
              </w:rPr>
              <w:t>No Effect</w:t>
            </w:r>
          </w:p>
        </w:tc>
      </w:tr>
      <w:tr>
        <w:trPr>
          <w:trHeight w:val="177"/>
        </w:trPr>
        <w:tc>
          <w:tcPr>
            <w:tcW w:w="540" w:type="dxa"/>
            <w:vAlign w:val="bottom"/>
          </w:tcPr>
          <w:p>
            <w:pPr>
              <w:spacing w:after="0"/>
              <w:rPr>
                <w:sz w:val="15"/>
                <w:szCs w:val="15"/>
                <w:color w:val="auto"/>
              </w:rPr>
            </w:pPr>
          </w:p>
        </w:tc>
        <w:tc>
          <w:tcPr>
            <w:tcW w:w="240" w:type="dxa"/>
            <w:vAlign w:val="bottom"/>
            <w:tcBorders>
              <w:bottom w:val="single" w:sz="8" w:color="00ACD2"/>
            </w:tcBorders>
          </w:tcPr>
          <w:p>
            <w:pPr>
              <w:spacing w:after="0" w:line="178" w:lineRule="exact"/>
              <w:rPr>
                <w:sz w:val="20"/>
                <w:szCs w:val="20"/>
                <w:color w:val="auto"/>
              </w:rPr>
            </w:pPr>
            <w:r>
              <w:rPr>
                <w:rFonts w:ascii="Arial" w:cs="Arial" w:eastAsia="Arial" w:hAnsi="Arial"/>
                <w:sz w:val="16"/>
                <w:szCs w:val="16"/>
                <w:color w:val="auto"/>
              </w:rPr>
              <w:t>4.</w:t>
            </w:r>
          </w:p>
        </w:tc>
        <w:tc>
          <w:tcPr>
            <w:tcW w:w="6920" w:type="dxa"/>
            <w:vAlign w:val="bottom"/>
            <w:tcBorders>
              <w:bottom w:val="single" w:sz="8" w:color="00ACD2"/>
            </w:tcBorders>
            <w:gridSpan w:val="2"/>
          </w:tcPr>
          <w:p>
            <w:pPr>
              <w:ind w:left="100"/>
              <w:spacing w:after="0" w:line="178" w:lineRule="exact"/>
              <w:rPr>
                <w:sz w:val="20"/>
                <w:szCs w:val="20"/>
                <w:color w:val="auto"/>
              </w:rPr>
            </w:pPr>
            <w:r>
              <w:rPr>
                <w:rFonts w:ascii="Arial" w:cs="Arial" w:eastAsia="Arial" w:hAnsi="Arial"/>
                <w:sz w:val="16"/>
                <w:szCs w:val="16"/>
                <w:color w:val="auto"/>
              </w:rPr>
              <w:t>Charter amendment to provide stockholders with the power to amend the bylaws</w:t>
            </w:r>
          </w:p>
        </w:tc>
        <w:tc>
          <w:tcPr>
            <w:tcW w:w="1940" w:type="dxa"/>
            <w:vAlign w:val="bottom"/>
            <w:tcBorders>
              <w:bottom w:val="single" w:sz="8" w:color="00ACD2"/>
            </w:tcBorders>
          </w:tcPr>
          <w:p>
            <w:pPr>
              <w:jc w:val="center"/>
              <w:ind w:left="480"/>
              <w:spacing w:after="0" w:line="178" w:lineRule="exact"/>
              <w:rPr>
                <w:sz w:val="20"/>
                <w:szCs w:val="20"/>
                <w:color w:val="auto"/>
              </w:rPr>
            </w:pPr>
            <w:r>
              <w:rPr>
                <w:rFonts w:ascii="Arial" w:cs="Arial" w:eastAsia="Arial" w:hAnsi="Arial"/>
                <w:sz w:val="16"/>
                <w:szCs w:val="16"/>
                <w:color w:val="auto"/>
                <w:w w:val="99"/>
              </w:rPr>
              <w:t>Vote Against</w:t>
            </w:r>
          </w:p>
        </w:tc>
        <w:tc>
          <w:tcPr>
            <w:tcW w:w="1780" w:type="dxa"/>
            <w:vAlign w:val="bottom"/>
            <w:tcBorders>
              <w:bottom w:val="single" w:sz="8" w:color="00ACD2"/>
            </w:tcBorders>
          </w:tcPr>
          <w:p>
            <w:pPr>
              <w:jc w:val="center"/>
              <w:spacing w:after="0" w:line="178" w:lineRule="exact"/>
              <w:rPr>
                <w:sz w:val="20"/>
                <w:szCs w:val="20"/>
                <w:color w:val="auto"/>
              </w:rPr>
            </w:pPr>
            <w:r>
              <w:rPr>
                <w:rFonts w:ascii="Arial" w:cs="Arial" w:eastAsia="Arial" w:hAnsi="Arial"/>
                <w:sz w:val="16"/>
                <w:szCs w:val="16"/>
                <w:color w:val="auto"/>
                <w:w w:val="99"/>
              </w:rPr>
              <w:t>Vote Against</w:t>
            </w:r>
          </w:p>
        </w:tc>
      </w:tr>
      <w:tr>
        <w:trPr>
          <w:trHeight w:val="177"/>
        </w:trPr>
        <w:tc>
          <w:tcPr>
            <w:tcW w:w="540" w:type="dxa"/>
            <w:vAlign w:val="bottom"/>
          </w:tcPr>
          <w:p>
            <w:pPr>
              <w:spacing w:after="0"/>
              <w:rPr>
                <w:sz w:val="15"/>
                <w:szCs w:val="15"/>
                <w:color w:val="auto"/>
              </w:rPr>
            </w:pPr>
          </w:p>
        </w:tc>
        <w:tc>
          <w:tcPr>
            <w:tcW w:w="240" w:type="dxa"/>
            <w:vAlign w:val="bottom"/>
            <w:tcBorders>
              <w:bottom w:val="single" w:sz="8" w:color="00ACD2"/>
            </w:tcBorders>
          </w:tcPr>
          <w:p>
            <w:pPr>
              <w:spacing w:after="0" w:line="178" w:lineRule="exact"/>
              <w:rPr>
                <w:sz w:val="20"/>
                <w:szCs w:val="20"/>
                <w:color w:val="auto"/>
              </w:rPr>
            </w:pPr>
            <w:r>
              <w:rPr>
                <w:rFonts w:ascii="Arial" w:cs="Arial" w:eastAsia="Arial" w:hAnsi="Arial"/>
                <w:sz w:val="16"/>
                <w:szCs w:val="16"/>
                <w:color w:val="auto"/>
              </w:rPr>
              <w:t>5.</w:t>
            </w:r>
          </w:p>
        </w:tc>
        <w:tc>
          <w:tcPr>
            <w:tcW w:w="6920" w:type="dxa"/>
            <w:vAlign w:val="bottom"/>
            <w:tcBorders>
              <w:bottom w:val="single" w:sz="8" w:color="00ACD2"/>
            </w:tcBorders>
            <w:gridSpan w:val="2"/>
          </w:tcPr>
          <w:p>
            <w:pPr>
              <w:ind w:left="100"/>
              <w:spacing w:after="0" w:line="178" w:lineRule="exact"/>
              <w:rPr>
                <w:sz w:val="20"/>
                <w:szCs w:val="20"/>
                <w:color w:val="auto"/>
              </w:rPr>
            </w:pPr>
            <w:r>
              <w:rPr>
                <w:rFonts w:ascii="Arial" w:cs="Arial" w:eastAsia="Arial" w:hAnsi="Arial"/>
                <w:sz w:val="16"/>
                <w:szCs w:val="16"/>
                <w:color w:val="auto"/>
              </w:rPr>
              <w:t>Ratification of auditors</w:t>
            </w:r>
          </w:p>
        </w:tc>
        <w:tc>
          <w:tcPr>
            <w:tcW w:w="1940" w:type="dxa"/>
            <w:vAlign w:val="bottom"/>
            <w:tcBorders>
              <w:bottom w:val="single" w:sz="8" w:color="00ACD2"/>
            </w:tcBorders>
          </w:tcPr>
          <w:p>
            <w:pPr>
              <w:jc w:val="center"/>
              <w:ind w:left="480"/>
              <w:spacing w:after="0" w:line="178" w:lineRule="exact"/>
              <w:rPr>
                <w:sz w:val="20"/>
                <w:szCs w:val="20"/>
                <w:color w:val="auto"/>
              </w:rPr>
            </w:pPr>
            <w:r>
              <w:rPr>
                <w:rFonts w:ascii="Arial" w:cs="Arial" w:eastAsia="Arial" w:hAnsi="Arial"/>
                <w:sz w:val="16"/>
                <w:szCs w:val="16"/>
                <w:color w:val="auto"/>
              </w:rPr>
              <w:t>No Effect</w:t>
            </w:r>
          </w:p>
        </w:tc>
        <w:tc>
          <w:tcPr>
            <w:tcW w:w="1780" w:type="dxa"/>
            <w:vAlign w:val="bottom"/>
            <w:tcBorders>
              <w:bottom w:val="single" w:sz="8" w:color="00ACD2"/>
            </w:tcBorders>
          </w:tcPr>
          <w:p>
            <w:pPr>
              <w:jc w:val="center"/>
              <w:spacing w:after="0" w:line="178" w:lineRule="exact"/>
              <w:rPr>
                <w:sz w:val="20"/>
                <w:szCs w:val="20"/>
                <w:color w:val="auto"/>
              </w:rPr>
            </w:pPr>
            <w:r>
              <w:rPr>
                <w:rFonts w:ascii="Arial" w:cs="Arial" w:eastAsia="Arial" w:hAnsi="Arial"/>
                <w:sz w:val="16"/>
                <w:szCs w:val="16"/>
                <w:color w:val="auto"/>
              </w:rPr>
              <w:t>Not Applicable</w:t>
            </w:r>
          </w:p>
        </w:tc>
      </w:tr>
    </w:tbl>
    <w:p>
      <w:pPr>
        <w:spacing w:after="0" w:line="180" w:lineRule="exact"/>
        <w:rPr>
          <w:sz w:val="20"/>
          <w:szCs w:val="20"/>
          <w:color w:val="auto"/>
        </w:rPr>
      </w:pPr>
    </w:p>
    <w:p>
      <w:pPr>
        <w:ind w:left="501" w:hanging="501"/>
        <w:spacing w:after="0"/>
        <w:tabs>
          <w:tab w:leader="none" w:pos="501" w:val="left"/>
        </w:tabs>
        <w:numPr>
          <w:ilvl w:val="0"/>
          <w:numId w:val="30"/>
        </w:numPr>
        <w:rPr>
          <w:rFonts w:ascii="Arial" w:cs="Arial" w:eastAsia="Arial" w:hAnsi="Arial"/>
          <w:sz w:val="16"/>
          <w:szCs w:val="16"/>
          <w:b w:val="1"/>
          <w:bCs w:val="1"/>
          <w:color w:val="00ACD2"/>
        </w:rPr>
      </w:pPr>
      <w:r>
        <w:rPr>
          <w:rFonts w:ascii="Arial" w:cs="Arial" w:eastAsia="Arial" w:hAnsi="Arial"/>
          <w:sz w:val="16"/>
          <w:szCs w:val="16"/>
          <w:b w:val="1"/>
          <w:bCs w:val="1"/>
          <w:color w:val="00ACD2"/>
        </w:rPr>
        <w:t>Can I change my vote after I have voted?</w:t>
      </w:r>
    </w:p>
    <w:p>
      <w:pPr>
        <w:spacing w:after="0" w:line="218" w:lineRule="exact"/>
        <w:rPr>
          <w:sz w:val="20"/>
          <w:szCs w:val="20"/>
          <w:color w:val="auto"/>
        </w:rPr>
      </w:pPr>
    </w:p>
    <w:p>
      <w:pPr>
        <w:ind w:left="501" w:right="100" w:hanging="501"/>
        <w:spacing w:after="0" w:line="243" w:lineRule="auto"/>
        <w:tabs>
          <w:tab w:leader="none" w:pos="501" w:val="left"/>
        </w:tabs>
        <w:numPr>
          <w:ilvl w:val="0"/>
          <w:numId w:val="31"/>
        </w:numPr>
        <w:rPr>
          <w:rFonts w:ascii="Arial" w:cs="Arial" w:eastAsia="Arial" w:hAnsi="Arial"/>
          <w:sz w:val="16"/>
          <w:szCs w:val="16"/>
          <w:color w:val="auto"/>
        </w:rPr>
      </w:pPr>
      <w:r>
        <w:rPr>
          <w:rFonts w:ascii="Arial" w:cs="Arial" w:eastAsia="Arial" w:hAnsi="Arial"/>
          <w:sz w:val="16"/>
          <w:szCs w:val="16"/>
          <w:color w:val="auto"/>
        </w:rPr>
        <w:t>Yes. You may revoke your proxy and change your vote at any time before the final vote at the Annual Meeting. After you submit your proxy, you may change your vote via the Internet or by telephone (in which case only your latest Internet or telephone proxy submitted prior to the Annual Meeting will be counted), by signing and returning a new proxy card or voting instruction form with a later date, or by attending the Annual Meeting and voting. However, your virtual attendance at the Annual Meeting will not automatically revoke your proxy unless you properly vote during the Annual Meeting or specifically request that your prior proxy be revoked by delivering written notice to Uniti's Secretary prior to the Annual Meeting at 10802 Executive Center Drive, Benton Building, Suite 300, Little Rock, Arkansas 72211.</w:t>
      </w:r>
    </w:p>
    <w:p>
      <w:pPr>
        <w:spacing w:after="0" w:line="169" w:lineRule="exact"/>
        <w:rPr>
          <w:sz w:val="20"/>
          <w:szCs w:val="20"/>
          <w:color w:val="auto"/>
        </w:rPr>
      </w:pPr>
    </w:p>
    <w:p>
      <w:pPr>
        <w:ind w:left="501" w:hanging="501"/>
        <w:spacing w:after="0"/>
        <w:tabs>
          <w:tab w:leader="none" w:pos="501" w:val="left"/>
        </w:tabs>
        <w:numPr>
          <w:ilvl w:val="0"/>
          <w:numId w:val="32"/>
        </w:numPr>
        <w:rPr>
          <w:rFonts w:ascii="Arial" w:cs="Arial" w:eastAsia="Arial" w:hAnsi="Arial"/>
          <w:sz w:val="16"/>
          <w:szCs w:val="16"/>
          <w:b w:val="1"/>
          <w:bCs w:val="1"/>
          <w:color w:val="00ACD2"/>
        </w:rPr>
      </w:pPr>
      <w:r>
        <w:rPr>
          <w:rFonts w:ascii="Arial" w:cs="Arial" w:eastAsia="Arial" w:hAnsi="Arial"/>
          <w:sz w:val="16"/>
          <w:szCs w:val="16"/>
          <w:b w:val="1"/>
          <w:bCs w:val="1"/>
          <w:color w:val="00ACD2"/>
        </w:rPr>
        <w:t>What does it mean if I receive more than one proxy card or voting instruction form?</w:t>
      </w:r>
    </w:p>
    <w:p>
      <w:pPr>
        <w:spacing w:after="0" w:line="206" w:lineRule="exact"/>
        <w:rPr>
          <w:sz w:val="20"/>
          <w:szCs w:val="20"/>
          <w:color w:val="auto"/>
        </w:rPr>
      </w:pPr>
    </w:p>
    <w:p>
      <w:pPr>
        <w:ind w:left="501" w:hanging="501"/>
        <w:spacing w:after="0" w:line="245" w:lineRule="auto"/>
        <w:tabs>
          <w:tab w:leader="none" w:pos="501"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your shares are registered differently, or if they are held in more than one account, you will receive more than one proxy card or voting instruction form. Please follow the instructions on each proxy card or voting instruction form to ensure that all of your shares are voted. Please sign each proxy card exactly as your name appears on the card. For joint accounts, each owner must sign the proxy card. When signing as executor, administrator, attorney, trustee, guardian, etc., please print your full title on the proxy card.</w:t>
      </w:r>
    </w:p>
    <w:p>
      <w:pPr>
        <w:spacing w:after="0" w:line="178" w:lineRule="exact"/>
        <w:rPr>
          <w:sz w:val="20"/>
          <w:szCs w:val="20"/>
          <w:color w:val="auto"/>
        </w:rPr>
      </w:pPr>
    </w:p>
    <w:p>
      <w:pPr>
        <w:ind w:left="501" w:hanging="501"/>
        <w:spacing w:after="0"/>
        <w:tabs>
          <w:tab w:leader="none" w:pos="501" w:val="left"/>
        </w:tabs>
        <w:numPr>
          <w:ilvl w:val="0"/>
          <w:numId w:val="34"/>
        </w:numPr>
        <w:rPr>
          <w:rFonts w:ascii="Arial" w:cs="Arial" w:eastAsia="Arial" w:hAnsi="Arial"/>
          <w:sz w:val="16"/>
          <w:szCs w:val="16"/>
          <w:b w:val="1"/>
          <w:bCs w:val="1"/>
          <w:color w:val="00ACD2"/>
        </w:rPr>
      </w:pPr>
      <w:r>
        <w:rPr>
          <w:rFonts w:ascii="Arial" w:cs="Arial" w:eastAsia="Arial" w:hAnsi="Arial"/>
          <w:sz w:val="16"/>
          <w:szCs w:val="16"/>
          <w:b w:val="1"/>
          <w:bCs w:val="1"/>
          <w:color w:val="00ACD2"/>
        </w:rPr>
        <w:t>Where can I find the voting results of the Annual Meeting?</w:t>
      </w:r>
    </w:p>
    <w:p>
      <w:pPr>
        <w:spacing w:after="0" w:line="206" w:lineRule="exact"/>
        <w:rPr>
          <w:sz w:val="20"/>
          <w:szCs w:val="20"/>
          <w:color w:val="auto"/>
        </w:rPr>
      </w:pPr>
    </w:p>
    <w:p>
      <w:pPr>
        <w:ind w:left="501" w:hanging="501"/>
        <w:spacing w:after="0" w:line="253" w:lineRule="auto"/>
        <w:tabs>
          <w:tab w:leader="none" w:pos="501" w:val="left"/>
        </w:tabs>
        <w:numPr>
          <w:ilvl w:val="0"/>
          <w:numId w:val="35"/>
        </w:numPr>
        <w:rPr>
          <w:rFonts w:ascii="Arial" w:cs="Arial" w:eastAsia="Arial" w:hAnsi="Arial"/>
          <w:sz w:val="16"/>
          <w:szCs w:val="16"/>
          <w:color w:val="auto"/>
        </w:rPr>
      </w:pPr>
      <w:r>
        <w:rPr>
          <w:rFonts w:ascii="Arial" w:cs="Arial" w:eastAsia="Arial" w:hAnsi="Arial"/>
          <w:sz w:val="16"/>
          <w:szCs w:val="16"/>
          <w:color w:val="auto"/>
        </w:rPr>
        <w:t>Uniti will announce preliminary voting results at the Annual Meeting and disclose final results in a Current Report on Form 8-K filed with the U.S. Securities and Exchange Commission (the "SEC") within four business days after the Annual Meeting.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6313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16"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0ACD2"/>
        </w:rPr>
        <w:t>BOARD AND BOARD COMMITTEE MATTERS</w:t>
      </w:r>
    </w:p>
    <w:p>
      <w:pPr>
        <w:spacing w:after="0" w:line="222" w:lineRule="exact"/>
        <w:rPr>
          <w:sz w:val="20"/>
          <w:szCs w:val="20"/>
          <w:color w:val="auto"/>
        </w:rPr>
      </w:pPr>
    </w:p>
    <w:p>
      <w:pPr>
        <w:ind w:right="260" w:firstLine="624"/>
        <w:spacing w:after="0" w:line="245" w:lineRule="auto"/>
        <w:rPr>
          <w:sz w:val="20"/>
          <w:szCs w:val="20"/>
          <w:color w:val="auto"/>
        </w:rPr>
      </w:pPr>
      <w:r>
        <w:rPr>
          <w:rFonts w:ascii="Arial" w:cs="Arial" w:eastAsia="Arial" w:hAnsi="Arial"/>
          <w:sz w:val="16"/>
          <w:szCs w:val="16"/>
          <w:color w:val="auto"/>
        </w:rPr>
        <w:t>Our governing documents provide that our Board of Directors must consist of not less than two nor more than nine directors. The number of directors who serve on the Board is currently set at six and may be fixed from time to time by the Board in the manner provided in the Company's bylaws. The current members of our Board are: Jennifer S. Banner, Scott G. Bruce, Francis X. ("Skip") Frantz (Chairman), Andrew Frey, Kenneth A. Gunderman, and David L. Solomon. Biographical information regarding each of the current directors is available below under "Proposal No. 1—Election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00ACD2"/>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5868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5" w:lineRule="exact"/>
        <w:rPr>
          <w:sz w:val="20"/>
          <w:szCs w:val="20"/>
          <w:color w:val="auto"/>
        </w:rPr>
      </w:pPr>
    </w:p>
    <w:p>
      <w:pPr>
        <w:ind w:right="20" w:firstLine="624"/>
        <w:spacing w:after="0" w:line="245" w:lineRule="auto"/>
        <w:rPr>
          <w:sz w:val="20"/>
          <w:szCs w:val="20"/>
          <w:color w:val="auto"/>
        </w:rPr>
      </w:pPr>
      <w:r>
        <w:rPr>
          <w:rFonts w:ascii="Arial" w:cs="Arial" w:eastAsia="Arial" w:hAnsi="Arial"/>
          <w:sz w:val="16"/>
          <w:szCs w:val="16"/>
          <w:color w:val="auto"/>
        </w:rPr>
        <w:t>Our Board has affirmatively determined that Ms. Banner and Messrs. Bruce, Frantz, Frey and Solomon qualify as independent directors under applicable NASDAQ listing standards and SEC rules. In making this determination, the Board reviewed each of the nominee's relationships, if any, with Uniti and determined that there are no relationships that would impair any nominee's ability to exercise independent judgment in carrying out his or her responsibilities as a director.</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00ACD2"/>
        </w:rPr>
        <w:t>Meetings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5868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5" w:lineRule="exact"/>
        <w:rPr>
          <w:sz w:val="20"/>
          <w:szCs w:val="20"/>
          <w:color w:val="auto"/>
        </w:rPr>
      </w:pPr>
    </w:p>
    <w:p>
      <w:pPr>
        <w:ind w:right="240" w:firstLine="624"/>
        <w:spacing w:after="0" w:line="247" w:lineRule="auto"/>
        <w:rPr>
          <w:sz w:val="20"/>
          <w:szCs w:val="20"/>
          <w:color w:val="auto"/>
        </w:rPr>
      </w:pPr>
      <w:r>
        <w:rPr>
          <w:rFonts w:ascii="Arial" w:cs="Arial" w:eastAsia="Arial" w:hAnsi="Arial"/>
          <w:sz w:val="16"/>
          <w:szCs w:val="16"/>
          <w:color w:val="auto"/>
        </w:rPr>
        <w:t>During 2017, the Board met six times and acted by unanimous written consent five times. All of the directors attended at least 75% of the meetings of the Board and Board committees on which they served during the periods in which they served. Directors are expected to attend each annual meeting of stockholders, and all of the directors then serving on the Board joined the 2017 annual meeting of stockholders.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0ACD2"/>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5868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5" w:lineRule="exact"/>
        <w:rPr>
          <w:sz w:val="20"/>
          <w:szCs w:val="20"/>
          <w:color w:val="auto"/>
        </w:rPr>
      </w:pPr>
    </w:p>
    <w:p>
      <w:pPr>
        <w:ind w:right="80" w:firstLine="621"/>
        <w:spacing w:after="0" w:line="245" w:lineRule="auto"/>
        <w:rPr>
          <w:sz w:val="20"/>
          <w:szCs w:val="20"/>
          <w:color w:val="auto"/>
        </w:rPr>
      </w:pPr>
      <w:r>
        <w:rPr>
          <w:rFonts w:ascii="Arial" w:cs="Arial" w:eastAsia="Arial" w:hAnsi="Arial"/>
          <w:sz w:val="16"/>
          <w:szCs w:val="16"/>
          <w:color w:val="auto"/>
        </w:rPr>
        <w:t xml:space="preserve">The Board has three standing committees: the Audit Committee, the Compensation Committee and the Governance Committee. Each committee has a written charter that is available on our website at </w:t>
      </w:r>
      <w:r>
        <w:rPr>
          <w:rFonts w:ascii="Arial" w:cs="Arial" w:eastAsia="Arial" w:hAnsi="Arial"/>
          <w:sz w:val="16"/>
          <w:szCs w:val="16"/>
          <w:b w:val="1"/>
          <w:bCs w:val="1"/>
          <w:color w:val="00ACD2"/>
        </w:rPr>
        <w:t>www.uniti.com</w:t>
      </w:r>
      <w:r>
        <w:rPr>
          <w:rFonts w:ascii="Arial" w:cs="Arial" w:eastAsia="Arial" w:hAnsi="Arial"/>
          <w:sz w:val="16"/>
          <w:szCs w:val="16"/>
          <w:color w:val="auto"/>
        </w:rPr>
        <w:t xml:space="preserve"> under the "About Us—Corporate Governance" tab and is comprised entirely of directors whom the Board has determined are independent under applicable NASDAQ listing standards and SEC rules. A brief description of the function of each committee is set forth below. Members of each committee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360" w:type="dxa"/>
            <w:vAlign w:val="bottom"/>
          </w:tcPr>
          <w:p>
            <w:pPr>
              <w:spacing w:after="0"/>
              <w:rPr>
                <w:sz w:val="17"/>
                <w:szCs w:val="17"/>
                <w:color w:val="auto"/>
              </w:rPr>
            </w:pPr>
          </w:p>
        </w:tc>
        <w:tc>
          <w:tcPr>
            <w:tcW w:w="14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Board Member</w:t>
            </w:r>
          </w:p>
        </w:tc>
        <w:tc>
          <w:tcPr>
            <w:tcW w:w="2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00" w:type="dxa"/>
            <w:vAlign w:val="bottom"/>
            <w:gridSpan w:val="3"/>
          </w:tcPr>
          <w:p>
            <w:pPr>
              <w:ind w:left="100"/>
              <w:spacing w:after="0"/>
              <w:rPr>
                <w:sz w:val="20"/>
                <w:szCs w:val="20"/>
                <w:color w:val="auto"/>
              </w:rPr>
            </w:pPr>
            <w:r>
              <w:rPr>
                <w:rFonts w:ascii="Arial" w:cs="Arial" w:eastAsia="Arial" w:hAnsi="Arial"/>
                <w:sz w:val="16"/>
                <w:szCs w:val="16"/>
                <w:b w:val="1"/>
                <w:bCs w:val="1"/>
                <w:color w:val="auto"/>
              </w:rPr>
              <w:t>Committee Memberships</w:t>
            </w:r>
          </w:p>
        </w:tc>
        <w:tc>
          <w:tcPr>
            <w:tcW w:w="0" w:type="dxa"/>
            <w:vAlign w:val="bottom"/>
          </w:tcPr>
          <w:p>
            <w:pPr>
              <w:spacing w:after="0"/>
              <w:rPr>
                <w:sz w:val="1"/>
                <w:szCs w:val="1"/>
                <w:color w:val="auto"/>
              </w:rPr>
            </w:pPr>
          </w:p>
        </w:tc>
      </w:tr>
      <w:tr>
        <w:trPr>
          <w:trHeight w:val="194"/>
        </w:trPr>
        <w:tc>
          <w:tcPr>
            <w:tcW w:w="1360" w:type="dxa"/>
            <w:vAlign w:val="bottom"/>
          </w:tcPr>
          <w:p>
            <w:pPr>
              <w:spacing w:after="0"/>
              <w:rPr>
                <w:sz w:val="16"/>
                <w:szCs w:val="16"/>
                <w:color w:val="auto"/>
              </w:rPr>
            </w:pPr>
          </w:p>
        </w:tc>
        <w:tc>
          <w:tcPr>
            <w:tcW w:w="1460" w:type="dxa"/>
            <w:vAlign w:val="bottom"/>
            <w:tcBorders>
              <w:bottom w:val="single" w:sz="8" w:color="00ACD2"/>
            </w:tcBorders>
            <w:vMerge w:val="continue"/>
          </w:tcPr>
          <w:p>
            <w:pPr>
              <w:spacing w:after="0"/>
              <w:rPr>
                <w:sz w:val="16"/>
                <w:szCs w:val="16"/>
                <w:color w:val="auto"/>
              </w:rPr>
            </w:pPr>
          </w:p>
        </w:tc>
        <w:tc>
          <w:tcPr>
            <w:tcW w:w="2140" w:type="dxa"/>
            <w:vAlign w:val="bottom"/>
            <w:tcBorders>
              <w:bottom w:val="single" w:sz="8" w:color="00ACD2"/>
            </w:tcBorders>
          </w:tcPr>
          <w:p>
            <w:pPr>
              <w:spacing w:after="0"/>
              <w:rPr>
                <w:sz w:val="16"/>
                <w:szCs w:val="16"/>
                <w:color w:val="auto"/>
              </w:rPr>
            </w:pPr>
          </w:p>
        </w:tc>
        <w:tc>
          <w:tcPr>
            <w:tcW w:w="1820" w:type="dxa"/>
            <w:vAlign w:val="bottom"/>
            <w:tcBorders>
              <w:bottom w:val="single" w:sz="8" w:color="00ACD2"/>
            </w:tcBorders>
          </w:tcPr>
          <w:p>
            <w:pPr>
              <w:spacing w:after="0"/>
              <w:rPr>
                <w:sz w:val="16"/>
                <w:szCs w:val="16"/>
                <w:color w:val="auto"/>
              </w:rPr>
            </w:pPr>
          </w:p>
        </w:tc>
        <w:tc>
          <w:tcPr>
            <w:tcW w:w="540" w:type="dxa"/>
            <w:vAlign w:val="bottom"/>
            <w:tcBorders>
              <w:top w:val="single" w:sz="8" w:color="00ACD2"/>
              <w:bottom w:val="single" w:sz="8" w:color="00ACD2"/>
            </w:tcBorders>
          </w:tcPr>
          <w:p>
            <w:pPr>
              <w:ind w:left="40"/>
              <w:spacing w:after="0" w:line="178" w:lineRule="exact"/>
              <w:rPr>
                <w:sz w:val="20"/>
                <w:szCs w:val="20"/>
                <w:color w:val="auto"/>
              </w:rPr>
            </w:pPr>
            <w:r>
              <w:rPr>
                <w:rFonts w:ascii="Arial" w:cs="Arial" w:eastAsia="Arial" w:hAnsi="Arial"/>
                <w:sz w:val="16"/>
                <w:szCs w:val="16"/>
                <w:b w:val="1"/>
                <w:bCs w:val="1"/>
                <w:color w:val="auto"/>
              </w:rPr>
              <w:t>Audit</w:t>
            </w:r>
          </w:p>
        </w:tc>
        <w:tc>
          <w:tcPr>
            <w:tcW w:w="1460" w:type="dxa"/>
            <w:vAlign w:val="bottom"/>
            <w:tcBorders>
              <w:top w:val="single" w:sz="8" w:color="00ACD2"/>
              <w:bottom w:val="single" w:sz="8" w:color="00ACD2"/>
            </w:tcBorders>
          </w:tcPr>
          <w:p>
            <w:pPr>
              <w:ind w:left="180"/>
              <w:spacing w:after="0" w:line="178" w:lineRule="exact"/>
              <w:rPr>
                <w:sz w:val="20"/>
                <w:szCs w:val="20"/>
                <w:color w:val="auto"/>
              </w:rPr>
            </w:pPr>
            <w:r>
              <w:rPr>
                <w:rFonts w:ascii="Arial" w:cs="Arial" w:eastAsia="Arial" w:hAnsi="Arial"/>
                <w:sz w:val="16"/>
                <w:szCs w:val="16"/>
                <w:b w:val="1"/>
                <w:bCs w:val="1"/>
                <w:color w:val="auto"/>
              </w:rPr>
              <w:t>Compensation</w:t>
            </w:r>
          </w:p>
        </w:tc>
        <w:tc>
          <w:tcPr>
            <w:tcW w:w="1160" w:type="dxa"/>
            <w:vAlign w:val="bottom"/>
            <w:tcBorders>
              <w:top w:val="single" w:sz="8" w:color="00ACD2"/>
              <w:bottom w:val="single" w:sz="8" w:color="00ACD2"/>
            </w:tcBorders>
          </w:tcPr>
          <w:p>
            <w:pPr>
              <w:ind w:left="160"/>
              <w:spacing w:after="0" w:line="178" w:lineRule="exact"/>
              <w:rPr>
                <w:sz w:val="20"/>
                <w:szCs w:val="20"/>
                <w:color w:val="auto"/>
              </w:rPr>
            </w:pPr>
            <w:r>
              <w:rPr>
                <w:rFonts w:ascii="Arial" w:cs="Arial" w:eastAsia="Arial" w:hAnsi="Arial"/>
                <w:sz w:val="16"/>
                <w:szCs w:val="16"/>
                <w:b w:val="1"/>
                <w:bCs w:val="1"/>
                <w:color w:val="auto"/>
              </w:rPr>
              <w:t>Governance</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136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16"/>
                <w:szCs w:val="16"/>
                <w:color w:val="auto"/>
              </w:rPr>
              <w:t>Jennifer S. Banner</w:t>
            </w:r>
          </w:p>
        </w:tc>
        <w:tc>
          <w:tcPr>
            <w:tcW w:w="2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360" w:type="dxa"/>
            <w:vAlign w:val="bottom"/>
          </w:tcPr>
          <w:p>
            <w:pPr>
              <w:spacing w:after="0"/>
              <w:rPr>
                <w:sz w:val="24"/>
                <w:szCs w:val="24"/>
                <w:color w:val="auto"/>
              </w:rPr>
            </w:pPr>
          </w:p>
        </w:tc>
        <w:tc>
          <w:tcPr>
            <w:tcW w:w="1460" w:type="dxa"/>
            <w:vAlign w:val="bottom"/>
            <w:shd w:val="clear" w:color="auto" w:fill="BFBFBF"/>
          </w:tcPr>
          <w:p>
            <w:pPr>
              <w:ind w:left="20"/>
              <w:spacing w:after="0"/>
              <w:rPr>
                <w:sz w:val="20"/>
                <w:szCs w:val="20"/>
                <w:color w:val="auto"/>
              </w:rPr>
            </w:pPr>
            <w:r>
              <w:rPr>
                <w:rFonts w:ascii="Arial" w:cs="Arial" w:eastAsia="Arial" w:hAnsi="Arial"/>
                <w:sz w:val="16"/>
                <w:szCs w:val="16"/>
                <w:color w:val="auto"/>
              </w:rPr>
              <w:t>Scott G. Bruce</w:t>
            </w:r>
          </w:p>
        </w:tc>
        <w:tc>
          <w:tcPr>
            <w:tcW w:w="2140" w:type="dxa"/>
            <w:vAlign w:val="bottom"/>
            <w:shd w:val="clear" w:color="auto" w:fill="BFBFBF"/>
          </w:tcPr>
          <w:p>
            <w:pPr>
              <w:spacing w:after="0"/>
              <w:rPr>
                <w:sz w:val="24"/>
                <w:szCs w:val="24"/>
                <w:color w:val="auto"/>
              </w:rPr>
            </w:pPr>
          </w:p>
        </w:tc>
        <w:tc>
          <w:tcPr>
            <w:tcW w:w="1820" w:type="dxa"/>
            <w:vAlign w:val="bottom"/>
            <w:shd w:val="clear" w:color="auto" w:fill="BFBFBF"/>
          </w:tcPr>
          <w:p>
            <w:pPr>
              <w:spacing w:after="0"/>
              <w:rPr>
                <w:sz w:val="24"/>
                <w:szCs w:val="24"/>
                <w:color w:val="auto"/>
              </w:rPr>
            </w:pPr>
          </w:p>
        </w:tc>
        <w:tc>
          <w:tcPr>
            <w:tcW w:w="540" w:type="dxa"/>
            <w:vAlign w:val="bottom"/>
            <w:shd w:val="clear" w:color="auto" w:fill="BFBFBF"/>
          </w:tcPr>
          <w:p>
            <w:pPr>
              <w:spacing w:after="0"/>
              <w:rPr>
                <w:sz w:val="24"/>
                <w:szCs w:val="24"/>
                <w:color w:val="auto"/>
              </w:rPr>
            </w:pPr>
          </w:p>
        </w:tc>
        <w:tc>
          <w:tcPr>
            <w:tcW w:w="146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360" w:type="dxa"/>
            <w:vAlign w:val="bottom"/>
          </w:tcPr>
          <w:p>
            <w:pPr>
              <w:spacing w:after="0"/>
              <w:rPr>
                <w:sz w:val="24"/>
                <w:szCs w:val="24"/>
                <w:color w:val="auto"/>
              </w:rPr>
            </w:pPr>
          </w:p>
        </w:tc>
        <w:tc>
          <w:tcPr>
            <w:tcW w:w="3600" w:type="dxa"/>
            <w:vAlign w:val="bottom"/>
            <w:gridSpan w:val="2"/>
          </w:tcPr>
          <w:p>
            <w:pPr>
              <w:ind w:left="20"/>
              <w:spacing w:after="0"/>
              <w:rPr>
                <w:sz w:val="20"/>
                <w:szCs w:val="20"/>
                <w:color w:val="auto"/>
              </w:rPr>
            </w:pPr>
            <w:r>
              <w:rPr>
                <w:rFonts w:ascii="Arial" w:cs="Arial" w:eastAsia="Arial" w:hAnsi="Arial"/>
                <w:sz w:val="16"/>
                <w:szCs w:val="16"/>
                <w:color w:val="auto"/>
              </w:rPr>
              <w:t>Francis X. ("Skip") Frantz</w:t>
            </w:r>
          </w:p>
        </w:tc>
        <w:tc>
          <w:tcPr>
            <w:tcW w:w="18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360" w:type="dxa"/>
            <w:vAlign w:val="bottom"/>
          </w:tcPr>
          <w:p>
            <w:pPr>
              <w:spacing w:after="0"/>
              <w:rPr>
                <w:sz w:val="24"/>
                <w:szCs w:val="24"/>
                <w:color w:val="auto"/>
              </w:rPr>
            </w:pPr>
          </w:p>
        </w:tc>
        <w:tc>
          <w:tcPr>
            <w:tcW w:w="1460" w:type="dxa"/>
            <w:vAlign w:val="bottom"/>
            <w:shd w:val="clear" w:color="auto" w:fill="BFBFBF"/>
          </w:tcPr>
          <w:p>
            <w:pPr>
              <w:ind w:left="20"/>
              <w:spacing w:after="0"/>
              <w:rPr>
                <w:sz w:val="20"/>
                <w:szCs w:val="20"/>
                <w:color w:val="auto"/>
              </w:rPr>
            </w:pPr>
            <w:r>
              <w:rPr>
                <w:rFonts w:ascii="Arial" w:cs="Arial" w:eastAsia="Arial" w:hAnsi="Arial"/>
                <w:sz w:val="16"/>
                <w:szCs w:val="16"/>
                <w:color w:val="auto"/>
              </w:rPr>
              <w:t>Andrew Frey</w:t>
            </w:r>
          </w:p>
        </w:tc>
        <w:tc>
          <w:tcPr>
            <w:tcW w:w="2140" w:type="dxa"/>
            <w:vAlign w:val="bottom"/>
            <w:shd w:val="clear" w:color="auto" w:fill="BFBFBF"/>
          </w:tcPr>
          <w:p>
            <w:pPr>
              <w:spacing w:after="0"/>
              <w:rPr>
                <w:sz w:val="24"/>
                <w:szCs w:val="24"/>
                <w:color w:val="auto"/>
              </w:rPr>
            </w:pPr>
          </w:p>
        </w:tc>
        <w:tc>
          <w:tcPr>
            <w:tcW w:w="1820" w:type="dxa"/>
            <w:vAlign w:val="bottom"/>
            <w:shd w:val="clear" w:color="auto" w:fill="BFBFBF"/>
          </w:tcPr>
          <w:p>
            <w:pPr>
              <w:spacing w:after="0"/>
              <w:rPr>
                <w:sz w:val="24"/>
                <w:szCs w:val="24"/>
                <w:color w:val="auto"/>
              </w:rPr>
            </w:pPr>
          </w:p>
        </w:tc>
        <w:tc>
          <w:tcPr>
            <w:tcW w:w="540" w:type="dxa"/>
            <w:vAlign w:val="bottom"/>
            <w:shd w:val="clear" w:color="auto" w:fill="BFBFBF"/>
          </w:tcPr>
          <w:p>
            <w:pPr>
              <w:spacing w:after="0"/>
              <w:rPr>
                <w:sz w:val="24"/>
                <w:szCs w:val="24"/>
                <w:color w:val="auto"/>
              </w:rPr>
            </w:pPr>
          </w:p>
        </w:tc>
        <w:tc>
          <w:tcPr>
            <w:tcW w:w="146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360" w:type="dxa"/>
            <w:vAlign w:val="bottom"/>
          </w:tcPr>
          <w:p>
            <w:pPr>
              <w:spacing w:after="0"/>
              <w:rPr>
                <w:sz w:val="16"/>
                <w:szCs w:val="16"/>
                <w:color w:val="auto"/>
              </w:rPr>
            </w:pPr>
          </w:p>
        </w:tc>
        <w:tc>
          <w:tcPr>
            <w:tcW w:w="3600" w:type="dxa"/>
            <w:vAlign w:val="bottom"/>
            <w:gridSpan w:val="2"/>
          </w:tcPr>
          <w:p>
            <w:pPr>
              <w:ind w:left="20"/>
              <w:spacing w:after="0"/>
              <w:rPr>
                <w:sz w:val="20"/>
                <w:szCs w:val="20"/>
                <w:color w:val="auto"/>
              </w:rPr>
            </w:pPr>
            <w:r>
              <w:rPr>
                <w:rFonts w:ascii="Arial" w:cs="Arial" w:eastAsia="Arial" w:hAnsi="Arial"/>
                <w:sz w:val="16"/>
                <w:szCs w:val="16"/>
                <w:color w:val="auto"/>
              </w:rPr>
              <w:t>Kenneth A. Gunderman</w:t>
            </w:r>
          </w:p>
        </w:tc>
        <w:tc>
          <w:tcPr>
            <w:tcW w:w="182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640" w:type="dxa"/>
            <w:vAlign w:val="bottom"/>
            <w:gridSpan w:val="2"/>
          </w:tcPr>
          <w:p>
            <w:pPr>
              <w:jc w:val="center"/>
              <w:ind w:right="1400"/>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99"/>
        </w:trPr>
        <w:tc>
          <w:tcPr>
            <w:tcW w:w="1360" w:type="dxa"/>
            <w:vAlign w:val="bottom"/>
          </w:tcPr>
          <w:p>
            <w:pPr>
              <w:spacing w:after="0"/>
              <w:rPr>
                <w:sz w:val="24"/>
                <w:szCs w:val="24"/>
                <w:color w:val="auto"/>
              </w:rPr>
            </w:pPr>
          </w:p>
        </w:tc>
        <w:tc>
          <w:tcPr>
            <w:tcW w:w="1460" w:type="dxa"/>
            <w:vAlign w:val="bottom"/>
            <w:tcBorders>
              <w:bottom w:val="single" w:sz="8" w:color="00ACD2"/>
            </w:tcBorders>
            <w:shd w:val="clear" w:color="auto" w:fill="BFBFBF"/>
          </w:tcPr>
          <w:p>
            <w:pPr>
              <w:ind w:left="20"/>
              <w:spacing w:after="0"/>
              <w:rPr>
                <w:sz w:val="20"/>
                <w:szCs w:val="20"/>
                <w:color w:val="auto"/>
              </w:rPr>
            </w:pPr>
            <w:r>
              <w:rPr>
                <w:rFonts w:ascii="Arial" w:cs="Arial" w:eastAsia="Arial" w:hAnsi="Arial"/>
                <w:sz w:val="16"/>
                <w:szCs w:val="16"/>
                <w:color w:val="auto"/>
              </w:rPr>
              <w:t>David L. Solomon</w:t>
            </w:r>
          </w:p>
        </w:tc>
        <w:tc>
          <w:tcPr>
            <w:tcW w:w="2140" w:type="dxa"/>
            <w:vAlign w:val="bottom"/>
            <w:tcBorders>
              <w:bottom w:val="single" w:sz="8" w:color="00ACD2"/>
            </w:tcBorders>
            <w:shd w:val="clear" w:color="auto" w:fill="BFBFBF"/>
          </w:tcPr>
          <w:p>
            <w:pPr>
              <w:spacing w:after="0"/>
              <w:rPr>
                <w:sz w:val="24"/>
                <w:szCs w:val="24"/>
                <w:color w:val="auto"/>
              </w:rPr>
            </w:pPr>
          </w:p>
        </w:tc>
        <w:tc>
          <w:tcPr>
            <w:tcW w:w="1820" w:type="dxa"/>
            <w:vAlign w:val="bottom"/>
            <w:tcBorders>
              <w:bottom w:val="single" w:sz="8" w:color="00ACD2"/>
            </w:tcBorders>
            <w:shd w:val="clear" w:color="auto" w:fill="BFBFBF"/>
          </w:tcPr>
          <w:p>
            <w:pPr>
              <w:spacing w:after="0"/>
              <w:rPr>
                <w:sz w:val="24"/>
                <w:szCs w:val="24"/>
                <w:color w:val="auto"/>
              </w:rPr>
            </w:pPr>
          </w:p>
        </w:tc>
        <w:tc>
          <w:tcPr>
            <w:tcW w:w="540" w:type="dxa"/>
            <w:vAlign w:val="bottom"/>
            <w:tcBorders>
              <w:bottom w:val="single" w:sz="8" w:color="00ACD2"/>
            </w:tcBorders>
            <w:shd w:val="clear" w:color="auto" w:fill="BFBFBF"/>
          </w:tcPr>
          <w:p>
            <w:pPr>
              <w:spacing w:after="0"/>
              <w:rPr>
                <w:sz w:val="24"/>
                <w:szCs w:val="24"/>
                <w:color w:val="auto"/>
              </w:rPr>
            </w:pPr>
          </w:p>
        </w:tc>
        <w:tc>
          <w:tcPr>
            <w:tcW w:w="1460" w:type="dxa"/>
            <w:vAlign w:val="bottom"/>
            <w:tcBorders>
              <w:bottom w:val="single" w:sz="8" w:color="00ACD2"/>
            </w:tcBorders>
            <w:shd w:val="clear" w:color="auto" w:fill="BFBFBF"/>
          </w:tcPr>
          <w:p>
            <w:pPr>
              <w:spacing w:after="0"/>
              <w:rPr>
                <w:sz w:val="24"/>
                <w:szCs w:val="24"/>
                <w:color w:val="auto"/>
              </w:rPr>
            </w:pPr>
          </w:p>
        </w:tc>
        <w:tc>
          <w:tcPr>
            <w:tcW w:w="1160" w:type="dxa"/>
            <w:vAlign w:val="bottom"/>
            <w:tcBorders>
              <w:bottom w:val="single" w:sz="8" w:color="00ACD2"/>
            </w:tcBorders>
            <w:shd w:val="clear" w:color="auto" w:fill="BFBFBF"/>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360" w:type="dxa"/>
            <w:vAlign w:val="bottom"/>
          </w:tcPr>
          <w:p>
            <w:pPr>
              <w:spacing w:after="0"/>
              <w:rPr>
                <w:sz w:val="17"/>
                <w:szCs w:val="17"/>
                <w:color w:val="auto"/>
              </w:rPr>
            </w:pPr>
          </w:p>
        </w:tc>
        <w:tc>
          <w:tcPr>
            <w:tcW w:w="3600" w:type="dxa"/>
            <w:vAlign w:val="bottom"/>
            <w:tcBorders>
              <w:bottom w:val="single" w:sz="8" w:color="00ACD2"/>
            </w:tcBorders>
            <w:gridSpan w:val="2"/>
          </w:tcPr>
          <w:p>
            <w:pPr>
              <w:ind w:left="20"/>
              <w:spacing w:after="0"/>
              <w:rPr>
                <w:sz w:val="20"/>
                <w:szCs w:val="20"/>
                <w:color w:val="auto"/>
              </w:rPr>
            </w:pPr>
            <w:r>
              <w:rPr>
                <w:rFonts w:ascii="Arial" w:cs="Arial" w:eastAsia="Arial" w:hAnsi="Arial"/>
                <w:sz w:val="16"/>
                <w:szCs w:val="16"/>
                <w:color w:val="auto"/>
              </w:rPr>
              <w:t>Number Of Meetings Held In Fiscal 2017</w:t>
            </w:r>
          </w:p>
        </w:tc>
        <w:tc>
          <w:tcPr>
            <w:tcW w:w="2360" w:type="dxa"/>
            <w:vAlign w:val="bottom"/>
            <w:tcBorders>
              <w:bottom w:val="single" w:sz="8" w:color="00ACD2"/>
            </w:tcBorders>
            <w:gridSpan w:val="2"/>
          </w:tcPr>
          <w:p>
            <w:pPr>
              <w:jc w:val="center"/>
              <w:ind w:left="1700"/>
              <w:spacing w:after="0"/>
              <w:rPr>
                <w:sz w:val="20"/>
                <w:szCs w:val="20"/>
                <w:color w:val="auto"/>
              </w:rPr>
            </w:pPr>
            <w:r>
              <w:rPr>
                <w:rFonts w:ascii="Arial" w:cs="Arial" w:eastAsia="Arial" w:hAnsi="Arial"/>
                <w:sz w:val="16"/>
                <w:szCs w:val="16"/>
                <w:color w:val="auto"/>
              </w:rPr>
              <w:t>4</w:t>
            </w:r>
          </w:p>
        </w:tc>
        <w:tc>
          <w:tcPr>
            <w:tcW w:w="1460" w:type="dxa"/>
            <w:vAlign w:val="bottom"/>
            <w:tcBorders>
              <w:bottom w:val="single" w:sz="8" w:color="00ACD2"/>
            </w:tcBorders>
          </w:tcPr>
          <w:p>
            <w:pPr>
              <w:jc w:val="center"/>
              <w:spacing w:after="0"/>
              <w:rPr>
                <w:sz w:val="20"/>
                <w:szCs w:val="20"/>
                <w:color w:val="auto"/>
              </w:rPr>
            </w:pPr>
            <w:r>
              <w:rPr>
                <w:rFonts w:ascii="Arial" w:cs="Arial" w:eastAsia="Arial" w:hAnsi="Arial"/>
                <w:sz w:val="16"/>
                <w:szCs w:val="16"/>
                <w:color w:val="auto"/>
                <w:w w:val="89"/>
              </w:rPr>
              <w:t>4</w:t>
            </w:r>
          </w:p>
        </w:tc>
        <w:tc>
          <w:tcPr>
            <w:tcW w:w="1160" w:type="dxa"/>
            <w:vAlign w:val="bottom"/>
            <w:tcBorders>
              <w:bottom w:val="single" w:sz="8" w:color="00ACD2"/>
            </w:tcBorders>
          </w:tcPr>
          <w:p>
            <w:pPr>
              <w:jc w:val="center"/>
              <w:spacing w:after="0"/>
              <w:rPr>
                <w:sz w:val="20"/>
                <w:szCs w:val="20"/>
                <w:color w:val="auto"/>
              </w:rPr>
            </w:pPr>
            <w:r>
              <w:rPr>
                <w:rFonts w:ascii="Arial" w:cs="Arial" w:eastAsia="Arial" w:hAnsi="Arial"/>
                <w:sz w:val="16"/>
                <w:szCs w:val="16"/>
                <w:color w:val="auto"/>
                <w:w w:val="89"/>
              </w:rPr>
              <w:t>4</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1360" w:type="dxa"/>
            <w:vAlign w:val="bottom"/>
          </w:tcPr>
          <w:p>
            <w:pPr>
              <w:spacing w:after="0"/>
              <w:rPr>
                <w:sz w:val="24"/>
                <w:szCs w:val="24"/>
                <w:color w:val="auto"/>
              </w:rPr>
            </w:pPr>
          </w:p>
        </w:tc>
        <w:tc>
          <w:tcPr>
            <w:tcW w:w="1460" w:type="dxa"/>
            <w:vAlign w:val="bottom"/>
          </w:tcPr>
          <w:p>
            <w:pPr>
              <w:ind w:left="280"/>
              <w:spacing w:after="0"/>
              <w:rPr>
                <w:sz w:val="20"/>
                <w:szCs w:val="20"/>
                <w:color w:val="auto"/>
              </w:rPr>
            </w:pPr>
            <w:r>
              <w:rPr>
                <w:rFonts w:ascii="Arial" w:cs="Arial" w:eastAsia="Arial" w:hAnsi="Arial"/>
                <w:sz w:val="16"/>
                <w:szCs w:val="16"/>
                <w:color w:val="auto"/>
              </w:rPr>
              <w:t>Member</w:t>
            </w:r>
          </w:p>
        </w:tc>
        <w:tc>
          <w:tcPr>
            <w:tcW w:w="2140" w:type="dxa"/>
            <w:vAlign w:val="bottom"/>
          </w:tcPr>
          <w:p>
            <w:pPr>
              <w:ind w:left="100"/>
              <w:spacing w:after="0"/>
              <w:rPr>
                <w:sz w:val="20"/>
                <w:szCs w:val="20"/>
                <w:color w:val="auto"/>
              </w:rPr>
            </w:pPr>
            <w:r>
              <w:rPr>
                <w:rFonts w:ascii="Arial" w:cs="Arial" w:eastAsia="Arial" w:hAnsi="Arial"/>
                <w:sz w:val="16"/>
                <w:szCs w:val="16"/>
                <w:color w:val="auto"/>
              </w:rPr>
              <w:t>Chairperson</w:t>
            </w:r>
          </w:p>
        </w:tc>
        <w:tc>
          <w:tcPr>
            <w:tcW w:w="1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20" w:type="dxa"/>
            <w:vAlign w:val="bottom"/>
          </w:tcPr>
          <w:p>
            <w:pPr>
              <w:jc w:val="right"/>
              <w:ind w:right="940"/>
              <w:spacing w:after="0"/>
              <w:rPr>
                <w:sz w:val="20"/>
                <w:szCs w:val="20"/>
                <w:color w:val="auto"/>
              </w:rPr>
            </w:pPr>
            <w:r>
              <w:rPr>
                <w:rFonts w:ascii="Arial" w:cs="Arial" w:eastAsia="Arial" w:hAnsi="Arial"/>
                <w:sz w:val="16"/>
                <w:szCs w:val="16"/>
                <w:color w:val="auto"/>
              </w:rPr>
              <w:t>7</w:t>
            </w: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360" w:type="dxa"/>
            <w:vAlign w:val="bottom"/>
            <w:tcBorders>
              <w:bottom w:val="single" w:sz="8" w:color="808080"/>
            </w:tcBorders>
          </w:tcPr>
          <w:p>
            <w:pPr>
              <w:spacing w:after="0"/>
              <w:rPr>
                <w:sz w:val="16"/>
                <w:szCs w:val="16"/>
                <w:color w:val="auto"/>
              </w:rPr>
            </w:pPr>
          </w:p>
        </w:tc>
        <w:tc>
          <w:tcPr>
            <w:tcW w:w="1460" w:type="dxa"/>
            <w:vAlign w:val="bottom"/>
            <w:tcBorders>
              <w:bottom w:val="single" w:sz="8" w:color="808080"/>
            </w:tcBorders>
          </w:tcPr>
          <w:p>
            <w:pPr>
              <w:spacing w:after="0"/>
              <w:rPr>
                <w:sz w:val="16"/>
                <w:szCs w:val="16"/>
                <w:color w:val="auto"/>
              </w:rPr>
            </w:pPr>
          </w:p>
        </w:tc>
        <w:tc>
          <w:tcPr>
            <w:tcW w:w="2140" w:type="dxa"/>
            <w:vAlign w:val="bottom"/>
            <w:tcBorders>
              <w:bottom w:val="single" w:sz="8" w:color="808080"/>
            </w:tcBorders>
          </w:tcPr>
          <w:p>
            <w:pPr>
              <w:spacing w:after="0"/>
              <w:rPr>
                <w:sz w:val="16"/>
                <w:szCs w:val="16"/>
                <w:color w:val="auto"/>
              </w:rPr>
            </w:pPr>
          </w:p>
        </w:tc>
        <w:tc>
          <w:tcPr>
            <w:tcW w:w="18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1460" w:type="dxa"/>
            <w:vAlign w:val="bottom"/>
            <w:tcBorders>
              <w:bottom w:val="single" w:sz="8" w:color="808080"/>
            </w:tcBorders>
          </w:tcPr>
          <w:p>
            <w:pPr>
              <w:spacing w:after="0"/>
              <w:rPr>
                <w:sz w:val="16"/>
                <w:szCs w:val="16"/>
                <w:color w:val="auto"/>
              </w:rPr>
            </w:pPr>
          </w:p>
        </w:tc>
        <w:tc>
          <w:tcPr>
            <w:tcW w:w="1160" w:type="dxa"/>
            <w:vAlign w:val="bottom"/>
            <w:tcBorders>
              <w:bottom w:val="single" w:sz="8" w:color="808080"/>
            </w:tcBorders>
          </w:tcPr>
          <w:p>
            <w:pPr>
              <w:spacing w:after="0"/>
              <w:rPr>
                <w:sz w:val="16"/>
                <w:szCs w:val="16"/>
                <w:color w:val="auto"/>
              </w:rPr>
            </w:pPr>
          </w:p>
        </w:tc>
        <w:tc>
          <w:tcPr>
            <w:tcW w:w="148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-2280285</wp:posOffset>
            </wp:positionV>
            <wp:extent cx="1675765" cy="13309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75765" cy="1330960"/>
                    </a:xfrm>
                    <a:prstGeom prst="rect">
                      <a:avLst/>
                    </a:prstGeom>
                    <a:noFill/>
                  </pic:spPr>
                </pic:pic>
              </a:graphicData>
            </a:graphic>
          </wp:anchor>
        </w:drawing>
        <w:drawing>
          <wp:anchor simplePos="0" relativeHeight="251657728" behindDoc="1" locked="0" layoutInCell="0" allowOverlap="1">
            <wp:simplePos x="0" y="0"/>
            <wp:positionH relativeFrom="column">
              <wp:posOffset>868045</wp:posOffset>
            </wp:positionH>
            <wp:positionV relativeFrom="paragraph">
              <wp:posOffset>-659765</wp:posOffset>
            </wp:positionV>
            <wp:extent cx="148590" cy="2425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8590" cy="242570"/>
                    </a:xfrm>
                    <a:prstGeom prst="rect">
                      <a:avLst/>
                    </a:prstGeom>
                    <a:noFill/>
                  </pic:spPr>
                </pic:pic>
              </a:graphicData>
            </a:graphic>
          </wp:anchor>
        </w:drawing>
        <w:drawing>
          <wp:anchor simplePos="0" relativeHeight="251657728" behindDoc="1" locked="0" layoutInCell="0" allowOverlap="1">
            <wp:simplePos x="0" y="0"/>
            <wp:positionH relativeFrom="column">
              <wp:posOffset>1682750</wp:posOffset>
            </wp:positionH>
            <wp:positionV relativeFrom="paragraph">
              <wp:posOffset>-659765</wp:posOffset>
            </wp:positionV>
            <wp:extent cx="148590" cy="2425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8590" cy="24257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00ACD2"/>
        </w:rPr>
        <w:t>Audit Committee</w:t>
      </w:r>
    </w:p>
    <w:p>
      <w:pPr>
        <w:spacing w:after="0" w:line="198" w:lineRule="exact"/>
        <w:rPr>
          <w:sz w:val="20"/>
          <w:szCs w:val="20"/>
          <w:color w:val="auto"/>
        </w:rPr>
      </w:pPr>
    </w:p>
    <w:p>
      <w:pPr>
        <w:ind w:firstLine="624"/>
        <w:spacing w:after="0" w:line="243" w:lineRule="auto"/>
        <w:rPr>
          <w:sz w:val="20"/>
          <w:szCs w:val="20"/>
          <w:color w:val="auto"/>
        </w:rPr>
      </w:pPr>
      <w:r>
        <w:rPr>
          <w:rFonts w:ascii="Arial" w:cs="Arial" w:eastAsia="Arial" w:hAnsi="Arial"/>
          <w:sz w:val="16"/>
          <w:szCs w:val="16"/>
          <w:color w:val="auto"/>
        </w:rPr>
        <w:t>Our Audit Committee consists of Ms. Banner, as Chair, and Messrs. Bruce, Frey and Solomon. Our Board has determined that each member of the Audit Committee is an "audit committee financial expert," as defined by the rules of the SEC. The primary duties of the Audit Committee include, among other things: (i) overseeing both the external and internal audit processes; (ii) establishing procedures for the receipt of complaints regarding accounting, internal accounting controls or auditing matters; (iii) overseeing and interacting with our independent auditors regarding the auditor's engagement and/or dismissal, duties, compensation, qualifications and performance; (iv) reviewing and discussing with our independent auditors the scope of audits and our accounting principles, policies and practices; (v) reviewing and discussing our financial statements with our independent auditors and management; (vi) monitoring the ongoing review of the Company's systems of disclosure controls and procedures; and (vii) reviewing and approving (or disapproving) related party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00ACD2"/>
        </w:rPr>
        <w:t>Compensation Committee</w:t>
      </w:r>
    </w:p>
    <w:p>
      <w:pPr>
        <w:spacing w:after="0" w:line="198" w:lineRule="exact"/>
        <w:rPr>
          <w:sz w:val="20"/>
          <w:szCs w:val="20"/>
          <w:color w:val="auto"/>
        </w:rPr>
      </w:pPr>
    </w:p>
    <w:p>
      <w:pPr>
        <w:ind w:right="260" w:firstLine="624"/>
        <w:spacing w:after="0" w:line="247" w:lineRule="auto"/>
        <w:rPr>
          <w:sz w:val="20"/>
          <w:szCs w:val="20"/>
          <w:color w:val="auto"/>
        </w:rPr>
      </w:pPr>
      <w:r>
        <w:rPr>
          <w:rFonts w:ascii="Arial" w:cs="Arial" w:eastAsia="Arial" w:hAnsi="Arial"/>
          <w:sz w:val="16"/>
          <w:szCs w:val="16"/>
          <w:color w:val="auto"/>
        </w:rPr>
        <w:t>Our Compensation Committee consists of Mr. Solomon, as Chair, Ms. Banner and Mr. Frantz. The Compensation Committee assists the Board in fulfilling its oversight responsibility related to the compensation programs, plans and awards for Uniti's directors and executive officers. For more information regarding the Compensation Committee, see "Compensation Discussion &amp; Analysis" below in this Proxy Statement.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00ACD2"/>
        </w:rPr>
        <w:t>Compensation Committee Interlocks and Insider Participation</w:t>
      </w:r>
    </w:p>
    <w:p>
      <w:pPr>
        <w:spacing w:after="0" w:line="198" w:lineRule="exact"/>
        <w:rPr>
          <w:sz w:val="20"/>
          <w:szCs w:val="20"/>
          <w:color w:val="auto"/>
        </w:rPr>
      </w:pPr>
    </w:p>
    <w:p>
      <w:pPr>
        <w:jc w:val="both"/>
        <w:ind w:right="20" w:firstLine="624"/>
        <w:spacing w:after="0" w:line="247" w:lineRule="auto"/>
        <w:rPr>
          <w:sz w:val="20"/>
          <w:szCs w:val="20"/>
          <w:color w:val="auto"/>
        </w:rPr>
      </w:pPr>
      <w:r>
        <w:rPr>
          <w:rFonts w:ascii="Arial" w:cs="Arial" w:eastAsia="Arial" w:hAnsi="Arial"/>
          <w:sz w:val="16"/>
          <w:szCs w:val="16"/>
          <w:color w:val="auto"/>
        </w:rPr>
        <w:t>No member of the Compensation Committee serving during 2017 had any relationship requiring disclosure under the section titled "Relationships and Certain Related Transactions" in this Proxy Statement. During 2017, none of our executive officers served on the compensation committee (or its equivalent) or board of directors of another entity whose executive officer served on either our Compensation Committee or our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00ACD2"/>
        </w:rPr>
        <w:t>Governance Committee</w:t>
      </w:r>
    </w:p>
    <w:p>
      <w:pPr>
        <w:spacing w:after="0" w:line="198" w:lineRule="exact"/>
        <w:rPr>
          <w:sz w:val="20"/>
          <w:szCs w:val="20"/>
          <w:color w:val="auto"/>
        </w:rPr>
      </w:pPr>
    </w:p>
    <w:p>
      <w:pPr>
        <w:ind w:right="40" w:firstLine="624"/>
        <w:spacing w:after="0" w:line="243" w:lineRule="auto"/>
        <w:rPr>
          <w:sz w:val="20"/>
          <w:szCs w:val="20"/>
          <w:color w:val="auto"/>
        </w:rPr>
      </w:pPr>
      <w:r>
        <w:rPr>
          <w:rFonts w:ascii="Arial" w:cs="Arial" w:eastAsia="Arial" w:hAnsi="Arial"/>
          <w:sz w:val="16"/>
          <w:szCs w:val="16"/>
          <w:color w:val="auto"/>
        </w:rPr>
        <w:t>Our Governance Committee consists of Mr. Frantz, as Chair, Ms. Banner and Mr. Solomon. The Governance Committee's primary duties include, among other things: (i) establishing and reviewing the criteria for the skills and characteristics required of Board members; (ii) identifying individuals qualified to become directors consistent with the Governance Committee's membership criteria; (iii) recommending director nominees to the Board for election at each annual meeting of stockholders and to fill vacancies; (iv) reviewing Uniti's Corporate Governance Guidelines; (v) assisting the Chairman of the Board with an annual evaluation of the Board and its committees; and (vi) annually, in consultation with the Chairman of the Board and our Chief Executive Officer, reviewing management succession plans.</w:t>
      </w:r>
    </w:p>
    <w:p>
      <w:pPr>
        <w:spacing w:after="0" w:line="189" w:lineRule="exact"/>
        <w:rPr>
          <w:sz w:val="20"/>
          <w:szCs w:val="20"/>
          <w:color w:val="auto"/>
        </w:rPr>
      </w:pPr>
    </w:p>
    <w:p>
      <w:pPr>
        <w:ind w:right="120" w:firstLine="621"/>
        <w:spacing w:after="0" w:line="247" w:lineRule="auto"/>
        <w:rPr>
          <w:sz w:val="20"/>
          <w:szCs w:val="20"/>
          <w:color w:val="auto"/>
        </w:rPr>
      </w:pPr>
      <w:r>
        <w:rPr>
          <w:rFonts w:ascii="Arial" w:cs="Arial" w:eastAsia="Arial" w:hAnsi="Arial"/>
          <w:sz w:val="16"/>
          <w:szCs w:val="16"/>
          <w:color w:val="auto"/>
        </w:rPr>
        <w:t>The Governance Committee identifies potential Board candidates through various methods, including recommendations from directors, management and stockholders, and has the sole authority to retain, compensate and terminate search firms to be used to identify director candidates. The Governance Committee periodically reviews, in consultation with our President and Chief Executive Officer, the appropriate skills and</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280"/>
          </w:cols>
          <w:pgMar w:left="240" w:top="142" w:right="37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characteristics required of Board members in the context of the composition and needs of the Board from time to time. In reviewing potential candidates, the Governance Committee considers applicable Board and Board committee independence requirements imposed by Uniti's Corporate Governance Guidelines, NASDAQ listing standards and applicable law. The Governance Committee actively seeks candidates with an inquisitive and objective perspective, practical wisdom and mature judgment, who possess high personal and professional ethics, character, integrity and values and who will be committed to representing the long-term interests of the Company's stockholders. Among the various criteria for selection as a Board member are the level of a potential candidate's relevant career experience, training and experience at the policy-making level in business, leadership and communication skills, and willingness to devote sufficient time and effort to Board duties. The Governance Committee also seeks candidates who demonstrate a willingness to evaluate management's performance objectively and who have no activities or interests that could conflict with their responsibilities to Uniti.</w:t>
      </w:r>
    </w:p>
    <w:p>
      <w:pPr>
        <w:spacing w:after="0" w:line="193" w:lineRule="exact"/>
        <w:rPr>
          <w:sz w:val="20"/>
          <w:szCs w:val="20"/>
          <w:color w:val="auto"/>
        </w:rPr>
      </w:pPr>
    </w:p>
    <w:p>
      <w:pPr>
        <w:ind w:right="60" w:firstLine="621"/>
        <w:spacing w:after="0" w:line="243" w:lineRule="auto"/>
        <w:rPr>
          <w:sz w:val="20"/>
          <w:szCs w:val="20"/>
          <w:color w:val="auto"/>
        </w:rPr>
      </w:pPr>
      <w:r>
        <w:rPr>
          <w:rFonts w:ascii="Arial" w:cs="Arial" w:eastAsia="Arial" w:hAnsi="Arial"/>
          <w:sz w:val="16"/>
          <w:szCs w:val="16"/>
          <w:color w:val="auto"/>
        </w:rPr>
        <w:t>The Governance Committee will consider director candidates recommended by stockholders. To qualify for such consideration, stockholder recommendations must be submitted to the Governance Committee at the address provided below in the section of this Proxy Statement titled "Stockholder Communications with the Board of Directors" and received by the Company's Secretary no later than 120 calendar days prior to the first anniversary of the mailing date of the proxy statement for the preceding year's annual meeting. The Governance Committee does not have a specific policy regarding the consideration of stockholder recommendations for director candidates because the Governance Committee intends to evaluate stockholder recommendations in the same manner as it evaluates director candidates recommended by other sources.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00ACD2"/>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5868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5" w:lineRule="exact"/>
        <w:rPr>
          <w:sz w:val="20"/>
          <w:szCs w:val="20"/>
          <w:color w:val="auto"/>
        </w:rPr>
      </w:pPr>
    </w:p>
    <w:p>
      <w:pPr>
        <w:ind w:right="100" w:firstLine="621"/>
        <w:spacing w:after="0" w:line="245" w:lineRule="auto"/>
        <w:rPr>
          <w:sz w:val="20"/>
          <w:szCs w:val="20"/>
          <w:color w:val="auto"/>
        </w:rPr>
      </w:pPr>
      <w:r>
        <w:rPr>
          <w:rFonts w:ascii="Arial" w:cs="Arial" w:eastAsia="Arial" w:hAnsi="Arial"/>
          <w:sz w:val="16"/>
          <w:szCs w:val="16"/>
          <w:color w:val="auto"/>
        </w:rPr>
        <w:t>The roles of the Chairman of the Board of Directors and Chief Executive Officer are performed by separate individuals. The Board of Directors believes this leadership structure improves the ability of the Board of Directors to exercise its oversight role over management and ensures a significant role for independent directors in the leadership of Uniti. Having an independent Chairman also strengthens Uniti's corporate governance structure by allowing the Chairman to convene executive sessions with independent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00ACD2"/>
        </w:rPr>
        <w:t>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5868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5" w:lineRule="exact"/>
        <w:rPr>
          <w:sz w:val="20"/>
          <w:szCs w:val="20"/>
          <w:color w:val="auto"/>
        </w:rPr>
      </w:pPr>
    </w:p>
    <w:p>
      <w:pPr>
        <w:ind w:right="260" w:firstLine="624"/>
        <w:spacing w:after="0" w:line="247" w:lineRule="auto"/>
        <w:rPr>
          <w:sz w:val="20"/>
          <w:szCs w:val="20"/>
          <w:color w:val="auto"/>
        </w:rPr>
      </w:pPr>
      <w:r>
        <w:rPr>
          <w:rFonts w:ascii="Arial" w:cs="Arial" w:eastAsia="Arial" w:hAnsi="Arial"/>
          <w:sz w:val="16"/>
          <w:szCs w:val="16"/>
          <w:color w:val="auto"/>
        </w:rPr>
        <w:t>Uniti's Corporate Governance Guidelines specify that the independent directors of the Board of Directors must meet at regularly scheduled executive sessions without management and that the Chairman of the Board of Directors shall preside at executive sessions of independent directors. During 2017, executive sessions of the independent directors generally occurred at the end of each regular meeting of the Board.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0ACD2"/>
        </w:rPr>
        <w:t>Board Size and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5868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5" w:lineRule="exact"/>
        <w:rPr>
          <w:sz w:val="20"/>
          <w:szCs w:val="20"/>
          <w:color w:val="auto"/>
        </w:rPr>
      </w:pPr>
    </w:p>
    <w:p>
      <w:pPr>
        <w:ind w:right="180" w:firstLine="615"/>
        <w:spacing w:after="0" w:line="253" w:lineRule="auto"/>
        <w:rPr>
          <w:sz w:val="20"/>
          <w:szCs w:val="20"/>
          <w:color w:val="auto"/>
        </w:rPr>
      </w:pPr>
      <w:r>
        <w:rPr>
          <w:rFonts w:ascii="Arial" w:cs="Arial" w:eastAsia="Arial" w:hAnsi="Arial"/>
          <w:sz w:val="16"/>
          <w:szCs w:val="16"/>
          <w:color w:val="auto"/>
        </w:rPr>
        <w:t>As set forth in Uniti's Corporate Governance Guidelines, the Board believes that our board of directors should be comprised of four to seven members depending upon the relevant circumstances prevailing from time to time. Six directors currently serve on the Board.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firstLine="624"/>
        <w:spacing w:after="0" w:line="243" w:lineRule="auto"/>
        <w:rPr>
          <w:sz w:val="20"/>
          <w:szCs w:val="20"/>
          <w:color w:val="auto"/>
        </w:rPr>
      </w:pPr>
      <w:r>
        <w:rPr>
          <w:rFonts w:ascii="Arial" w:cs="Arial" w:eastAsia="Arial" w:hAnsi="Arial"/>
          <w:sz w:val="16"/>
          <w:szCs w:val="16"/>
          <w:color w:val="auto"/>
        </w:rPr>
        <w:t>We believe our Board is most effective when it embodies a diverse range of views, backgrounds and experience. Diversity is considered in the broadest sense, including, among other attributes, age, leadership, experience, skills, perspectives, gender, ethnicity and geography. While the Governance Committee does not have a formal policy on diversity with regard to consideration of director nominees, the Governance Committee considers diversity in its selection of nominees and proactively seeks diverse director candidates to ensure a representation of varied perspectives and experience in the boardroom. We are particularly committed to increasing the representation of women on our Board. If and when the Board determines to appoint additional directors, the level of representation by women on the Board will be an important consideration.</w:t>
      </w:r>
    </w:p>
    <w:p>
      <w:pPr>
        <w:spacing w:after="0" w:line="189" w:lineRule="exact"/>
        <w:rPr>
          <w:sz w:val="20"/>
          <w:szCs w:val="20"/>
          <w:color w:val="auto"/>
        </w:rPr>
      </w:pPr>
    </w:p>
    <w:p>
      <w:pPr>
        <w:ind w:right="560" w:firstLine="624"/>
        <w:spacing w:after="0" w:line="253" w:lineRule="auto"/>
        <w:rPr>
          <w:sz w:val="20"/>
          <w:szCs w:val="20"/>
          <w:color w:val="auto"/>
        </w:rPr>
      </w:pPr>
      <w:r>
        <w:rPr>
          <w:rFonts w:ascii="Arial" w:cs="Arial" w:eastAsia="Arial" w:hAnsi="Arial"/>
          <w:sz w:val="16"/>
          <w:szCs w:val="16"/>
          <w:color w:val="auto"/>
        </w:rPr>
        <w:t>We presently have one female director which, given the small size of our board, represents 17% of our full Board and 20% of our non-employee directors. Our Board members' ages range from 42 to 64. In addition, our current Board members represent a broad range of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1079500</wp:posOffset>
            </wp:positionH>
            <wp:positionV relativeFrom="paragraph">
              <wp:posOffset>111760</wp:posOffset>
            </wp:positionV>
            <wp:extent cx="5097145" cy="17462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097145" cy="174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0" w:firstLine="624"/>
        <w:spacing w:after="0" w:line="253" w:lineRule="auto"/>
        <w:rPr>
          <w:sz w:val="20"/>
          <w:szCs w:val="20"/>
          <w:color w:val="auto"/>
        </w:rPr>
      </w:pPr>
      <w:r>
        <w:rPr>
          <w:rFonts w:ascii="Arial" w:cs="Arial" w:eastAsia="Arial" w:hAnsi="Arial"/>
          <w:sz w:val="16"/>
          <w:szCs w:val="16"/>
          <w:color w:val="auto"/>
        </w:rPr>
        <w:t>Based on the foregoing, the Governance Committee concluded that our current Board members represent a broad range of viewpoints, backgrounds and relevant expertise that aligns with Uniti's long-term strategy.</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00ACD2"/>
        </w:rPr>
        <w:t>Board and Committee Self-Evaluations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5868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5" w:lineRule="exact"/>
        <w:rPr>
          <w:sz w:val="20"/>
          <w:szCs w:val="20"/>
          <w:color w:val="auto"/>
        </w:rPr>
      </w:pPr>
    </w:p>
    <w:p>
      <w:pPr>
        <w:ind w:right="60" w:firstLine="615"/>
        <w:spacing w:after="0" w:line="245" w:lineRule="auto"/>
        <w:rPr>
          <w:sz w:val="20"/>
          <w:szCs w:val="20"/>
          <w:color w:val="auto"/>
        </w:rPr>
      </w:pPr>
      <w:r>
        <w:rPr>
          <w:rFonts w:ascii="Arial" w:cs="Arial" w:eastAsia="Arial" w:hAnsi="Arial"/>
          <w:sz w:val="16"/>
          <w:szCs w:val="16"/>
          <w:color w:val="auto"/>
        </w:rPr>
        <w:t>As set forth in Uniti's Corporate Governance Guidelines, the Board conducts an annual self-evaluation to determine whether the Board and committees are functioning effectively. Each self-evaluation is coordinated by the chairperson of the Board or committee, as applicable, in executive sessions during the last regular meeting of the year. The Board believes that this self-evaluation process is fundamental in supporting continued improvement through thoughtful and comprehensive discussions.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00ACD2"/>
        </w:rPr>
        <w:t>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5868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5" w:lineRule="exact"/>
        <w:rPr>
          <w:sz w:val="20"/>
          <w:szCs w:val="20"/>
          <w:color w:val="auto"/>
        </w:rPr>
      </w:pPr>
    </w:p>
    <w:p>
      <w:pPr>
        <w:ind w:right="100" w:firstLine="621"/>
        <w:spacing w:after="0" w:line="245" w:lineRule="auto"/>
        <w:rPr>
          <w:sz w:val="20"/>
          <w:szCs w:val="20"/>
          <w:color w:val="auto"/>
        </w:rPr>
      </w:pPr>
      <w:r>
        <w:rPr>
          <w:rFonts w:ascii="Arial" w:cs="Arial" w:eastAsia="Arial" w:hAnsi="Arial"/>
          <w:sz w:val="16"/>
          <w:szCs w:val="16"/>
          <w:color w:val="auto"/>
        </w:rPr>
        <w:t>The Board maintains an active role, including at the committee level, in overseeing management of the Company's various risk exposures. While the Board is ultimately responsible for overall risk oversight at our Company, certain of the Board's committees assist the Board of Directors in fulfilling its oversight responsibilities in certain areas of risk. The Audit Committee oversees the Company's enterprise risk management and periodically reviews with management and the Company's auditors major financial and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auditing risks. The Compensation Committee oversees risks relating to the design and implementation of the Company's compensation policies and procedures.</w:t>
      </w:r>
    </w:p>
    <w:p>
      <w:pPr>
        <w:spacing w:after="0" w:line="198" w:lineRule="exact"/>
        <w:rPr>
          <w:sz w:val="20"/>
          <w:szCs w:val="20"/>
          <w:color w:val="auto"/>
        </w:rPr>
      </w:pPr>
    </w:p>
    <w:p>
      <w:pPr>
        <w:ind w:right="80" w:firstLine="621"/>
        <w:spacing w:after="0" w:line="245" w:lineRule="auto"/>
        <w:rPr>
          <w:sz w:val="20"/>
          <w:szCs w:val="20"/>
          <w:color w:val="auto"/>
        </w:rPr>
      </w:pPr>
      <w:r>
        <w:rPr>
          <w:rFonts w:ascii="Arial" w:cs="Arial" w:eastAsia="Arial" w:hAnsi="Arial"/>
          <w:sz w:val="16"/>
          <w:szCs w:val="16"/>
          <w:color w:val="auto"/>
        </w:rPr>
        <w:t>The Board's discharge of its risk oversight role has not specifically affected its leadership structure discussed above. Rather, in establishing the current leadership structure, risk oversight was one factor among many considered. The Board will regularly review its leadership structure and evaluate whether it, and the Board as a whole, is functioning effectively. If in the future the Board believes that a change in its leadership structure is required to, or potentially could, improve the Board's risk oversight role, it may make any change it deems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00ACD2"/>
        </w:rPr>
        <w:t>Code of Business Conduct and Ethics &amp; Whistleblower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5868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5" w:lineRule="exact"/>
        <w:rPr>
          <w:sz w:val="20"/>
          <w:szCs w:val="20"/>
          <w:color w:val="auto"/>
        </w:rPr>
      </w:pPr>
    </w:p>
    <w:p>
      <w:pPr>
        <w:ind w:firstLine="624"/>
        <w:spacing w:after="0" w:line="242" w:lineRule="auto"/>
        <w:rPr>
          <w:sz w:val="20"/>
          <w:szCs w:val="20"/>
          <w:color w:val="auto"/>
        </w:rPr>
      </w:pPr>
      <w:r>
        <w:rPr>
          <w:rFonts w:ascii="Arial" w:cs="Arial" w:eastAsia="Arial" w:hAnsi="Arial"/>
          <w:sz w:val="16"/>
          <w:szCs w:val="16"/>
          <w:color w:val="auto"/>
        </w:rPr>
        <w:t xml:space="preserve">Our Code of Business Conduct and Ethics &amp; Whistleblower Policy confirms our commitment to conduct our affairs in compliance with all applicable laws and regulations and observe the highest standards of business ethics and seeks to identify and mitigate conflicts of interest between our directors, officers and employees, on the one hand, and Uniti on the other hand. The Code of Business Conduct and Ethics &amp; Whistleblower Policy applies to ensure compliance with stock exchange requirements and to ensure accountability at a senior management level for that compliance. We intend that the spirit, as well as the letter, of the Code of Business Conduct and Ethics &amp; Whistleblower Policy be followed by all of our directors, officers, employees and subsidiaries. This is communicated to each new officer, director and employee. Any waiver of our Code of Business Conduct and Ethics &amp; Whistleblower Policy with respect to our executive officers and directors may only be authorized by our Board of Directors. Our Code of Business Conduct and Ethics &amp; Whistleblower Policy is available on our website, </w:t>
      </w:r>
      <w:r>
        <w:rPr>
          <w:rFonts w:ascii="Arial" w:cs="Arial" w:eastAsia="Arial" w:hAnsi="Arial"/>
          <w:sz w:val="16"/>
          <w:szCs w:val="16"/>
          <w:b w:val="1"/>
          <w:bCs w:val="1"/>
          <w:color w:val="00ACD2"/>
        </w:rPr>
        <w:t>www.uniti.com</w:t>
      </w:r>
      <w:r>
        <w:rPr>
          <w:rFonts w:ascii="Arial" w:cs="Arial" w:eastAsia="Arial" w:hAnsi="Arial"/>
          <w:sz w:val="16"/>
          <w:szCs w:val="16"/>
          <w:color w:val="000000"/>
        </w:rPr>
        <w:t>, under the "About Us—Corporate Governance" tab.</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00ACD2"/>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5868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5" w:lineRule="exact"/>
        <w:rPr>
          <w:sz w:val="20"/>
          <w:szCs w:val="20"/>
          <w:color w:val="auto"/>
        </w:rPr>
      </w:pPr>
    </w:p>
    <w:p>
      <w:pPr>
        <w:ind w:firstLine="621"/>
        <w:spacing w:after="0" w:line="243" w:lineRule="auto"/>
        <w:rPr>
          <w:sz w:val="20"/>
          <w:szCs w:val="20"/>
          <w:color w:val="auto"/>
        </w:rPr>
      </w:pPr>
      <w:r>
        <w:rPr>
          <w:rFonts w:ascii="Arial" w:cs="Arial" w:eastAsia="Arial" w:hAnsi="Arial"/>
          <w:sz w:val="16"/>
          <w:szCs w:val="16"/>
          <w:color w:val="auto"/>
        </w:rPr>
        <w:t>The current non-employee director compensation program consists of: (i) an annual cash retainer of $75,000; (ii) a one-time restricted stock grant of $100,000 that vests ratably in equal installments over four years; (iii) an annual restricted stock grant of $100,000 subject to one-year vesting; (iv) an additional annual cash retainer of $75,000 for the Chair of the Board of Directors; (v) annual restricted stock grants of $20,000, $15,000 and $10,000 for the Chairs of the Audit, Compensation and Governance Committees, respectively, each subject to one-year vesting; and (vi) annual restricted stock grants of $10,000, $7,500 and $5,000 for non-chair members of the Audit, Compensation and Governance Committees, respectively, each subject to one-year vesting. The number of time-based restricted shares granted to the non-employee directors during 2017 was based on the average closing price of our common stock as reported on NASDAQ for the 20 trading days prior to the grant date.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shows the compensation paid to our non-employee directors during 2017:</w:t>
      </w:r>
    </w:p>
    <w:p>
      <w:pPr>
        <w:spacing w:after="0" w:line="182"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1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Fees Earned or</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Stock</w:t>
            </w:r>
          </w:p>
        </w:tc>
        <w:tc>
          <w:tcPr>
            <w:tcW w:w="13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All Other</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1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4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w w:val="99"/>
              </w:rPr>
              <w:t>Paid in Cash</w:t>
            </w:r>
          </w:p>
        </w:tc>
        <w:tc>
          <w:tcPr>
            <w:tcW w:w="86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rPr>
              <w:t>Awards</w:t>
            </w:r>
          </w:p>
        </w:tc>
        <w:tc>
          <w:tcPr>
            <w:tcW w:w="138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rPr>
              <w:t>Compensation</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4000" w:type="dxa"/>
            <w:vAlign w:val="bottom"/>
            <w:gridSpan w:val="4"/>
          </w:tcPr>
          <w:p>
            <w:pPr>
              <w:ind w:left="1760"/>
              <w:spacing w:after="0"/>
              <w:rPr>
                <w:sz w:val="20"/>
                <w:szCs w:val="20"/>
                <w:color w:val="auto"/>
              </w:rPr>
            </w:pPr>
            <w:r>
              <w:rPr>
                <w:rFonts w:ascii="Arial" w:cs="Arial" w:eastAsia="Arial" w:hAnsi="Arial"/>
                <w:sz w:val="13"/>
                <w:szCs w:val="13"/>
                <w:b w:val="1"/>
                <w:bCs w:val="1"/>
                <w:color w:val="auto"/>
              </w:rPr>
              <w:t>Name</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16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 ($)</w:t>
            </w:r>
          </w:p>
        </w:tc>
      </w:tr>
      <w:tr>
        <w:trPr>
          <w:trHeight w:val="20"/>
        </w:trPr>
        <w:tc>
          <w:tcPr>
            <w:tcW w:w="1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0"/>
        </w:trPr>
        <w:tc>
          <w:tcPr>
            <w:tcW w:w="1760" w:type="dxa"/>
            <w:vAlign w:val="bottom"/>
          </w:tcPr>
          <w:p>
            <w:pPr>
              <w:ind w:left="20"/>
              <w:spacing w:after="0" w:line="141" w:lineRule="exact"/>
              <w:rPr>
                <w:sz w:val="20"/>
                <w:szCs w:val="20"/>
                <w:color w:val="auto"/>
              </w:rPr>
            </w:pPr>
            <w:r>
              <w:rPr>
                <w:rFonts w:ascii="Arial" w:cs="Arial" w:eastAsia="Arial" w:hAnsi="Arial"/>
                <w:sz w:val="13"/>
                <w:szCs w:val="13"/>
                <w:color w:val="auto"/>
              </w:rPr>
              <w:t>Jennifer S. Banner</w:t>
            </w:r>
          </w:p>
        </w:tc>
        <w:tc>
          <w:tcPr>
            <w:tcW w:w="360" w:type="dxa"/>
            <w:vAlign w:val="bottom"/>
          </w:tcPr>
          <w:p>
            <w:pPr>
              <w:spacing w:after="0"/>
              <w:rPr>
                <w:sz w:val="12"/>
                <w:szCs w:val="12"/>
                <w:color w:val="auto"/>
              </w:rPr>
            </w:pPr>
          </w:p>
        </w:tc>
        <w:tc>
          <w:tcPr>
            <w:tcW w:w="1880" w:type="dxa"/>
            <w:vAlign w:val="bottom"/>
            <w:gridSpan w:val="2"/>
          </w:tcPr>
          <w:p>
            <w:pPr>
              <w:spacing w:after="0"/>
              <w:rPr>
                <w:sz w:val="12"/>
                <w:szCs w:val="12"/>
                <w:color w:val="auto"/>
              </w:rPr>
            </w:pPr>
          </w:p>
        </w:tc>
        <w:tc>
          <w:tcPr>
            <w:tcW w:w="14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75,000</w:t>
            </w:r>
          </w:p>
        </w:tc>
        <w:tc>
          <w:tcPr>
            <w:tcW w:w="8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134,623</w:t>
            </w:r>
          </w:p>
        </w:tc>
        <w:tc>
          <w:tcPr>
            <w:tcW w:w="1380" w:type="dxa"/>
            <w:vAlign w:val="bottom"/>
            <w:gridSpan w:val="2"/>
          </w:tcPr>
          <w:p>
            <w:pPr>
              <w:ind w:left="1100"/>
              <w:spacing w:after="0" w:line="141" w:lineRule="exact"/>
              <w:rPr>
                <w:sz w:val="20"/>
                <w:szCs w:val="20"/>
                <w:color w:val="auto"/>
              </w:rPr>
            </w:pPr>
            <w:r>
              <w:rPr>
                <w:rFonts w:ascii="Arial" w:cs="Arial" w:eastAsia="Arial" w:hAnsi="Arial"/>
                <w:sz w:val="13"/>
                <w:szCs w:val="13"/>
                <w:color w:val="auto"/>
              </w:rPr>
              <w:t>—</w:t>
            </w:r>
          </w:p>
        </w:tc>
        <w:tc>
          <w:tcPr>
            <w:tcW w:w="760" w:type="dxa"/>
            <w:vAlign w:val="bottom"/>
            <w:gridSpan w:val="2"/>
          </w:tcPr>
          <w:p>
            <w:pPr>
              <w:ind w:left="280"/>
              <w:spacing w:after="0" w:line="141" w:lineRule="exact"/>
              <w:rPr>
                <w:sz w:val="20"/>
                <w:szCs w:val="20"/>
                <w:color w:val="auto"/>
              </w:rPr>
            </w:pPr>
            <w:r>
              <w:rPr>
                <w:rFonts w:ascii="Arial" w:cs="Arial" w:eastAsia="Arial" w:hAnsi="Arial"/>
                <w:sz w:val="13"/>
                <w:szCs w:val="13"/>
                <w:color w:val="auto"/>
                <w:w w:val="97"/>
              </w:rPr>
              <w:t>209,623</w:t>
            </w:r>
          </w:p>
        </w:tc>
      </w:tr>
      <w:tr>
        <w:trPr>
          <w:trHeight w:val="148"/>
        </w:trPr>
        <w:tc>
          <w:tcPr>
            <w:tcW w:w="4000" w:type="dxa"/>
            <w:vAlign w:val="bottom"/>
            <w:gridSpan w:val="4"/>
            <w:shd w:val="clear" w:color="auto" w:fill="BFBFBF"/>
          </w:tcPr>
          <w:p>
            <w:pPr>
              <w:ind w:left="20"/>
              <w:spacing w:after="0" w:line="148" w:lineRule="exact"/>
              <w:rPr>
                <w:sz w:val="20"/>
                <w:szCs w:val="20"/>
                <w:color w:val="auto"/>
              </w:rPr>
            </w:pPr>
            <w:r>
              <w:rPr>
                <w:rFonts w:ascii="Arial" w:cs="Arial" w:eastAsia="Arial" w:hAnsi="Arial"/>
                <w:sz w:val="13"/>
                <w:szCs w:val="13"/>
                <w:color w:val="auto"/>
              </w:rPr>
              <w:t>Scott G. Bruce</w:t>
            </w:r>
          </w:p>
        </w:tc>
        <w:tc>
          <w:tcPr>
            <w:tcW w:w="1440" w:type="dxa"/>
            <w:vAlign w:val="bottom"/>
            <w:gridSpan w:val="2"/>
            <w:shd w:val="clear" w:color="auto" w:fill="BFBFBF"/>
          </w:tcPr>
          <w:p>
            <w:pPr>
              <w:jc w:val="right"/>
              <w:ind w:right="140"/>
              <w:spacing w:after="0" w:line="148" w:lineRule="exact"/>
              <w:rPr>
                <w:sz w:val="20"/>
                <w:szCs w:val="20"/>
                <w:color w:val="auto"/>
              </w:rPr>
            </w:pPr>
            <w:r>
              <w:rPr>
                <w:rFonts w:ascii="Arial" w:cs="Arial" w:eastAsia="Arial" w:hAnsi="Arial"/>
                <w:sz w:val="13"/>
                <w:szCs w:val="13"/>
                <w:color w:val="auto"/>
              </w:rPr>
              <w:t>75,000</w:t>
            </w:r>
          </w:p>
        </w:tc>
        <w:tc>
          <w:tcPr>
            <w:tcW w:w="860" w:type="dxa"/>
            <w:vAlign w:val="bottom"/>
            <w:gridSpan w:val="2"/>
            <w:shd w:val="clear" w:color="auto" w:fill="BFBFBF"/>
          </w:tcPr>
          <w:p>
            <w:pPr>
              <w:jc w:val="right"/>
              <w:ind w:right="140"/>
              <w:spacing w:after="0" w:line="148" w:lineRule="exact"/>
              <w:rPr>
                <w:sz w:val="20"/>
                <w:szCs w:val="20"/>
                <w:color w:val="auto"/>
              </w:rPr>
            </w:pPr>
            <w:r>
              <w:rPr>
                <w:rFonts w:ascii="Arial" w:cs="Arial" w:eastAsia="Arial" w:hAnsi="Arial"/>
                <w:sz w:val="13"/>
                <w:szCs w:val="13"/>
                <w:color w:val="auto"/>
              </w:rPr>
              <w:t>111,753</w:t>
            </w:r>
          </w:p>
        </w:tc>
        <w:tc>
          <w:tcPr>
            <w:tcW w:w="1380" w:type="dxa"/>
            <w:vAlign w:val="bottom"/>
            <w:gridSpan w:val="2"/>
            <w:shd w:val="clear" w:color="auto" w:fill="BFBFBF"/>
          </w:tcPr>
          <w:p>
            <w:pPr>
              <w:ind w:left="1100"/>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BFBFBF"/>
          </w:tcPr>
          <w:p>
            <w:pPr>
              <w:ind w:left="280"/>
              <w:spacing w:after="0" w:line="148" w:lineRule="exact"/>
              <w:rPr>
                <w:sz w:val="20"/>
                <w:szCs w:val="20"/>
                <w:color w:val="auto"/>
              </w:rPr>
            </w:pPr>
            <w:r>
              <w:rPr>
                <w:rFonts w:ascii="Arial" w:cs="Arial" w:eastAsia="Arial" w:hAnsi="Arial"/>
                <w:sz w:val="13"/>
                <w:szCs w:val="13"/>
                <w:color w:val="auto"/>
                <w:w w:val="93"/>
              </w:rPr>
              <w:t>186,753</w:t>
            </w:r>
          </w:p>
        </w:tc>
        <w:tc>
          <w:tcPr>
            <w:tcW w:w="20" w:type="dxa"/>
            <w:vAlign w:val="bottom"/>
          </w:tcPr>
          <w:p>
            <w:pPr>
              <w:spacing w:after="0"/>
              <w:rPr>
                <w:sz w:val="12"/>
                <w:szCs w:val="12"/>
                <w:color w:val="auto"/>
              </w:rPr>
            </w:pPr>
          </w:p>
        </w:tc>
      </w:tr>
      <w:tr>
        <w:trPr>
          <w:trHeight w:val="148"/>
        </w:trPr>
        <w:tc>
          <w:tcPr>
            <w:tcW w:w="400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Francis X. ("Skip") Frantz</w:t>
            </w:r>
          </w:p>
        </w:tc>
        <w:tc>
          <w:tcPr>
            <w:tcW w:w="144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150,000</w:t>
            </w:r>
          </w:p>
        </w:tc>
        <w:tc>
          <w:tcPr>
            <w:tcW w:w="86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119,385</w:t>
            </w:r>
          </w:p>
        </w:tc>
        <w:tc>
          <w:tcPr>
            <w:tcW w:w="1380" w:type="dxa"/>
            <w:vAlign w:val="bottom"/>
            <w:gridSpan w:val="2"/>
          </w:tcPr>
          <w:p>
            <w:pPr>
              <w:ind w:left="1100"/>
              <w:spacing w:after="0" w:line="148" w:lineRule="exact"/>
              <w:rPr>
                <w:sz w:val="20"/>
                <w:szCs w:val="20"/>
                <w:color w:val="auto"/>
              </w:rPr>
            </w:pPr>
            <w:r>
              <w:rPr>
                <w:rFonts w:ascii="Arial" w:cs="Arial" w:eastAsia="Arial" w:hAnsi="Arial"/>
                <w:sz w:val="13"/>
                <w:szCs w:val="13"/>
                <w:color w:val="auto"/>
              </w:rPr>
              <w:t>—</w:t>
            </w:r>
          </w:p>
        </w:tc>
        <w:tc>
          <w:tcPr>
            <w:tcW w:w="760" w:type="dxa"/>
            <w:vAlign w:val="bottom"/>
            <w:gridSpan w:val="2"/>
          </w:tcPr>
          <w:p>
            <w:pPr>
              <w:ind w:left="280"/>
              <w:spacing w:after="0" w:line="148" w:lineRule="exact"/>
              <w:rPr>
                <w:sz w:val="20"/>
                <w:szCs w:val="20"/>
                <w:color w:val="auto"/>
              </w:rPr>
            </w:pPr>
            <w:r>
              <w:rPr>
                <w:rFonts w:ascii="Arial" w:cs="Arial" w:eastAsia="Arial" w:hAnsi="Arial"/>
                <w:sz w:val="13"/>
                <w:szCs w:val="13"/>
                <w:color w:val="auto"/>
                <w:w w:val="97"/>
              </w:rPr>
              <w:t>269,385</w:t>
            </w:r>
          </w:p>
        </w:tc>
      </w:tr>
      <w:tr>
        <w:trPr>
          <w:trHeight w:val="148"/>
        </w:trPr>
        <w:tc>
          <w:tcPr>
            <w:tcW w:w="4000" w:type="dxa"/>
            <w:vAlign w:val="bottom"/>
            <w:gridSpan w:val="4"/>
            <w:shd w:val="clear" w:color="auto" w:fill="BFBFBF"/>
          </w:tcPr>
          <w:p>
            <w:pPr>
              <w:ind w:left="20"/>
              <w:spacing w:after="0" w:line="148" w:lineRule="exact"/>
              <w:rPr>
                <w:sz w:val="20"/>
                <w:szCs w:val="20"/>
                <w:color w:val="auto"/>
              </w:rPr>
            </w:pPr>
            <w:r>
              <w:rPr>
                <w:rFonts w:ascii="Arial" w:cs="Arial" w:eastAsia="Arial" w:hAnsi="Arial"/>
                <w:sz w:val="13"/>
                <w:szCs w:val="13"/>
                <w:color w:val="auto"/>
              </w:rPr>
              <w:t>Andrew Frey</w:t>
            </w:r>
          </w:p>
        </w:tc>
        <w:tc>
          <w:tcPr>
            <w:tcW w:w="1440" w:type="dxa"/>
            <w:vAlign w:val="bottom"/>
            <w:gridSpan w:val="2"/>
            <w:shd w:val="clear" w:color="auto" w:fill="BFBFBF"/>
          </w:tcPr>
          <w:p>
            <w:pPr>
              <w:jc w:val="right"/>
              <w:ind w:right="140"/>
              <w:spacing w:after="0" w:line="148" w:lineRule="exact"/>
              <w:rPr>
                <w:sz w:val="20"/>
                <w:szCs w:val="20"/>
                <w:color w:val="auto"/>
              </w:rPr>
            </w:pPr>
            <w:r>
              <w:rPr>
                <w:rFonts w:ascii="Arial" w:cs="Arial" w:eastAsia="Arial" w:hAnsi="Arial"/>
                <w:sz w:val="13"/>
                <w:szCs w:val="13"/>
                <w:color w:val="auto"/>
              </w:rPr>
              <w:t>75,000</w:t>
            </w:r>
          </w:p>
        </w:tc>
        <w:tc>
          <w:tcPr>
            <w:tcW w:w="860" w:type="dxa"/>
            <w:vAlign w:val="bottom"/>
            <w:gridSpan w:val="2"/>
            <w:shd w:val="clear" w:color="auto" w:fill="BFBFBF"/>
          </w:tcPr>
          <w:p>
            <w:pPr>
              <w:jc w:val="right"/>
              <w:ind w:right="140"/>
              <w:spacing w:after="0" w:line="148" w:lineRule="exact"/>
              <w:rPr>
                <w:sz w:val="20"/>
                <w:szCs w:val="20"/>
                <w:color w:val="auto"/>
              </w:rPr>
            </w:pPr>
            <w:r>
              <w:rPr>
                <w:rFonts w:ascii="Arial" w:cs="Arial" w:eastAsia="Arial" w:hAnsi="Arial"/>
                <w:sz w:val="13"/>
                <w:szCs w:val="13"/>
                <w:color w:val="auto"/>
              </w:rPr>
              <w:t>111,753</w:t>
            </w:r>
          </w:p>
        </w:tc>
        <w:tc>
          <w:tcPr>
            <w:tcW w:w="1380" w:type="dxa"/>
            <w:vAlign w:val="bottom"/>
            <w:gridSpan w:val="2"/>
            <w:shd w:val="clear" w:color="auto" w:fill="BFBFBF"/>
          </w:tcPr>
          <w:p>
            <w:pPr>
              <w:ind w:left="1100"/>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BFBFBF"/>
          </w:tcPr>
          <w:p>
            <w:pPr>
              <w:ind w:left="280"/>
              <w:spacing w:after="0" w:line="148" w:lineRule="exact"/>
              <w:rPr>
                <w:sz w:val="20"/>
                <w:szCs w:val="20"/>
                <w:color w:val="auto"/>
              </w:rPr>
            </w:pPr>
            <w:r>
              <w:rPr>
                <w:rFonts w:ascii="Arial" w:cs="Arial" w:eastAsia="Arial" w:hAnsi="Arial"/>
                <w:sz w:val="13"/>
                <w:szCs w:val="13"/>
                <w:color w:val="auto"/>
                <w:w w:val="93"/>
              </w:rPr>
              <w:t>186,753</w:t>
            </w:r>
          </w:p>
        </w:tc>
        <w:tc>
          <w:tcPr>
            <w:tcW w:w="20" w:type="dxa"/>
            <w:vAlign w:val="bottom"/>
          </w:tcPr>
          <w:p>
            <w:pPr>
              <w:spacing w:after="0"/>
              <w:rPr>
                <w:sz w:val="12"/>
                <w:szCs w:val="12"/>
                <w:color w:val="auto"/>
              </w:rPr>
            </w:pPr>
          </w:p>
        </w:tc>
      </w:tr>
      <w:tr>
        <w:trPr>
          <w:trHeight w:val="161"/>
        </w:trPr>
        <w:tc>
          <w:tcPr>
            <w:tcW w:w="4000" w:type="dxa"/>
            <w:vAlign w:val="bottom"/>
            <w:gridSpan w:val="4"/>
          </w:tcPr>
          <w:p>
            <w:pPr>
              <w:ind w:left="20"/>
              <w:spacing w:after="0"/>
              <w:rPr>
                <w:sz w:val="20"/>
                <w:szCs w:val="20"/>
                <w:color w:val="auto"/>
              </w:rPr>
            </w:pPr>
            <w:r>
              <w:rPr>
                <w:rFonts w:ascii="Arial" w:cs="Arial" w:eastAsia="Arial" w:hAnsi="Arial"/>
                <w:sz w:val="13"/>
                <w:szCs w:val="13"/>
                <w:color w:val="auto"/>
              </w:rPr>
              <w:t>David L. Solomon</w:t>
            </w: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75,000</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132,079</w:t>
            </w:r>
          </w:p>
        </w:tc>
        <w:tc>
          <w:tcPr>
            <w:tcW w:w="1380" w:type="dxa"/>
            <w:vAlign w:val="bottom"/>
            <w:gridSpan w:val="2"/>
          </w:tcPr>
          <w:p>
            <w:pPr>
              <w:ind w:left="110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280"/>
              <w:spacing w:after="0"/>
              <w:rPr>
                <w:sz w:val="20"/>
                <w:szCs w:val="20"/>
                <w:color w:val="auto"/>
              </w:rPr>
            </w:pPr>
            <w:r>
              <w:rPr>
                <w:rFonts w:ascii="Arial" w:cs="Arial" w:eastAsia="Arial" w:hAnsi="Arial"/>
                <w:sz w:val="13"/>
                <w:szCs w:val="13"/>
                <w:color w:val="auto"/>
                <w:w w:val="97"/>
              </w:rPr>
              <w:t>207,079</w:t>
            </w:r>
          </w:p>
        </w:tc>
      </w:tr>
      <w:tr>
        <w:trPr>
          <w:trHeight w:val="85"/>
        </w:trPr>
        <w:tc>
          <w:tcPr>
            <w:tcW w:w="17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7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202" w:lineRule="exact"/>
        <w:rPr>
          <w:sz w:val="20"/>
          <w:szCs w:val="20"/>
          <w:color w:val="auto"/>
        </w:rPr>
      </w:pPr>
    </w:p>
    <w:p>
      <w:pPr>
        <w:ind w:left="1860" w:hanging="490"/>
        <w:spacing w:after="0" w:line="243" w:lineRule="auto"/>
        <w:tabs>
          <w:tab w:leader="none" w:pos="18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All stock award amounts in the table above reflect the aggregate fair value on the grant date based on the closing per share price of the Company's common stock on the date of grant of the restricted stock, computed in accordance with FASB ASC Topic 718. At December 31, 2017, non-employee directors held the following number of unvested shares of restricted stock: Ms. Banner, 6,834; Mr. Bruce, 6,951; Mr. Frantz, 11,685; Mr. Frey, 6,615; and Mr. Solomon, 6,739.</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00"/>
          </w:cols>
          <w:pgMar w:left="240" w:top="142" w:right="35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00ACD2"/>
        </w:rPr>
        <w:t>PROPOSAL NO. 1</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00ACD2"/>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5868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9" w:lineRule="exact"/>
        <w:rPr>
          <w:sz w:val="20"/>
          <w:szCs w:val="20"/>
          <w:color w:val="auto"/>
        </w:rPr>
      </w:pPr>
    </w:p>
    <w:p>
      <w:pPr>
        <w:ind w:right="60" w:firstLine="621"/>
        <w:spacing w:after="0" w:line="245" w:lineRule="auto"/>
        <w:rPr>
          <w:sz w:val="20"/>
          <w:szCs w:val="20"/>
          <w:color w:val="auto"/>
        </w:rPr>
      </w:pPr>
      <w:r>
        <w:rPr>
          <w:rFonts w:ascii="Arial" w:cs="Arial" w:eastAsia="Arial" w:hAnsi="Arial"/>
          <w:sz w:val="16"/>
          <w:szCs w:val="16"/>
          <w:color w:val="auto"/>
        </w:rPr>
        <w:t>There are currently six directors serving on the Board, all of whose terms expire at the Annual Meeting. Upon the recommendation of our Governance Committee, the Board has nominated all current Board members to stand for election at the Annual Meeting. In accordance with the Company's bylaws and Maryland law, each nominee elected will serve until the 2019 annual meeting of stockholders and until their successors are duly elected and qualified or until the earliest of their removal, resignation or death. Each of the current Board members were elected at the 2017 annual meeting of stockholders.</w:t>
      </w:r>
    </w:p>
    <w:p>
      <w:pPr>
        <w:spacing w:after="0" w:line="186" w:lineRule="exact"/>
        <w:rPr>
          <w:sz w:val="20"/>
          <w:szCs w:val="20"/>
          <w:color w:val="auto"/>
        </w:rPr>
      </w:pPr>
    </w:p>
    <w:p>
      <w:pPr>
        <w:ind w:right="20" w:firstLine="624"/>
        <w:spacing w:after="0" w:line="244" w:lineRule="auto"/>
        <w:rPr>
          <w:sz w:val="20"/>
          <w:szCs w:val="20"/>
          <w:color w:val="auto"/>
        </w:rPr>
      </w:pPr>
      <w:r>
        <w:rPr>
          <w:rFonts w:ascii="Arial" w:cs="Arial" w:eastAsia="Arial" w:hAnsi="Arial"/>
          <w:sz w:val="16"/>
          <w:szCs w:val="16"/>
          <w:color w:val="auto"/>
        </w:rPr>
        <w:t>Searchlight II CLS, L.P., an affiliate of Searchlight Capital Partners, L.P. ("Searchlight"), has once again designated Mr. Frey for election to the Board pursuant to the terms of the letter agreement, dated June 15, 2016, between the Company and Searchlight, entered into to facilitate Searchlight's acquisition of 10 million shares of our common stock disposed of by Windstream Holdings, Inc. ("Windstream"). The letter agreement entitles Searchlight to annually designate a director candidate for election to the Board, provided that Searchlight maintains ownership of at least 5% of our common stock through June 15, 2019 and 8% thereafter.</w:t>
      </w:r>
    </w:p>
    <w:p>
      <w:pPr>
        <w:spacing w:after="0" w:line="187" w:lineRule="exact"/>
        <w:rPr>
          <w:sz w:val="20"/>
          <w:szCs w:val="20"/>
          <w:color w:val="auto"/>
        </w:rPr>
      </w:pPr>
    </w:p>
    <w:p>
      <w:pPr>
        <w:ind w:firstLine="624"/>
        <w:spacing w:after="0" w:line="253" w:lineRule="auto"/>
        <w:rPr>
          <w:sz w:val="20"/>
          <w:szCs w:val="20"/>
          <w:color w:val="auto"/>
        </w:rPr>
      </w:pPr>
      <w:r>
        <w:rPr>
          <w:rFonts w:ascii="Arial" w:cs="Arial" w:eastAsia="Arial" w:hAnsi="Arial"/>
          <w:sz w:val="16"/>
          <w:szCs w:val="16"/>
          <w:color w:val="auto"/>
        </w:rPr>
        <w:t>Except as set forth above, there is no arrangement or understanding between any of the six nominees and any other person, including officers, pursuant to which the director was nominated for election to the Board.</w:t>
      </w:r>
    </w:p>
    <w:p>
      <w:pPr>
        <w:spacing w:after="0" w:line="179" w:lineRule="exact"/>
        <w:rPr>
          <w:sz w:val="20"/>
          <w:szCs w:val="20"/>
          <w:color w:val="auto"/>
        </w:rPr>
      </w:pPr>
    </w:p>
    <w:p>
      <w:pPr>
        <w:ind w:right="100" w:firstLine="624"/>
        <w:spacing w:after="0" w:line="245" w:lineRule="auto"/>
        <w:rPr>
          <w:sz w:val="20"/>
          <w:szCs w:val="20"/>
          <w:color w:val="auto"/>
        </w:rPr>
      </w:pPr>
      <w:r>
        <w:rPr>
          <w:rFonts w:ascii="Arial" w:cs="Arial" w:eastAsia="Arial" w:hAnsi="Arial"/>
          <w:sz w:val="16"/>
          <w:szCs w:val="16"/>
          <w:color w:val="auto"/>
        </w:rPr>
        <w:t>Holders of proxies solicited by this Proxy Statement will vote the proxies they receive as directed on the proxy card, or, if no direction is made, for the election of the Board's six nominees. If any nominee is unable or declines to serve as a director at the time of the Annual Meeting, the proxy holders will vote for a nominee designated by the present Board to fill the vacancy or, in the event no such designation is made, proxies will be voted for a lesser number of nominees.</w:t>
      </w:r>
    </w:p>
    <w:p>
      <w:pPr>
        <w:spacing w:after="0" w:line="186" w:lineRule="exact"/>
        <w:rPr>
          <w:sz w:val="20"/>
          <w:szCs w:val="20"/>
          <w:color w:val="auto"/>
        </w:rPr>
      </w:pPr>
    </w:p>
    <w:p>
      <w:pPr>
        <w:ind w:right="180" w:firstLine="624"/>
        <w:spacing w:after="0" w:line="253" w:lineRule="auto"/>
        <w:rPr>
          <w:sz w:val="20"/>
          <w:szCs w:val="20"/>
          <w:color w:val="auto"/>
        </w:rPr>
      </w:pPr>
      <w:r>
        <w:rPr>
          <w:rFonts w:ascii="Arial" w:cs="Arial" w:eastAsia="Arial" w:hAnsi="Arial"/>
          <w:sz w:val="16"/>
          <w:szCs w:val="16"/>
          <w:color w:val="auto"/>
        </w:rPr>
        <w:t>Set forth below is biographical information for each nominee, including age, a brief listing of principal occupations for at least the past five years, other major affiliations, and the specific experience, qualifications, attributes and skills that qualify each candidate to serve on the Board.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right="140" w:firstLine="624"/>
        <w:spacing w:after="0" w:line="264" w:lineRule="auto"/>
        <w:rPr>
          <w:sz w:val="20"/>
          <w:szCs w:val="20"/>
          <w:color w:val="auto"/>
        </w:rPr>
      </w:pPr>
      <w:r>
        <w:rPr>
          <w:rFonts w:ascii="Arial" w:cs="Arial" w:eastAsia="Arial" w:hAnsi="Arial"/>
          <w:sz w:val="15"/>
          <w:szCs w:val="15"/>
          <w:b w:val="1"/>
          <w:bCs w:val="1"/>
          <w:color w:val="auto"/>
        </w:rPr>
        <w:t>Jennifer S. Banner</w:t>
      </w:r>
      <w:r>
        <w:rPr>
          <w:rFonts w:ascii="Arial" w:cs="Arial" w:eastAsia="Arial" w:hAnsi="Arial"/>
          <w:sz w:val="15"/>
          <w:szCs w:val="15"/>
          <w:color w:val="auto"/>
        </w:rPr>
        <w:t>, age 58, was appointed to the Board of Directors on June 1, 2015. Ms. Banner has served as Chief Executive Officer of Schaad</w:t>
      </w:r>
      <w:r>
        <w:rPr>
          <w:rFonts w:ascii="Arial" w:cs="Arial" w:eastAsia="Arial" w:hAnsi="Arial"/>
          <w:sz w:val="15"/>
          <w:szCs w:val="15"/>
          <w:b w:val="1"/>
          <w:bCs w:val="1"/>
          <w:color w:val="auto"/>
        </w:rPr>
        <w:t xml:space="preserve"> </w:t>
      </w:r>
      <w:r>
        <w:rPr>
          <w:rFonts w:ascii="Arial" w:cs="Arial" w:eastAsia="Arial" w:hAnsi="Arial"/>
          <w:sz w:val="15"/>
          <w:szCs w:val="15"/>
          <w:color w:val="auto"/>
        </w:rPr>
        <w:t>Companies, LLC since 2008. Schaad Companies is a 107-year-old privately held real estate holding company with businesses in residential and commercial construction, development, property management and leasing, real estate brokerage and land investments. In addition, Ms. Banner has served as Chief Executive Officer and Manager of the Schaad Family Office, LLC since 2012 and as President and Chief Executive Officer of SchaadSource, LLC (a shared services company) since 2006. Previously, she spent 22 years in public accounting, practicing in the tax area with Ernst &amp; Whinney (now Ernst &amp; Young LLP) in Florida and Pershing Yoakley &amp; Associates in Tennessee. Ms. Banner has been a director of BB&amp;T Corporation since 2003 (presently serving as lead director and as a member of the executive and risk committees) and Branch Banking and Trust Company since 2013 and is a past director of Federal Reserve Bank of Atlanta (Nashville Branch) and First Virginia Banks, Inc. and First Vantage Bank. Ms. Banner maintains an active license as a Certified Public Accountant in the State of Tennessee, and she holds a Master of Accountancy and Bachelor of Science in Business Administration from the University of Tennessee.</w:t>
      </w:r>
    </w:p>
    <w:p>
      <w:pPr>
        <w:spacing w:after="0" w:line="372" w:lineRule="exact"/>
        <w:rPr>
          <w:sz w:val="20"/>
          <w:szCs w:val="20"/>
          <w:color w:val="auto"/>
        </w:rPr>
      </w:pPr>
    </w:p>
    <w:p>
      <w:pPr>
        <w:ind w:right="140" w:firstLine="624"/>
        <w:spacing w:after="0" w:line="244" w:lineRule="auto"/>
        <w:rPr>
          <w:sz w:val="20"/>
          <w:szCs w:val="20"/>
          <w:color w:val="auto"/>
        </w:rPr>
      </w:pPr>
      <w:r>
        <w:rPr>
          <w:rFonts w:ascii="Arial" w:cs="Arial" w:eastAsia="Arial" w:hAnsi="Arial"/>
          <w:sz w:val="16"/>
          <w:szCs w:val="16"/>
          <w:color w:val="auto"/>
        </w:rPr>
        <w:t>Ms. Banner's accounting expertise as a Certified Public Accountant, her management experience as Chief Executive Officer of a diversified real estate holding company and her experience in public company board service in the financial services industry qualify her to serve on our Board of Directors and to serve as Chair of the Audit Committee. As a result of this expertise and experience, Ms. Banner is uniquely qualified to advise not only on general accounting and financial matters but on various technical accounting, corporate governance, risk management and real estate matters that the Board of Directors may address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258685"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Scott G. Bruce</w:t>
      </w:r>
      <w:r>
        <w:rPr>
          <w:rFonts w:ascii="Arial" w:cs="Arial" w:eastAsia="Arial" w:hAnsi="Arial"/>
          <w:sz w:val="16"/>
          <w:szCs w:val="16"/>
          <w:color w:val="auto"/>
        </w:rPr>
        <w:t>, age 56, was appointed to the Board of Directors on June 29, 2016. Mr. Bruce has served as Managing Director of Associated</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Partners, LP, a private investment partnership focusing on creating, operating and investing in wireless communications companies, since its inception in 2007. In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addition, Mr. Bruce has served as Managing Director and General Counsel of Liberty Associated Partners, LP, a predecessor investment vehicle, since 2000. 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is also the Chief Executive Officer and a Director of AP WIP Investments, LLC and AP Tower Investments, LLC, both wireless infrastructure holding companies.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Previously, Mr. Bruce was General Counsel and Secretary of Associated Group, Inc., a publicly traded company that owned various communications businesses,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from 1994 to 2000, when it was sold to AT&amp;T/Liberty Media. He also served as Vice President and General Counsel of Associated Communications Corporation,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 publicly traded predecessor company to Associated Group, from 1992 to 1994, when the company sold its cellular telephone businesses to SBC/AT&amp;T. Prior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joining Associated, Mr. Bruce practiced corporate law at Wolf, Block, Schorr and Solis-Cohen in Philadelphia, Pennsylvania from 1987 to 1992. Prior to that, 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worked as an auditor in the New York office of Touche Ross &amp; Co. (predecessor to Deloitte) from 1983 to 1985. In connection with Mr. Bruce's responsibilities at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Associated, he has held various board memberships at private companies. Mr. Bruce holds an A.B. in History from Colgate University, an M.S. (Accounting) from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New York University Stern School of Business and a J.D. from the Villanova University School of Law.</w:t>
      </w:r>
    </w:p>
    <w:p>
      <w:pPr>
        <w:spacing w:after="0" w:line="396" w:lineRule="exact"/>
        <w:rPr>
          <w:sz w:val="20"/>
          <w:szCs w:val="20"/>
          <w:color w:val="auto"/>
        </w:rPr>
      </w:pPr>
    </w:p>
    <w:p>
      <w:pPr>
        <w:ind w:right="980" w:firstLine="624"/>
        <w:spacing w:after="0" w:line="253" w:lineRule="auto"/>
        <w:rPr>
          <w:sz w:val="20"/>
          <w:szCs w:val="20"/>
          <w:color w:val="auto"/>
        </w:rPr>
      </w:pPr>
      <w:r>
        <w:rPr>
          <w:rFonts w:ascii="Arial" w:cs="Arial" w:eastAsia="Arial" w:hAnsi="Arial"/>
          <w:sz w:val="16"/>
          <w:szCs w:val="16"/>
          <w:color w:val="auto"/>
        </w:rPr>
        <w:t>Mr. Bruce's operational, management and investment expertise gained through years of experience as both an executive and lawyer in the telecommunications and communications infrastructure industries qualifies him to serve on our Board. The Board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believes that Mr. Bruce has a valuable understanding of, and is equipped to assist the Board in navigating, the challenges of the segment of the communications industry in which Uniti competes.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258685"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140" w:firstLine="624"/>
        <w:spacing w:after="0" w:line="246" w:lineRule="auto"/>
        <w:rPr>
          <w:sz w:val="20"/>
          <w:szCs w:val="20"/>
          <w:color w:val="auto"/>
        </w:rPr>
      </w:pPr>
      <w:r>
        <w:rPr>
          <w:rFonts w:ascii="Arial" w:cs="Arial" w:eastAsia="Arial" w:hAnsi="Arial"/>
          <w:sz w:val="16"/>
          <w:szCs w:val="16"/>
          <w:b w:val="1"/>
          <w:bCs w:val="1"/>
          <w:color w:val="auto"/>
        </w:rPr>
        <w:t>Francis X. ("Skip") Frantz</w:t>
      </w:r>
      <w:r>
        <w:rPr>
          <w:rFonts w:ascii="Arial" w:cs="Arial" w:eastAsia="Arial" w:hAnsi="Arial"/>
          <w:sz w:val="16"/>
          <w:szCs w:val="16"/>
          <w:color w:val="auto"/>
        </w:rPr>
        <w:t>, age 64, has served as Chairman of the Board of Directors since our spin-off from Windstream. He previously served as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Windstream from 2006 until the spin-off, serving as Chairman of its Audit Committee at the time of his resignation from the Windstream board of directors. From July 2006 to February 2010, he served as Chairman of the Windstream board. Mr. Frantz served as the 2006 and 2007 Chairman of the Board and of the Executive Committee of the United States Telecom Association. Mr. Frantz served as Chairman of a community bank in Little Rock, Arkansas from February 2007 until May 2014 and serves as a director of a number of other privately held companies. Prior to January 2006, Mr. Frantz was Executive Vice President–External Affairs, General Counsel and Secretary of Alltel Corporation ("Alltel"). Mr. Frantz joined Alltel in 1990 as Senior Vice President and General Counsel and was appointed Secretary in January 1992 and Executive Vice President in July 1998. While with Alltel, he was responsible for Alltel's merger and acquisition negotiations, wholesale services group, federal and state government and external affairs, corporate communications, administrative services and corporate governance, in addition to serving as Alltel's chief legal officer.</w:t>
      </w:r>
    </w:p>
    <w:p>
      <w:pPr>
        <w:spacing w:after="0" w:line="382" w:lineRule="exact"/>
        <w:rPr>
          <w:sz w:val="20"/>
          <w:szCs w:val="20"/>
          <w:color w:val="auto"/>
        </w:rPr>
      </w:pPr>
    </w:p>
    <w:p>
      <w:pPr>
        <w:ind w:right="620" w:firstLine="624"/>
        <w:spacing w:after="0" w:line="241" w:lineRule="auto"/>
        <w:rPr>
          <w:sz w:val="20"/>
          <w:szCs w:val="20"/>
          <w:color w:val="auto"/>
        </w:rPr>
      </w:pPr>
      <w:r>
        <w:rPr>
          <w:rFonts w:ascii="Arial" w:cs="Arial" w:eastAsia="Arial" w:hAnsi="Arial"/>
          <w:sz w:val="16"/>
          <w:szCs w:val="16"/>
          <w:color w:val="auto"/>
        </w:rPr>
        <w:t>Mr. Frantz's qualifications for election to the Board and to serve as Chair of the Governance Committee include his ability to provide insight and perspective on a wide range of issues facing business enterprises based on his long tenure as a senior executive in the telecommunications industry.</w:t>
      </w:r>
    </w:p>
    <w:p>
      <w:pPr>
        <w:spacing w:after="0" w:line="244" w:lineRule="auto"/>
        <w:rPr>
          <w:sz w:val="20"/>
          <w:szCs w:val="20"/>
          <w:color w:val="auto"/>
        </w:rPr>
      </w:pPr>
      <w:r>
        <w:rPr>
          <w:rFonts w:ascii="Arial" w:cs="Arial" w:eastAsia="Arial" w:hAnsi="Arial"/>
          <w:sz w:val="16"/>
          <w:szCs w:val="16"/>
          <w:color w:val="auto"/>
        </w:rPr>
        <w:t>Mr. Frantz's over-15-year career as a senior telecom executive in various capacities provides him with a thorough understanding of all aspects of Uniti's target market, and his service as a director and chairman of the United States Telecom Association provides Mr. Frantz with additional experience and insight in communications policy and regulation. Through his current involvement with a number of private companies and his prior role as Chairman of Windstream and, before that, as senior executive of Alltel, Mr. Frantz has extensive experience in corporate governance, mergers and acquisitions, risk management, government policy and regulation, and capital markets transactions, in addition to the specific aspects of the telecommunications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7258685"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firstLine="624"/>
        <w:spacing w:after="0" w:line="253" w:lineRule="auto"/>
        <w:rPr>
          <w:sz w:val="20"/>
          <w:szCs w:val="20"/>
          <w:color w:val="auto"/>
        </w:rPr>
      </w:pPr>
      <w:r>
        <w:rPr>
          <w:rFonts w:ascii="Arial" w:cs="Arial" w:eastAsia="Arial" w:hAnsi="Arial"/>
          <w:sz w:val="16"/>
          <w:szCs w:val="16"/>
          <w:b w:val="1"/>
          <w:bCs w:val="1"/>
          <w:color w:val="auto"/>
        </w:rPr>
        <w:t>Andrew Frey</w:t>
      </w:r>
      <w:r>
        <w:rPr>
          <w:rFonts w:ascii="Arial" w:cs="Arial" w:eastAsia="Arial" w:hAnsi="Arial"/>
          <w:sz w:val="16"/>
          <w:szCs w:val="16"/>
          <w:color w:val="auto"/>
        </w:rPr>
        <w:t>, age 42, was appointed to the Board of Directors on August 9, 2016. Mr. Frey is a Partner at Searchlight Capital Partners, a global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firm. Prior to joining Searchlight in 2011, Mr. Frey was a Managing Principal at Quadrangle Group where he primarily focused on telecommunications and technology investments. Mr. Frey serves on the boards of Hemisphere Media Group, Inc., Liberty Cablevision Puerto Rico and Shift4 Payments LLC. Mr. Frey received a B.S. in Finance and B.A.S. in Systems Engineering from the University of Pennsylvania.</w:t>
      </w:r>
    </w:p>
    <w:p>
      <w:pPr>
        <w:spacing w:after="0" w:line="379" w:lineRule="exact"/>
        <w:rPr>
          <w:sz w:val="20"/>
          <w:szCs w:val="20"/>
          <w:color w:val="auto"/>
        </w:rPr>
      </w:pPr>
    </w:p>
    <w:p>
      <w:pPr>
        <w:ind w:right="300" w:firstLine="624"/>
        <w:spacing w:after="0" w:line="247" w:lineRule="auto"/>
        <w:rPr>
          <w:sz w:val="20"/>
          <w:szCs w:val="20"/>
          <w:color w:val="auto"/>
        </w:rPr>
      </w:pPr>
      <w:r>
        <w:rPr>
          <w:rFonts w:ascii="Arial" w:cs="Arial" w:eastAsia="Arial" w:hAnsi="Arial"/>
          <w:sz w:val="16"/>
          <w:szCs w:val="16"/>
          <w:color w:val="auto"/>
        </w:rPr>
        <w:t>Mr. Frey's qualifications for election to the Board include his financial and investment experience, particularly his investment experience in other telecommunications and technology companies. Through this experience, and his service on the boards of other companies (including one public company), Mr. Frey brings to the Board a significant amount of experience in making and managing investments in the telecommunications industry.</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58685"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right="160" w:firstLine="624"/>
        <w:spacing w:after="0" w:line="247" w:lineRule="auto"/>
        <w:rPr>
          <w:sz w:val="20"/>
          <w:szCs w:val="20"/>
          <w:color w:val="auto"/>
        </w:rPr>
      </w:pPr>
      <w:r>
        <w:rPr>
          <w:rFonts w:ascii="Arial" w:cs="Arial" w:eastAsia="Arial" w:hAnsi="Arial"/>
          <w:sz w:val="16"/>
          <w:szCs w:val="16"/>
          <w:b w:val="1"/>
          <w:bCs w:val="1"/>
          <w:color w:val="auto"/>
        </w:rPr>
        <w:t>Kenneth A. Gunderman</w:t>
      </w:r>
      <w:r>
        <w:rPr>
          <w:rFonts w:ascii="Arial" w:cs="Arial" w:eastAsia="Arial" w:hAnsi="Arial"/>
          <w:sz w:val="16"/>
          <w:szCs w:val="16"/>
          <w:color w:val="auto"/>
        </w:rPr>
        <w:t>, age 47, was appointed to the Board of Directors and has served as President and Chief Executive Officer since March 2,</w:t>
      </w:r>
      <w:r>
        <w:rPr>
          <w:rFonts w:ascii="Arial" w:cs="Arial" w:eastAsia="Arial" w:hAnsi="Arial"/>
          <w:sz w:val="16"/>
          <w:szCs w:val="16"/>
          <w:b w:val="1"/>
          <w:bCs w:val="1"/>
          <w:color w:val="auto"/>
        </w:rPr>
        <w:t xml:space="preserve"> </w:t>
      </w:r>
      <w:r>
        <w:rPr>
          <w:rFonts w:ascii="Arial" w:cs="Arial" w:eastAsia="Arial" w:hAnsi="Arial"/>
          <w:sz w:val="16"/>
          <w:szCs w:val="16"/>
          <w:color w:val="auto"/>
        </w:rPr>
        <w:t>2015. Mr. Gunderman has 17 years of investment banking experience in the telecommunications industry. Prior to his appointment as President and Chief Executive Officer of Uniti, he served as the co-head of investment banking at Stephens Inc., where he was responsible for the strategic direction of the investment banking department and advised on many of the firm's notable investment banking transactions. From July 2014 to August 2017, Mr. Gunderman served on the board of America's Car-Mart, Inc. Prior to joining Stephens Inc., Mr. Gunderman was a member of the telecom investment banking group at Lehman Brothers, where he advised on various transactions and financings totaling more than $125 billion. He also worked as a Certified Public Accountant at KPMG and holds an MBA from Yale and a Bachelor of Arts from Hendrix College.</w:t>
      </w:r>
    </w:p>
    <w:p>
      <w:pPr>
        <w:spacing w:after="0" w:line="384" w:lineRule="exact"/>
        <w:rPr>
          <w:sz w:val="20"/>
          <w:szCs w:val="20"/>
          <w:color w:val="auto"/>
        </w:rPr>
      </w:pPr>
    </w:p>
    <w:p>
      <w:pPr>
        <w:jc w:val="both"/>
        <w:ind w:right="260" w:firstLine="621"/>
        <w:spacing w:after="0" w:line="247" w:lineRule="auto"/>
        <w:rPr>
          <w:sz w:val="20"/>
          <w:szCs w:val="20"/>
          <w:color w:val="auto"/>
        </w:rPr>
      </w:pPr>
      <w:r>
        <w:rPr>
          <w:rFonts w:ascii="Arial" w:cs="Arial" w:eastAsia="Arial" w:hAnsi="Arial"/>
          <w:sz w:val="16"/>
          <w:szCs w:val="16"/>
          <w:color w:val="auto"/>
        </w:rPr>
        <w:t>The Board believes it is important that Uniti's Chief Executive Officer serve on the Board of Directors, as the position of Chief Executive Officer puts Mr. Gunderman in a unique position to understand the challenges and issues facing the Company. Mr. Gunderman's qualifications for service on our Board of Directors include the same demonstrated skills and experience that qualify him to serve as Chief Executive Officer of Uniti.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25868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140" w:firstLine="624"/>
        <w:spacing w:after="0" w:line="246" w:lineRule="auto"/>
        <w:rPr>
          <w:sz w:val="20"/>
          <w:szCs w:val="20"/>
          <w:color w:val="auto"/>
        </w:rPr>
      </w:pPr>
      <w:r>
        <w:rPr>
          <w:rFonts w:ascii="Arial" w:cs="Arial" w:eastAsia="Arial" w:hAnsi="Arial"/>
          <w:sz w:val="16"/>
          <w:szCs w:val="16"/>
          <w:b w:val="1"/>
          <w:bCs w:val="1"/>
          <w:color w:val="auto"/>
        </w:rPr>
        <w:t>David L. Solomon</w:t>
      </w:r>
      <w:r>
        <w:rPr>
          <w:rFonts w:ascii="Arial" w:cs="Arial" w:eastAsia="Arial" w:hAnsi="Arial"/>
          <w:sz w:val="16"/>
          <w:szCs w:val="16"/>
          <w:color w:val="auto"/>
        </w:rPr>
        <w:t>, age 58, was appointed to the Board of Directors on June 1, 2015. Mr. Solomon is a founder and Managing Director of Meritage</w:t>
      </w:r>
      <w:r>
        <w:rPr>
          <w:rFonts w:ascii="Arial" w:cs="Arial" w:eastAsia="Arial" w:hAnsi="Arial"/>
          <w:sz w:val="16"/>
          <w:szCs w:val="16"/>
          <w:b w:val="1"/>
          <w:bCs w:val="1"/>
          <w:color w:val="auto"/>
        </w:rPr>
        <w:t xml:space="preserve"> </w:t>
      </w:r>
      <w:r>
        <w:rPr>
          <w:rFonts w:ascii="Arial" w:cs="Arial" w:eastAsia="Arial" w:hAnsi="Arial"/>
          <w:sz w:val="16"/>
          <w:szCs w:val="16"/>
          <w:color w:val="auto"/>
        </w:rPr>
        <w:t>Funds, a Denver-based manager of private investment funds. Previously, he served as Chief Executive Officer and Executive Chairman of NuVox Communications, Inc. until it was acquired by Windstream in 2010. A Certified Public Accountant (inactive status) with a strong operational and financial background, Mr. Solomon served as Executive Vice President and Chief Financial Officer at Brooks Fiber Properties ("Brooks") immediately following its formation in 1993 until its sale to MCI/WorldCom in 1998. As Chief Financial Officer at Brooks, Mr. Solomon led numerous private and public debt and equity transactions, including Brooks' initial public offering. Mr. Solomon worked in the audit practice of KPMG from 1981 until he joined Brooks. When Mr. Solomon departed KPMG, he was a Partner in the audit practice. In connection with Mr. Solomon's responsibilities at Meritage Funds, he currently serves as a board member of several private companies. Mr. Solomon is a member of the American Institute and Tennessee Society of CPAs and serves on the board of trustees for his alma mater, Lipscomb University in Nashville, Tennessee.</w:t>
      </w:r>
    </w:p>
    <w:p>
      <w:pPr>
        <w:spacing w:after="0" w:line="382" w:lineRule="exact"/>
        <w:rPr>
          <w:sz w:val="20"/>
          <w:szCs w:val="20"/>
          <w:color w:val="auto"/>
        </w:rPr>
      </w:pPr>
    </w:p>
    <w:p>
      <w:pPr>
        <w:ind w:firstLine="624"/>
        <w:spacing w:after="0" w:line="245" w:lineRule="auto"/>
        <w:rPr>
          <w:sz w:val="20"/>
          <w:szCs w:val="20"/>
          <w:color w:val="auto"/>
        </w:rPr>
      </w:pPr>
      <w:r>
        <w:rPr>
          <w:rFonts w:ascii="Arial" w:cs="Arial" w:eastAsia="Arial" w:hAnsi="Arial"/>
          <w:sz w:val="16"/>
          <w:szCs w:val="16"/>
          <w:color w:val="auto"/>
        </w:rPr>
        <w:t>Mr. Solomon's financial, accounting and management expertise gained through his long tenure as a senior executive in the telecommunications industry qualifies him to serve on our Board of Directors and to serve as Chair of the Compensation Committee. As a result of his extensive management experience, Mr. Solomon has a deep understanding of corporate planning, risk management, executive compensation and capital markets, which is an invaluable asset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970280</wp:posOffset>
            </wp:positionH>
            <wp:positionV relativeFrom="paragraph">
              <wp:posOffset>116205</wp:posOffset>
            </wp:positionV>
            <wp:extent cx="5316855" cy="1409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16855" cy="140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0ACD2"/>
        </w:rPr>
        <w:t>SECURITY OWNERSHIP OF CERTAIN BENEFICIAL OWNERS AND MANAGEMENT</w:t>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sets forth information with respect to the beneficial ownership of our common stock, as of March 16, 2018, by:</w:t>
      </w:r>
    </w:p>
    <w:p>
      <w:pPr>
        <w:spacing w:after="0" w:line="198" w:lineRule="exact"/>
        <w:rPr>
          <w:sz w:val="20"/>
          <w:szCs w:val="20"/>
          <w:color w:val="auto"/>
        </w:rPr>
      </w:pPr>
    </w:p>
    <w:p>
      <w:pPr>
        <w:ind w:left="980" w:hanging="488"/>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directors (all of whom are director nominees);</w:t>
      </w:r>
    </w:p>
    <w:p>
      <w:pPr>
        <w:spacing w:after="0" w:line="198" w:lineRule="exact"/>
        <w:rPr>
          <w:rFonts w:ascii="Arial" w:cs="Arial" w:eastAsia="Arial" w:hAnsi="Arial"/>
          <w:sz w:val="16"/>
          <w:szCs w:val="16"/>
          <w:color w:val="auto"/>
        </w:rPr>
      </w:pPr>
    </w:p>
    <w:p>
      <w:pPr>
        <w:ind w:left="980" w:hanging="488"/>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named executive officers;</w:t>
      </w:r>
    </w:p>
    <w:p>
      <w:pPr>
        <w:spacing w:after="0" w:line="185" w:lineRule="exact"/>
        <w:rPr>
          <w:rFonts w:ascii="Arial" w:cs="Arial" w:eastAsia="Arial" w:hAnsi="Arial"/>
          <w:sz w:val="16"/>
          <w:szCs w:val="16"/>
          <w:color w:val="auto"/>
        </w:rPr>
      </w:pPr>
    </w:p>
    <w:p>
      <w:pPr>
        <w:ind w:left="980" w:hanging="488"/>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all of our current directors and executive officers as a group; and</w:t>
      </w:r>
    </w:p>
    <w:p>
      <w:pPr>
        <w:spacing w:after="0" w:line="185" w:lineRule="exact"/>
        <w:rPr>
          <w:rFonts w:ascii="Arial" w:cs="Arial" w:eastAsia="Arial" w:hAnsi="Arial"/>
          <w:sz w:val="16"/>
          <w:szCs w:val="16"/>
          <w:color w:val="auto"/>
        </w:rPr>
      </w:pPr>
    </w:p>
    <w:p>
      <w:pPr>
        <w:ind w:left="620" w:right="1580" w:hanging="128"/>
        <w:spacing w:after="0" w:line="498" w:lineRule="auto"/>
        <w:tabs>
          <w:tab w:leader="none" w:pos="986" w:val="left"/>
        </w:tabs>
        <w:numPr>
          <w:ilvl w:val="0"/>
          <w:numId w:val="37"/>
        </w:numPr>
        <w:rPr>
          <w:rFonts w:ascii="Arial" w:cs="Arial" w:eastAsia="Arial" w:hAnsi="Arial"/>
          <w:sz w:val="16"/>
          <w:szCs w:val="16"/>
          <w:color w:val="auto"/>
        </w:rPr>
      </w:pPr>
      <w:r>
        <w:rPr>
          <w:rFonts w:ascii="Arial" w:cs="Arial" w:eastAsia="Arial" w:hAnsi="Arial"/>
          <w:sz w:val="16"/>
          <w:szCs w:val="16"/>
          <w:color w:val="auto"/>
        </w:rPr>
        <w:t>each other person, or group of affiliated persons, who is known by us to beneficially own more than 5% of our common stock. The percentages in the tables below are based on 175,779,917 shares of common stock outstanding as of March 16, 2018.</w:t>
      </w:r>
    </w:p>
    <w:p>
      <w:pPr>
        <w:spacing w:after="0" w:line="1" w:lineRule="exact"/>
        <w:rPr>
          <w:sz w:val="20"/>
          <w:szCs w:val="20"/>
          <w:color w:val="auto"/>
        </w:rPr>
      </w:pPr>
    </w:p>
    <w:p>
      <w:pPr>
        <w:ind w:right="160" w:firstLine="621"/>
        <w:spacing w:after="0" w:line="242" w:lineRule="auto"/>
        <w:rPr>
          <w:sz w:val="20"/>
          <w:szCs w:val="20"/>
          <w:color w:val="auto"/>
        </w:rPr>
      </w:pPr>
      <w:r>
        <w:rPr>
          <w:rFonts w:ascii="Arial" w:cs="Arial" w:eastAsia="Arial" w:hAnsi="Arial"/>
          <w:sz w:val="16"/>
          <w:szCs w:val="16"/>
          <w:color w:val="auto"/>
        </w:rPr>
        <w:t>The amounts and percentages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the security, or "investment power," which includes the power to dispose of or to direct the disposition of the security. A person is also deemed to be a beneficial owner of any securities of which that person has a right to acquire beneficial ownership within 60 days. Under these rules, more than one person may be deemed a beneficial owner of the same securities and a person may be deemed to be a beneficial owner of securities as to which that person has no economic interest. Except as otherwise noted, the persons and entities listed in the table below have sole voting and investing power with respect to all of the shares of our common stock they beneficially own, subject to community property laws where applicable. Except as otherwise set forth below, the address of the beneficial owner is c/o Uniti Group Inc., 10802 Executive Center Drive, Benton Building, Suite 300, Little Rock, Arkansas 72211.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Amount and Nature</w:t>
            </w:r>
          </w:p>
        </w:tc>
        <w:tc>
          <w:tcPr>
            <w:tcW w:w="3860" w:type="dxa"/>
            <w:vAlign w:val="bottom"/>
            <w:gridSpan w:val="2"/>
          </w:tcPr>
          <w:p>
            <w:pPr>
              <w:jc w:val="center"/>
              <w:ind w:right="1620"/>
              <w:spacing w:after="0"/>
              <w:rPr>
                <w:sz w:val="20"/>
                <w:szCs w:val="20"/>
                <w:color w:val="auto"/>
              </w:rPr>
            </w:pPr>
            <w:r>
              <w:rPr>
                <w:rFonts w:ascii="Arial" w:cs="Arial" w:eastAsia="Arial" w:hAnsi="Arial"/>
                <w:sz w:val="16"/>
                <w:szCs w:val="16"/>
                <w:b w:val="1"/>
                <w:bCs w:val="1"/>
                <w:color w:val="auto"/>
              </w:rPr>
              <w:t>Percentage of Shares</w:t>
            </w:r>
          </w:p>
        </w:tc>
      </w:tr>
      <w:tr>
        <w:trPr>
          <w:trHeight w:val="185"/>
        </w:trPr>
        <w:tc>
          <w:tcPr>
            <w:tcW w:w="1360" w:type="dxa"/>
            <w:vAlign w:val="bottom"/>
          </w:tcPr>
          <w:p>
            <w:pPr>
              <w:spacing w:after="0"/>
              <w:rPr>
                <w:sz w:val="16"/>
                <w:szCs w:val="16"/>
                <w:color w:val="auto"/>
              </w:rPr>
            </w:pPr>
          </w:p>
        </w:tc>
        <w:tc>
          <w:tcPr>
            <w:tcW w:w="3900" w:type="dxa"/>
            <w:vAlign w:val="bottom"/>
          </w:tcPr>
          <w:p>
            <w:pPr>
              <w:ind w:left="1120"/>
              <w:spacing w:after="0"/>
              <w:rPr>
                <w:sz w:val="20"/>
                <w:szCs w:val="20"/>
                <w:color w:val="auto"/>
              </w:rPr>
            </w:pPr>
            <w:r>
              <w:rPr>
                <w:rFonts w:ascii="Arial" w:cs="Arial" w:eastAsia="Arial" w:hAnsi="Arial"/>
                <w:sz w:val="16"/>
                <w:szCs w:val="16"/>
                <w:b w:val="1"/>
                <w:bCs w:val="1"/>
                <w:color w:val="auto"/>
              </w:rPr>
              <w:t>Name and Address of</w:t>
            </w:r>
          </w:p>
        </w:tc>
        <w:tc>
          <w:tcPr>
            <w:tcW w:w="180" w:type="dxa"/>
            <w:vAlign w:val="bottom"/>
          </w:tcPr>
          <w:p>
            <w:pPr>
              <w:spacing w:after="0"/>
              <w:rPr>
                <w:sz w:val="16"/>
                <w:szCs w:val="16"/>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of Beneficial</w:t>
            </w:r>
          </w:p>
        </w:tc>
        <w:tc>
          <w:tcPr>
            <w:tcW w:w="3860" w:type="dxa"/>
            <w:vAlign w:val="bottom"/>
            <w:gridSpan w:val="2"/>
          </w:tcPr>
          <w:p>
            <w:pPr>
              <w:jc w:val="center"/>
              <w:ind w:right="1620"/>
              <w:spacing w:after="0"/>
              <w:rPr>
                <w:sz w:val="20"/>
                <w:szCs w:val="20"/>
                <w:color w:val="auto"/>
              </w:rPr>
            </w:pPr>
            <w:r>
              <w:rPr>
                <w:rFonts w:ascii="Arial" w:cs="Arial" w:eastAsia="Arial" w:hAnsi="Arial"/>
                <w:sz w:val="16"/>
                <w:szCs w:val="16"/>
                <w:b w:val="1"/>
                <w:bCs w:val="1"/>
                <w:color w:val="auto"/>
                <w:w w:val="99"/>
              </w:rPr>
              <w:t>of Common Stock</w:t>
            </w:r>
          </w:p>
        </w:tc>
      </w:tr>
      <w:tr>
        <w:trPr>
          <w:trHeight w:val="202"/>
        </w:trPr>
        <w:tc>
          <w:tcPr>
            <w:tcW w:w="1360" w:type="dxa"/>
            <w:vAlign w:val="bottom"/>
          </w:tcPr>
          <w:p>
            <w:pPr>
              <w:spacing w:after="0"/>
              <w:rPr>
                <w:sz w:val="17"/>
                <w:szCs w:val="17"/>
                <w:color w:val="auto"/>
              </w:rPr>
            </w:pPr>
          </w:p>
        </w:tc>
        <w:tc>
          <w:tcPr>
            <w:tcW w:w="3900" w:type="dxa"/>
            <w:vAlign w:val="bottom"/>
            <w:tcBorders>
              <w:bottom w:val="single" w:sz="8" w:color="auto"/>
            </w:tcBorders>
          </w:tcPr>
          <w:p>
            <w:pPr>
              <w:ind w:left="1300"/>
              <w:spacing w:after="0"/>
              <w:rPr>
                <w:sz w:val="20"/>
                <w:szCs w:val="20"/>
                <w:color w:val="auto"/>
              </w:rPr>
            </w:pPr>
            <w:r>
              <w:rPr>
                <w:rFonts w:ascii="Arial" w:cs="Arial" w:eastAsia="Arial" w:hAnsi="Arial"/>
                <w:sz w:val="16"/>
                <w:szCs w:val="16"/>
                <w:b w:val="1"/>
                <w:bCs w:val="1"/>
                <w:color w:val="auto"/>
              </w:rPr>
              <w:t>Beneficial Owner</w:t>
            </w:r>
          </w:p>
        </w:tc>
        <w:tc>
          <w:tcPr>
            <w:tcW w:w="180" w:type="dxa"/>
            <w:vAlign w:val="bottom"/>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Ownership</w:t>
            </w:r>
          </w:p>
        </w:tc>
        <w:tc>
          <w:tcPr>
            <w:tcW w:w="140" w:type="dxa"/>
            <w:vAlign w:val="bottom"/>
          </w:tcPr>
          <w:p>
            <w:pPr>
              <w:spacing w:after="0"/>
              <w:rPr>
                <w:sz w:val="17"/>
                <w:szCs w:val="17"/>
                <w:color w:val="auto"/>
              </w:rPr>
            </w:pPr>
          </w:p>
        </w:tc>
        <w:tc>
          <w:tcPr>
            <w:tcW w:w="238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rPr>
              <w:t>Beneficially Owned</w:t>
            </w:r>
          </w:p>
        </w:tc>
        <w:tc>
          <w:tcPr>
            <w:tcW w:w="1480" w:type="dxa"/>
            <w:vAlign w:val="bottom"/>
          </w:tcPr>
          <w:p>
            <w:pPr>
              <w:spacing w:after="0"/>
              <w:rPr>
                <w:sz w:val="17"/>
                <w:szCs w:val="17"/>
                <w:color w:val="auto"/>
              </w:rPr>
            </w:pPr>
          </w:p>
        </w:tc>
      </w:tr>
      <w:tr>
        <w:trPr>
          <w:trHeight w:val="177"/>
        </w:trPr>
        <w:tc>
          <w:tcPr>
            <w:tcW w:w="1360" w:type="dxa"/>
            <w:vAlign w:val="bottom"/>
          </w:tcPr>
          <w:p>
            <w:pPr>
              <w:spacing w:after="0"/>
              <w:rPr>
                <w:sz w:val="15"/>
                <w:szCs w:val="15"/>
                <w:color w:val="auto"/>
              </w:rPr>
            </w:pPr>
          </w:p>
        </w:tc>
        <w:tc>
          <w:tcPr>
            <w:tcW w:w="3900" w:type="dxa"/>
            <w:vAlign w:val="bottom"/>
            <w:shd w:val="clear" w:color="auto" w:fill="BFBFBF"/>
          </w:tcPr>
          <w:p>
            <w:pPr>
              <w:ind w:left="20"/>
              <w:spacing w:after="0" w:line="178" w:lineRule="exact"/>
              <w:rPr>
                <w:sz w:val="20"/>
                <w:szCs w:val="20"/>
                <w:color w:val="auto"/>
              </w:rPr>
            </w:pPr>
            <w:r>
              <w:rPr>
                <w:rFonts w:ascii="Arial" w:cs="Arial" w:eastAsia="Arial" w:hAnsi="Arial"/>
                <w:sz w:val="16"/>
                <w:szCs w:val="16"/>
                <w:color w:val="auto"/>
              </w:rPr>
              <w:t>Jennifer S. Banner</w:t>
            </w:r>
          </w:p>
        </w:tc>
        <w:tc>
          <w:tcPr>
            <w:tcW w:w="2300" w:type="dxa"/>
            <w:vAlign w:val="bottom"/>
            <w:gridSpan w:val="3"/>
            <w:shd w:val="clear" w:color="auto" w:fill="BFBFBF"/>
          </w:tcPr>
          <w:p>
            <w:pPr>
              <w:jc w:val="right"/>
              <w:ind w:right="140"/>
              <w:spacing w:after="0" w:line="178" w:lineRule="exact"/>
              <w:rPr>
                <w:sz w:val="20"/>
                <w:szCs w:val="20"/>
                <w:color w:val="auto"/>
              </w:rPr>
            </w:pPr>
            <w:r>
              <w:rPr>
                <w:rFonts w:ascii="Arial" w:cs="Arial" w:eastAsia="Arial" w:hAnsi="Arial"/>
                <w:sz w:val="16"/>
                <w:szCs w:val="16"/>
                <w:color w:val="auto"/>
              </w:rPr>
              <w:t>27,355</w:t>
            </w:r>
          </w:p>
        </w:tc>
        <w:tc>
          <w:tcPr>
            <w:tcW w:w="2380" w:type="dxa"/>
            <w:vAlign w:val="bottom"/>
            <w:shd w:val="clear" w:color="auto" w:fill="BFBFBF"/>
          </w:tcPr>
          <w:p>
            <w:pPr>
              <w:jc w:val="right"/>
              <w:ind w:right="60"/>
              <w:spacing w:after="0" w:line="178" w:lineRule="exact"/>
              <w:rPr>
                <w:sz w:val="20"/>
                <w:szCs w:val="20"/>
                <w:color w:val="auto"/>
              </w:rPr>
            </w:pPr>
            <w:r>
              <w:rPr>
                <w:rFonts w:ascii="Arial" w:cs="Arial" w:eastAsia="Arial" w:hAnsi="Arial"/>
                <w:sz w:val="16"/>
                <w:szCs w:val="16"/>
                <w:color w:val="auto"/>
              </w:rPr>
              <w:t>*</w:t>
            </w:r>
          </w:p>
        </w:tc>
        <w:tc>
          <w:tcPr>
            <w:tcW w:w="1480" w:type="dxa"/>
            <w:vAlign w:val="bottom"/>
          </w:tcPr>
          <w:p>
            <w:pPr>
              <w:spacing w:after="0"/>
              <w:rPr>
                <w:sz w:val="15"/>
                <w:szCs w:val="15"/>
                <w:color w:val="auto"/>
              </w:rPr>
            </w:pPr>
          </w:p>
        </w:tc>
      </w:tr>
      <w:tr>
        <w:trPr>
          <w:trHeight w:val="185"/>
        </w:trPr>
        <w:tc>
          <w:tcPr>
            <w:tcW w:w="1360" w:type="dxa"/>
            <w:vAlign w:val="bottom"/>
          </w:tcPr>
          <w:p>
            <w:pPr>
              <w:spacing w:after="0"/>
              <w:rPr>
                <w:sz w:val="16"/>
                <w:szCs w:val="16"/>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Scott G. Bruce</w:t>
            </w:r>
          </w:p>
        </w:tc>
        <w:tc>
          <w:tcPr>
            <w:tcW w:w="2300" w:type="dxa"/>
            <w:vAlign w:val="bottom"/>
            <w:gridSpan w:val="3"/>
          </w:tcPr>
          <w:p>
            <w:pPr>
              <w:jc w:val="right"/>
              <w:ind w:right="140"/>
              <w:spacing w:after="0"/>
              <w:rPr>
                <w:sz w:val="20"/>
                <w:szCs w:val="20"/>
                <w:color w:val="auto"/>
              </w:rPr>
            </w:pPr>
            <w:r>
              <w:rPr>
                <w:rFonts w:ascii="Arial" w:cs="Arial" w:eastAsia="Arial" w:hAnsi="Arial"/>
                <w:sz w:val="16"/>
                <w:szCs w:val="16"/>
                <w:color w:val="auto"/>
              </w:rPr>
              <w:t>17,120</w:t>
            </w:r>
          </w:p>
        </w:tc>
        <w:tc>
          <w:tcPr>
            <w:tcW w:w="2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16"/>
                <w:szCs w:val="16"/>
                <w:color w:val="auto"/>
              </w:rPr>
            </w:pPr>
          </w:p>
        </w:tc>
      </w:tr>
      <w:tr>
        <w:trPr>
          <w:trHeight w:val="185"/>
        </w:trPr>
        <w:tc>
          <w:tcPr>
            <w:tcW w:w="1360" w:type="dxa"/>
            <w:vAlign w:val="bottom"/>
          </w:tcPr>
          <w:p>
            <w:pPr>
              <w:spacing w:after="0"/>
              <w:rPr>
                <w:sz w:val="16"/>
                <w:szCs w:val="16"/>
                <w:color w:val="auto"/>
              </w:rPr>
            </w:pPr>
          </w:p>
        </w:tc>
        <w:tc>
          <w:tcPr>
            <w:tcW w:w="3900" w:type="dxa"/>
            <w:vAlign w:val="bottom"/>
            <w:shd w:val="clear" w:color="auto" w:fill="BFBFBF"/>
          </w:tcPr>
          <w:p>
            <w:pPr>
              <w:ind w:left="20"/>
              <w:spacing w:after="0"/>
              <w:rPr>
                <w:sz w:val="20"/>
                <w:szCs w:val="20"/>
                <w:color w:val="auto"/>
              </w:rPr>
            </w:pPr>
            <w:r>
              <w:rPr>
                <w:rFonts w:ascii="Arial" w:cs="Arial" w:eastAsia="Arial" w:hAnsi="Arial"/>
                <w:sz w:val="16"/>
                <w:szCs w:val="16"/>
                <w:color w:val="auto"/>
              </w:rPr>
              <w:t>Francis X. ("Skip") Frantz</w:t>
            </w:r>
          </w:p>
        </w:tc>
        <w:tc>
          <w:tcPr>
            <w:tcW w:w="2300" w:type="dxa"/>
            <w:vAlign w:val="bottom"/>
            <w:gridSpan w:val="3"/>
            <w:shd w:val="clear" w:color="auto" w:fill="BFBFBF"/>
          </w:tcPr>
          <w:p>
            <w:pPr>
              <w:jc w:val="right"/>
              <w:ind w:right="140"/>
              <w:spacing w:after="0"/>
              <w:rPr>
                <w:sz w:val="20"/>
                <w:szCs w:val="20"/>
                <w:color w:val="auto"/>
              </w:rPr>
            </w:pPr>
            <w:r>
              <w:rPr>
                <w:rFonts w:ascii="Arial" w:cs="Arial" w:eastAsia="Arial" w:hAnsi="Arial"/>
                <w:sz w:val="16"/>
                <w:szCs w:val="16"/>
                <w:color w:val="auto"/>
              </w:rPr>
              <w:t>175,446 (1)</w:t>
            </w:r>
          </w:p>
        </w:tc>
        <w:tc>
          <w:tcPr>
            <w:tcW w:w="2380" w:type="dxa"/>
            <w:vAlign w:val="bottom"/>
            <w:shd w:val="clear" w:color="auto" w:fill="BFBFBF"/>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16"/>
                <w:szCs w:val="16"/>
                <w:color w:val="auto"/>
              </w:rPr>
            </w:pPr>
          </w:p>
        </w:tc>
      </w:tr>
      <w:tr>
        <w:trPr>
          <w:trHeight w:val="185"/>
        </w:trPr>
        <w:tc>
          <w:tcPr>
            <w:tcW w:w="1360" w:type="dxa"/>
            <w:vAlign w:val="bottom"/>
          </w:tcPr>
          <w:p>
            <w:pPr>
              <w:spacing w:after="0"/>
              <w:rPr>
                <w:sz w:val="16"/>
                <w:szCs w:val="16"/>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Andrew Frey</w:t>
            </w:r>
          </w:p>
        </w:tc>
        <w:tc>
          <w:tcPr>
            <w:tcW w:w="2300" w:type="dxa"/>
            <w:vAlign w:val="bottom"/>
            <w:gridSpan w:val="3"/>
          </w:tcPr>
          <w:p>
            <w:pPr>
              <w:jc w:val="right"/>
              <w:ind w:right="140"/>
              <w:spacing w:after="0"/>
              <w:rPr>
                <w:sz w:val="20"/>
                <w:szCs w:val="20"/>
                <w:color w:val="auto"/>
              </w:rPr>
            </w:pPr>
            <w:r>
              <w:rPr>
                <w:rFonts w:ascii="Arial" w:cs="Arial" w:eastAsia="Arial" w:hAnsi="Arial"/>
                <w:sz w:val="16"/>
                <w:szCs w:val="16"/>
                <w:color w:val="auto"/>
              </w:rPr>
              <w:t>15,885 (2)</w:t>
            </w:r>
          </w:p>
        </w:tc>
        <w:tc>
          <w:tcPr>
            <w:tcW w:w="2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16"/>
                <w:szCs w:val="16"/>
                <w:color w:val="auto"/>
              </w:rPr>
            </w:pPr>
          </w:p>
        </w:tc>
      </w:tr>
      <w:tr>
        <w:trPr>
          <w:trHeight w:val="185"/>
        </w:trPr>
        <w:tc>
          <w:tcPr>
            <w:tcW w:w="1360" w:type="dxa"/>
            <w:vAlign w:val="bottom"/>
          </w:tcPr>
          <w:p>
            <w:pPr>
              <w:spacing w:after="0"/>
              <w:rPr>
                <w:sz w:val="16"/>
                <w:szCs w:val="16"/>
                <w:color w:val="auto"/>
              </w:rPr>
            </w:pPr>
          </w:p>
        </w:tc>
        <w:tc>
          <w:tcPr>
            <w:tcW w:w="3900" w:type="dxa"/>
            <w:vAlign w:val="bottom"/>
            <w:shd w:val="clear" w:color="auto" w:fill="BFBFBF"/>
          </w:tcPr>
          <w:p>
            <w:pPr>
              <w:ind w:left="20"/>
              <w:spacing w:after="0"/>
              <w:rPr>
                <w:sz w:val="20"/>
                <w:szCs w:val="20"/>
                <w:color w:val="auto"/>
              </w:rPr>
            </w:pPr>
            <w:r>
              <w:rPr>
                <w:rFonts w:ascii="Arial" w:cs="Arial" w:eastAsia="Arial" w:hAnsi="Arial"/>
                <w:sz w:val="16"/>
                <w:szCs w:val="16"/>
                <w:color w:val="auto"/>
              </w:rPr>
              <w:t>Kenneth A. Gunderman</w:t>
            </w:r>
          </w:p>
        </w:tc>
        <w:tc>
          <w:tcPr>
            <w:tcW w:w="2300" w:type="dxa"/>
            <w:vAlign w:val="bottom"/>
            <w:gridSpan w:val="3"/>
            <w:shd w:val="clear" w:color="auto" w:fill="BFBFBF"/>
          </w:tcPr>
          <w:p>
            <w:pPr>
              <w:jc w:val="right"/>
              <w:ind w:right="140"/>
              <w:spacing w:after="0"/>
              <w:rPr>
                <w:sz w:val="20"/>
                <w:szCs w:val="20"/>
                <w:color w:val="auto"/>
              </w:rPr>
            </w:pPr>
            <w:r>
              <w:rPr>
                <w:rFonts w:ascii="Arial" w:cs="Arial" w:eastAsia="Arial" w:hAnsi="Arial"/>
                <w:sz w:val="16"/>
                <w:szCs w:val="16"/>
                <w:color w:val="auto"/>
              </w:rPr>
              <w:t>342,622</w:t>
            </w:r>
          </w:p>
        </w:tc>
        <w:tc>
          <w:tcPr>
            <w:tcW w:w="2380" w:type="dxa"/>
            <w:vAlign w:val="bottom"/>
            <w:shd w:val="clear" w:color="auto" w:fill="BFBFBF"/>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16"/>
                <w:szCs w:val="16"/>
                <w:color w:val="auto"/>
              </w:rPr>
            </w:pPr>
          </w:p>
        </w:tc>
      </w:tr>
      <w:tr>
        <w:trPr>
          <w:trHeight w:val="185"/>
        </w:trPr>
        <w:tc>
          <w:tcPr>
            <w:tcW w:w="1360" w:type="dxa"/>
            <w:vAlign w:val="bottom"/>
          </w:tcPr>
          <w:p>
            <w:pPr>
              <w:spacing w:after="0"/>
              <w:rPr>
                <w:sz w:val="16"/>
                <w:szCs w:val="16"/>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Daniel L. Heard</w:t>
            </w:r>
          </w:p>
        </w:tc>
        <w:tc>
          <w:tcPr>
            <w:tcW w:w="2300" w:type="dxa"/>
            <w:vAlign w:val="bottom"/>
            <w:gridSpan w:val="3"/>
          </w:tcPr>
          <w:p>
            <w:pPr>
              <w:jc w:val="right"/>
              <w:ind w:right="140"/>
              <w:spacing w:after="0"/>
              <w:rPr>
                <w:sz w:val="20"/>
                <w:szCs w:val="20"/>
                <w:color w:val="auto"/>
              </w:rPr>
            </w:pPr>
            <w:r>
              <w:rPr>
                <w:rFonts w:ascii="Arial" w:cs="Arial" w:eastAsia="Arial" w:hAnsi="Arial"/>
                <w:sz w:val="16"/>
                <w:szCs w:val="16"/>
                <w:color w:val="auto"/>
              </w:rPr>
              <w:t>52,919</w:t>
            </w:r>
          </w:p>
        </w:tc>
        <w:tc>
          <w:tcPr>
            <w:tcW w:w="2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16"/>
                <w:szCs w:val="16"/>
                <w:color w:val="auto"/>
              </w:rPr>
            </w:pPr>
          </w:p>
        </w:tc>
      </w:tr>
      <w:tr>
        <w:trPr>
          <w:trHeight w:val="185"/>
        </w:trPr>
        <w:tc>
          <w:tcPr>
            <w:tcW w:w="1360" w:type="dxa"/>
            <w:vAlign w:val="bottom"/>
          </w:tcPr>
          <w:p>
            <w:pPr>
              <w:spacing w:after="0"/>
              <w:rPr>
                <w:sz w:val="16"/>
                <w:szCs w:val="16"/>
                <w:color w:val="auto"/>
              </w:rPr>
            </w:pPr>
          </w:p>
        </w:tc>
        <w:tc>
          <w:tcPr>
            <w:tcW w:w="3900" w:type="dxa"/>
            <w:vAlign w:val="bottom"/>
            <w:shd w:val="clear" w:color="auto" w:fill="BFBFBF"/>
          </w:tcPr>
          <w:p>
            <w:pPr>
              <w:ind w:left="20"/>
              <w:spacing w:after="0"/>
              <w:rPr>
                <w:sz w:val="20"/>
                <w:szCs w:val="20"/>
                <w:color w:val="auto"/>
              </w:rPr>
            </w:pPr>
            <w:r>
              <w:rPr>
                <w:rFonts w:ascii="Arial" w:cs="Arial" w:eastAsia="Arial" w:hAnsi="Arial"/>
                <w:sz w:val="16"/>
                <w:szCs w:val="16"/>
                <w:color w:val="auto"/>
              </w:rPr>
              <w:t>Ronald J. Mudry</w:t>
            </w:r>
          </w:p>
        </w:tc>
        <w:tc>
          <w:tcPr>
            <w:tcW w:w="2300" w:type="dxa"/>
            <w:vAlign w:val="bottom"/>
            <w:gridSpan w:val="3"/>
            <w:shd w:val="clear" w:color="auto" w:fill="BFBFBF"/>
          </w:tcPr>
          <w:p>
            <w:pPr>
              <w:jc w:val="right"/>
              <w:ind w:right="140"/>
              <w:spacing w:after="0"/>
              <w:rPr>
                <w:sz w:val="20"/>
                <w:szCs w:val="20"/>
                <w:color w:val="auto"/>
              </w:rPr>
            </w:pPr>
            <w:r>
              <w:rPr>
                <w:rFonts w:ascii="Arial" w:cs="Arial" w:eastAsia="Arial" w:hAnsi="Arial"/>
                <w:sz w:val="16"/>
                <w:szCs w:val="16"/>
                <w:color w:val="auto"/>
              </w:rPr>
              <w:t>47,744</w:t>
            </w:r>
          </w:p>
        </w:tc>
        <w:tc>
          <w:tcPr>
            <w:tcW w:w="2380" w:type="dxa"/>
            <w:vAlign w:val="bottom"/>
            <w:shd w:val="clear" w:color="auto" w:fill="BFBFBF"/>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16"/>
                <w:szCs w:val="16"/>
                <w:color w:val="auto"/>
              </w:rPr>
            </w:pPr>
          </w:p>
        </w:tc>
      </w:tr>
      <w:tr>
        <w:trPr>
          <w:trHeight w:val="185"/>
        </w:trPr>
        <w:tc>
          <w:tcPr>
            <w:tcW w:w="1360" w:type="dxa"/>
            <w:vAlign w:val="bottom"/>
          </w:tcPr>
          <w:p>
            <w:pPr>
              <w:spacing w:after="0"/>
              <w:rPr>
                <w:sz w:val="16"/>
                <w:szCs w:val="16"/>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David L. Solomon</w:t>
            </w:r>
          </w:p>
        </w:tc>
        <w:tc>
          <w:tcPr>
            <w:tcW w:w="2300" w:type="dxa"/>
            <w:vAlign w:val="bottom"/>
            <w:gridSpan w:val="3"/>
          </w:tcPr>
          <w:p>
            <w:pPr>
              <w:jc w:val="right"/>
              <w:ind w:right="140"/>
              <w:spacing w:after="0"/>
              <w:rPr>
                <w:sz w:val="20"/>
                <w:szCs w:val="20"/>
                <w:color w:val="auto"/>
              </w:rPr>
            </w:pPr>
            <w:r>
              <w:rPr>
                <w:rFonts w:ascii="Arial" w:cs="Arial" w:eastAsia="Arial" w:hAnsi="Arial"/>
                <w:sz w:val="16"/>
                <w:szCs w:val="16"/>
                <w:color w:val="auto"/>
              </w:rPr>
              <w:t>28,207</w:t>
            </w:r>
          </w:p>
        </w:tc>
        <w:tc>
          <w:tcPr>
            <w:tcW w:w="2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16"/>
                <w:szCs w:val="16"/>
                <w:color w:val="auto"/>
              </w:rPr>
            </w:pPr>
          </w:p>
        </w:tc>
      </w:tr>
      <w:tr>
        <w:trPr>
          <w:trHeight w:val="185"/>
        </w:trPr>
        <w:tc>
          <w:tcPr>
            <w:tcW w:w="1360" w:type="dxa"/>
            <w:vAlign w:val="bottom"/>
          </w:tcPr>
          <w:p>
            <w:pPr>
              <w:spacing w:after="0"/>
              <w:rPr>
                <w:sz w:val="16"/>
                <w:szCs w:val="16"/>
                <w:color w:val="auto"/>
              </w:rPr>
            </w:pPr>
          </w:p>
        </w:tc>
        <w:tc>
          <w:tcPr>
            <w:tcW w:w="3900" w:type="dxa"/>
            <w:vAlign w:val="bottom"/>
            <w:shd w:val="clear" w:color="auto" w:fill="BFBFBF"/>
          </w:tcPr>
          <w:p>
            <w:pPr>
              <w:ind w:left="20"/>
              <w:spacing w:after="0"/>
              <w:rPr>
                <w:sz w:val="20"/>
                <w:szCs w:val="20"/>
                <w:color w:val="auto"/>
              </w:rPr>
            </w:pPr>
            <w:r>
              <w:rPr>
                <w:rFonts w:ascii="Arial" w:cs="Arial" w:eastAsia="Arial" w:hAnsi="Arial"/>
                <w:sz w:val="16"/>
                <w:szCs w:val="16"/>
                <w:color w:val="auto"/>
              </w:rPr>
              <w:t>Mark A. Wallace</w:t>
            </w:r>
          </w:p>
        </w:tc>
        <w:tc>
          <w:tcPr>
            <w:tcW w:w="2300" w:type="dxa"/>
            <w:vAlign w:val="bottom"/>
            <w:gridSpan w:val="3"/>
            <w:shd w:val="clear" w:color="auto" w:fill="BFBFBF"/>
          </w:tcPr>
          <w:p>
            <w:pPr>
              <w:jc w:val="right"/>
              <w:ind w:right="140"/>
              <w:spacing w:after="0"/>
              <w:rPr>
                <w:sz w:val="20"/>
                <w:szCs w:val="20"/>
                <w:color w:val="auto"/>
              </w:rPr>
            </w:pPr>
            <w:r>
              <w:rPr>
                <w:rFonts w:ascii="Arial" w:cs="Arial" w:eastAsia="Arial" w:hAnsi="Arial"/>
                <w:sz w:val="16"/>
                <w:szCs w:val="16"/>
                <w:color w:val="auto"/>
              </w:rPr>
              <w:t>74,284</w:t>
            </w:r>
          </w:p>
        </w:tc>
        <w:tc>
          <w:tcPr>
            <w:tcW w:w="2380" w:type="dxa"/>
            <w:vAlign w:val="bottom"/>
            <w:shd w:val="clear" w:color="auto" w:fill="BFBFBF"/>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16"/>
                <w:szCs w:val="16"/>
                <w:color w:val="auto"/>
              </w:rPr>
            </w:pPr>
          </w:p>
        </w:tc>
      </w:tr>
      <w:tr>
        <w:trPr>
          <w:trHeight w:val="180"/>
        </w:trPr>
        <w:tc>
          <w:tcPr>
            <w:tcW w:w="1360" w:type="dxa"/>
            <w:vAlign w:val="bottom"/>
          </w:tcPr>
          <w:p>
            <w:pPr>
              <w:spacing w:after="0"/>
              <w:rPr>
                <w:sz w:val="15"/>
                <w:szCs w:val="15"/>
                <w:color w:val="auto"/>
              </w:rPr>
            </w:pPr>
          </w:p>
        </w:tc>
        <w:tc>
          <w:tcPr>
            <w:tcW w:w="3900" w:type="dxa"/>
            <w:vAlign w:val="bottom"/>
          </w:tcPr>
          <w:p>
            <w:pPr>
              <w:ind w:left="20"/>
              <w:spacing w:after="0" w:line="181" w:lineRule="exact"/>
              <w:rPr>
                <w:sz w:val="20"/>
                <w:szCs w:val="20"/>
                <w:color w:val="auto"/>
              </w:rPr>
            </w:pPr>
            <w:r>
              <w:rPr>
                <w:rFonts w:ascii="Arial" w:cs="Arial" w:eastAsia="Arial" w:hAnsi="Arial"/>
                <w:sz w:val="16"/>
                <w:szCs w:val="16"/>
                <w:color w:val="auto"/>
              </w:rPr>
              <w:t>All current directors and executive officers as a group</w:t>
            </w:r>
          </w:p>
        </w:tc>
        <w:tc>
          <w:tcPr>
            <w:tcW w:w="180" w:type="dxa"/>
            <w:vAlign w:val="bottom"/>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tcBorders>
              <w:top w:val="single" w:sz="8" w:color="auto"/>
            </w:tcBorders>
          </w:tcPr>
          <w:p>
            <w:pPr>
              <w:spacing w:after="0"/>
              <w:rPr>
                <w:sz w:val="15"/>
                <w:szCs w:val="15"/>
                <w:color w:val="auto"/>
              </w:rPr>
            </w:pPr>
          </w:p>
        </w:tc>
        <w:tc>
          <w:tcPr>
            <w:tcW w:w="1480" w:type="dxa"/>
            <w:vAlign w:val="bottom"/>
          </w:tcPr>
          <w:p>
            <w:pPr>
              <w:spacing w:after="0"/>
              <w:rPr>
                <w:sz w:val="15"/>
                <w:szCs w:val="15"/>
                <w:color w:val="auto"/>
              </w:rPr>
            </w:pPr>
          </w:p>
        </w:tc>
      </w:tr>
      <w:tr>
        <w:trPr>
          <w:trHeight w:val="182"/>
        </w:trPr>
        <w:tc>
          <w:tcPr>
            <w:tcW w:w="1360" w:type="dxa"/>
            <w:vAlign w:val="bottom"/>
          </w:tcPr>
          <w:p>
            <w:pPr>
              <w:spacing w:after="0"/>
              <w:rPr>
                <w:sz w:val="15"/>
                <w:szCs w:val="15"/>
                <w:color w:val="auto"/>
              </w:rPr>
            </w:pPr>
          </w:p>
        </w:tc>
        <w:tc>
          <w:tcPr>
            <w:tcW w:w="3900" w:type="dxa"/>
            <w:vAlign w:val="bottom"/>
          </w:tcPr>
          <w:p>
            <w:pPr>
              <w:ind w:left="20"/>
              <w:spacing w:after="0" w:line="182" w:lineRule="exact"/>
              <w:rPr>
                <w:sz w:val="20"/>
                <w:szCs w:val="20"/>
                <w:color w:val="auto"/>
              </w:rPr>
            </w:pPr>
            <w:r>
              <w:rPr>
                <w:rFonts w:ascii="Arial" w:cs="Arial" w:eastAsia="Arial" w:hAnsi="Arial"/>
                <w:sz w:val="16"/>
                <w:szCs w:val="16"/>
                <w:color w:val="auto"/>
              </w:rPr>
              <w:t>(eight persons)</w:t>
            </w:r>
          </w:p>
        </w:tc>
        <w:tc>
          <w:tcPr>
            <w:tcW w:w="180" w:type="dxa"/>
            <w:vAlign w:val="bottom"/>
          </w:tcPr>
          <w:p>
            <w:pPr>
              <w:spacing w:after="0"/>
              <w:rPr>
                <w:sz w:val="15"/>
                <w:szCs w:val="15"/>
                <w:color w:val="auto"/>
              </w:rPr>
            </w:pPr>
          </w:p>
        </w:tc>
        <w:tc>
          <w:tcPr>
            <w:tcW w:w="2120" w:type="dxa"/>
            <w:vAlign w:val="bottom"/>
            <w:gridSpan w:val="2"/>
          </w:tcPr>
          <w:p>
            <w:pPr>
              <w:jc w:val="right"/>
              <w:ind w:right="140"/>
              <w:spacing w:after="0" w:line="182" w:lineRule="exact"/>
              <w:rPr>
                <w:sz w:val="20"/>
                <w:szCs w:val="20"/>
                <w:color w:val="auto"/>
              </w:rPr>
            </w:pPr>
            <w:r>
              <w:rPr>
                <w:rFonts w:ascii="Arial" w:cs="Arial" w:eastAsia="Arial" w:hAnsi="Arial"/>
                <w:sz w:val="16"/>
                <w:szCs w:val="16"/>
                <w:color w:val="auto"/>
              </w:rPr>
              <w:t>733,838</w:t>
            </w:r>
          </w:p>
        </w:tc>
        <w:tc>
          <w:tcPr>
            <w:tcW w:w="2380" w:type="dxa"/>
            <w:vAlign w:val="bottom"/>
          </w:tcPr>
          <w:p>
            <w:pPr>
              <w:jc w:val="right"/>
              <w:ind w:right="60"/>
              <w:spacing w:after="0" w:line="182" w:lineRule="exact"/>
              <w:rPr>
                <w:sz w:val="20"/>
                <w:szCs w:val="20"/>
                <w:color w:val="auto"/>
              </w:rPr>
            </w:pPr>
            <w:r>
              <w:rPr>
                <w:rFonts w:ascii="Arial" w:cs="Arial" w:eastAsia="Arial" w:hAnsi="Arial"/>
                <w:sz w:val="16"/>
                <w:szCs w:val="16"/>
                <w:color w:val="auto"/>
              </w:rPr>
              <w:t>*</w:t>
            </w:r>
          </w:p>
        </w:tc>
        <w:tc>
          <w:tcPr>
            <w:tcW w:w="1480" w:type="dxa"/>
            <w:vAlign w:val="bottom"/>
          </w:tcPr>
          <w:p>
            <w:pPr>
              <w:spacing w:after="0"/>
              <w:rPr>
                <w:sz w:val="15"/>
                <w:szCs w:val="15"/>
                <w:color w:val="auto"/>
              </w:rPr>
            </w:pPr>
          </w:p>
        </w:tc>
      </w:tr>
      <w:tr>
        <w:trPr>
          <w:trHeight w:val="386"/>
        </w:trPr>
        <w:tc>
          <w:tcPr>
            <w:tcW w:w="13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Borders>
              <w:top w:val="single" w:sz="8" w:color="auto"/>
            </w:tcBorders>
          </w:tcPr>
          <w:p>
            <w:pPr>
              <w:jc w:val="right"/>
              <w:ind w:right="1540"/>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r>
      <w:tr>
        <w:trPr>
          <w:trHeight w:val="195"/>
        </w:trPr>
        <w:tc>
          <w:tcPr>
            <w:tcW w:w="1360" w:type="dxa"/>
            <w:vAlign w:val="bottom"/>
            <w:tcBorders>
              <w:bottom w:val="single" w:sz="8" w:color="808080"/>
            </w:tcBorders>
          </w:tcPr>
          <w:p>
            <w:pPr>
              <w:spacing w:after="0"/>
              <w:rPr>
                <w:sz w:val="16"/>
                <w:szCs w:val="16"/>
                <w:color w:val="auto"/>
              </w:rPr>
            </w:pPr>
          </w:p>
        </w:tc>
        <w:tc>
          <w:tcPr>
            <w:tcW w:w="390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198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380" w:type="dxa"/>
            <w:vAlign w:val="bottom"/>
            <w:tcBorders>
              <w:bottom w:val="single" w:sz="8" w:color="808080"/>
            </w:tcBorders>
          </w:tcPr>
          <w:p>
            <w:pPr>
              <w:spacing w:after="0"/>
              <w:rPr>
                <w:sz w:val="16"/>
                <w:szCs w:val="16"/>
                <w:color w:val="auto"/>
              </w:rPr>
            </w:pPr>
          </w:p>
        </w:tc>
        <w:tc>
          <w:tcPr>
            <w:tcW w:w="148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tbl>
      <w:tblPr>
        <w:tblLayout w:type="fixed"/>
        <w:tblInd w:w="1360" w:type="dxa"/>
        <w:tblCellMar>
          <w:top w:w="0" w:type="dxa"/>
          <w:left w:w="0" w:type="dxa"/>
          <w:bottom w:w="0" w:type="dxa"/>
          <w:right w:w="0" w:type="dxa"/>
        </w:tblCellMar>
      </w:tblPr>
      <w:tr>
        <w:trPr>
          <w:trHeight w:val="188"/>
        </w:trPr>
        <w:tc>
          <w:tcPr>
            <w:tcW w:w="2260" w:type="dxa"/>
            <w:vAlign w:val="bottom"/>
            <w:shd w:val="clear" w:color="auto" w:fill="BFBFBF"/>
          </w:tcPr>
          <w:p>
            <w:pPr>
              <w:ind w:left="20"/>
              <w:spacing w:after="0"/>
              <w:rPr>
                <w:sz w:val="20"/>
                <w:szCs w:val="20"/>
                <w:color w:val="auto"/>
              </w:rPr>
            </w:pPr>
            <w:r>
              <w:rPr>
                <w:rFonts w:ascii="Arial" w:cs="Arial" w:eastAsia="Arial" w:hAnsi="Arial"/>
                <w:sz w:val="16"/>
                <w:szCs w:val="16"/>
                <w:color w:val="auto"/>
              </w:rPr>
              <w:t>The Vanguard Group</w:t>
            </w:r>
          </w:p>
        </w:tc>
        <w:tc>
          <w:tcPr>
            <w:tcW w:w="4840" w:type="dxa"/>
            <w:vAlign w:val="bottom"/>
            <w:shd w:val="clear" w:color="auto" w:fill="BFBFBF"/>
          </w:tcPr>
          <w:p>
            <w:pPr>
              <w:spacing w:after="0"/>
              <w:rPr>
                <w:sz w:val="16"/>
                <w:szCs w:val="16"/>
                <w:color w:val="auto"/>
              </w:rPr>
            </w:pPr>
          </w:p>
        </w:tc>
        <w:tc>
          <w:tcPr>
            <w:tcW w:w="1480" w:type="dxa"/>
            <w:vAlign w:val="bottom"/>
            <w:shd w:val="clear" w:color="auto" w:fill="BFBFBF"/>
          </w:tcPr>
          <w:p>
            <w:pPr>
              <w:spacing w:after="0"/>
              <w:rPr>
                <w:sz w:val="16"/>
                <w:szCs w:val="16"/>
                <w:color w:val="auto"/>
              </w:rPr>
            </w:pPr>
          </w:p>
        </w:tc>
      </w:tr>
      <w:tr>
        <w:trPr>
          <w:trHeight w:val="185"/>
        </w:trPr>
        <w:tc>
          <w:tcPr>
            <w:tcW w:w="2260" w:type="dxa"/>
            <w:vAlign w:val="bottom"/>
            <w:shd w:val="clear" w:color="auto" w:fill="BFBFBF"/>
          </w:tcPr>
          <w:p>
            <w:pPr>
              <w:ind w:left="20"/>
              <w:spacing w:after="0"/>
              <w:rPr>
                <w:sz w:val="20"/>
                <w:szCs w:val="20"/>
                <w:color w:val="auto"/>
              </w:rPr>
            </w:pPr>
            <w:r>
              <w:rPr>
                <w:rFonts w:ascii="Arial" w:cs="Arial" w:eastAsia="Arial" w:hAnsi="Arial"/>
                <w:sz w:val="16"/>
                <w:szCs w:val="16"/>
                <w:color w:val="auto"/>
              </w:rPr>
              <w:t>100 Vanguard Blvd.</w:t>
            </w:r>
          </w:p>
        </w:tc>
        <w:tc>
          <w:tcPr>
            <w:tcW w:w="4840" w:type="dxa"/>
            <w:vAlign w:val="bottom"/>
            <w:shd w:val="clear" w:color="auto" w:fill="BFBFBF"/>
          </w:tcPr>
          <w:p>
            <w:pPr>
              <w:spacing w:after="0"/>
              <w:rPr>
                <w:sz w:val="16"/>
                <w:szCs w:val="16"/>
                <w:color w:val="auto"/>
              </w:rPr>
            </w:pPr>
          </w:p>
        </w:tc>
        <w:tc>
          <w:tcPr>
            <w:tcW w:w="1480" w:type="dxa"/>
            <w:vAlign w:val="bottom"/>
            <w:shd w:val="clear" w:color="auto" w:fill="BFBFBF"/>
          </w:tcPr>
          <w:p>
            <w:pPr>
              <w:spacing w:after="0"/>
              <w:rPr>
                <w:sz w:val="16"/>
                <w:szCs w:val="16"/>
                <w:color w:val="auto"/>
              </w:rPr>
            </w:pPr>
          </w:p>
        </w:tc>
      </w:tr>
      <w:tr>
        <w:trPr>
          <w:trHeight w:val="182"/>
        </w:trPr>
        <w:tc>
          <w:tcPr>
            <w:tcW w:w="2260" w:type="dxa"/>
            <w:vAlign w:val="bottom"/>
            <w:shd w:val="clear" w:color="auto" w:fill="BFBFBF"/>
          </w:tcPr>
          <w:p>
            <w:pPr>
              <w:ind w:left="20"/>
              <w:spacing w:after="0" w:line="182" w:lineRule="exact"/>
              <w:rPr>
                <w:sz w:val="20"/>
                <w:szCs w:val="20"/>
                <w:color w:val="auto"/>
              </w:rPr>
            </w:pPr>
            <w:r>
              <w:rPr>
                <w:rFonts w:ascii="Arial" w:cs="Arial" w:eastAsia="Arial" w:hAnsi="Arial"/>
                <w:sz w:val="16"/>
                <w:szCs w:val="16"/>
                <w:color w:val="auto"/>
              </w:rPr>
              <w:t>Malvern, PA 19355</w:t>
            </w:r>
          </w:p>
        </w:tc>
        <w:tc>
          <w:tcPr>
            <w:tcW w:w="4840" w:type="dxa"/>
            <w:vAlign w:val="bottom"/>
            <w:shd w:val="clear" w:color="auto" w:fill="BFBFBF"/>
          </w:tcPr>
          <w:p>
            <w:pPr>
              <w:jc w:val="right"/>
              <w:ind w:right="960"/>
              <w:spacing w:after="0" w:line="182" w:lineRule="exact"/>
              <w:rPr>
                <w:sz w:val="20"/>
                <w:szCs w:val="20"/>
                <w:color w:val="auto"/>
              </w:rPr>
            </w:pPr>
            <w:r>
              <w:rPr>
                <w:rFonts w:ascii="Arial" w:cs="Arial" w:eastAsia="Arial" w:hAnsi="Arial"/>
                <w:sz w:val="16"/>
                <w:szCs w:val="16"/>
                <w:color w:val="auto"/>
              </w:rPr>
              <w:t>14,097,238 (3)</w:t>
            </w:r>
          </w:p>
        </w:tc>
        <w:tc>
          <w:tcPr>
            <w:tcW w:w="1480" w:type="dxa"/>
            <w:vAlign w:val="bottom"/>
            <w:shd w:val="clear" w:color="auto" w:fill="BFBFBF"/>
          </w:tcPr>
          <w:p>
            <w:pPr>
              <w:jc w:val="right"/>
              <w:spacing w:after="0" w:line="182" w:lineRule="exact"/>
              <w:rPr>
                <w:sz w:val="20"/>
                <w:szCs w:val="20"/>
                <w:color w:val="auto"/>
              </w:rPr>
            </w:pPr>
            <w:r>
              <w:rPr>
                <w:rFonts w:ascii="Arial" w:cs="Arial" w:eastAsia="Arial" w:hAnsi="Arial"/>
                <w:sz w:val="16"/>
                <w:szCs w:val="16"/>
                <w:color w:val="auto"/>
              </w:rPr>
              <w:t>8.02%</w:t>
            </w:r>
          </w:p>
        </w:tc>
      </w:tr>
      <w:tr>
        <w:trPr>
          <w:trHeight w:val="188"/>
        </w:trPr>
        <w:tc>
          <w:tcPr>
            <w:tcW w:w="2260" w:type="dxa"/>
            <w:vAlign w:val="bottom"/>
          </w:tcPr>
          <w:p>
            <w:pPr>
              <w:ind w:left="20"/>
              <w:spacing w:after="0"/>
              <w:rPr>
                <w:sz w:val="20"/>
                <w:szCs w:val="20"/>
                <w:color w:val="auto"/>
              </w:rPr>
            </w:pPr>
            <w:r>
              <w:rPr>
                <w:rFonts w:ascii="Arial" w:cs="Arial" w:eastAsia="Arial" w:hAnsi="Arial"/>
                <w:sz w:val="16"/>
                <w:szCs w:val="16"/>
                <w:color w:val="auto"/>
              </w:rPr>
              <w:t>Blackrock, Inc.</w:t>
            </w:r>
          </w:p>
        </w:tc>
        <w:tc>
          <w:tcPr>
            <w:tcW w:w="48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5"/>
        </w:trPr>
        <w:tc>
          <w:tcPr>
            <w:tcW w:w="2260" w:type="dxa"/>
            <w:vAlign w:val="bottom"/>
          </w:tcPr>
          <w:p>
            <w:pPr>
              <w:ind w:left="20"/>
              <w:spacing w:after="0"/>
              <w:rPr>
                <w:sz w:val="20"/>
                <w:szCs w:val="20"/>
                <w:color w:val="auto"/>
              </w:rPr>
            </w:pPr>
            <w:r>
              <w:rPr>
                <w:rFonts w:ascii="Arial" w:cs="Arial" w:eastAsia="Arial" w:hAnsi="Arial"/>
                <w:sz w:val="16"/>
                <w:szCs w:val="16"/>
                <w:color w:val="auto"/>
              </w:rPr>
              <w:t>55 East 52nd Street</w:t>
            </w:r>
          </w:p>
        </w:tc>
        <w:tc>
          <w:tcPr>
            <w:tcW w:w="48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2"/>
        </w:trPr>
        <w:tc>
          <w:tcPr>
            <w:tcW w:w="2260" w:type="dxa"/>
            <w:vAlign w:val="bottom"/>
          </w:tcPr>
          <w:p>
            <w:pPr>
              <w:ind w:left="20"/>
              <w:spacing w:after="0" w:line="182" w:lineRule="exact"/>
              <w:rPr>
                <w:sz w:val="20"/>
                <w:szCs w:val="20"/>
                <w:color w:val="auto"/>
              </w:rPr>
            </w:pPr>
            <w:r>
              <w:rPr>
                <w:rFonts w:ascii="Arial" w:cs="Arial" w:eastAsia="Arial" w:hAnsi="Arial"/>
                <w:sz w:val="16"/>
                <w:szCs w:val="16"/>
                <w:color w:val="auto"/>
              </w:rPr>
              <w:t>New York, NY 10022</w:t>
            </w:r>
          </w:p>
        </w:tc>
        <w:tc>
          <w:tcPr>
            <w:tcW w:w="4840" w:type="dxa"/>
            <w:vAlign w:val="bottom"/>
          </w:tcPr>
          <w:p>
            <w:pPr>
              <w:jc w:val="right"/>
              <w:ind w:right="960"/>
              <w:spacing w:after="0" w:line="182" w:lineRule="exact"/>
              <w:rPr>
                <w:sz w:val="20"/>
                <w:szCs w:val="20"/>
                <w:color w:val="auto"/>
              </w:rPr>
            </w:pPr>
            <w:r>
              <w:rPr>
                <w:rFonts w:ascii="Arial" w:cs="Arial" w:eastAsia="Arial" w:hAnsi="Arial"/>
                <w:sz w:val="16"/>
                <w:szCs w:val="16"/>
                <w:color w:val="auto"/>
              </w:rPr>
              <w:t>14,268,505 (4)</w:t>
            </w:r>
          </w:p>
        </w:tc>
        <w:tc>
          <w:tcPr>
            <w:tcW w:w="1480" w:type="dxa"/>
            <w:vAlign w:val="bottom"/>
          </w:tcPr>
          <w:p>
            <w:pPr>
              <w:jc w:val="right"/>
              <w:spacing w:after="0" w:line="182" w:lineRule="exact"/>
              <w:rPr>
                <w:sz w:val="20"/>
                <w:szCs w:val="20"/>
                <w:color w:val="auto"/>
              </w:rPr>
            </w:pPr>
            <w:r>
              <w:rPr>
                <w:rFonts w:ascii="Arial" w:cs="Arial" w:eastAsia="Arial" w:hAnsi="Arial"/>
                <w:sz w:val="16"/>
                <w:szCs w:val="16"/>
                <w:color w:val="auto"/>
              </w:rPr>
              <w:t>8.12%</w:t>
            </w:r>
          </w:p>
        </w:tc>
      </w:tr>
      <w:tr>
        <w:trPr>
          <w:trHeight w:val="188"/>
        </w:trPr>
        <w:tc>
          <w:tcPr>
            <w:tcW w:w="2260" w:type="dxa"/>
            <w:vAlign w:val="bottom"/>
            <w:shd w:val="clear" w:color="auto" w:fill="BFBFBF"/>
          </w:tcPr>
          <w:p>
            <w:pPr>
              <w:ind w:left="20"/>
              <w:spacing w:after="0"/>
              <w:rPr>
                <w:sz w:val="20"/>
                <w:szCs w:val="20"/>
                <w:color w:val="auto"/>
              </w:rPr>
            </w:pPr>
            <w:r>
              <w:rPr>
                <w:rFonts w:ascii="Arial" w:cs="Arial" w:eastAsia="Arial" w:hAnsi="Arial"/>
                <w:sz w:val="16"/>
                <w:szCs w:val="16"/>
                <w:color w:val="auto"/>
              </w:rPr>
              <w:t>Searchlight II CLS, L.P.</w:t>
            </w:r>
          </w:p>
        </w:tc>
        <w:tc>
          <w:tcPr>
            <w:tcW w:w="4840" w:type="dxa"/>
            <w:vAlign w:val="bottom"/>
            <w:shd w:val="clear" w:color="auto" w:fill="BFBFBF"/>
          </w:tcPr>
          <w:p>
            <w:pPr>
              <w:spacing w:after="0"/>
              <w:rPr>
                <w:sz w:val="16"/>
                <w:szCs w:val="16"/>
                <w:color w:val="auto"/>
              </w:rPr>
            </w:pPr>
          </w:p>
        </w:tc>
        <w:tc>
          <w:tcPr>
            <w:tcW w:w="1480" w:type="dxa"/>
            <w:vAlign w:val="bottom"/>
            <w:shd w:val="clear" w:color="auto" w:fill="BFBFBF"/>
          </w:tcPr>
          <w:p>
            <w:pPr>
              <w:spacing w:after="0"/>
              <w:rPr>
                <w:sz w:val="16"/>
                <w:szCs w:val="16"/>
                <w:color w:val="auto"/>
              </w:rPr>
            </w:pPr>
          </w:p>
        </w:tc>
      </w:tr>
      <w:tr>
        <w:trPr>
          <w:trHeight w:val="185"/>
        </w:trPr>
        <w:tc>
          <w:tcPr>
            <w:tcW w:w="2260" w:type="dxa"/>
            <w:vAlign w:val="bottom"/>
            <w:shd w:val="clear" w:color="auto" w:fill="BFBFBF"/>
          </w:tcPr>
          <w:p>
            <w:pPr>
              <w:ind w:left="20"/>
              <w:spacing w:after="0"/>
              <w:rPr>
                <w:sz w:val="20"/>
                <w:szCs w:val="20"/>
                <w:color w:val="auto"/>
              </w:rPr>
            </w:pPr>
            <w:r>
              <w:rPr>
                <w:rFonts w:ascii="Arial" w:cs="Arial" w:eastAsia="Arial" w:hAnsi="Arial"/>
                <w:sz w:val="16"/>
                <w:szCs w:val="16"/>
                <w:color w:val="auto"/>
              </w:rPr>
              <w:t>c/o Searchlight Capital</w:t>
            </w:r>
          </w:p>
        </w:tc>
        <w:tc>
          <w:tcPr>
            <w:tcW w:w="4840" w:type="dxa"/>
            <w:vAlign w:val="bottom"/>
            <w:shd w:val="clear" w:color="auto" w:fill="BFBFBF"/>
          </w:tcPr>
          <w:p>
            <w:pPr>
              <w:spacing w:after="0"/>
              <w:rPr>
                <w:sz w:val="16"/>
                <w:szCs w:val="16"/>
                <w:color w:val="auto"/>
              </w:rPr>
            </w:pPr>
          </w:p>
        </w:tc>
        <w:tc>
          <w:tcPr>
            <w:tcW w:w="1480" w:type="dxa"/>
            <w:vAlign w:val="bottom"/>
            <w:shd w:val="clear" w:color="auto" w:fill="BFBFBF"/>
          </w:tcPr>
          <w:p>
            <w:pPr>
              <w:spacing w:after="0"/>
              <w:rPr>
                <w:sz w:val="16"/>
                <w:szCs w:val="16"/>
                <w:color w:val="auto"/>
              </w:rPr>
            </w:pPr>
          </w:p>
        </w:tc>
      </w:tr>
      <w:tr>
        <w:trPr>
          <w:trHeight w:val="185"/>
        </w:trPr>
        <w:tc>
          <w:tcPr>
            <w:tcW w:w="2260" w:type="dxa"/>
            <w:vAlign w:val="bottom"/>
            <w:shd w:val="clear" w:color="auto" w:fill="BFBFBF"/>
          </w:tcPr>
          <w:p>
            <w:pPr>
              <w:ind w:left="20"/>
              <w:spacing w:after="0"/>
              <w:rPr>
                <w:sz w:val="20"/>
                <w:szCs w:val="20"/>
                <w:color w:val="auto"/>
              </w:rPr>
            </w:pPr>
            <w:r>
              <w:rPr>
                <w:rFonts w:ascii="Arial" w:cs="Arial" w:eastAsia="Arial" w:hAnsi="Arial"/>
                <w:sz w:val="16"/>
                <w:szCs w:val="16"/>
                <w:color w:val="auto"/>
              </w:rPr>
              <w:t>Partners, L.P.</w:t>
            </w:r>
          </w:p>
        </w:tc>
        <w:tc>
          <w:tcPr>
            <w:tcW w:w="4840" w:type="dxa"/>
            <w:vAlign w:val="bottom"/>
            <w:shd w:val="clear" w:color="auto" w:fill="BFBFBF"/>
          </w:tcPr>
          <w:p>
            <w:pPr>
              <w:spacing w:after="0"/>
              <w:rPr>
                <w:sz w:val="16"/>
                <w:szCs w:val="16"/>
                <w:color w:val="auto"/>
              </w:rPr>
            </w:pPr>
          </w:p>
        </w:tc>
        <w:tc>
          <w:tcPr>
            <w:tcW w:w="1480" w:type="dxa"/>
            <w:vAlign w:val="bottom"/>
            <w:shd w:val="clear" w:color="auto" w:fill="BFBFBF"/>
          </w:tcPr>
          <w:p>
            <w:pPr>
              <w:spacing w:after="0"/>
              <w:rPr>
                <w:sz w:val="16"/>
                <w:szCs w:val="16"/>
                <w:color w:val="auto"/>
              </w:rPr>
            </w:pPr>
          </w:p>
        </w:tc>
      </w:tr>
      <w:tr>
        <w:trPr>
          <w:trHeight w:val="185"/>
        </w:trPr>
        <w:tc>
          <w:tcPr>
            <w:tcW w:w="2260" w:type="dxa"/>
            <w:vAlign w:val="bottom"/>
            <w:shd w:val="clear" w:color="auto" w:fill="BFBFBF"/>
          </w:tcPr>
          <w:p>
            <w:pPr>
              <w:ind w:left="20"/>
              <w:spacing w:after="0"/>
              <w:rPr>
                <w:sz w:val="20"/>
                <w:szCs w:val="20"/>
                <w:color w:val="auto"/>
              </w:rPr>
            </w:pPr>
            <w:r>
              <w:rPr>
                <w:rFonts w:ascii="Arial" w:cs="Arial" w:eastAsia="Arial" w:hAnsi="Arial"/>
                <w:sz w:val="16"/>
                <w:szCs w:val="16"/>
                <w:color w:val="auto"/>
              </w:rPr>
              <w:t>745 5th Avenue—27th Floor</w:t>
            </w:r>
          </w:p>
        </w:tc>
        <w:tc>
          <w:tcPr>
            <w:tcW w:w="4840" w:type="dxa"/>
            <w:vAlign w:val="bottom"/>
            <w:shd w:val="clear" w:color="auto" w:fill="BFBFBF"/>
          </w:tcPr>
          <w:p>
            <w:pPr>
              <w:spacing w:after="0"/>
              <w:rPr>
                <w:sz w:val="16"/>
                <w:szCs w:val="16"/>
                <w:color w:val="auto"/>
              </w:rPr>
            </w:pPr>
          </w:p>
        </w:tc>
        <w:tc>
          <w:tcPr>
            <w:tcW w:w="1480" w:type="dxa"/>
            <w:vAlign w:val="bottom"/>
            <w:shd w:val="clear" w:color="auto" w:fill="BFBFBF"/>
          </w:tcPr>
          <w:p>
            <w:pPr>
              <w:spacing w:after="0"/>
              <w:rPr>
                <w:sz w:val="16"/>
                <w:szCs w:val="16"/>
                <w:color w:val="auto"/>
              </w:rPr>
            </w:pPr>
          </w:p>
        </w:tc>
      </w:tr>
      <w:tr>
        <w:trPr>
          <w:trHeight w:val="182"/>
        </w:trPr>
        <w:tc>
          <w:tcPr>
            <w:tcW w:w="2260" w:type="dxa"/>
            <w:vAlign w:val="bottom"/>
            <w:shd w:val="clear" w:color="auto" w:fill="BFBFBF"/>
          </w:tcPr>
          <w:p>
            <w:pPr>
              <w:ind w:left="20"/>
              <w:spacing w:after="0" w:line="182" w:lineRule="exact"/>
              <w:rPr>
                <w:sz w:val="20"/>
                <w:szCs w:val="20"/>
                <w:color w:val="auto"/>
              </w:rPr>
            </w:pPr>
            <w:r>
              <w:rPr>
                <w:rFonts w:ascii="Arial" w:cs="Arial" w:eastAsia="Arial" w:hAnsi="Arial"/>
                <w:sz w:val="16"/>
                <w:szCs w:val="16"/>
                <w:color w:val="auto"/>
              </w:rPr>
              <w:t>New York, NY 10151</w:t>
            </w:r>
          </w:p>
        </w:tc>
        <w:tc>
          <w:tcPr>
            <w:tcW w:w="4840" w:type="dxa"/>
            <w:vAlign w:val="bottom"/>
            <w:shd w:val="clear" w:color="auto" w:fill="BFBFBF"/>
          </w:tcPr>
          <w:p>
            <w:pPr>
              <w:jc w:val="right"/>
              <w:ind w:right="960"/>
              <w:spacing w:after="0" w:line="182" w:lineRule="exact"/>
              <w:rPr>
                <w:sz w:val="20"/>
                <w:szCs w:val="20"/>
                <w:color w:val="auto"/>
              </w:rPr>
            </w:pPr>
            <w:r>
              <w:rPr>
                <w:rFonts w:ascii="Arial" w:cs="Arial" w:eastAsia="Arial" w:hAnsi="Arial"/>
                <w:sz w:val="16"/>
                <w:szCs w:val="16"/>
                <w:color w:val="auto"/>
              </w:rPr>
              <w:t>10,632,293 (5)</w:t>
            </w:r>
          </w:p>
        </w:tc>
        <w:tc>
          <w:tcPr>
            <w:tcW w:w="1480" w:type="dxa"/>
            <w:vAlign w:val="bottom"/>
            <w:shd w:val="clear" w:color="auto" w:fill="BFBFBF"/>
          </w:tcPr>
          <w:p>
            <w:pPr>
              <w:jc w:val="right"/>
              <w:spacing w:after="0" w:line="182" w:lineRule="exact"/>
              <w:rPr>
                <w:sz w:val="20"/>
                <w:szCs w:val="20"/>
                <w:color w:val="auto"/>
              </w:rPr>
            </w:pPr>
            <w:r>
              <w:rPr>
                <w:rFonts w:ascii="Arial" w:cs="Arial" w:eastAsia="Arial" w:hAnsi="Arial"/>
                <w:sz w:val="16"/>
                <w:szCs w:val="16"/>
                <w:color w:val="auto"/>
              </w:rPr>
              <w:t>6.05%</w:t>
            </w:r>
          </w:p>
        </w:tc>
      </w:tr>
      <w:tr>
        <w:trPr>
          <w:trHeight w:val="99"/>
        </w:trPr>
        <w:tc>
          <w:tcPr>
            <w:tcW w:w="2260" w:type="dxa"/>
            <w:vAlign w:val="bottom"/>
            <w:tcBorders>
              <w:bottom w:val="single" w:sz="8" w:color="auto"/>
            </w:tcBorders>
          </w:tcPr>
          <w:p>
            <w:pPr>
              <w:spacing w:after="0"/>
              <w:rPr>
                <w:sz w:val="8"/>
                <w:szCs w:val="8"/>
                <w:color w:val="auto"/>
              </w:rPr>
            </w:pPr>
          </w:p>
        </w:tc>
        <w:tc>
          <w:tcPr>
            <w:tcW w:w="4840" w:type="dxa"/>
            <w:vAlign w:val="bottom"/>
          </w:tcPr>
          <w:p>
            <w:pPr>
              <w:spacing w:after="0"/>
              <w:rPr>
                <w:sz w:val="8"/>
                <w:szCs w:val="8"/>
                <w:color w:val="auto"/>
              </w:rPr>
            </w:pPr>
          </w:p>
        </w:tc>
        <w:tc>
          <w:tcPr>
            <w:tcW w:w="1480" w:type="dxa"/>
            <w:vAlign w:val="bottom"/>
          </w:tcPr>
          <w:p>
            <w:pPr>
              <w:spacing w:after="0"/>
              <w:rPr>
                <w:sz w:val="8"/>
                <w:szCs w:val="8"/>
                <w:color w:val="auto"/>
              </w:rPr>
            </w:pPr>
          </w:p>
        </w:tc>
      </w:tr>
    </w:tbl>
    <w:p>
      <w:pPr>
        <w:spacing w:after="0" w:line="200" w:lineRule="exact"/>
        <w:rPr>
          <w:sz w:val="20"/>
          <w:szCs w:val="20"/>
          <w:color w:val="auto"/>
        </w:rPr>
      </w:pPr>
    </w:p>
    <w:p>
      <w:pPr>
        <w:ind w:left="1860" w:hanging="490"/>
        <w:spacing w:after="0"/>
        <w:tabs>
          <w:tab w:leader="none" w:pos="18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Indicates less than 1%.</w:t>
      </w:r>
    </w:p>
    <w:p>
      <w:pPr>
        <w:spacing w:after="0" w:line="198" w:lineRule="exact"/>
        <w:rPr>
          <w:sz w:val="20"/>
          <w:szCs w:val="20"/>
          <w:color w:val="auto"/>
        </w:rPr>
      </w:pPr>
    </w:p>
    <w:p>
      <w:pPr>
        <w:ind w:left="1860" w:right="380" w:hanging="490"/>
        <w:spacing w:after="0" w:line="253" w:lineRule="auto"/>
        <w:tabs>
          <w:tab w:leader="none" w:pos="18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140 shares held in trust for the benefit of Mr. Frantz's spouse and children. Mr. Frantz's spouse is the trustee of the trust. These shares are deemed beneficially owned by Mr. Frantz under SEC rules, but Mr. Frantz disclaims beneficial ownership.</w:t>
      </w:r>
    </w:p>
    <w:p>
      <w:pPr>
        <w:spacing w:after="0" w:line="166" w:lineRule="exact"/>
        <w:rPr>
          <w:rFonts w:ascii="Arial" w:cs="Arial" w:eastAsia="Arial" w:hAnsi="Arial"/>
          <w:sz w:val="16"/>
          <w:szCs w:val="16"/>
          <w:color w:val="auto"/>
        </w:rPr>
      </w:pPr>
    </w:p>
    <w:p>
      <w:pPr>
        <w:ind w:left="1860" w:right="140" w:hanging="490"/>
        <w:spacing w:after="0" w:line="257" w:lineRule="auto"/>
        <w:tabs>
          <w:tab w:leader="none" w:pos="18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Mr. Frey holds these shares as a nominee, and for the benefit, of Searchlight II CLS, L.P. ("Searchlight II CLS") and thus disclaims beneficial ownership of such shares. Mr. Frey, a partner of Searchlight Capital Partners, L.P., an affiliate of Searchlight II CLS, serves as a director of the Company as a nominee of Searchlight II CLS. Excludes 10,616,408 shares owned by Searchlight II CLS as</w:t>
      </w:r>
    </w:p>
    <w:p>
      <w:pPr>
        <w:ind w:left="1860"/>
        <w:spacing w:after="0"/>
        <w:rPr>
          <w:rFonts w:ascii="Arial" w:cs="Arial" w:eastAsia="Arial" w:hAnsi="Arial"/>
          <w:sz w:val="15"/>
          <w:szCs w:val="15"/>
          <w:color w:val="auto"/>
        </w:rPr>
      </w:pPr>
      <w:r>
        <w:rPr>
          <w:rFonts w:ascii="Arial" w:cs="Arial" w:eastAsia="Arial" w:hAnsi="Arial"/>
          <w:sz w:val="16"/>
          <w:szCs w:val="16"/>
          <w:color w:val="auto"/>
        </w:rPr>
        <w:t>Mr. Frey does not have or share voting or dispositive power over such shares.</w:t>
      </w:r>
    </w:p>
    <w:p>
      <w:pPr>
        <w:spacing w:after="0" w:line="185" w:lineRule="exact"/>
        <w:rPr>
          <w:rFonts w:ascii="Arial" w:cs="Arial" w:eastAsia="Arial" w:hAnsi="Arial"/>
          <w:sz w:val="15"/>
          <w:szCs w:val="15"/>
          <w:color w:val="auto"/>
        </w:rPr>
      </w:pPr>
    </w:p>
    <w:p>
      <w:pPr>
        <w:ind w:left="1860" w:right="100" w:hanging="490"/>
        <w:spacing w:after="0" w:line="247" w:lineRule="auto"/>
        <w:tabs>
          <w:tab w:leader="none" w:pos="18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solely upon the information contained in a Schedule 13G/A filed on February 8, 2018. According to that Schedule 13G/A, The Vanguard Group has sole voting power over 111,989 of the reported shares, shared voting power over 73,104 of the reported shares, sole dispositive power over 13,949,445 of the reported shares, and shared dispositive power over 147,793 of the reported shares.</w:t>
      </w:r>
    </w:p>
    <w:p>
      <w:pPr>
        <w:spacing w:after="0" w:line="184" w:lineRule="exact"/>
        <w:rPr>
          <w:rFonts w:ascii="Arial" w:cs="Arial" w:eastAsia="Arial" w:hAnsi="Arial"/>
          <w:sz w:val="16"/>
          <w:szCs w:val="16"/>
          <w:color w:val="auto"/>
        </w:rPr>
      </w:pPr>
    </w:p>
    <w:p>
      <w:pPr>
        <w:ind w:left="1860" w:hanging="490"/>
        <w:spacing w:after="0" w:line="247" w:lineRule="auto"/>
        <w:tabs>
          <w:tab w:leader="none" w:pos="18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solely upon the information contained in a Schedule 13G/A filed on January 23, 2018. According to that Schedule 13G/A, Blackrock, Inc. has sole voting power over 13,632,401 of the reported shares, no shared voting power or shared dispositive power with respect to any reported shares, and sole dispositive power over all reported shares.</w:t>
      </w:r>
    </w:p>
    <w:p>
      <w:pPr>
        <w:spacing w:after="0" w:line="171" w:lineRule="exact"/>
        <w:rPr>
          <w:rFonts w:ascii="Arial" w:cs="Arial" w:eastAsia="Arial" w:hAnsi="Arial"/>
          <w:sz w:val="16"/>
          <w:szCs w:val="16"/>
          <w:color w:val="auto"/>
        </w:rPr>
      </w:pPr>
    </w:p>
    <w:p>
      <w:pPr>
        <w:ind w:left="1860" w:right="20" w:hanging="490"/>
        <w:spacing w:after="0" w:line="247" w:lineRule="auto"/>
        <w:tabs>
          <w:tab w:leader="none" w:pos="18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in part upon the information in a Schedule 13D/A filed on August 8, 2017. According to that Schedule 13D/A, Searchlight II CLS and certain of its affiliates have sole voting and dispositive power over 10,616,408 shares. Includes 15,885 shares of restricted stock held by Mr. Frey for the benefit of Searchlight II CLS.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0ACD2"/>
        </w:rPr>
        <w:t>AUDIT COMMITTEE REPORT</w:t>
      </w:r>
    </w:p>
    <w:p>
      <w:pPr>
        <w:spacing w:after="0" w:line="222" w:lineRule="exact"/>
        <w:rPr>
          <w:sz w:val="20"/>
          <w:szCs w:val="20"/>
          <w:color w:val="auto"/>
        </w:rPr>
      </w:pPr>
    </w:p>
    <w:p>
      <w:pPr>
        <w:ind w:firstLine="621"/>
        <w:spacing w:after="0" w:line="243" w:lineRule="auto"/>
        <w:rPr>
          <w:sz w:val="20"/>
          <w:szCs w:val="20"/>
          <w:color w:val="auto"/>
        </w:rPr>
      </w:pPr>
      <w:r>
        <w:rPr>
          <w:rFonts w:ascii="Arial" w:cs="Arial" w:eastAsia="Arial" w:hAnsi="Arial"/>
          <w:sz w:val="16"/>
          <w:szCs w:val="16"/>
          <w:color w:val="auto"/>
        </w:rPr>
        <w:t>The primary purposes of the Audit Committee are to oversee on behalf of the Board: (i) the Company's accounting and financial reporting processes and the integrity of its financial statements; (ii) the audits of the Company's financial statements and the appointment, compensation, qualifications, independence and performance of the Company's independent auditors; (iii) the Company's compliance with legal and regulatory requirements; and (iv) the performance of the Company's internal audit function, if any, internal accounting controls, disclosure controls and procedures and internal control over financial reporting. The Audit Committee also manages the Company's relationship with its independent registered public accounting firm (which reports directly to the Audit Committee). The Audit Committee has the authority to obtain advice and assistance from outside legal, accounting or other advisors as the Audit Committee deems necessary to carry out its duties and receives appropriate funding, as determined by the Audit Committee, from the Company for such advice and assistance.</w:t>
      </w:r>
    </w:p>
    <w:p>
      <w:pPr>
        <w:spacing w:after="0" w:line="188" w:lineRule="exact"/>
        <w:rPr>
          <w:sz w:val="20"/>
          <w:szCs w:val="20"/>
          <w:color w:val="auto"/>
        </w:rPr>
      </w:pPr>
    </w:p>
    <w:p>
      <w:pPr>
        <w:ind w:right="180" w:firstLine="621"/>
        <w:spacing w:after="0" w:line="247" w:lineRule="auto"/>
        <w:rPr>
          <w:sz w:val="20"/>
          <w:szCs w:val="20"/>
          <w:color w:val="auto"/>
        </w:rPr>
      </w:pPr>
      <w:r>
        <w:rPr>
          <w:rFonts w:ascii="Arial" w:cs="Arial" w:eastAsia="Arial" w:hAnsi="Arial"/>
          <w:sz w:val="16"/>
          <w:szCs w:val="16"/>
          <w:color w:val="auto"/>
        </w:rPr>
        <w:t>The Company's independent registered public accounting firm, PricewaterhouseCoopers LLP ("PwC"), is responsible for performing an independent audit of the Company's financial statements and issuing opinions on the conformity of those audited financial statements with United States generally accepted accounting principles. The Audit Committee's responsibility is to supervise and review these processes.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this context, the Audit Committee hereby reports as follows:</w:t>
      </w:r>
    </w:p>
    <w:p>
      <w:pPr>
        <w:spacing w:after="0" w:line="198" w:lineRule="exact"/>
        <w:rPr>
          <w:sz w:val="20"/>
          <w:szCs w:val="20"/>
          <w:color w:val="auto"/>
        </w:rPr>
      </w:pPr>
    </w:p>
    <w:p>
      <w:pPr>
        <w:ind w:left="980" w:hanging="488"/>
        <w:spacing w:after="0"/>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Audit Committee has reviewed and discussed the audited financial statements with the Company's management.</w:t>
      </w:r>
    </w:p>
    <w:p>
      <w:pPr>
        <w:spacing w:after="0" w:line="198" w:lineRule="exact"/>
        <w:rPr>
          <w:rFonts w:ascii="Arial" w:cs="Arial" w:eastAsia="Arial" w:hAnsi="Arial"/>
          <w:sz w:val="16"/>
          <w:szCs w:val="16"/>
          <w:color w:val="auto"/>
        </w:rPr>
      </w:pPr>
    </w:p>
    <w:p>
      <w:pPr>
        <w:ind w:left="980" w:right="260" w:hanging="488"/>
        <w:spacing w:after="0" w:line="253"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Audit Committee has discussed with PwC the matters required to be discussed under the rules adopted by the Public Company Accounting Oversight Board ("PCAOB").</w:t>
      </w:r>
    </w:p>
    <w:p>
      <w:pPr>
        <w:spacing w:after="0" w:line="166" w:lineRule="exact"/>
        <w:rPr>
          <w:rFonts w:ascii="Arial" w:cs="Arial" w:eastAsia="Arial" w:hAnsi="Arial"/>
          <w:sz w:val="16"/>
          <w:szCs w:val="16"/>
          <w:color w:val="auto"/>
        </w:rPr>
      </w:pPr>
    </w:p>
    <w:p>
      <w:pPr>
        <w:ind w:left="980" w:hanging="488"/>
        <w:spacing w:after="0" w:line="247"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Audit Committee has received from PwC the written disclosures and the letter required by the applicable requirements of the PCAOB regarding PwC's communications with the Audit Committee concerning independence and has discussed with PwC its independence and considered the compatibility of non-audit services with PwC's independence.</w:t>
      </w:r>
    </w:p>
    <w:p>
      <w:pPr>
        <w:spacing w:after="0" w:line="171" w:lineRule="exact"/>
        <w:rPr>
          <w:rFonts w:ascii="Arial" w:cs="Arial" w:eastAsia="Arial" w:hAnsi="Arial"/>
          <w:sz w:val="16"/>
          <w:szCs w:val="16"/>
          <w:color w:val="auto"/>
        </w:rPr>
      </w:pPr>
    </w:p>
    <w:p>
      <w:pPr>
        <w:jc w:val="both"/>
        <w:ind w:left="980" w:right="280" w:hanging="488"/>
        <w:spacing w:after="0" w:line="247"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the review and discussions referred to in paragraphs (1) through (3) above, the Audit Committee recommended to the Board, and the Board has approved, that the audited financial statements be included in the Company's Annual Report on Form 10-K for the fiscal year ended December 31, 2017, for filing with the Securities and Exchange Commission.</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undersigned members of the Audit Committee have submitted this Report to the Board of Directors.</w:t>
      </w:r>
    </w:p>
    <w:p>
      <w:pPr>
        <w:spacing w:after="0" w:line="178" w:lineRule="exact"/>
        <w:rPr>
          <w:sz w:val="20"/>
          <w:szCs w:val="20"/>
          <w:color w:val="auto"/>
        </w:rPr>
      </w:pPr>
    </w:p>
    <w:p>
      <w:pPr>
        <w:ind w:left="5960"/>
        <w:spacing w:after="0"/>
        <w:rPr>
          <w:sz w:val="20"/>
          <w:szCs w:val="20"/>
          <w:color w:val="auto"/>
        </w:rPr>
      </w:pPr>
      <w:r>
        <w:rPr>
          <w:rFonts w:ascii="Arial" w:cs="Arial" w:eastAsia="Arial" w:hAnsi="Arial"/>
          <w:sz w:val="16"/>
          <w:szCs w:val="16"/>
          <w:b w:val="1"/>
          <w:bCs w:val="1"/>
          <w:color w:val="00ACD2"/>
        </w:rPr>
        <w:t>AUDIT COMMITTEE:</w:t>
      </w:r>
    </w:p>
    <w:p>
      <w:pPr>
        <w:spacing w:after="0" w:line="22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 xml:space="preserve">Jennifer S. Banner, </w:t>
      </w:r>
      <w:r>
        <w:rPr>
          <w:rFonts w:ascii="Arial" w:cs="Arial" w:eastAsia="Arial" w:hAnsi="Arial"/>
          <w:sz w:val="16"/>
          <w:szCs w:val="16"/>
          <w:i w:val="1"/>
          <w:iCs w:val="1"/>
          <w:color w:val="auto"/>
        </w:rPr>
        <w:t>Chair</w:t>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Scott G. Bruce</w:t>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Andrew Frey</w:t>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David L. Solomon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0ACD2"/>
        </w:rPr>
        <w:t>EXECUTIVE OFFICERS OF THE COMPANY</w:t>
      </w:r>
    </w:p>
    <w:p>
      <w:pPr>
        <w:spacing w:after="0" w:line="222" w:lineRule="exact"/>
        <w:rPr>
          <w:sz w:val="20"/>
          <w:szCs w:val="20"/>
          <w:color w:val="auto"/>
        </w:rPr>
      </w:pPr>
    </w:p>
    <w:p>
      <w:pPr>
        <w:ind w:firstLine="624"/>
        <w:spacing w:after="0" w:line="247" w:lineRule="auto"/>
        <w:rPr>
          <w:sz w:val="20"/>
          <w:szCs w:val="20"/>
          <w:color w:val="auto"/>
        </w:rPr>
      </w:pPr>
      <w:r>
        <w:rPr>
          <w:rFonts w:ascii="Arial" w:cs="Arial" w:eastAsia="Arial" w:hAnsi="Arial"/>
          <w:sz w:val="16"/>
          <w:szCs w:val="16"/>
          <w:color w:val="auto"/>
        </w:rPr>
        <w:t>Set forth below is biographical information with respect to each current executive officer of the Company. In addition to the executive officers listed below, Mr. Gunderman, who also serves as a director of the Company, is an executive officer of the Company. Biographical information regarding Mr. Gunderman is available above under "Proposal No. 1—Election of Directors."</w:t>
      </w:r>
    </w:p>
    <w:p>
      <w:pPr>
        <w:spacing w:after="0" w:line="164" w:lineRule="exact"/>
        <w:rPr>
          <w:sz w:val="20"/>
          <w:szCs w:val="20"/>
          <w:color w:val="auto"/>
        </w:rPr>
      </w:pPr>
    </w:p>
    <w:p>
      <w:pPr>
        <w:ind w:firstLine="624"/>
        <w:spacing w:after="0" w:line="244" w:lineRule="auto"/>
        <w:rPr>
          <w:sz w:val="20"/>
          <w:szCs w:val="20"/>
          <w:color w:val="auto"/>
        </w:rPr>
      </w:pPr>
      <w:r>
        <w:rPr>
          <w:rFonts w:ascii="Arial" w:cs="Arial" w:eastAsia="Arial" w:hAnsi="Arial"/>
          <w:sz w:val="16"/>
          <w:szCs w:val="16"/>
          <w:b w:val="1"/>
          <w:bCs w:val="1"/>
          <w:color w:val="00ACD2"/>
        </w:rPr>
        <w:t>Mark A. Wallace</w:t>
      </w:r>
      <w:r>
        <w:rPr>
          <w:rFonts w:ascii="Arial" w:cs="Arial" w:eastAsia="Arial" w:hAnsi="Arial"/>
          <w:sz w:val="16"/>
          <w:szCs w:val="16"/>
          <w:color w:val="000000"/>
        </w:rPr>
        <w:t>, age 60, has served as the Executive Vice President—Chief Financial Officer and Treasurer of Uniti since April 1, 2015. Mr. Wallace</w:t>
      </w:r>
      <w:r>
        <w:rPr>
          <w:rFonts w:ascii="Arial" w:cs="Arial" w:eastAsia="Arial" w:hAnsi="Arial"/>
          <w:sz w:val="16"/>
          <w:szCs w:val="16"/>
          <w:b w:val="1"/>
          <w:bCs w:val="1"/>
          <w:color w:val="00ACD2"/>
        </w:rPr>
        <w:t xml:space="preserve"> </w:t>
      </w:r>
      <w:r>
        <w:rPr>
          <w:rFonts w:ascii="Arial" w:cs="Arial" w:eastAsia="Arial" w:hAnsi="Arial"/>
          <w:sz w:val="16"/>
          <w:szCs w:val="16"/>
          <w:color w:val="000000"/>
        </w:rPr>
        <w:t>previously served as Managing Director of Fortress Investment Group LLC (NYSE: FIG) and affiliates from May 2014 to December 2014, and served as the Chief Financial Officer and Treasurer of New Senior Investment Group (NYSE: SNR), a publicly traded REIT managed by Fortress from October 2014 until December 2014. Mr. Wallace was previously the Senior Vice President, Chief Financial Officer and Treasurer of Westwood Holdings Group, a Dallas-based asset management firm which he joined in November 2012. Mr. Wallace served as Chief Financial Officer of Leading Edge Aviation Services, Inc., a privately-held aerospace services company, from September to November 2012, as a financial consultant to a private telecommunication services company from May 2011 to August 2012 and as Chief Financial Officer of Westcore Properties, a private real estate firm, from August to December 2010. Mr. Wallace served as EVP—Chief Financial Officer &amp; Treasurer of HCP, Inc., an S&amp;P 500 healthcare REIT, from March 2004 until March 2009, where his responsibilities included capital markets, SEC reporting, technology, taxes, acquisition evaluation and integration, and financial planning and analysis. He was Chair of the Operating Committee of HCP, and served on both the Executive and Investment Committees. Mr. Wallace's experience includes private and publicly traded NYSE real estate and industrial companies including Titanium Metals Corporation, Tremont Corporation and Valhi, Inc. and 11 years with Arthur Andersen LLP. Mr. Wallace has a bachelor's degree in business administration from Texas Tech University and an MBA from Colorado State University. He is a Certified Public Accountant in Texas.</w:t>
      </w:r>
    </w:p>
    <w:p>
      <w:pPr>
        <w:spacing w:after="0" w:line="172" w:lineRule="exact"/>
        <w:rPr>
          <w:sz w:val="20"/>
          <w:szCs w:val="20"/>
          <w:color w:val="auto"/>
        </w:rPr>
      </w:pPr>
    </w:p>
    <w:p>
      <w:pPr>
        <w:ind w:right="160" w:firstLine="624"/>
        <w:spacing w:after="0" w:line="248" w:lineRule="auto"/>
        <w:rPr>
          <w:sz w:val="20"/>
          <w:szCs w:val="20"/>
          <w:color w:val="auto"/>
        </w:rPr>
      </w:pPr>
      <w:r>
        <w:rPr>
          <w:rFonts w:ascii="Arial" w:cs="Arial" w:eastAsia="Arial" w:hAnsi="Arial"/>
          <w:sz w:val="16"/>
          <w:szCs w:val="16"/>
          <w:b w:val="1"/>
          <w:bCs w:val="1"/>
          <w:color w:val="00ACD2"/>
        </w:rPr>
        <w:t>Daniel L. Heard</w:t>
      </w:r>
      <w:r>
        <w:rPr>
          <w:rFonts w:ascii="Arial" w:cs="Arial" w:eastAsia="Arial" w:hAnsi="Arial"/>
          <w:sz w:val="16"/>
          <w:szCs w:val="16"/>
          <w:color w:val="000000"/>
        </w:rPr>
        <w:t>, age 43, has served as the Executive Vice President—General Counsel and Secretary of Uniti since April 1, 2015. Most recently he</w:t>
      </w:r>
      <w:r>
        <w:rPr>
          <w:rFonts w:ascii="Arial" w:cs="Arial" w:eastAsia="Arial" w:hAnsi="Arial"/>
          <w:sz w:val="16"/>
          <w:szCs w:val="16"/>
          <w:b w:val="1"/>
          <w:bCs w:val="1"/>
          <w:color w:val="00ACD2"/>
        </w:rPr>
        <w:t xml:space="preserve"> </w:t>
      </w:r>
      <w:r>
        <w:rPr>
          <w:rFonts w:ascii="Arial" w:cs="Arial" w:eastAsia="Arial" w:hAnsi="Arial"/>
          <w:sz w:val="16"/>
          <w:szCs w:val="16"/>
          <w:color w:val="000000"/>
        </w:rPr>
        <w:t>was a partner in the law offices of Kutak Rock LLP. Mr. Heard joined Kutak Rock LLP in 2000, where he represented public companies in corporate, securities and merger and acquisition transactions. His clients comprised a wide range of industries, including telecommunications, information technology and food processing. Mr. Heard has more than 17 years' experience in negotiating, structuring and consummating mergers and acquisitions, public offerings of debt and equity securities and other corporate finance transactions. Mr. Heard graduated from the William H. Bowen School of Law at the University of Arkansas at Little Rock and has a Bachelor of Arts from the University of Central Arkansas. Mr. Heard is responsible for the Company's legal affairs and corporate governance.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350" w:lineRule="exact"/>
        <w:rPr>
          <w:sz w:val="20"/>
          <w:szCs w:val="20"/>
          <w:color w:val="auto"/>
        </w:rPr>
      </w:pPr>
    </w:p>
    <w:p>
      <w:pPr>
        <w:jc w:val="center"/>
        <w:ind w:right="-279"/>
        <w:spacing w:after="0"/>
        <w:rPr>
          <w:sz w:val="20"/>
          <w:szCs w:val="20"/>
          <w:color w:val="auto"/>
        </w:rPr>
      </w:pPr>
      <w:r>
        <w:rPr>
          <w:rFonts w:ascii="Arial" w:cs="Arial" w:eastAsia="Arial" w:hAnsi="Arial"/>
          <w:sz w:val="20"/>
          <w:szCs w:val="20"/>
          <w:b w:val="1"/>
          <w:bCs w:val="1"/>
          <w:color w:val="00ACD2"/>
        </w:rPr>
        <w:t>EXECUTIVE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ACD2"/>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5868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5" w:lineRule="exact"/>
        <w:rPr>
          <w:sz w:val="20"/>
          <w:szCs w:val="20"/>
          <w:color w:val="auto"/>
        </w:rPr>
      </w:pPr>
    </w:p>
    <w:p>
      <w:pPr>
        <w:ind w:right="580" w:firstLine="621"/>
        <w:spacing w:after="0" w:line="253" w:lineRule="auto"/>
        <w:rPr>
          <w:sz w:val="20"/>
          <w:szCs w:val="20"/>
          <w:color w:val="auto"/>
        </w:rPr>
      </w:pPr>
      <w:r>
        <w:rPr>
          <w:rFonts w:ascii="Arial" w:cs="Arial" w:eastAsia="Arial" w:hAnsi="Arial"/>
          <w:sz w:val="16"/>
          <w:szCs w:val="16"/>
          <w:color w:val="auto"/>
        </w:rPr>
        <w:t>This Compensation Discussion and Analysis describes our current executive compensation program and provides information regarding the compensation paid to our named executive officers (or NEOs) in 2017, who were:</w:t>
      </w:r>
    </w:p>
    <w:p>
      <w:pPr>
        <w:spacing w:after="0" w:line="159" w:lineRule="exact"/>
        <w:rPr>
          <w:sz w:val="20"/>
          <w:szCs w:val="20"/>
          <w:color w:val="auto"/>
        </w:rPr>
      </w:pPr>
    </w:p>
    <w:p>
      <w:pPr>
        <w:ind w:left="980" w:hanging="488"/>
        <w:spacing w:after="0"/>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00ACD2"/>
        </w:rPr>
        <w:t>Kenneth A. Gunderman</w:t>
      </w:r>
      <w:r>
        <w:rPr>
          <w:rFonts w:ascii="Arial" w:cs="Arial" w:eastAsia="Arial" w:hAnsi="Arial"/>
          <w:sz w:val="16"/>
          <w:szCs w:val="16"/>
          <w:color w:val="000000"/>
        </w:rPr>
        <w:t>, President and Chief Executive Officer;</w:t>
      </w:r>
    </w:p>
    <w:p>
      <w:pPr>
        <w:spacing w:after="0" w:line="29" w:lineRule="exact"/>
        <w:rPr>
          <w:rFonts w:ascii="Arial" w:cs="Arial" w:eastAsia="Arial" w:hAnsi="Arial"/>
          <w:sz w:val="16"/>
          <w:szCs w:val="16"/>
          <w:color w:val="auto"/>
        </w:rPr>
      </w:pPr>
    </w:p>
    <w:p>
      <w:pPr>
        <w:ind w:left="980" w:hanging="488"/>
        <w:spacing w:after="0"/>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00ACD2"/>
        </w:rPr>
        <w:t>Mark A. Wallace</w:t>
      </w:r>
      <w:r>
        <w:rPr>
          <w:rFonts w:ascii="Arial" w:cs="Arial" w:eastAsia="Arial" w:hAnsi="Arial"/>
          <w:sz w:val="16"/>
          <w:szCs w:val="16"/>
          <w:color w:val="000000"/>
        </w:rPr>
        <w:t>, Executive Vice President—Chief Financial Officer and Treasurer;</w:t>
      </w:r>
    </w:p>
    <w:p>
      <w:pPr>
        <w:spacing w:after="0" w:line="5" w:lineRule="exact"/>
        <w:rPr>
          <w:rFonts w:ascii="Arial" w:cs="Arial" w:eastAsia="Arial" w:hAnsi="Arial"/>
          <w:sz w:val="16"/>
          <w:szCs w:val="16"/>
          <w:color w:val="auto"/>
        </w:rPr>
      </w:pPr>
    </w:p>
    <w:p>
      <w:pPr>
        <w:ind w:left="980" w:hanging="488"/>
        <w:spacing w:after="0"/>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00ACD2"/>
        </w:rPr>
        <w:t>Daniel L. Heard</w:t>
      </w:r>
      <w:r>
        <w:rPr>
          <w:rFonts w:ascii="Arial" w:cs="Arial" w:eastAsia="Arial" w:hAnsi="Arial"/>
          <w:sz w:val="16"/>
          <w:szCs w:val="16"/>
          <w:color w:val="000000"/>
        </w:rPr>
        <w:t>, Executive Vice President—General Counsel and Secretary; and</w:t>
      </w:r>
    </w:p>
    <w:p>
      <w:pPr>
        <w:ind w:left="980" w:hanging="488"/>
        <w:spacing w:after="0"/>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00ACD2"/>
        </w:rPr>
        <w:t>Ronald J. Mudry</w:t>
      </w:r>
      <w:r>
        <w:rPr>
          <w:rFonts w:ascii="Arial" w:cs="Arial" w:eastAsia="Arial" w:hAnsi="Arial"/>
          <w:sz w:val="16"/>
          <w:szCs w:val="16"/>
          <w:color w:val="000000"/>
        </w:rPr>
        <w:t>, President of Sales and Business Development of Uniti Fiber.</w:t>
      </w:r>
    </w:p>
    <w:p>
      <w:pPr>
        <w:spacing w:after="0" w:line="198" w:lineRule="exact"/>
        <w:rPr>
          <w:sz w:val="20"/>
          <w:szCs w:val="20"/>
          <w:color w:val="auto"/>
        </w:rPr>
      </w:pPr>
    </w:p>
    <w:p>
      <w:pPr>
        <w:ind w:right="240" w:firstLine="624"/>
        <w:spacing w:after="0" w:line="253" w:lineRule="auto"/>
        <w:rPr>
          <w:sz w:val="20"/>
          <w:szCs w:val="20"/>
          <w:color w:val="auto"/>
        </w:rPr>
      </w:pPr>
      <w:r>
        <w:rPr>
          <w:rFonts w:ascii="Arial" w:cs="Arial" w:eastAsia="Arial" w:hAnsi="Arial"/>
          <w:sz w:val="16"/>
          <w:szCs w:val="16"/>
          <w:color w:val="auto"/>
        </w:rPr>
        <w:t>Mr. Mudry served as Executive Vice President—Fiber Operations until July 3, 2017, when he assumed his current role as President of Sales and Business Development of Uniti Fiber in connection with the acquisition of Hunt Telecommunications, LLC and Southern Light, LLC.</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00ACD2"/>
        </w:rPr>
        <w:t>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68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15" w:lineRule="exact"/>
        <w:rPr>
          <w:sz w:val="20"/>
          <w:szCs w:val="20"/>
          <w:color w:val="auto"/>
        </w:rPr>
      </w:pPr>
    </w:p>
    <w:p>
      <w:pPr>
        <w:ind w:firstLine="624"/>
        <w:spacing w:after="0" w:line="253" w:lineRule="auto"/>
        <w:rPr>
          <w:sz w:val="20"/>
          <w:szCs w:val="20"/>
          <w:color w:val="auto"/>
        </w:rPr>
      </w:pPr>
      <w:r>
        <w:rPr>
          <w:rFonts w:ascii="Arial" w:cs="Arial" w:eastAsia="Arial" w:hAnsi="Arial"/>
          <w:sz w:val="16"/>
          <w:szCs w:val="16"/>
          <w:color w:val="auto"/>
        </w:rPr>
        <w:t>Our current compensation program includes annual base salaries, annual short-term cash incentive opportunities, and long-term equity awards. Our executive compensation program is intended to support the following objectives:</w:t>
      </w:r>
    </w:p>
    <w:p>
      <w:pPr>
        <w:spacing w:after="0" w:line="192" w:lineRule="exact"/>
        <w:rPr>
          <w:sz w:val="20"/>
          <w:szCs w:val="20"/>
          <w:color w:val="auto"/>
        </w:rPr>
      </w:pPr>
    </w:p>
    <w:p>
      <w:pPr>
        <w:ind w:left="980" w:hanging="488"/>
        <w:spacing w:after="0"/>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align pay with performance through the use of variable incentives (84% variable for CEO and 70% variable for other NEOs in 2017);</w:t>
      </w:r>
    </w:p>
    <w:p>
      <w:pPr>
        <w:ind w:left="980" w:hanging="488"/>
        <w:spacing w:after="0"/>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reinforce key business objectives in support of long-term value creation;</w:t>
      </w:r>
    </w:p>
    <w:p>
      <w:pPr>
        <w:ind w:left="980" w:hanging="488"/>
        <w:spacing w:after="0"/>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align management's interests with the long-term interests of our stockholders;</w:t>
      </w:r>
    </w:p>
    <w:p>
      <w:pPr>
        <w:spacing w:after="0" w:line="13" w:lineRule="exact"/>
        <w:rPr>
          <w:rFonts w:ascii="Arial" w:cs="Arial" w:eastAsia="Arial" w:hAnsi="Arial"/>
          <w:sz w:val="16"/>
          <w:szCs w:val="16"/>
          <w:color w:val="auto"/>
        </w:rPr>
      </w:pPr>
    </w:p>
    <w:p>
      <w:pPr>
        <w:ind w:left="980" w:hanging="488"/>
        <w:spacing w:after="0"/>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provide compensation and incentives at or near the 50th percentile of market data provided by our compensation consultant; and</w:t>
      </w:r>
    </w:p>
    <w:p>
      <w:pPr>
        <w:ind w:left="980" w:hanging="488"/>
        <w:spacing w:after="0"/>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to not create or encourage unnecessary risk taking.</w:t>
      </w:r>
    </w:p>
    <w:p>
      <w:pPr>
        <w:spacing w:after="0" w:line="198"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100"/>
          </w:cols>
          <w:pgMar w:left="240" w:top="142" w:right="55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To further these objectives, we adhere to the following compensation and corporate governance practices:</w:t>
      </w:r>
    </w:p>
    <w:p>
      <w:pPr>
        <w:spacing w:after="0" w:line="178" w:lineRule="exact"/>
        <w:rPr>
          <w:sz w:val="20"/>
          <w:szCs w:val="20"/>
          <w:color w:val="auto"/>
        </w:rPr>
      </w:pPr>
    </w:p>
    <w:p>
      <w:pPr>
        <w:spacing w:after="0"/>
        <w:tabs>
          <w:tab w:leader="none" w:pos="5780" w:val="left"/>
        </w:tabs>
        <w:rPr>
          <w:sz w:val="20"/>
          <w:szCs w:val="20"/>
          <w:color w:val="auto"/>
        </w:rPr>
      </w:pPr>
      <w:r>
        <w:rPr>
          <w:rFonts w:ascii="Arial" w:cs="Arial" w:eastAsia="Arial" w:hAnsi="Arial"/>
          <w:sz w:val="16"/>
          <w:szCs w:val="16"/>
          <w:b w:val="1"/>
          <w:bCs w:val="1"/>
          <w:color w:val="auto"/>
        </w:rPr>
        <w:t>What We Do:</w:t>
      </w:r>
      <w:r>
        <w:rPr>
          <w:sz w:val="20"/>
          <w:szCs w:val="20"/>
          <w:color w:val="auto"/>
        </w:rPr>
        <w:tab/>
      </w:r>
      <w:r>
        <w:rPr>
          <w:rFonts w:ascii="Arial" w:cs="Arial" w:eastAsia="Arial" w:hAnsi="Arial"/>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58685" cy="516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8685" cy="516890"/>
                    </a:xfrm>
                    <a:prstGeom prst="rect">
                      <a:avLst/>
                    </a:prstGeom>
                    <a:noFill/>
                  </pic:spPr>
                </pic:pic>
              </a:graphicData>
            </a:graphic>
          </wp:anchor>
        </w:drawing>
      </w:r>
    </w:p>
    <w:p>
      <w:pPr>
        <w:spacing w:after="0" w:line="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Align pay with performance by linking a substantial portion of</w:t>
      </w:r>
    </w:p>
    <w:p>
      <w:pPr>
        <w:spacing w:after="0" w:line="1" w:lineRule="exact"/>
        <w:rPr>
          <w:sz w:val="20"/>
          <w:szCs w:val="20"/>
          <w:color w:val="auto"/>
        </w:rPr>
      </w:pPr>
    </w:p>
    <w:p>
      <w:pPr>
        <w:ind w:left="800"/>
        <w:spacing w:after="0"/>
        <w:tabs>
          <w:tab w:leader="none" w:pos="6620" w:val="left"/>
        </w:tabs>
        <w:rPr>
          <w:sz w:val="20"/>
          <w:szCs w:val="20"/>
          <w:color w:val="auto"/>
        </w:rPr>
      </w:pPr>
      <w:r>
        <w:rPr>
          <w:rFonts w:ascii="Arial" w:cs="Arial" w:eastAsia="Arial" w:hAnsi="Arial"/>
          <w:sz w:val="16"/>
          <w:szCs w:val="16"/>
          <w:color w:val="auto"/>
        </w:rPr>
        <w:t>compensation to the achievement of predefined performance</w:t>
      </w:r>
      <w:r>
        <w:rPr>
          <w:sz w:val="20"/>
          <w:szCs w:val="20"/>
          <w:color w:val="auto"/>
        </w:rPr>
        <w:tab/>
      </w:r>
      <w:r>
        <w:rPr>
          <w:rFonts w:ascii="Arial" w:cs="Arial" w:eastAsia="Arial" w:hAnsi="Arial"/>
          <w:sz w:val="16"/>
          <w:szCs w:val="16"/>
          <w:color w:val="auto"/>
        </w:rPr>
        <w:t>Do NOT provide tax gross-ups in any circumstance</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metrics</w:t>
      </w:r>
    </w:p>
    <w:p>
      <w:pPr>
        <w:sectPr>
          <w:pgSz w:w="11900" w:h="16838" w:orient="portrait"/>
          <w:cols w:equalWidth="0" w:num="1">
            <w:col w:w="11420"/>
          </w:cols>
          <w:pgMar w:left="240" w:top="142" w:right="239" w:bottom="1440" w:gutter="0" w:footer="0" w:header="0"/>
        </w:sectPr>
      </w:pPr>
    </w:p>
    <w:p>
      <w:pPr>
        <w:spacing w:after="0" w:line="3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Retain an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258685" cy="2349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8685" cy="234950"/>
                    </a:xfrm>
                    <a:prstGeom prst="rect">
                      <a:avLst/>
                    </a:prstGeom>
                    <a:noFill/>
                  </pic:spPr>
                </pic:pic>
              </a:graphicData>
            </a:graphic>
          </wp:anchor>
        </w:drawing>
      </w:r>
    </w:p>
    <w:p>
      <w:pPr>
        <w:spacing w:after="0" w:line="18" w:lineRule="exact"/>
        <w:rPr>
          <w:sz w:val="20"/>
          <w:szCs w:val="20"/>
          <w:color w:val="auto"/>
        </w:rPr>
      </w:pPr>
    </w:p>
    <w:p>
      <w:pPr>
        <w:ind w:left="800" w:right="380"/>
        <w:spacing w:after="0" w:line="241" w:lineRule="auto"/>
        <w:rPr>
          <w:sz w:val="20"/>
          <w:szCs w:val="20"/>
          <w:color w:val="auto"/>
        </w:rPr>
      </w:pPr>
      <w:r>
        <w:rPr>
          <w:rFonts w:ascii="Arial" w:cs="Arial" w:eastAsia="Arial" w:hAnsi="Arial"/>
          <w:sz w:val="16"/>
          <w:szCs w:val="16"/>
          <w:color w:val="auto"/>
        </w:rPr>
        <w:t>Require compliance with stock ownership guidelines for executives and non-employee directors</w:t>
      </w:r>
    </w:p>
    <w:p>
      <w:pPr>
        <w:ind w:left="800" w:right="880"/>
        <w:spacing w:after="0" w:line="241" w:lineRule="auto"/>
        <w:rPr>
          <w:sz w:val="20"/>
          <w:szCs w:val="20"/>
          <w:color w:val="auto"/>
        </w:rPr>
      </w:pPr>
      <w:r>
        <w:rPr>
          <w:rFonts w:ascii="Arial" w:cs="Arial" w:eastAsia="Arial" w:hAnsi="Arial"/>
          <w:sz w:val="16"/>
          <w:szCs w:val="16"/>
          <w:color w:val="auto"/>
        </w:rPr>
        <w:t>Include double-trigger change-in-control provisions in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-204470</wp:posOffset>
            </wp:positionV>
            <wp:extent cx="7258685" cy="6026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8685" cy="602615"/>
                    </a:xfrm>
                    <a:prstGeom prst="rect">
                      <a:avLst/>
                    </a:prstGeom>
                    <a:noFill/>
                  </pic:spPr>
                </pic:pic>
              </a:graphicData>
            </a:graphic>
          </wp:anchor>
        </w:drawing>
      </w:r>
    </w:p>
    <w:p>
      <w:pPr>
        <w:ind w:left="800" w:right="320"/>
        <w:spacing w:after="0" w:line="253" w:lineRule="auto"/>
        <w:rPr>
          <w:sz w:val="20"/>
          <w:szCs w:val="20"/>
          <w:color w:val="auto"/>
        </w:rPr>
      </w:pPr>
      <w:r>
        <w:rPr>
          <w:rFonts w:ascii="Arial" w:cs="Arial" w:eastAsia="Arial" w:hAnsi="Arial"/>
          <w:sz w:val="16"/>
          <w:szCs w:val="16"/>
          <w:color w:val="auto"/>
        </w:rPr>
        <w:t>Place caps on incentive award opportunities and conduct an annual risk assessment</w:t>
      </w:r>
    </w:p>
    <w:p>
      <w:pPr>
        <w:spacing w:after="0" w:line="1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Maintain a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258685" cy="2349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8685" cy="234950"/>
                    </a:xfrm>
                    <a:prstGeom prst="rect">
                      <a:avLst/>
                    </a:prstGeom>
                    <a:noFill/>
                  </pic:spPr>
                </pic:pic>
              </a:graphicData>
            </a:graphic>
          </wp:anchor>
        </w:drawing>
      </w:r>
    </w:p>
    <w:p>
      <w:pPr>
        <w:spacing w:after="0" w:line="10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Prohibit hedging of our common stock and option trading</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00ACD2"/>
        </w:rPr>
        <w:t>2017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68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720"/>
        <w:spacing w:after="0" w:line="413" w:lineRule="auto"/>
        <w:rPr>
          <w:sz w:val="20"/>
          <w:szCs w:val="20"/>
          <w:color w:val="auto"/>
        </w:rPr>
      </w:pPr>
      <w:r>
        <w:rPr>
          <w:rFonts w:ascii="Arial" w:cs="Arial" w:eastAsia="Arial" w:hAnsi="Arial"/>
          <w:sz w:val="16"/>
          <w:szCs w:val="16"/>
          <w:color w:val="auto"/>
        </w:rPr>
        <w:t>Do NOT provide any excessive perquisites for executives Do NOT provide guaranteed bonuses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Do NOT provide discount stock options or stock appreciation rights</w:t>
      </w:r>
    </w:p>
    <w:p>
      <w:pPr>
        <w:spacing w:after="0" w:line="10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Do NOT pay dividends on performance-based restricted stock units prior to vesting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Do NOT permit unapproved pledging of our common stock</w:t>
      </w:r>
    </w:p>
    <w:p>
      <w:pPr>
        <w:spacing w:after="0" w:line="38"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Do NOT add back to our equity compensation plan reserves any shares tendered as payment for shares withheld for taxes</w:t>
      </w:r>
    </w:p>
    <w:p>
      <w:pPr>
        <w:spacing w:after="0" w:line="563" w:lineRule="exact"/>
        <w:rPr>
          <w:sz w:val="20"/>
          <w:szCs w:val="20"/>
          <w:color w:val="auto"/>
        </w:rPr>
      </w:pPr>
    </w:p>
    <w:p>
      <w:pPr>
        <w:sectPr>
          <w:pgSz w:w="11900" w:h="16838" w:orient="portrait"/>
          <w:cols w:equalWidth="0" w:num="2">
            <w:col w:w="5920" w:space="720"/>
            <w:col w:w="4780"/>
          </w:cols>
          <w:pgMar w:left="240" w:top="142" w:right="2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00ACD2"/>
        </w:rPr>
        <w:t>How We Structured the 2017 Compensation Program</w:t>
      </w:r>
    </w:p>
    <w:p>
      <w:pPr>
        <w:spacing w:after="0" w:line="182" w:lineRule="exact"/>
        <w:rPr>
          <w:sz w:val="20"/>
          <w:szCs w:val="20"/>
          <w:color w:val="auto"/>
        </w:rPr>
      </w:pPr>
    </w:p>
    <w:p>
      <w:pPr>
        <w:ind w:right="80" w:firstLine="624"/>
        <w:spacing w:after="0" w:line="257" w:lineRule="auto"/>
        <w:rPr>
          <w:sz w:val="20"/>
          <w:szCs w:val="20"/>
          <w:color w:val="auto"/>
        </w:rPr>
      </w:pPr>
      <w:r>
        <w:rPr>
          <w:rFonts w:ascii="Arial" w:cs="Arial" w:eastAsia="Arial" w:hAnsi="Arial"/>
          <w:sz w:val="16"/>
          <w:szCs w:val="16"/>
          <w:i w:val="1"/>
          <w:iCs w:val="1"/>
          <w:color w:val="00ACD2"/>
        </w:rPr>
        <w:t xml:space="preserve">Compensation Committee. </w:t>
      </w:r>
      <w:r>
        <w:rPr>
          <w:rFonts w:ascii="Arial" w:cs="Arial" w:eastAsia="Arial" w:hAnsi="Arial"/>
          <w:sz w:val="16"/>
          <w:szCs w:val="16"/>
          <w:color w:val="000000"/>
        </w:rPr>
        <w:t>Our Compensation Committee is comprised of David L. Solomon, as Chair, Francis X. ("Skip") Frantz and Jennifer S.</w:t>
      </w:r>
      <w:r>
        <w:rPr>
          <w:rFonts w:ascii="Arial" w:cs="Arial" w:eastAsia="Arial" w:hAnsi="Arial"/>
          <w:sz w:val="16"/>
          <w:szCs w:val="16"/>
          <w:i w:val="1"/>
          <w:iCs w:val="1"/>
          <w:color w:val="00ACD2"/>
        </w:rPr>
        <w:t xml:space="preserve"> </w:t>
      </w:r>
      <w:r>
        <w:rPr>
          <w:rFonts w:ascii="Arial" w:cs="Arial" w:eastAsia="Arial" w:hAnsi="Arial"/>
          <w:sz w:val="16"/>
          <w:szCs w:val="16"/>
          <w:color w:val="000000"/>
        </w:rPr>
        <w:t>Banner. Our Board of Directors has determined that each member of the Compensation Committee is an independent director under NASDAQ listing standards, a "non-employee director" for purposes of Section 16 of the Securities Exchange Act of 1934.</w:t>
      </w:r>
    </w:p>
    <w:p>
      <w:pPr>
        <w:spacing w:after="0" w:line="177" w:lineRule="exact"/>
        <w:rPr>
          <w:sz w:val="20"/>
          <w:szCs w:val="20"/>
          <w:color w:val="auto"/>
        </w:rPr>
      </w:pPr>
    </w:p>
    <w:p>
      <w:pPr>
        <w:ind w:firstLine="621"/>
        <w:spacing w:after="0" w:line="245" w:lineRule="auto"/>
        <w:rPr>
          <w:sz w:val="20"/>
          <w:szCs w:val="20"/>
          <w:color w:val="auto"/>
        </w:rPr>
      </w:pPr>
      <w:r>
        <w:rPr>
          <w:rFonts w:ascii="Arial" w:cs="Arial" w:eastAsia="Arial" w:hAnsi="Arial"/>
          <w:sz w:val="16"/>
          <w:szCs w:val="16"/>
          <w:color w:val="auto"/>
        </w:rPr>
        <w:t xml:space="preserve">The Compensation Committee oversees and administers our compensation programs, plans and awards for Uniti's directors and executive officers and is primarily responsible for reviewing and approving (or recommending to the Board of Directors for approval) our compensation policies and the compensation paid to our executive officers. The Compensation Committee's responsibilities are set forth in its written charter that is available on our website at </w:t>
      </w:r>
      <w:r>
        <w:rPr>
          <w:rFonts w:ascii="Arial" w:cs="Arial" w:eastAsia="Arial" w:hAnsi="Arial"/>
          <w:sz w:val="16"/>
          <w:szCs w:val="16"/>
          <w:b w:val="1"/>
          <w:bCs w:val="1"/>
          <w:color w:val="00ACD2"/>
        </w:rPr>
        <w:t>www.uniti.com</w:t>
      </w:r>
      <w:r>
        <w:rPr>
          <w:rFonts w:ascii="Arial" w:cs="Arial" w:eastAsia="Arial" w:hAnsi="Arial"/>
          <w:sz w:val="16"/>
          <w:szCs w:val="16"/>
          <w:color w:val="auto"/>
        </w:rPr>
        <w:t xml:space="preserve"> under the "About Us—Corporate Governance" tab.</w:t>
      </w:r>
    </w:p>
    <w:p>
      <w:pPr>
        <w:spacing w:after="0" w:line="186" w:lineRule="exact"/>
        <w:rPr>
          <w:sz w:val="20"/>
          <w:szCs w:val="20"/>
          <w:color w:val="auto"/>
        </w:rPr>
      </w:pPr>
    </w:p>
    <w:p>
      <w:pPr>
        <w:ind w:right="220" w:firstLine="624"/>
        <w:spacing w:after="0" w:line="245" w:lineRule="auto"/>
        <w:rPr>
          <w:sz w:val="20"/>
          <w:szCs w:val="20"/>
          <w:color w:val="auto"/>
        </w:rPr>
      </w:pPr>
      <w:r>
        <w:rPr>
          <w:rFonts w:ascii="Arial" w:cs="Arial" w:eastAsia="Arial" w:hAnsi="Arial"/>
          <w:sz w:val="16"/>
          <w:szCs w:val="16"/>
          <w:color w:val="auto"/>
        </w:rPr>
        <w:t>With respect to our 2017 compensation program, the Compensation Committee reviewed and approved the compensation opportunities for Messrs. Gunderman, Wallace, Heard and Mudry with input from its independent compensation consultant, Pearl Meyer &amp; Partners, LLC ("Pearl Meyer"). In approving such compensation, the Compensation Committee focused on a number of metrics to evaluate our performance, in addition to elements of strategic performance, as discussed below.</w:t>
      </w:r>
    </w:p>
    <w:p>
      <w:pPr>
        <w:spacing w:after="0" w:line="170" w:lineRule="exact"/>
        <w:rPr>
          <w:sz w:val="20"/>
          <w:szCs w:val="20"/>
          <w:color w:val="auto"/>
        </w:rPr>
      </w:pPr>
    </w:p>
    <w:p>
      <w:pPr>
        <w:ind w:right="800" w:firstLine="624"/>
        <w:spacing w:after="0" w:line="273" w:lineRule="auto"/>
        <w:rPr>
          <w:sz w:val="20"/>
          <w:szCs w:val="20"/>
          <w:color w:val="auto"/>
        </w:rPr>
      </w:pPr>
      <w:r>
        <w:rPr>
          <w:rFonts w:ascii="Arial" w:cs="Arial" w:eastAsia="Arial" w:hAnsi="Arial"/>
          <w:sz w:val="16"/>
          <w:szCs w:val="16"/>
          <w:i w:val="1"/>
          <w:iCs w:val="1"/>
          <w:color w:val="00ACD2"/>
        </w:rPr>
        <w:t xml:space="preserve">Management. </w:t>
      </w:r>
      <w:r>
        <w:rPr>
          <w:rFonts w:ascii="Arial" w:cs="Arial" w:eastAsia="Arial" w:hAnsi="Arial"/>
          <w:sz w:val="16"/>
          <w:szCs w:val="16"/>
          <w:color w:val="000000"/>
        </w:rPr>
        <w:t>Our CEO provides performance context and recommendations based on the analysis supplied by Pearl Meyer regarding the</w:t>
      </w:r>
      <w:r>
        <w:rPr>
          <w:rFonts w:ascii="Arial" w:cs="Arial" w:eastAsia="Arial" w:hAnsi="Arial"/>
          <w:sz w:val="16"/>
          <w:szCs w:val="16"/>
          <w:i w:val="1"/>
          <w:iCs w:val="1"/>
          <w:color w:val="00ACD2"/>
        </w:rPr>
        <w:t xml:space="preserve"> </w:t>
      </w:r>
      <w:r>
        <w:rPr>
          <w:rFonts w:ascii="Arial" w:cs="Arial" w:eastAsia="Arial" w:hAnsi="Arial"/>
          <w:sz w:val="16"/>
          <w:szCs w:val="16"/>
          <w:color w:val="000000"/>
        </w:rPr>
        <w:t>compensation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jc w:val="both"/>
        <w:ind w:right="900"/>
        <w:spacing w:after="0" w:line="253" w:lineRule="auto"/>
        <w:rPr>
          <w:sz w:val="20"/>
          <w:szCs w:val="20"/>
          <w:color w:val="auto"/>
        </w:rPr>
      </w:pPr>
      <w:r>
        <w:rPr>
          <w:rFonts w:ascii="Arial" w:cs="Arial" w:eastAsia="Arial" w:hAnsi="Arial"/>
          <w:sz w:val="16"/>
          <w:szCs w:val="16"/>
          <w:color w:val="auto"/>
        </w:rPr>
        <w:t>arrangements for the NEOs, other than himself. While the Compensation Committee values the judgment and input from the CEO, and considers his recommendations, the Compensation Committee ultimately retains sole discretion to approve the compensation packages for each executive officer.</w:t>
      </w:r>
    </w:p>
    <w:p>
      <w:pPr>
        <w:spacing w:after="0" w:line="163" w:lineRule="exact"/>
        <w:rPr>
          <w:sz w:val="20"/>
          <w:szCs w:val="20"/>
          <w:color w:val="auto"/>
        </w:rPr>
      </w:pPr>
    </w:p>
    <w:p>
      <w:pPr>
        <w:ind w:right="40" w:firstLine="624"/>
        <w:spacing w:after="0" w:line="252" w:lineRule="auto"/>
        <w:rPr>
          <w:sz w:val="20"/>
          <w:szCs w:val="20"/>
          <w:color w:val="auto"/>
        </w:rPr>
      </w:pPr>
      <w:r>
        <w:rPr>
          <w:rFonts w:ascii="Arial" w:cs="Arial" w:eastAsia="Arial" w:hAnsi="Arial"/>
          <w:sz w:val="16"/>
          <w:szCs w:val="16"/>
          <w:i w:val="1"/>
          <w:iCs w:val="1"/>
          <w:color w:val="00ACD2"/>
        </w:rPr>
        <w:t xml:space="preserve">Independent Consultant. </w:t>
      </w:r>
      <w:r>
        <w:rPr>
          <w:rFonts w:ascii="Arial" w:cs="Arial" w:eastAsia="Arial" w:hAnsi="Arial"/>
          <w:sz w:val="16"/>
          <w:szCs w:val="16"/>
          <w:color w:val="000000"/>
        </w:rPr>
        <w:t>The Compensation Committee has the authority to retain and terminate any compensation consultant, legal counsel or other</w:t>
      </w:r>
      <w:r>
        <w:rPr>
          <w:rFonts w:ascii="Arial" w:cs="Arial" w:eastAsia="Arial" w:hAnsi="Arial"/>
          <w:sz w:val="16"/>
          <w:szCs w:val="16"/>
          <w:i w:val="1"/>
          <w:iCs w:val="1"/>
          <w:color w:val="00ACD2"/>
        </w:rPr>
        <w:t xml:space="preserve"> </w:t>
      </w:r>
      <w:r>
        <w:rPr>
          <w:rFonts w:ascii="Arial" w:cs="Arial" w:eastAsia="Arial" w:hAnsi="Arial"/>
          <w:sz w:val="16"/>
          <w:szCs w:val="16"/>
          <w:color w:val="000000"/>
        </w:rPr>
        <w:t>adviser as it determines appropriate to assist it in the performance of its responsibilities and to approve such consultant's fees and other retention terms. It is the policy of the Compensation Committee that the compensation consultant should not perform any services for us other than services as a consultant to the Compensation Committee.</w:t>
      </w:r>
    </w:p>
    <w:p>
      <w:pPr>
        <w:spacing w:after="0" w:line="180" w:lineRule="exact"/>
        <w:rPr>
          <w:sz w:val="20"/>
          <w:szCs w:val="20"/>
          <w:color w:val="auto"/>
        </w:rPr>
      </w:pPr>
    </w:p>
    <w:p>
      <w:pPr>
        <w:ind w:right="160" w:firstLine="621"/>
        <w:spacing w:after="0" w:line="243" w:lineRule="auto"/>
        <w:rPr>
          <w:sz w:val="20"/>
          <w:szCs w:val="20"/>
          <w:color w:val="auto"/>
        </w:rPr>
      </w:pPr>
      <w:r>
        <w:rPr>
          <w:rFonts w:ascii="Arial" w:cs="Arial" w:eastAsia="Arial" w:hAnsi="Arial"/>
          <w:sz w:val="16"/>
          <w:szCs w:val="16"/>
          <w:color w:val="auto"/>
        </w:rPr>
        <w:t>The Compensation Committee engaged Pearl Meyer to assist in the review and design of our 2017 executive compensation program after considering its experience in assisting both telecommunications companies and other REITs in designing competitive, well-balanced compensation programs that align the interests of management and stockholders. Pearl Meyer assisted the Compensation Committee in reviewing the Company's existing short- and long-term compensation programs and structuring awards under such programs, provided data on current compensation "best practices" and trends in the REIT industry, and assisted with a review of the Company's peer group for use in structuring our 2017 executive compensation program. A description of the process and rationale utilized for selecting our 2017 peer group is described below.</w:t>
      </w:r>
    </w:p>
    <w:p>
      <w:pPr>
        <w:spacing w:after="0" w:line="189" w:lineRule="exact"/>
        <w:rPr>
          <w:sz w:val="20"/>
          <w:szCs w:val="20"/>
          <w:color w:val="auto"/>
        </w:rPr>
      </w:pPr>
    </w:p>
    <w:p>
      <w:pPr>
        <w:jc w:val="both"/>
        <w:ind w:firstLine="624"/>
        <w:spacing w:after="0" w:line="247" w:lineRule="auto"/>
        <w:rPr>
          <w:sz w:val="20"/>
          <w:szCs w:val="20"/>
          <w:color w:val="auto"/>
        </w:rPr>
      </w:pPr>
      <w:r>
        <w:rPr>
          <w:rFonts w:ascii="Arial" w:cs="Arial" w:eastAsia="Arial" w:hAnsi="Arial"/>
          <w:sz w:val="16"/>
          <w:szCs w:val="16"/>
          <w:color w:val="auto"/>
        </w:rPr>
        <w:t>Pearl Meyer reports directly to the Compensation Committee and regularly participates in committee meetings. Prior to engagement, the Compensation Committee reviewed the independence of Pearl Meyer pursuant to the applicable SEC rules and concluded no conflict of interest exists that would preclude Pearl Meyer from serving as an independent advisor to the Compensation Committee.</w:t>
      </w:r>
    </w:p>
    <w:p>
      <w:pPr>
        <w:spacing w:after="0" w:line="168" w:lineRule="exact"/>
        <w:rPr>
          <w:sz w:val="20"/>
          <w:szCs w:val="20"/>
          <w:color w:val="auto"/>
        </w:rPr>
      </w:pPr>
    </w:p>
    <w:p>
      <w:pPr>
        <w:ind w:firstLine="624"/>
        <w:spacing w:after="0" w:line="247" w:lineRule="auto"/>
        <w:rPr>
          <w:sz w:val="20"/>
          <w:szCs w:val="20"/>
          <w:color w:val="auto"/>
        </w:rPr>
      </w:pPr>
      <w:r>
        <w:rPr>
          <w:rFonts w:ascii="Arial" w:cs="Arial" w:eastAsia="Arial" w:hAnsi="Arial"/>
          <w:sz w:val="16"/>
          <w:szCs w:val="16"/>
          <w:i w:val="1"/>
          <w:iCs w:val="1"/>
          <w:color w:val="00ACD2"/>
        </w:rPr>
        <w:t xml:space="preserve">Competitive Market Analysis; Formulation of Peer Group. </w:t>
      </w:r>
      <w:r>
        <w:rPr>
          <w:rFonts w:ascii="Arial" w:cs="Arial" w:eastAsia="Arial" w:hAnsi="Arial"/>
          <w:sz w:val="16"/>
          <w:szCs w:val="16"/>
          <w:color w:val="000000"/>
        </w:rPr>
        <w:t>In designing our 2017 executive compensation program, the Compensation Committee,</w:t>
      </w:r>
      <w:r>
        <w:rPr>
          <w:rFonts w:ascii="Arial" w:cs="Arial" w:eastAsia="Arial" w:hAnsi="Arial"/>
          <w:sz w:val="16"/>
          <w:szCs w:val="16"/>
          <w:i w:val="1"/>
          <w:iCs w:val="1"/>
          <w:color w:val="00ACD2"/>
        </w:rPr>
        <w:t xml:space="preserve"> </w:t>
      </w:r>
      <w:r>
        <w:rPr>
          <w:rFonts w:ascii="Arial" w:cs="Arial" w:eastAsia="Arial" w:hAnsi="Arial"/>
          <w:sz w:val="16"/>
          <w:szCs w:val="16"/>
          <w:color w:val="000000"/>
        </w:rPr>
        <w:t>with the assistance of Pearl Meyer and senior management, gathered and reviewed information about the compensation program and processes of other publicly traded REITs (the "Peer Group"). In selecting the Peer Group, the Compensation Committee and Pearl Meyer considered many factors, focusing particularly on REITs with comparable revenues and enterprise values to Uniti and net-lease REITs that focus on unique market segments or niches and/or employ a similar business model to Uniti. Management assisted Pearl Meyer and the Compensation Committee in the process by providing additional REIT-industry insight. Applying these criteria, Pearl Meyer recommended, and the Compensation Committee approved, inclusion of the following companies in the Peer Group:</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ACD2"/>
        </w:rPr>
        <w:t>Peer Group for Evaluating Fiscal 2017 Executive Compensation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100" w:type="dxa"/>
            <w:vAlign w:val="bottom"/>
            <w:tcBorders>
              <w:top w:val="single" w:sz="8" w:color="00ACD2"/>
            </w:tcBorders>
          </w:tcPr>
          <w:p>
            <w:pPr>
              <w:spacing w:after="0" w:line="178" w:lineRule="exact"/>
              <w:rPr>
                <w:sz w:val="20"/>
                <w:szCs w:val="20"/>
                <w:color w:val="auto"/>
              </w:rPr>
            </w:pPr>
            <w:r>
              <w:rPr>
                <w:rFonts w:ascii="Arial" w:cs="Arial" w:eastAsia="Arial" w:hAnsi="Arial"/>
                <w:sz w:val="16"/>
                <w:szCs w:val="16"/>
                <w:color w:val="auto"/>
              </w:rPr>
              <w:t>Alexandria Real Estate Equities, Inc.</w:t>
            </w:r>
          </w:p>
        </w:tc>
        <w:tc>
          <w:tcPr>
            <w:tcW w:w="7320" w:type="dxa"/>
            <w:vAlign w:val="bottom"/>
            <w:tcBorders>
              <w:top w:val="single" w:sz="8" w:color="00ACD2"/>
            </w:tcBorders>
          </w:tcPr>
          <w:p>
            <w:pPr>
              <w:ind w:left="1860"/>
              <w:spacing w:after="0" w:line="178" w:lineRule="exact"/>
              <w:rPr>
                <w:sz w:val="20"/>
                <w:szCs w:val="20"/>
                <w:color w:val="auto"/>
              </w:rPr>
            </w:pPr>
            <w:r>
              <w:rPr>
                <w:rFonts w:ascii="Arial" w:cs="Arial" w:eastAsia="Arial" w:hAnsi="Arial"/>
                <w:sz w:val="16"/>
                <w:szCs w:val="16"/>
                <w:color w:val="auto"/>
              </w:rPr>
              <w:t>National Retail Properties, Inc.</w:t>
            </w:r>
          </w:p>
        </w:tc>
      </w:tr>
      <w:tr>
        <w:trPr>
          <w:trHeight w:val="185"/>
        </w:trPr>
        <w:tc>
          <w:tcPr>
            <w:tcW w:w="4100" w:type="dxa"/>
            <w:vAlign w:val="bottom"/>
            <w:shd w:val="clear" w:color="auto" w:fill="BFBFBF"/>
          </w:tcPr>
          <w:p>
            <w:pPr>
              <w:spacing w:after="0"/>
              <w:rPr>
                <w:sz w:val="20"/>
                <w:szCs w:val="20"/>
                <w:color w:val="auto"/>
              </w:rPr>
            </w:pPr>
            <w:r>
              <w:rPr>
                <w:rFonts w:ascii="Arial" w:cs="Arial" w:eastAsia="Arial" w:hAnsi="Arial"/>
                <w:sz w:val="16"/>
                <w:szCs w:val="16"/>
                <w:color w:val="auto"/>
              </w:rPr>
              <w:t>Digital Realty Trust Inc.</w:t>
            </w:r>
          </w:p>
        </w:tc>
        <w:tc>
          <w:tcPr>
            <w:tcW w:w="7320" w:type="dxa"/>
            <w:vAlign w:val="bottom"/>
            <w:shd w:val="clear" w:color="auto" w:fill="BFBFBF"/>
          </w:tcPr>
          <w:p>
            <w:pPr>
              <w:ind w:left="1860"/>
              <w:spacing w:after="0"/>
              <w:rPr>
                <w:sz w:val="20"/>
                <w:szCs w:val="20"/>
                <w:color w:val="auto"/>
              </w:rPr>
            </w:pPr>
            <w:r>
              <w:rPr>
                <w:rFonts w:ascii="Arial" w:cs="Arial" w:eastAsia="Arial" w:hAnsi="Arial"/>
                <w:sz w:val="16"/>
                <w:szCs w:val="16"/>
                <w:color w:val="auto"/>
              </w:rPr>
              <w:t>Omega Healthcare Investors Inc.</w:t>
            </w:r>
          </w:p>
        </w:tc>
      </w:tr>
      <w:tr>
        <w:trPr>
          <w:trHeight w:val="185"/>
        </w:trPr>
        <w:tc>
          <w:tcPr>
            <w:tcW w:w="4100" w:type="dxa"/>
            <w:vAlign w:val="bottom"/>
          </w:tcPr>
          <w:p>
            <w:pPr>
              <w:spacing w:after="0"/>
              <w:rPr>
                <w:sz w:val="20"/>
                <w:szCs w:val="20"/>
                <w:color w:val="auto"/>
              </w:rPr>
            </w:pPr>
            <w:r>
              <w:rPr>
                <w:rFonts w:ascii="Arial" w:cs="Arial" w:eastAsia="Arial" w:hAnsi="Arial"/>
                <w:sz w:val="16"/>
                <w:szCs w:val="16"/>
                <w:color w:val="auto"/>
              </w:rPr>
              <w:t>DuPont Fabros Technology, Inc.</w:t>
            </w:r>
          </w:p>
        </w:tc>
        <w:tc>
          <w:tcPr>
            <w:tcW w:w="7320" w:type="dxa"/>
            <w:vAlign w:val="bottom"/>
          </w:tcPr>
          <w:p>
            <w:pPr>
              <w:ind w:left="1860"/>
              <w:spacing w:after="0"/>
              <w:rPr>
                <w:sz w:val="20"/>
                <w:szCs w:val="20"/>
                <w:color w:val="auto"/>
              </w:rPr>
            </w:pPr>
            <w:r>
              <w:rPr>
                <w:rFonts w:ascii="Arial" w:cs="Arial" w:eastAsia="Arial" w:hAnsi="Arial"/>
                <w:sz w:val="16"/>
                <w:szCs w:val="16"/>
                <w:color w:val="auto"/>
              </w:rPr>
              <w:t>Realty Income Corporation</w:t>
            </w:r>
          </w:p>
        </w:tc>
      </w:tr>
      <w:tr>
        <w:trPr>
          <w:trHeight w:val="185"/>
        </w:trPr>
        <w:tc>
          <w:tcPr>
            <w:tcW w:w="4100" w:type="dxa"/>
            <w:vAlign w:val="bottom"/>
            <w:shd w:val="clear" w:color="auto" w:fill="BFBFBF"/>
          </w:tcPr>
          <w:p>
            <w:pPr>
              <w:spacing w:after="0"/>
              <w:rPr>
                <w:sz w:val="20"/>
                <w:szCs w:val="20"/>
                <w:color w:val="auto"/>
              </w:rPr>
            </w:pPr>
            <w:r>
              <w:rPr>
                <w:rFonts w:ascii="Arial" w:cs="Arial" w:eastAsia="Arial" w:hAnsi="Arial"/>
                <w:sz w:val="16"/>
                <w:szCs w:val="16"/>
                <w:color w:val="auto"/>
              </w:rPr>
              <w:t>EPR Properties</w:t>
            </w:r>
          </w:p>
        </w:tc>
        <w:tc>
          <w:tcPr>
            <w:tcW w:w="7320" w:type="dxa"/>
            <w:vAlign w:val="bottom"/>
            <w:shd w:val="clear" w:color="auto" w:fill="BFBFBF"/>
          </w:tcPr>
          <w:p>
            <w:pPr>
              <w:ind w:left="1860"/>
              <w:spacing w:after="0"/>
              <w:rPr>
                <w:sz w:val="20"/>
                <w:szCs w:val="20"/>
                <w:color w:val="auto"/>
              </w:rPr>
            </w:pPr>
            <w:r>
              <w:rPr>
                <w:rFonts w:ascii="Arial" w:cs="Arial" w:eastAsia="Arial" w:hAnsi="Arial"/>
                <w:sz w:val="16"/>
                <w:szCs w:val="16"/>
                <w:color w:val="auto"/>
              </w:rPr>
              <w:t>Retail Properties of America, Inc.</w:t>
            </w:r>
          </w:p>
        </w:tc>
      </w:tr>
      <w:tr>
        <w:trPr>
          <w:trHeight w:val="185"/>
        </w:trPr>
        <w:tc>
          <w:tcPr>
            <w:tcW w:w="4100" w:type="dxa"/>
            <w:vAlign w:val="bottom"/>
          </w:tcPr>
          <w:p>
            <w:pPr>
              <w:spacing w:after="0"/>
              <w:rPr>
                <w:sz w:val="20"/>
                <w:szCs w:val="20"/>
                <w:color w:val="auto"/>
              </w:rPr>
            </w:pPr>
            <w:r>
              <w:rPr>
                <w:rFonts w:ascii="Arial" w:cs="Arial" w:eastAsia="Arial" w:hAnsi="Arial"/>
                <w:sz w:val="16"/>
                <w:szCs w:val="16"/>
                <w:color w:val="auto"/>
              </w:rPr>
              <w:t>Gaming and Leisure Properties, Inc.</w:t>
            </w:r>
          </w:p>
        </w:tc>
        <w:tc>
          <w:tcPr>
            <w:tcW w:w="7320" w:type="dxa"/>
            <w:vAlign w:val="bottom"/>
          </w:tcPr>
          <w:p>
            <w:pPr>
              <w:ind w:left="1860"/>
              <w:spacing w:after="0"/>
              <w:rPr>
                <w:sz w:val="20"/>
                <w:szCs w:val="20"/>
                <w:color w:val="auto"/>
              </w:rPr>
            </w:pPr>
            <w:r>
              <w:rPr>
                <w:rFonts w:ascii="Arial" w:cs="Arial" w:eastAsia="Arial" w:hAnsi="Arial"/>
                <w:sz w:val="16"/>
                <w:szCs w:val="16"/>
                <w:color w:val="auto"/>
              </w:rPr>
              <w:t>SBA Communications Corporation</w:t>
            </w:r>
          </w:p>
        </w:tc>
      </w:tr>
      <w:tr>
        <w:trPr>
          <w:trHeight w:val="185"/>
        </w:trPr>
        <w:tc>
          <w:tcPr>
            <w:tcW w:w="4100" w:type="dxa"/>
            <w:vAlign w:val="bottom"/>
            <w:shd w:val="clear" w:color="auto" w:fill="BFBFBF"/>
          </w:tcPr>
          <w:p>
            <w:pPr>
              <w:spacing w:after="0"/>
              <w:rPr>
                <w:sz w:val="20"/>
                <w:szCs w:val="20"/>
                <w:color w:val="auto"/>
              </w:rPr>
            </w:pPr>
            <w:r>
              <w:rPr>
                <w:rFonts w:ascii="Arial" w:cs="Arial" w:eastAsia="Arial" w:hAnsi="Arial"/>
                <w:sz w:val="16"/>
                <w:szCs w:val="16"/>
                <w:color w:val="auto"/>
              </w:rPr>
              <w:t>Lexington Realty Trust</w:t>
            </w:r>
          </w:p>
        </w:tc>
        <w:tc>
          <w:tcPr>
            <w:tcW w:w="7320" w:type="dxa"/>
            <w:vAlign w:val="bottom"/>
            <w:shd w:val="clear" w:color="auto" w:fill="BFBFBF"/>
          </w:tcPr>
          <w:p>
            <w:pPr>
              <w:ind w:left="1860"/>
              <w:spacing w:after="0"/>
              <w:rPr>
                <w:sz w:val="20"/>
                <w:szCs w:val="20"/>
                <w:color w:val="auto"/>
              </w:rPr>
            </w:pPr>
            <w:r>
              <w:rPr>
                <w:rFonts w:ascii="Arial" w:cs="Arial" w:eastAsia="Arial" w:hAnsi="Arial"/>
                <w:sz w:val="16"/>
                <w:szCs w:val="16"/>
                <w:color w:val="auto"/>
              </w:rPr>
              <w:t>Spirit Realty Capital, Inc.</w:t>
            </w:r>
          </w:p>
        </w:tc>
      </w:tr>
      <w:tr>
        <w:trPr>
          <w:trHeight w:val="185"/>
        </w:trPr>
        <w:tc>
          <w:tcPr>
            <w:tcW w:w="4100" w:type="dxa"/>
            <w:vAlign w:val="bottom"/>
            <w:tcBorders>
              <w:bottom w:val="single" w:sz="8" w:color="00ACD2"/>
            </w:tcBorders>
          </w:tcPr>
          <w:p>
            <w:pPr>
              <w:spacing w:after="0"/>
              <w:rPr>
                <w:sz w:val="20"/>
                <w:szCs w:val="20"/>
                <w:color w:val="auto"/>
              </w:rPr>
            </w:pPr>
            <w:r>
              <w:rPr>
                <w:rFonts w:ascii="Arial" w:cs="Arial" w:eastAsia="Arial" w:hAnsi="Arial"/>
                <w:sz w:val="16"/>
                <w:szCs w:val="16"/>
                <w:color w:val="auto"/>
              </w:rPr>
              <w:t>Medical Properties Trust Inc.</w:t>
            </w:r>
          </w:p>
        </w:tc>
        <w:tc>
          <w:tcPr>
            <w:tcW w:w="7320" w:type="dxa"/>
            <w:vAlign w:val="bottom"/>
            <w:tcBorders>
              <w:bottom w:val="single" w:sz="8" w:color="00ACD2"/>
            </w:tcBorders>
          </w:tcPr>
          <w:p>
            <w:pPr>
              <w:ind w:left="1860"/>
              <w:spacing w:after="0"/>
              <w:rPr>
                <w:sz w:val="20"/>
                <w:szCs w:val="20"/>
                <w:color w:val="auto"/>
              </w:rPr>
            </w:pPr>
            <w:r>
              <w:rPr>
                <w:rFonts w:ascii="Arial" w:cs="Arial" w:eastAsia="Arial" w:hAnsi="Arial"/>
                <w:sz w:val="16"/>
                <w:szCs w:val="16"/>
                <w:color w:val="auto"/>
              </w:rPr>
              <w:t>W. P. Carey Inc.</w:t>
            </w:r>
          </w:p>
        </w:tc>
      </w:tr>
      <w:tr>
        <w:trPr>
          <w:trHeight w:val="386"/>
        </w:trPr>
        <w:tc>
          <w:tcPr>
            <w:tcW w:w="4100" w:type="dxa"/>
            <w:vAlign w:val="bottom"/>
          </w:tcPr>
          <w:p>
            <w:pPr>
              <w:spacing w:after="0"/>
              <w:rPr>
                <w:sz w:val="24"/>
                <w:szCs w:val="24"/>
                <w:color w:val="auto"/>
              </w:rPr>
            </w:pPr>
          </w:p>
        </w:tc>
        <w:tc>
          <w:tcPr>
            <w:tcW w:w="7320" w:type="dxa"/>
            <w:vAlign w:val="bottom"/>
          </w:tcPr>
          <w:p>
            <w:pPr>
              <w:ind w:left="1520"/>
              <w:spacing w:after="0"/>
              <w:rPr>
                <w:sz w:val="20"/>
                <w:szCs w:val="20"/>
                <w:color w:val="auto"/>
              </w:rPr>
            </w:pPr>
            <w:r>
              <w:rPr>
                <w:rFonts w:ascii="Arial" w:cs="Arial" w:eastAsia="Arial" w:hAnsi="Arial"/>
                <w:sz w:val="16"/>
                <w:szCs w:val="16"/>
                <w:color w:val="auto"/>
              </w:rPr>
              <w:t>23</w:t>
            </w:r>
          </w:p>
        </w:tc>
      </w:tr>
      <w:tr>
        <w:trPr>
          <w:trHeight w:val="195"/>
        </w:trPr>
        <w:tc>
          <w:tcPr>
            <w:tcW w:w="4100" w:type="dxa"/>
            <w:vAlign w:val="bottom"/>
            <w:tcBorders>
              <w:bottom w:val="single" w:sz="8" w:color="808080"/>
            </w:tcBorders>
          </w:tcPr>
          <w:p>
            <w:pPr>
              <w:spacing w:after="0"/>
              <w:rPr>
                <w:sz w:val="16"/>
                <w:szCs w:val="16"/>
                <w:color w:val="auto"/>
              </w:rPr>
            </w:pPr>
          </w:p>
        </w:tc>
        <w:tc>
          <w:tcPr>
            <w:tcW w:w="73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Peer Group is identical to the peer group used for 2016, except that SBA Communications Corporation was added.</w:t>
      </w:r>
    </w:p>
    <w:p>
      <w:pPr>
        <w:spacing w:after="0" w:line="198" w:lineRule="exact"/>
        <w:rPr>
          <w:sz w:val="20"/>
          <w:szCs w:val="20"/>
          <w:color w:val="auto"/>
        </w:rPr>
      </w:pPr>
    </w:p>
    <w:p>
      <w:pPr>
        <w:ind w:right="220" w:firstLine="621"/>
        <w:spacing w:after="0" w:line="244" w:lineRule="auto"/>
        <w:rPr>
          <w:sz w:val="20"/>
          <w:szCs w:val="20"/>
          <w:color w:val="auto"/>
        </w:rPr>
      </w:pPr>
      <w:r>
        <w:rPr>
          <w:rFonts w:ascii="Arial" w:cs="Arial" w:eastAsia="Arial" w:hAnsi="Arial"/>
          <w:sz w:val="16"/>
          <w:szCs w:val="16"/>
          <w:color w:val="auto"/>
        </w:rPr>
        <w:t>To provide additional perspective, the Compensation Committee also reviews, with the assistance of Pearl Meyer, pay levels for comparable positions within the broader REIT industry, as reported in the NAREIT Compensation Survey. Peer Group compensation data and data for size-appropriate companies collected from the NAREIT survey were blended to create composite market values for each position (the "Market Data"). In determining appropriate pay opportunities for our NEOs, the Compensation Committee also considers a variety of other factors in addition to the Market Data, such as each executive's qualifications, responsibilities, past performance and expected future contributions.</w:t>
      </w:r>
    </w:p>
    <w:p>
      <w:pPr>
        <w:spacing w:after="0" w:line="187" w:lineRule="exact"/>
        <w:rPr>
          <w:sz w:val="20"/>
          <w:szCs w:val="20"/>
          <w:color w:val="auto"/>
        </w:rPr>
      </w:pPr>
    </w:p>
    <w:p>
      <w:pPr>
        <w:ind w:right="20" w:firstLine="624"/>
        <w:spacing w:after="0" w:line="247" w:lineRule="auto"/>
        <w:rPr>
          <w:sz w:val="20"/>
          <w:szCs w:val="20"/>
          <w:color w:val="auto"/>
        </w:rPr>
      </w:pPr>
      <w:r>
        <w:rPr>
          <w:rFonts w:ascii="Arial" w:cs="Arial" w:eastAsia="Arial" w:hAnsi="Arial"/>
          <w:sz w:val="16"/>
          <w:szCs w:val="16"/>
          <w:color w:val="auto"/>
        </w:rPr>
        <w:t>In designing our 2017 executive compensation program, the Compensation Committee reviewed each compensation element and aggregate target total direct compensation (the sum of base salary, target cash incentives and target long-term incentives) for Messrs. Gunderman, Wallace and Heard compared to the Market Data, targeting such compensation at or near the 50th percentile. For 2017, such executive officers' target total direct compensation was as follows:</w:t>
      </w:r>
    </w:p>
    <w:p>
      <w:pPr>
        <w:spacing w:after="0" w:line="164" w:lineRule="exact"/>
        <w:rPr>
          <w:sz w:val="20"/>
          <w:szCs w:val="20"/>
          <w:color w:val="auto"/>
        </w:rPr>
      </w:pPr>
    </w:p>
    <w:tbl>
      <w:tblPr>
        <w:tblLayout w:type="fixed"/>
        <w:tblInd w:w="2280" w:type="dxa"/>
        <w:tblCellMar>
          <w:top w:w="0" w:type="dxa"/>
          <w:left w:w="0" w:type="dxa"/>
          <w:bottom w:w="0" w:type="dxa"/>
          <w:right w:w="0" w:type="dxa"/>
        </w:tblCellMar>
      </w:tblPr>
      <w:tr>
        <w:trPr>
          <w:trHeight w:val="185"/>
        </w:trPr>
        <w:tc>
          <w:tcPr>
            <w:tcW w:w="4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Target Total Direct</w:t>
            </w:r>
          </w:p>
        </w:tc>
      </w:tr>
      <w:tr>
        <w:trPr>
          <w:trHeight w:val="202"/>
        </w:trPr>
        <w:tc>
          <w:tcPr>
            <w:tcW w:w="48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80" w:type="dxa"/>
            <w:vAlign w:val="bottom"/>
          </w:tcPr>
          <w:p>
            <w:pPr>
              <w:spacing w:after="0"/>
              <w:rPr>
                <w:sz w:val="17"/>
                <w:szCs w:val="17"/>
                <w:color w:val="auto"/>
              </w:rPr>
            </w:pPr>
          </w:p>
        </w:tc>
        <w:tc>
          <w:tcPr>
            <w:tcW w:w="1720" w:type="dxa"/>
            <w:vAlign w:val="bottom"/>
            <w:gridSpan w:val="2"/>
          </w:tcPr>
          <w:p>
            <w:pPr>
              <w:ind w:left="220"/>
              <w:spacing w:after="0"/>
              <w:rPr>
                <w:sz w:val="20"/>
                <w:szCs w:val="20"/>
                <w:color w:val="auto"/>
              </w:rPr>
            </w:pPr>
            <w:r>
              <w:rPr>
                <w:rFonts w:ascii="Arial" w:cs="Arial" w:eastAsia="Arial" w:hAnsi="Arial"/>
                <w:sz w:val="16"/>
                <w:szCs w:val="16"/>
                <w:b w:val="1"/>
                <w:bCs w:val="1"/>
                <w:color w:val="auto"/>
              </w:rPr>
              <w:t>Compensation</w:t>
            </w:r>
          </w:p>
        </w:tc>
      </w:tr>
      <w:tr>
        <w:trPr>
          <w:trHeight w:val="20"/>
        </w:trPr>
        <w:tc>
          <w:tcPr>
            <w:tcW w:w="44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4820" w:type="dxa"/>
            <w:vAlign w:val="bottom"/>
            <w:gridSpan w:val="2"/>
            <w:shd w:val="clear" w:color="auto" w:fill="BFBFBF"/>
          </w:tcPr>
          <w:p>
            <w:pPr>
              <w:ind w:left="60"/>
              <w:spacing w:after="0" w:line="178" w:lineRule="exact"/>
              <w:rPr>
                <w:sz w:val="20"/>
                <w:szCs w:val="20"/>
                <w:color w:val="auto"/>
              </w:rPr>
            </w:pPr>
            <w:r>
              <w:rPr>
                <w:rFonts w:ascii="Arial" w:cs="Arial" w:eastAsia="Arial" w:hAnsi="Arial"/>
                <w:sz w:val="16"/>
                <w:szCs w:val="16"/>
                <w:color w:val="auto"/>
              </w:rPr>
              <w:t>Kenneth A. Gunderman</w:t>
            </w:r>
          </w:p>
        </w:tc>
        <w:tc>
          <w:tcPr>
            <w:tcW w:w="180" w:type="dxa"/>
            <w:vAlign w:val="bottom"/>
            <w:shd w:val="clear" w:color="auto" w:fill="BFBFBF"/>
          </w:tcPr>
          <w:p>
            <w:pPr>
              <w:jc w:val="right"/>
              <w:spacing w:after="0" w:line="178" w:lineRule="exact"/>
              <w:rPr>
                <w:sz w:val="20"/>
                <w:szCs w:val="20"/>
                <w:color w:val="auto"/>
              </w:rPr>
            </w:pPr>
            <w:r>
              <w:rPr>
                <w:rFonts w:ascii="Arial" w:cs="Arial" w:eastAsia="Arial" w:hAnsi="Arial"/>
                <w:sz w:val="16"/>
                <w:szCs w:val="16"/>
                <w:color w:val="auto"/>
                <w:w w:val="89"/>
              </w:rPr>
              <w:t>$</w:t>
            </w:r>
          </w:p>
        </w:tc>
        <w:tc>
          <w:tcPr>
            <w:tcW w:w="1700" w:type="dxa"/>
            <w:vAlign w:val="bottom"/>
            <w:shd w:val="clear" w:color="auto" w:fill="BFBFBF"/>
          </w:tcPr>
          <w:p>
            <w:pPr>
              <w:ind w:left="1000"/>
              <w:spacing w:after="0" w:line="178" w:lineRule="exact"/>
              <w:rPr>
                <w:sz w:val="20"/>
                <w:szCs w:val="20"/>
                <w:color w:val="auto"/>
              </w:rPr>
            </w:pPr>
            <w:r>
              <w:rPr>
                <w:rFonts w:ascii="Arial" w:cs="Arial" w:eastAsia="Arial" w:hAnsi="Arial"/>
                <w:sz w:val="16"/>
                <w:szCs w:val="16"/>
                <w:color w:val="auto"/>
                <w:w w:val="95"/>
              </w:rPr>
              <w:t>4,531,250</w:t>
            </w:r>
          </w:p>
        </w:tc>
        <w:tc>
          <w:tcPr>
            <w:tcW w:w="20" w:type="dxa"/>
            <w:vAlign w:val="bottom"/>
          </w:tcPr>
          <w:p>
            <w:pPr>
              <w:spacing w:after="0"/>
              <w:rPr>
                <w:sz w:val="15"/>
                <w:szCs w:val="15"/>
                <w:color w:val="auto"/>
              </w:rPr>
            </w:pPr>
          </w:p>
        </w:tc>
      </w:tr>
      <w:tr>
        <w:trPr>
          <w:trHeight w:val="185"/>
        </w:trPr>
        <w:tc>
          <w:tcPr>
            <w:tcW w:w="4820" w:type="dxa"/>
            <w:vAlign w:val="bottom"/>
            <w:gridSpan w:val="2"/>
          </w:tcPr>
          <w:p>
            <w:pPr>
              <w:ind w:left="60"/>
              <w:spacing w:after="0"/>
              <w:rPr>
                <w:sz w:val="20"/>
                <w:szCs w:val="20"/>
                <w:color w:val="auto"/>
              </w:rPr>
            </w:pPr>
            <w:r>
              <w:rPr>
                <w:rFonts w:ascii="Arial" w:cs="Arial" w:eastAsia="Arial" w:hAnsi="Arial"/>
                <w:sz w:val="16"/>
                <w:szCs w:val="16"/>
                <w:color w:val="auto"/>
              </w:rPr>
              <w:t>Mark A. Wallace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gridSpan w:val="2"/>
          </w:tcPr>
          <w:p>
            <w:pPr>
              <w:ind w:left="1000"/>
              <w:spacing w:after="0"/>
              <w:rPr>
                <w:sz w:val="20"/>
                <w:szCs w:val="20"/>
                <w:color w:val="auto"/>
              </w:rPr>
            </w:pPr>
            <w:r>
              <w:rPr>
                <w:rFonts w:ascii="Arial" w:cs="Arial" w:eastAsia="Arial" w:hAnsi="Arial"/>
                <w:sz w:val="16"/>
                <w:szCs w:val="16"/>
                <w:color w:val="auto"/>
                <w:w w:val="98"/>
              </w:rPr>
              <w:t>1,687,500</w:t>
            </w:r>
          </w:p>
        </w:tc>
      </w:tr>
      <w:tr>
        <w:trPr>
          <w:trHeight w:val="185"/>
        </w:trPr>
        <w:tc>
          <w:tcPr>
            <w:tcW w:w="4820" w:type="dxa"/>
            <w:vAlign w:val="bottom"/>
            <w:gridSpan w:val="2"/>
            <w:shd w:val="clear" w:color="auto" w:fill="BFBFBF"/>
          </w:tcPr>
          <w:p>
            <w:pPr>
              <w:ind w:left="60"/>
              <w:spacing w:after="0"/>
              <w:rPr>
                <w:sz w:val="20"/>
                <w:szCs w:val="20"/>
                <w:color w:val="auto"/>
              </w:rPr>
            </w:pPr>
            <w:r>
              <w:rPr>
                <w:rFonts w:ascii="Arial" w:cs="Arial" w:eastAsia="Arial" w:hAnsi="Arial"/>
                <w:sz w:val="16"/>
                <w:szCs w:val="16"/>
                <w:color w:val="auto"/>
              </w:rPr>
              <w:t>Daniel L. Heard</w:t>
            </w:r>
          </w:p>
        </w:tc>
        <w:tc>
          <w:tcPr>
            <w:tcW w:w="180" w:type="dxa"/>
            <w:vAlign w:val="bottom"/>
            <w:shd w:val="clear" w:color="auto" w:fill="BFBFB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BFBFBF"/>
          </w:tcPr>
          <w:p>
            <w:pPr>
              <w:ind w:left="1000"/>
              <w:spacing w:after="0"/>
              <w:rPr>
                <w:sz w:val="20"/>
                <w:szCs w:val="20"/>
                <w:color w:val="auto"/>
              </w:rPr>
            </w:pPr>
            <w:r>
              <w:rPr>
                <w:rFonts w:ascii="Arial" w:cs="Arial" w:eastAsia="Arial" w:hAnsi="Arial"/>
                <w:sz w:val="16"/>
                <w:szCs w:val="16"/>
                <w:color w:val="auto"/>
                <w:w w:val="95"/>
              </w:rPr>
              <w:t>1,218,750</w:t>
            </w:r>
          </w:p>
        </w:tc>
        <w:tc>
          <w:tcPr>
            <w:tcW w:w="20" w:type="dxa"/>
            <w:vAlign w:val="bottom"/>
          </w:tcPr>
          <w:p>
            <w:pPr>
              <w:spacing w:after="0"/>
              <w:rPr>
                <w:sz w:val="16"/>
                <w:szCs w:val="16"/>
                <w:color w:val="auto"/>
              </w:rPr>
            </w:pPr>
          </w:p>
        </w:tc>
      </w:tr>
      <w:tr>
        <w:trPr>
          <w:trHeight w:val="196"/>
        </w:trPr>
        <w:tc>
          <w:tcPr>
            <w:tcW w:w="4820" w:type="dxa"/>
            <w:vAlign w:val="bottom"/>
            <w:gridSpan w:val="2"/>
          </w:tcPr>
          <w:p>
            <w:pPr>
              <w:ind w:left="60"/>
              <w:spacing w:after="0"/>
              <w:rPr>
                <w:sz w:val="20"/>
                <w:szCs w:val="20"/>
                <w:color w:val="auto"/>
              </w:rPr>
            </w:pPr>
            <w:r>
              <w:rPr>
                <w:rFonts w:ascii="Arial" w:cs="Arial" w:eastAsia="Arial" w:hAnsi="Arial"/>
                <w:sz w:val="16"/>
                <w:szCs w:val="16"/>
                <w:color w:val="auto"/>
              </w:rPr>
              <w:t>Ronald J. Mudry</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gridSpan w:val="2"/>
          </w:tcPr>
          <w:p>
            <w:pPr>
              <w:ind w:left="1000"/>
              <w:spacing w:after="0"/>
              <w:rPr>
                <w:sz w:val="20"/>
                <w:szCs w:val="20"/>
                <w:color w:val="auto"/>
              </w:rPr>
            </w:pPr>
            <w:r>
              <w:rPr>
                <w:rFonts w:ascii="Arial" w:cs="Arial" w:eastAsia="Arial" w:hAnsi="Arial"/>
                <w:sz w:val="16"/>
                <w:szCs w:val="16"/>
                <w:color w:val="auto"/>
                <w:w w:val="98"/>
              </w:rPr>
              <w:t>1,050,000</w:t>
            </w:r>
          </w:p>
        </w:tc>
      </w:tr>
    </w:tbl>
    <w:p>
      <w:pPr>
        <w:spacing w:after="0" w:line="189" w:lineRule="exact"/>
        <w:rPr>
          <w:sz w:val="20"/>
          <w:szCs w:val="20"/>
          <w:color w:val="auto"/>
        </w:rPr>
      </w:pPr>
    </w:p>
    <w:p>
      <w:pPr>
        <w:ind w:right="280" w:firstLine="621"/>
        <w:spacing w:after="0" w:line="253" w:lineRule="auto"/>
        <w:rPr>
          <w:sz w:val="20"/>
          <w:szCs w:val="20"/>
          <w:color w:val="auto"/>
        </w:rPr>
      </w:pPr>
      <w:r>
        <w:rPr>
          <w:rFonts w:ascii="Arial" w:cs="Arial" w:eastAsia="Arial" w:hAnsi="Arial"/>
          <w:sz w:val="16"/>
          <w:szCs w:val="16"/>
          <w:color w:val="auto"/>
        </w:rPr>
        <w:t>Target total direct compensation set forth above for Messrs. Gunderman, Wallace, Heard and Mudry approximated the median of the Market Data on both an individual role basis as well as for the entire NEO group.</w:t>
      </w:r>
    </w:p>
    <w:p>
      <w:pPr>
        <w:spacing w:after="0" w:line="163" w:lineRule="exact"/>
        <w:rPr>
          <w:sz w:val="20"/>
          <w:szCs w:val="20"/>
          <w:color w:val="auto"/>
        </w:rPr>
      </w:pPr>
    </w:p>
    <w:p>
      <w:pPr>
        <w:ind w:firstLine="624"/>
        <w:spacing w:after="0" w:line="246" w:lineRule="auto"/>
        <w:rPr>
          <w:sz w:val="20"/>
          <w:szCs w:val="20"/>
          <w:color w:val="auto"/>
        </w:rPr>
      </w:pPr>
      <w:r>
        <w:rPr>
          <w:rFonts w:ascii="Arial" w:cs="Arial" w:eastAsia="Arial" w:hAnsi="Arial"/>
          <w:sz w:val="16"/>
          <w:szCs w:val="16"/>
          <w:i w:val="1"/>
          <w:iCs w:val="1"/>
          <w:color w:val="00ACD2"/>
        </w:rPr>
        <w:t xml:space="preserve">Compensation Mix. </w:t>
      </w:r>
      <w:r>
        <w:rPr>
          <w:rFonts w:ascii="Arial" w:cs="Arial" w:eastAsia="Arial" w:hAnsi="Arial"/>
          <w:sz w:val="16"/>
          <w:szCs w:val="16"/>
          <w:color w:val="000000"/>
        </w:rPr>
        <w:t>Because of the ability of executive officers to directly influence the overall performance of the Company, and consistent with our</w:t>
      </w:r>
      <w:r>
        <w:rPr>
          <w:rFonts w:ascii="Arial" w:cs="Arial" w:eastAsia="Arial" w:hAnsi="Arial"/>
          <w:sz w:val="16"/>
          <w:szCs w:val="16"/>
          <w:i w:val="1"/>
          <w:iCs w:val="1"/>
          <w:color w:val="00ACD2"/>
        </w:rPr>
        <w:t xml:space="preserve"> </w:t>
      </w:r>
      <w:r>
        <w:rPr>
          <w:rFonts w:ascii="Arial" w:cs="Arial" w:eastAsia="Arial" w:hAnsi="Arial"/>
          <w:sz w:val="16"/>
          <w:szCs w:val="16"/>
          <w:color w:val="000000"/>
        </w:rPr>
        <w:t>philosophy of linking pay to performance, it is our goal to allocate a significant portion of compensation paid to our executive officers to performance-based, short- and long-term incentive programs. In addition, as an executive officer's responsibility and ability to affect financial results of the Company increase, base salary will become a smaller component of total compensation and long-term, equity-based compensation will become a larger component of total compensation, further aligning the executive officer's interests with those of the Company and its stockholders. The following charts illustrate the mix of target total direct compensation for Mr. Gunderman, individually, and Messrs. Wallace, Heard and Mudry, as a group, based on compensation opportunities provided in fiscal year 2017.</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78" w:lineRule="exact"/>
        <w:rPr>
          <w:sz w:val="20"/>
          <w:szCs w:val="20"/>
          <w:color w:val="auto"/>
        </w:rPr>
      </w:pPr>
    </w:p>
    <w:p>
      <w:pPr>
        <w:ind w:left="1280"/>
        <w:spacing w:after="0"/>
        <w:tabs>
          <w:tab w:leader="none" w:pos="7680" w:val="left"/>
        </w:tabs>
        <w:rPr>
          <w:sz w:val="20"/>
          <w:szCs w:val="20"/>
          <w:color w:val="auto"/>
        </w:rPr>
      </w:pPr>
      <w:r>
        <w:rPr>
          <w:rFonts w:ascii="Arial" w:cs="Arial" w:eastAsia="Arial" w:hAnsi="Arial"/>
          <w:sz w:val="16"/>
          <w:szCs w:val="16"/>
          <w:b w:val="1"/>
          <w:bCs w:val="1"/>
          <w:u w:val="single" w:color="auto"/>
          <w:color w:val="auto"/>
        </w:rPr>
        <w:t>Target Pay Mix for Mr. Gunderman</w:t>
      </w:r>
      <w:r>
        <w:rPr>
          <w:sz w:val="20"/>
          <w:szCs w:val="20"/>
          <w:color w:val="auto"/>
        </w:rPr>
        <w:tab/>
      </w:r>
      <w:r>
        <w:rPr>
          <w:rFonts w:ascii="Arial" w:cs="Arial" w:eastAsia="Arial" w:hAnsi="Arial"/>
          <w:sz w:val="15"/>
          <w:szCs w:val="15"/>
          <w:b w:val="1"/>
          <w:bCs w:val="1"/>
          <w:u w:val="single" w:color="auto"/>
          <w:color w:val="auto"/>
        </w:rPr>
        <w:t>Target Pay Mix for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891540</wp:posOffset>
            </wp:positionH>
            <wp:positionV relativeFrom="paragraph">
              <wp:posOffset>152400</wp:posOffset>
            </wp:positionV>
            <wp:extent cx="1480185" cy="14801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80185" cy="1480185"/>
                    </a:xfrm>
                    <a:prstGeom prst="rect">
                      <a:avLst/>
                    </a:prstGeom>
                    <a:noFill/>
                  </pic:spPr>
                </pic:pic>
              </a:graphicData>
            </a:graphic>
          </wp:anchor>
        </w:drawing>
        <w:drawing>
          <wp:anchor simplePos="0" relativeHeight="251657728" behindDoc="1" locked="0" layoutInCell="0" allowOverlap="1">
            <wp:simplePos x="0" y="0"/>
            <wp:positionH relativeFrom="column">
              <wp:posOffset>4861560</wp:posOffset>
            </wp:positionH>
            <wp:positionV relativeFrom="paragraph">
              <wp:posOffset>152400</wp:posOffset>
            </wp:positionV>
            <wp:extent cx="1527175" cy="15271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27175" cy="152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Variable pay represents 84% of target total direct compensation for Mr. Gunderman and 70.3% for Messrs. Wallace, Heard and Mudry.</w:t>
      </w:r>
    </w:p>
    <w:p>
      <w:pPr>
        <w:spacing w:after="0" w:line="182" w:lineRule="exact"/>
        <w:rPr>
          <w:sz w:val="20"/>
          <w:szCs w:val="20"/>
          <w:color w:val="auto"/>
        </w:rPr>
      </w:pPr>
    </w:p>
    <w:p>
      <w:pPr>
        <w:ind w:firstLine="624"/>
        <w:spacing w:after="0" w:line="249" w:lineRule="auto"/>
        <w:rPr>
          <w:sz w:val="20"/>
          <w:szCs w:val="20"/>
          <w:color w:val="auto"/>
        </w:rPr>
      </w:pPr>
      <w:r>
        <w:rPr>
          <w:rFonts w:ascii="Arial" w:cs="Arial" w:eastAsia="Arial" w:hAnsi="Arial"/>
          <w:sz w:val="16"/>
          <w:szCs w:val="16"/>
          <w:i w:val="1"/>
          <w:iCs w:val="1"/>
          <w:color w:val="00ACD2"/>
        </w:rPr>
        <w:t xml:space="preserve">Results of Stockholder Advisory Vote on Executive Compensation. </w:t>
      </w:r>
      <w:r>
        <w:rPr>
          <w:rFonts w:ascii="Arial" w:cs="Arial" w:eastAsia="Arial" w:hAnsi="Arial"/>
          <w:sz w:val="16"/>
          <w:szCs w:val="16"/>
          <w:color w:val="000000"/>
        </w:rPr>
        <w:t>At the 2017 annual meeting of stockholders, we held our annual "say-on-pay" vote</w:t>
      </w:r>
      <w:r>
        <w:rPr>
          <w:rFonts w:ascii="Arial" w:cs="Arial" w:eastAsia="Arial" w:hAnsi="Arial"/>
          <w:sz w:val="16"/>
          <w:szCs w:val="16"/>
          <w:i w:val="1"/>
          <w:iCs w:val="1"/>
          <w:color w:val="00ACD2"/>
        </w:rPr>
        <w:t xml:space="preserve"> </w:t>
      </w:r>
      <w:r>
        <w:rPr>
          <w:rFonts w:ascii="Arial" w:cs="Arial" w:eastAsia="Arial" w:hAnsi="Arial"/>
          <w:sz w:val="16"/>
          <w:szCs w:val="16"/>
          <w:color w:val="000000"/>
        </w:rPr>
        <w:t>pursuant to which stockholders were given the opportunity to approve the compensation of the Company's NEOs. Approximately 90% of votes cast on the proposal were in favor of our executive compensation. In light of this strong support, the Compensation Committee decided to maintain the core design of our compensation program for 2017. The Compensation Committee plans to evaluate and consider the outcome of each annual advisory vote on executive compensation, in addition to various other factors, when making future compensation decisions.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00ACD2"/>
        </w:rPr>
        <w:t>Elements of 2017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68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1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Company's executive compensation program consists of:</w:t>
      </w:r>
    </w:p>
    <w:p>
      <w:pPr>
        <w:spacing w:after="0" w:line="198" w:lineRule="exact"/>
        <w:rPr>
          <w:sz w:val="20"/>
          <w:szCs w:val="20"/>
          <w:color w:val="auto"/>
        </w:rPr>
      </w:pPr>
    </w:p>
    <w:p>
      <w:pPr>
        <w:ind w:left="980" w:hanging="488"/>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annual base salary;</w:t>
      </w:r>
    </w:p>
    <w:p>
      <w:pPr>
        <w:spacing w:after="0" w:line="13" w:lineRule="exact"/>
        <w:rPr>
          <w:rFonts w:ascii="Arial" w:cs="Arial" w:eastAsia="Arial" w:hAnsi="Arial"/>
          <w:sz w:val="16"/>
          <w:szCs w:val="16"/>
          <w:color w:val="auto"/>
        </w:rPr>
      </w:pPr>
    </w:p>
    <w:p>
      <w:pPr>
        <w:ind w:left="980" w:hanging="488"/>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annual performance incentive payments; and</w:t>
      </w:r>
    </w:p>
    <w:p>
      <w:pPr>
        <w:ind w:left="980" w:hanging="488"/>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equity-based compensation.</w:t>
      </w:r>
    </w:p>
    <w:p>
      <w:pPr>
        <w:spacing w:after="0" w:line="182" w:lineRule="exact"/>
        <w:rPr>
          <w:sz w:val="20"/>
          <w:szCs w:val="20"/>
          <w:color w:val="auto"/>
        </w:rPr>
      </w:pPr>
    </w:p>
    <w:p>
      <w:pPr>
        <w:ind w:right="80" w:firstLine="618"/>
        <w:spacing w:after="0" w:line="245" w:lineRule="auto"/>
        <w:rPr>
          <w:sz w:val="20"/>
          <w:szCs w:val="20"/>
          <w:color w:val="auto"/>
        </w:rPr>
      </w:pPr>
      <w:r>
        <w:rPr>
          <w:rFonts w:ascii="Arial" w:cs="Arial" w:eastAsia="Arial" w:hAnsi="Arial"/>
          <w:sz w:val="16"/>
          <w:szCs w:val="16"/>
          <w:i w:val="1"/>
          <w:iCs w:val="1"/>
          <w:color w:val="00ACD2"/>
        </w:rPr>
        <w:t xml:space="preserve">Annual Base Salaries. </w:t>
      </w:r>
      <w:r>
        <w:rPr>
          <w:rFonts w:ascii="Arial" w:cs="Arial" w:eastAsia="Arial" w:hAnsi="Arial"/>
          <w:sz w:val="16"/>
          <w:szCs w:val="16"/>
          <w:color w:val="000000"/>
        </w:rPr>
        <w:t>Base salaries for the NEOs were initially established in connection with their hiring based on the executive's position,</w:t>
      </w:r>
      <w:r>
        <w:rPr>
          <w:rFonts w:ascii="Arial" w:cs="Arial" w:eastAsia="Arial" w:hAnsi="Arial"/>
          <w:sz w:val="16"/>
          <w:szCs w:val="16"/>
          <w:i w:val="1"/>
          <w:iCs w:val="1"/>
          <w:color w:val="00ACD2"/>
        </w:rPr>
        <w:t xml:space="preserve"> </w:t>
      </w:r>
      <w:r>
        <w:rPr>
          <w:rFonts w:ascii="Arial" w:cs="Arial" w:eastAsia="Arial" w:hAnsi="Arial"/>
          <w:sz w:val="16"/>
          <w:szCs w:val="16"/>
          <w:color w:val="000000"/>
        </w:rPr>
        <w:t>responsibilities, personal expertise and experience, internal pay equity, and the Market Data. The Compensation Committee views base salary as the fixed compensation necessary to attract and retain qualified executives and to provide a reasonable base level of compensation for the executives' ongoing performance throughout the year. Annual base salaries are a key component of an NEO's total compensation as both short- and long-term incentive payments are calculated as a multiple of base salary. The executive officers' base salaries are subject to annual review and adjustment to ensure that an NEO's total compensation (as reported in the Summary Compensation Table) is at or near the 50th percentile of the Peer Group data. As an executive's responsibilities and ability to affect the financial results of the Company increase, base salary becomes a smaller component of total compensation and long-term, equity-based compensation becomes a larger component, further aligning the executive's interests with those of our stockholders.</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sets forth the base salaries for the NEOs for 2016 and 2017:</w:t>
      </w:r>
    </w:p>
    <w:p>
      <w:pPr>
        <w:spacing w:after="0" w:line="178" w:lineRule="exact"/>
        <w:rPr>
          <w:sz w:val="20"/>
          <w:szCs w:val="20"/>
          <w:color w:val="auto"/>
        </w:rPr>
      </w:pPr>
    </w:p>
    <w:tbl>
      <w:tblPr>
        <w:tblLayout w:type="fixed"/>
        <w:tblInd w:w="2280" w:type="dxa"/>
        <w:tblCellMar>
          <w:top w:w="0" w:type="dxa"/>
          <w:left w:w="0" w:type="dxa"/>
          <w:bottom w:w="0" w:type="dxa"/>
          <w:right w:w="0" w:type="dxa"/>
        </w:tblCellMar>
      </w:tblPr>
      <w:tr>
        <w:trPr>
          <w:trHeight w:val="185"/>
        </w:trPr>
        <w:tc>
          <w:tcPr>
            <w:tcW w:w="4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380"/>
              <w:spacing w:after="0"/>
              <w:rPr>
                <w:sz w:val="20"/>
                <w:szCs w:val="20"/>
                <w:color w:val="auto"/>
              </w:rPr>
            </w:pPr>
            <w:r>
              <w:rPr>
                <w:rFonts w:ascii="Arial" w:cs="Arial" w:eastAsia="Arial" w:hAnsi="Arial"/>
                <w:sz w:val="16"/>
                <w:szCs w:val="16"/>
                <w:b w:val="1"/>
                <w:bCs w:val="1"/>
                <w:color w:val="auto"/>
              </w:rPr>
              <w:t>2016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ind w:left="340"/>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6"/>
                <w:szCs w:val="16"/>
                <w:color w:val="auto"/>
              </w:rPr>
            </w:pPr>
          </w:p>
        </w:tc>
      </w:tr>
      <w:tr>
        <w:trPr>
          <w:trHeight w:val="202"/>
        </w:trPr>
        <w:tc>
          <w:tcPr>
            <w:tcW w:w="40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Base Salary</w:t>
            </w:r>
          </w:p>
        </w:tc>
        <w:tc>
          <w:tcPr>
            <w:tcW w:w="14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Base Salary</w:t>
            </w:r>
          </w:p>
        </w:tc>
      </w:tr>
      <w:tr>
        <w:trPr>
          <w:trHeight w:val="20"/>
        </w:trPr>
        <w:tc>
          <w:tcPr>
            <w:tcW w:w="44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4000" w:type="dxa"/>
            <w:vAlign w:val="bottom"/>
            <w:gridSpan w:val="2"/>
            <w:shd w:val="clear" w:color="auto" w:fill="BFBFBF"/>
          </w:tcPr>
          <w:p>
            <w:pPr>
              <w:spacing w:after="0" w:line="178" w:lineRule="exact"/>
              <w:rPr>
                <w:sz w:val="20"/>
                <w:szCs w:val="20"/>
                <w:color w:val="auto"/>
              </w:rPr>
            </w:pPr>
            <w:r>
              <w:rPr>
                <w:rFonts w:ascii="Arial" w:cs="Arial" w:eastAsia="Arial" w:hAnsi="Arial"/>
                <w:sz w:val="16"/>
                <w:szCs w:val="16"/>
                <w:color w:val="auto"/>
              </w:rPr>
              <w:t>Kenneth A. Gunderman</w:t>
            </w:r>
          </w:p>
        </w:tc>
        <w:tc>
          <w:tcPr>
            <w:tcW w:w="140" w:type="dxa"/>
            <w:vAlign w:val="bottom"/>
            <w:shd w:val="clear" w:color="auto" w:fill="BFBFBF"/>
          </w:tcPr>
          <w:p>
            <w:pPr>
              <w:jc w:val="right"/>
              <w:spacing w:after="0" w:line="178" w:lineRule="exact"/>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BFBFBF"/>
          </w:tcPr>
          <w:p>
            <w:pPr>
              <w:jc w:val="right"/>
              <w:ind w:right="140"/>
              <w:spacing w:after="0" w:line="178" w:lineRule="exact"/>
              <w:rPr>
                <w:sz w:val="20"/>
                <w:szCs w:val="20"/>
                <w:color w:val="auto"/>
              </w:rPr>
            </w:pPr>
            <w:r>
              <w:rPr>
                <w:rFonts w:ascii="Arial" w:cs="Arial" w:eastAsia="Arial" w:hAnsi="Arial"/>
                <w:sz w:val="16"/>
                <w:szCs w:val="16"/>
                <w:color w:val="auto"/>
              </w:rPr>
              <w:t>700,000</w:t>
            </w:r>
          </w:p>
        </w:tc>
        <w:tc>
          <w:tcPr>
            <w:tcW w:w="140" w:type="dxa"/>
            <w:vAlign w:val="bottom"/>
            <w:shd w:val="clear" w:color="auto" w:fill="BFBFBF"/>
          </w:tcPr>
          <w:p>
            <w:pPr>
              <w:jc w:val="right"/>
              <w:spacing w:after="0" w:line="178" w:lineRule="exact"/>
              <w:rPr>
                <w:sz w:val="20"/>
                <w:szCs w:val="20"/>
                <w:color w:val="auto"/>
              </w:rPr>
            </w:pPr>
            <w:r>
              <w:rPr>
                <w:rFonts w:ascii="Arial" w:cs="Arial" w:eastAsia="Arial" w:hAnsi="Arial"/>
                <w:sz w:val="16"/>
                <w:szCs w:val="16"/>
                <w:color w:val="auto"/>
                <w:w w:val="89"/>
              </w:rPr>
              <w:t>$</w:t>
            </w:r>
          </w:p>
        </w:tc>
        <w:tc>
          <w:tcPr>
            <w:tcW w:w="1140" w:type="dxa"/>
            <w:vAlign w:val="bottom"/>
            <w:shd w:val="clear" w:color="auto" w:fill="BFBFBF"/>
          </w:tcPr>
          <w:p>
            <w:pPr>
              <w:ind w:left="580"/>
              <w:spacing w:after="0" w:line="178" w:lineRule="exact"/>
              <w:rPr>
                <w:sz w:val="20"/>
                <w:szCs w:val="20"/>
                <w:color w:val="auto"/>
              </w:rPr>
            </w:pPr>
            <w:r>
              <w:rPr>
                <w:rFonts w:ascii="Arial" w:cs="Arial" w:eastAsia="Arial" w:hAnsi="Arial"/>
                <w:sz w:val="16"/>
                <w:szCs w:val="16"/>
                <w:color w:val="auto"/>
                <w:w w:val="93"/>
              </w:rPr>
              <w:t>725,000</w:t>
            </w:r>
          </w:p>
        </w:tc>
        <w:tc>
          <w:tcPr>
            <w:tcW w:w="20" w:type="dxa"/>
            <w:vAlign w:val="bottom"/>
          </w:tcPr>
          <w:p>
            <w:pPr>
              <w:spacing w:after="0"/>
              <w:rPr>
                <w:sz w:val="15"/>
                <w:szCs w:val="15"/>
                <w:color w:val="auto"/>
              </w:rPr>
            </w:pPr>
          </w:p>
        </w:tc>
      </w:tr>
      <w:tr>
        <w:trPr>
          <w:trHeight w:val="185"/>
        </w:trPr>
        <w:tc>
          <w:tcPr>
            <w:tcW w:w="4000" w:type="dxa"/>
            <w:vAlign w:val="bottom"/>
            <w:gridSpan w:val="2"/>
          </w:tcPr>
          <w:p>
            <w:pPr>
              <w:spacing w:after="0"/>
              <w:rPr>
                <w:sz w:val="20"/>
                <w:szCs w:val="20"/>
                <w:color w:val="auto"/>
              </w:rPr>
            </w:pPr>
            <w:r>
              <w:rPr>
                <w:rFonts w:ascii="Arial" w:cs="Arial" w:eastAsia="Arial" w:hAnsi="Arial"/>
                <w:sz w:val="16"/>
                <w:szCs w:val="16"/>
                <w:color w:val="auto"/>
              </w:rPr>
              <w:t>Mark A. Wallace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425,000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580"/>
              <w:spacing w:after="0"/>
              <w:rPr>
                <w:sz w:val="20"/>
                <w:szCs w:val="20"/>
                <w:color w:val="auto"/>
              </w:rPr>
            </w:pPr>
            <w:r>
              <w:rPr>
                <w:rFonts w:ascii="Arial" w:cs="Arial" w:eastAsia="Arial" w:hAnsi="Arial"/>
                <w:sz w:val="16"/>
                <w:szCs w:val="16"/>
                <w:color w:val="auto"/>
                <w:w w:val="96"/>
              </w:rPr>
              <w:t>450,000</w:t>
            </w:r>
          </w:p>
        </w:tc>
      </w:tr>
      <w:tr>
        <w:trPr>
          <w:trHeight w:val="185"/>
        </w:trPr>
        <w:tc>
          <w:tcPr>
            <w:tcW w:w="4000" w:type="dxa"/>
            <w:vAlign w:val="bottom"/>
            <w:gridSpan w:val="2"/>
            <w:shd w:val="clear" w:color="auto" w:fill="BFBFBF"/>
          </w:tcPr>
          <w:p>
            <w:pPr>
              <w:spacing w:after="0"/>
              <w:rPr>
                <w:sz w:val="20"/>
                <w:szCs w:val="20"/>
                <w:color w:val="auto"/>
              </w:rPr>
            </w:pPr>
            <w:r>
              <w:rPr>
                <w:rFonts w:ascii="Arial" w:cs="Arial" w:eastAsia="Arial" w:hAnsi="Arial"/>
                <w:sz w:val="16"/>
                <w:szCs w:val="16"/>
                <w:color w:val="auto"/>
              </w:rPr>
              <w:t>Daniel L. Heard</w:t>
            </w:r>
          </w:p>
        </w:tc>
        <w:tc>
          <w:tcPr>
            <w:tcW w:w="140" w:type="dxa"/>
            <w:vAlign w:val="bottom"/>
            <w:shd w:val="clear" w:color="auto" w:fill="BFBFB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BFBFBF"/>
          </w:tcPr>
          <w:p>
            <w:pPr>
              <w:jc w:val="right"/>
              <w:ind w:right="140"/>
              <w:spacing w:after="0"/>
              <w:rPr>
                <w:sz w:val="20"/>
                <w:szCs w:val="20"/>
                <w:color w:val="auto"/>
              </w:rPr>
            </w:pPr>
            <w:r>
              <w:rPr>
                <w:rFonts w:ascii="Arial" w:cs="Arial" w:eastAsia="Arial" w:hAnsi="Arial"/>
                <w:sz w:val="16"/>
                <w:szCs w:val="16"/>
                <w:color w:val="auto"/>
              </w:rPr>
              <w:t>350,000</w:t>
            </w:r>
          </w:p>
        </w:tc>
        <w:tc>
          <w:tcPr>
            <w:tcW w:w="140" w:type="dxa"/>
            <w:vAlign w:val="bottom"/>
            <w:shd w:val="clear" w:color="auto" w:fill="BFBFB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BFBFBF"/>
          </w:tcPr>
          <w:p>
            <w:pPr>
              <w:ind w:left="580"/>
              <w:spacing w:after="0"/>
              <w:rPr>
                <w:sz w:val="20"/>
                <w:szCs w:val="20"/>
                <w:color w:val="auto"/>
              </w:rPr>
            </w:pPr>
            <w:r>
              <w:rPr>
                <w:rFonts w:ascii="Arial" w:cs="Arial" w:eastAsia="Arial" w:hAnsi="Arial"/>
                <w:sz w:val="16"/>
                <w:szCs w:val="16"/>
                <w:color w:val="auto"/>
                <w:w w:val="93"/>
              </w:rPr>
              <w:t>375,000</w:t>
            </w:r>
          </w:p>
        </w:tc>
        <w:tc>
          <w:tcPr>
            <w:tcW w:w="20" w:type="dxa"/>
            <w:vAlign w:val="bottom"/>
          </w:tcPr>
          <w:p>
            <w:pPr>
              <w:spacing w:after="0"/>
              <w:rPr>
                <w:sz w:val="16"/>
                <w:szCs w:val="16"/>
                <w:color w:val="auto"/>
              </w:rPr>
            </w:pPr>
          </w:p>
        </w:tc>
      </w:tr>
      <w:tr>
        <w:trPr>
          <w:trHeight w:val="196"/>
        </w:trPr>
        <w:tc>
          <w:tcPr>
            <w:tcW w:w="4000" w:type="dxa"/>
            <w:vAlign w:val="bottom"/>
            <w:gridSpan w:val="2"/>
          </w:tcPr>
          <w:p>
            <w:pPr>
              <w:spacing w:after="0"/>
              <w:rPr>
                <w:sz w:val="20"/>
                <w:szCs w:val="20"/>
                <w:color w:val="auto"/>
              </w:rPr>
            </w:pPr>
            <w:r>
              <w:rPr>
                <w:rFonts w:ascii="Arial" w:cs="Arial" w:eastAsia="Arial" w:hAnsi="Arial"/>
                <w:sz w:val="16"/>
                <w:szCs w:val="16"/>
                <w:color w:val="auto"/>
              </w:rPr>
              <w:t>Ronald J. Mudry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350,000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580"/>
              <w:spacing w:after="0"/>
              <w:rPr>
                <w:sz w:val="20"/>
                <w:szCs w:val="20"/>
                <w:color w:val="auto"/>
              </w:rPr>
            </w:pPr>
            <w:r>
              <w:rPr>
                <w:rFonts w:ascii="Arial" w:cs="Arial" w:eastAsia="Arial" w:hAnsi="Arial"/>
                <w:sz w:val="16"/>
                <w:szCs w:val="16"/>
                <w:color w:val="auto"/>
                <w:w w:val="96"/>
              </w:rPr>
              <w:t>350,000</w:t>
            </w:r>
          </w:p>
        </w:tc>
      </w:tr>
    </w:tbl>
    <w:p>
      <w:pPr>
        <w:spacing w:after="0" w:line="189" w:lineRule="exact"/>
        <w:rPr>
          <w:sz w:val="20"/>
          <w:szCs w:val="20"/>
          <w:color w:val="auto"/>
        </w:rPr>
      </w:pPr>
    </w:p>
    <w:p>
      <w:pPr>
        <w:ind w:right="480" w:firstLine="621"/>
        <w:spacing w:after="0" w:line="253" w:lineRule="auto"/>
        <w:rPr>
          <w:sz w:val="20"/>
          <w:szCs w:val="20"/>
          <w:color w:val="auto"/>
        </w:rPr>
      </w:pPr>
      <w:r>
        <w:rPr>
          <w:rFonts w:ascii="Arial" w:cs="Arial" w:eastAsia="Arial" w:hAnsi="Arial"/>
          <w:sz w:val="16"/>
          <w:szCs w:val="16"/>
          <w:color w:val="auto"/>
        </w:rPr>
        <w:t>The Compensation Committee approved $25,000 base salary increases for Mr. Gunderman (a 3.6% increase), Mr. Wallace (a 5.9% increase) and Mr. Heard (a 7.1% increase) to better align their target total compensation with the Market Data median.</w:t>
      </w:r>
    </w:p>
    <w:p>
      <w:pPr>
        <w:spacing w:after="0" w:line="163" w:lineRule="exact"/>
        <w:rPr>
          <w:sz w:val="20"/>
          <w:szCs w:val="20"/>
          <w:color w:val="auto"/>
        </w:rPr>
      </w:pPr>
    </w:p>
    <w:p>
      <w:pPr>
        <w:ind w:firstLine="624"/>
        <w:spacing w:after="0" w:line="249" w:lineRule="auto"/>
        <w:rPr>
          <w:sz w:val="20"/>
          <w:szCs w:val="20"/>
          <w:color w:val="auto"/>
        </w:rPr>
      </w:pPr>
      <w:r>
        <w:rPr>
          <w:rFonts w:ascii="Arial" w:cs="Arial" w:eastAsia="Arial" w:hAnsi="Arial"/>
          <w:sz w:val="16"/>
          <w:szCs w:val="16"/>
          <w:i w:val="1"/>
          <w:iCs w:val="1"/>
          <w:color w:val="00ACD2"/>
        </w:rPr>
        <w:t xml:space="preserve">Short-Term Incentives. </w:t>
      </w:r>
      <w:r>
        <w:rPr>
          <w:rFonts w:ascii="Arial" w:cs="Arial" w:eastAsia="Arial" w:hAnsi="Arial"/>
          <w:sz w:val="16"/>
          <w:szCs w:val="16"/>
          <w:color w:val="000000"/>
        </w:rPr>
        <w:t>In February 2017, the Compensation Committee approved the Communications Sales &amp; Leasing, Inc. 2017 Cash Incentive</w:t>
      </w:r>
      <w:r>
        <w:rPr>
          <w:rFonts w:ascii="Arial" w:cs="Arial" w:eastAsia="Arial" w:hAnsi="Arial"/>
          <w:sz w:val="16"/>
          <w:szCs w:val="16"/>
          <w:i w:val="1"/>
          <w:iCs w:val="1"/>
          <w:color w:val="00ACD2"/>
        </w:rPr>
        <w:t xml:space="preserve"> </w:t>
      </w:r>
      <w:r>
        <w:rPr>
          <w:rFonts w:ascii="Arial" w:cs="Arial" w:eastAsia="Arial" w:hAnsi="Arial"/>
          <w:sz w:val="16"/>
          <w:szCs w:val="16"/>
          <w:color w:val="000000"/>
        </w:rPr>
        <w:t>Plan (the "Short-Term Incentive Plan"). The Short-Term Incentive Plan permits the Compensation Committee to award and pay performance-based cash bonuses to our executive officers upon the attainment of certain performance goals. The Short-Term Incentive Plan is designed to reward and motivate the Company's executive officers to achieve performance goals that reinforce our annual business plan, to assist the Company in attracting and retaining qualified executives and to promote the alignment of the executive officers' interests with those of the Company's stockholders.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sets forth the target cash incentive opportunities for the NEOs under the Short-Term Incentive Plan:</w:t>
      </w:r>
    </w:p>
    <w:p>
      <w:pPr>
        <w:spacing w:after="0" w:line="118" w:lineRule="exact"/>
        <w:rPr>
          <w:sz w:val="20"/>
          <w:szCs w:val="20"/>
          <w:color w:val="auto"/>
        </w:rPr>
      </w:pPr>
    </w:p>
    <w:tbl>
      <w:tblPr>
        <w:tblLayout w:type="fixed"/>
        <w:tblInd w:w="2280" w:type="dxa"/>
        <w:tblCellMar>
          <w:top w:w="0" w:type="dxa"/>
          <w:left w:w="0" w:type="dxa"/>
          <w:bottom w:w="0" w:type="dxa"/>
          <w:right w:w="0" w:type="dxa"/>
        </w:tblCellMar>
      </w:tblPr>
      <w:tr>
        <w:trPr>
          <w:trHeight w:val="299"/>
        </w:trPr>
        <w:tc>
          <w:tcPr>
            <w:tcW w:w="37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Name</w:t>
            </w:r>
          </w:p>
        </w:tc>
        <w:tc>
          <w:tcPr>
            <w:tcW w:w="2980" w:type="dxa"/>
            <w:vAlign w:val="bottom"/>
            <w:gridSpan w:val="5"/>
          </w:tcPr>
          <w:p>
            <w:pPr>
              <w:ind w:left="580"/>
              <w:spacing w:after="0"/>
              <w:rPr>
                <w:sz w:val="20"/>
                <w:szCs w:val="20"/>
                <w:color w:val="auto"/>
              </w:rPr>
            </w:pPr>
            <w:r>
              <w:rPr>
                <w:rFonts w:ascii="Arial" w:cs="Arial" w:eastAsia="Arial" w:hAnsi="Arial"/>
                <w:sz w:val="16"/>
                <w:szCs w:val="16"/>
                <w:b w:val="1"/>
                <w:bCs w:val="1"/>
                <w:color w:val="auto"/>
              </w:rPr>
              <w:t>Target Cash Incentive</w:t>
            </w:r>
            <w:r>
              <w:rPr>
                <w:rFonts w:ascii="Arial" w:cs="Arial" w:eastAsia="Arial" w:hAnsi="Arial"/>
                <w:sz w:val="26"/>
                <w:szCs w:val="26"/>
                <w:b w:val="1"/>
                <w:bCs w:val="1"/>
                <w:color w:val="auto"/>
                <w:vertAlign w:val="superscript"/>
              </w:rPr>
              <w:t>(1)</w:t>
            </w:r>
          </w:p>
        </w:tc>
        <w:tc>
          <w:tcPr>
            <w:tcW w:w="0" w:type="dxa"/>
            <w:vAlign w:val="bottom"/>
          </w:tcPr>
          <w:p>
            <w:pPr>
              <w:spacing w:after="0"/>
              <w:rPr>
                <w:sz w:val="1"/>
                <w:szCs w:val="1"/>
                <w:color w:val="auto"/>
              </w:rPr>
            </w:pPr>
          </w:p>
        </w:tc>
      </w:tr>
      <w:tr>
        <w:trPr>
          <w:trHeight w:val="177"/>
        </w:trPr>
        <w:tc>
          <w:tcPr>
            <w:tcW w:w="3740" w:type="dxa"/>
            <w:vAlign w:val="bottom"/>
            <w:gridSpan w:val="3"/>
            <w:vMerge w:val="continue"/>
          </w:tcPr>
          <w:p>
            <w:pPr>
              <w:spacing w:after="0"/>
              <w:rPr>
                <w:sz w:val="15"/>
                <w:szCs w:val="15"/>
                <w:color w:val="auto"/>
              </w:rPr>
            </w:pPr>
          </w:p>
        </w:tc>
        <w:tc>
          <w:tcPr>
            <w:tcW w:w="2060" w:type="dxa"/>
            <w:vAlign w:val="bottom"/>
            <w:tcBorders>
              <w:top w:val="single" w:sz="8" w:color="auto"/>
            </w:tcBorders>
            <w:gridSpan w:val="3"/>
          </w:tcPr>
          <w:p>
            <w:pPr>
              <w:jc w:val="right"/>
              <w:ind w:right="540"/>
              <w:spacing w:after="0" w:line="178" w:lineRule="exact"/>
              <w:rPr>
                <w:sz w:val="20"/>
                <w:szCs w:val="20"/>
                <w:color w:val="auto"/>
              </w:rPr>
            </w:pPr>
            <w:r>
              <w:rPr>
                <w:rFonts w:ascii="Arial" w:cs="Arial" w:eastAsia="Arial" w:hAnsi="Arial"/>
                <w:sz w:val="16"/>
                <w:szCs w:val="16"/>
                <w:b w:val="1"/>
                <w:bCs w:val="1"/>
                <w:color w:val="auto"/>
              </w:rPr>
              <w:t>% of Base Salary</w:t>
            </w:r>
          </w:p>
        </w:tc>
        <w:tc>
          <w:tcPr>
            <w:tcW w:w="900" w:type="dxa"/>
            <w:vAlign w:val="bottom"/>
            <w:tcBorders>
              <w:top w:val="single" w:sz="8" w:color="auto"/>
            </w:tcBorders>
          </w:tcPr>
          <w:p>
            <w:pPr>
              <w:ind w:left="80"/>
              <w:spacing w:after="0" w:line="178" w:lineRule="exact"/>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40" w:type="dxa"/>
            <w:vAlign w:val="bottom"/>
            <w:gridSpan w:val="3"/>
            <w:shd w:val="clear" w:color="auto" w:fill="BFBFBF"/>
          </w:tcPr>
          <w:p>
            <w:pPr>
              <w:spacing w:after="0" w:line="178" w:lineRule="exact"/>
              <w:rPr>
                <w:sz w:val="20"/>
                <w:szCs w:val="20"/>
                <w:color w:val="auto"/>
              </w:rPr>
            </w:pPr>
            <w:r>
              <w:rPr>
                <w:rFonts w:ascii="Arial" w:cs="Arial" w:eastAsia="Arial" w:hAnsi="Arial"/>
                <w:sz w:val="16"/>
                <w:szCs w:val="16"/>
                <w:color w:val="auto"/>
              </w:rPr>
              <w:t>Kenneth A. Gunderman</w:t>
            </w:r>
          </w:p>
        </w:tc>
        <w:tc>
          <w:tcPr>
            <w:tcW w:w="2060" w:type="dxa"/>
            <w:vAlign w:val="bottom"/>
            <w:gridSpan w:val="3"/>
            <w:shd w:val="clear" w:color="auto" w:fill="BFBFBF"/>
          </w:tcPr>
          <w:p>
            <w:pPr>
              <w:jc w:val="right"/>
              <w:ind w:right="60"/>
              <w:spacing w:after="0" w:line="178" w:lineRule="exact"/>
              <w:rPr>
                <w:sz w:val="20"/>
                <w:szCs w:val="20"/>
                <w:color w:val="auto"/>
              </w:rPr>
            </w:pPr>
            <w:r>
              <w:rPr>
                <w:rFonts w:ascii="Arial" w:cs="Arial" w:eastAsia="Arial" w:hAnsi="Arial"/>
                <w:sz w:val="16"/>
                <w:szCs w:val="16"/>
                <w:color w:val="auto"/>
              </w:rPr>
              <w:t>150%$</w:t>
            </w:r>
          </w:p>
        </w:tc>
        <w:tc>
          <w:tcPr>
            <w:tcW w:w="900" w:type="dxa"/>
            <w:vAlign w:val="bottom"/>
            <w:shd w:val="clear" w:color="auto" w:fill="BFBFBF"/>
          </w:tcPr>
          <w:p>
            <w:pPr>
              <w:jc w:val="right"/>
              <w:spacing w:after="0" w:line="178" w:lineRule="exact"/>
              <w:rPr>
                <w:sz w:val="20"/>
                <w:szCs w:val="20"/>
                <w:color w:val="auto"/>
              </w:rPr>
            </w:pPr>
            <w:r>
              <w:rPr>
                <w:rFonts w:ascii="Arial" w:cs="Arial" w:eastAsia="Arial" w:hAnsi="Arial"/>
                <w:sz w:val="16"/>
                <w:szCs w:val="16"/>
                <w:color w:val="auto"/>
              </w:rPr>
              <w:t>1,087,500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740" w:type="dxa"/>
            <w:vAlign w:val="bottom"/>
            <w:gridSpan w:val="3"/>
          </w:tcPr>
          <w:p>
            <w:pPr>
              <w:spacing w:after="0"/>
              <w:rPr>
                <w:sz w:val="20"/>
                <w:szCs w:val="20"/>
                <w:color w:val="auto"/>
              </w:rPr>
            </w:pPr>
            <w:r>
              <w:rPr>
                <w:rFonts w:ascii="Arial" w:cs="Arial" w:eastAsia="Arial" w:hAnsi="Arial"/>
                <w:sz w:val="16"/>
                <w:szCs w:val="16"/>
                <w:color w:val="auto"/>
              </w:rPr>
              <w:t>Mark A. Wallace</w:t>
            </w:r>
          </w:p>
        </w:tc>
        <w:tc>
          <w:tcPr>
            <w:tcW w:w="2060" w:type="dxa"/>
            <w:vAlign w:val="bottom"/>
            <w:gridSpan w:val="3"/>
          </w:tcPr>
          <w:p>
            <w:pPr>
              <w:jc w:val="right"/>
              <w:ind w:right="60"/>
              <w:spacing w:after="0"/>
              <w:rPr>
                <w:sz w:val="20"/>
                <w:szCs w:val="20"/>
                <w:color w:val="auto"/>
              </w:rPr>
            </w:pPr>
            <w:r>
              <w:rPr>
                <w:rFonts w:ascii="Arial" w:cs="Arial" w:eastAsia="Arial" w:hAnsi="Arial"/>
                <w:sz w:val="16"/>
                <w:szCs w:val="16"/>
                <w:color w:val="auto"/>
              </w:rPr>
              <w:t>100%$</w:t>
            </w:r>
          </w:p>
        </w:tc>
        <w:tc>
          <w:tcPr>
            <w:tcW w:w="920" w:type="dxa"/>
            <w:vAlign w:val="bottom"/>
            <w:gridSpan w:val="2"/>
          </w:tcPr>
          <w:p>
            <w:pPr>
              <w:ind w:left="340"/>
              <w:spacing w:after="0"/>
              <w:rPr>
                <w:sz w:val="20"/>
                <w:szCs w:val="20"/>
                <w:color w:val="auto"/>
              </w:rPr>
            </w:pPr>
            <w:r>
              <w:rPr>
                <w:rFonts w:ascii="Arial" w:cs="Arial" w:eastAsia="Arial" w:hAnsi="Arial"/>
                <w:sz w:val="16"/>
                <w:szCs w:val="16"/>
                <w:color w:val="auto"/>
                <w:w w:val="96"/>
              </w:rPr>
              <w:t>450,000</w:t>
            </w:r>
          </w:p>
        </w:tc>
        <w:tc>
          <w:tcPr>
            <w:tcW w:w="0" w:type="dxa"/>
            <w:vAlign w:val="bottom"/>
          </w:tcPr>
          <w:p>
            <w:pPr>
              <w:spacing w:after="0"/>
              <w:rPr>
                <w:sz w:val="1"/>
                <w:szCs w:val="1"/>
                <w:color w:val="auto"/>
              </w:rPr>
            </w:pPr>
          </w:p>
        </w:tc>
      </w:tr>
      <w:tr>
        <w:trPr>
          <w:trHeight w:val="185"/>
        </w:trPr>
        <w:tc>
          <w:tcPr>
            <w:tcW w:w="3740" w:type="dxa"/>
            <w:vAlign w:val="bottom"/>
            <w:gridSpan w:val="3"/>
            <w:shd w:val="clear" w:color="auto" w:fill="BFBFBF"/>
          </w:tcPr>
          <w:p>
            <w:pPr>
              <w:spacing w:after="0"/>
              <w:rPr>
                <w:sz w:val="20"/>
                <w:szCs w:val="20"/>
                <w:color w:val="auto"/>
              </w:rPr>
            </w:pPr>
            <w:r>
              <w:rPr>
                <w:rFonts w:ascii="Arial" w:cs="Arial" w:eastAsia="Arial" w:hAnsi="Arial"/>
                <w:sz w:val="16"/>
                <w:szCs w:val="16"/>
                <w:color w:val="auto"/>
              </w:rPr>
              <w:t>Daniel L. Heard</w:t>
            </w:r>
          </w:p>
        </w:tc>
        <w:tc>
          <w:tcPr>
            <w:tcW w:w="2060" w:type="dxa"/>
            <w:vAlign w:val="bottom"/>
            <w:gridSpan w:val="3"/>
            <w:shd w:val="clear" w:color="auto" w:fill="BFBFBF"/>
          </w:tcPr>
          <w:p>
            <w:pPr>
              <w:jc w:val="right"/>
              <w:ind w:right="60"/>
              <w:spacing w:after="0"/>
              <w:rPr>
                <w:sz w:val="20"/>
                <w:szCs w:val="20"/>
                <w:color w:val="auto"/>
              </w:rPr>
            </w:pPr>
            <w:r>
              <w:rPr>
                <w:rFonts w:ascii="Arial" w:cs="Arial" w:eastAsia="Arial" w:hAnsi="Arial"/>
                <w:sz w:val="16"/>
                <w:szCs w:val="16"/>
                <w:color w:val="auto"/>
              </w:rPr>
              <w:t>100%$</w:t>
            </w:r>
          </w:p>
        </w:tc>
        <w:tc>
          <w:tcPr>
            <w:tcW w:w="900" w:type="dxa"/>
            <w:vAlign w:val="bottom"/>
            <w:shd w:val="clear" w:color="auto" w:fill="BFBFBF"/>
          </w:tcPr>
          <w:p>
            <w:pPr>
              <w:ind w:left="340"/>
              <w:spacing w:after="0"/>
              <w:rPr>
                <w:sz w:val="20"/>
                <w:szCs w:val="20"/>
                <w:color w:val="auto"/>
              </w:rPr>
            </w:pPr>
            <w:r>
              <w:rPr>
                <w:rFonts w:ascii="Arial" w:cs="Arial" w:eastAsia="Arial" w:hAnsi="Arial"/>
                <w:sz w:val="16"/>
                <w:szCs w:val="16"/>
                <w:color w:val="auto"/>
                <w:w w:val="93"/>
              </w:rPr>
              <w:t>375,000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gridSpan w:val="3"/>
          </w:tcPr>
          <w:p>
            <w:pPr>
              <w:spacing w:after="0"/>
              <w:rPr>
                <w:sz w:val="20"/>
                <w:szCs w:val="20"/>
                <w:color w:val="auto"/>
              </w:rPr>
            </w:pPr>
            <w:r>
              <w:rPr>
                <w:rFonts w:ascii="Arial" w:cs="Arial" w:eastAsia="Arial" w:hAnsi="Arial"/>
                <w:sz w:val="16"/>
                <w:szCs w:val="16"/>
                <w:color w:val="auto"/>
              </w:rPr>
              <w:t>Ronald J. Mudry</w:t>
            </w:r>
          </w:p>
        </w:tc>
        <w:tc>
          <w:tcPr>
            <w:tcW w:w="2060" w:type="dxa"/>
            <w:vAlign w:val="bottom"/>
            <w:gridSpan w:val="3"/>
          </w:tcPr>
          <w:p>
            <w:pPr>
              <w:jc w:val="right"/>
              <w:ind w:right="60"/>
              <w:spacing w:after="0"/>
              <w:rPr>
                <w:sz w:val="20"/>
                <w:szCs w:val="20"/>
                <w:color w:val="auto"/>
              </w:rPr>
            </w:pPr>
            <w:r>
              <w:rPr>
                <w:rFonts w:ascii="Arial" w:cs="Arial" w:eastAsia="Arial" w:hAnsi="Arial"/>
                <w:sz w:val="16"/>
                <w:szCs w:val="16"/>
                <w:color w:val="auto"/>
              </w:rPr>
              <w:t>100%$</w:t>
            </w:r>
          </w:p>
        </w:tc>
        <w:tc>
          <w:tcPr>
            <w:tcW w:w="920" w:type="dxa"/>
            <w:vAlign w:val="bottom"/>
            <w:gridSpan w:val="2"/>
          </w:tcPr>
          <w:p>
            <w:pPr>
              <w:ind w:left="340"/>
              <w:spacing w:after="0"/>
              <w:rPr>
                <w:sz w:val="20"/>
                <w:szCs w:val="20"/>
                <w:color w:val="auto"/>
              </w:rPr>
            </w:pPr>
            <w:r>
              <w:rPr>
                <w:rFonts w:ascii="Arial" w:cs="Arial" w:eastAsia="Arial" w:hAnsi="Arial"/>
                <w:sz w:val="16"/>
                <w:szCs w:val="16"/>
                <w:color w:val="auto"/>
                <w:w w:val="96"/>
              </w:rPr>
              <w:t>350,000</w:t>
            </w: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9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780" w:right="80" w:hanging="495"/>
        <w:spacing w:after="0" w:line="247" w:lineRule="auto"/>
        <w:tabs>
          <w:tab w:leader="none" w:pos="2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threshold and maximum incentive opportunities for each NEO under the Short-Term Incentive Plan are 50% and 150% of the target incentive opportunity, with linear interpolation between specified levels. No payout is earned under the Short-Term Incentive Plan for below-threshold performance.</w:t>
      </w:r>
    </w:p>
    <w:p>
      <w:pPr>
        <w:spacing w:after="0" w:line="184" w:lineRule="exact"/>
        <w:rPr>
          <w:sz w:val="20"/>
          <w:szCs w:val="20"/>
          <w:color w:val="auto"/>
        </w:rPr>
      </w:pPr>
    </w:p>
    <w:p>
      <w:pPr>
        <w:ind w:right="140" w:firstLine="621"/>
        <w:spacing w:after="0" w:line="247" w:lineRule="auto"/>
        <w:rPr>
          <w:sz w:val="20"/>
          <w:szCs w:val="20"/>
          <w:color w:val="auto"/>
        </w:rPr>
      </w:pPr>
      <w:r>
        <w:rPr>
          <w:rFonts w:ascii="Arial" w:cs="Arial" w:eastAsia="Arial" w:hAnsi="Arial"/>
          <w:sz w:val="16"/>
          <w:szCs w:val="16"/>
          <w:color w:val="auto"/>
        </w:rPr>
        <w:t>The Compensation Committee set the award opportunities for each NEO with the goal of maintaining total direct compensation at the median of the Market Data. Mr. Gunderman's award opportunities are greater than the other NEOs in light of his role and responsibility as CEO and his greater ability to affect financial results of the Company relative to the other NEOs.</w:t>
      </w:r>
    </w:p>
    <w:p>
      <w:pPr>
        <w:spacing w:after="0" w:line="184" w:lineRule="exact"/>
        <w:rPr>
          <w:sz w:val="20"/>
          <w:szCs w:val="20"/>
          <w:color w:val="auto"/>
        </w:rPr>
      </w:pPr>
    </w:p>
    <w:p>
      <w:pPr>
        <w:ind w:right="260" w:firstLine="624"/>
        <w:spacing w:after="0" w:line="247" w:lineRule="auto"/>
        <w:rPr>
          <w:sz w:val="20"/>
          <w:szCs w:val="20"/>
          <w:color w:val="auto"/>
        </w:rPr>
      </w:pPr>
      <w:r>
        <w:rPr>
          <w:rFonts w:ascii="Arial" w:cs="Arial" w:eastAsia="Arial" w:hAnsi="Arial"/>
          <w:sz w:val="16"/>
          <w:szCs w:val="16"/>
          <w:color w:val="auto"/>
        </w:rPr>
        <w:t>For 2017, awards under the Short-Term Incentive Plan were based on Company-wide financial and performance measures (for Messrs. Gunderman, Wallace and Heard) and business unit financial measures (for Mr. Mudry) as discussed in greater detail below. The Compensation Committee selected the specific financial measures because it believes they are each consistent with Uniti's overall strategy and are among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most important and closely followed measures of our performance by the investing community and our stockholders.</w:t>
      </w:r>
    </w:p>
    <w:p>
      <w:pPr>
        <w:spacing w:after="0" w:line="198" w:lineRule="exact"/>
        <w:rPr>
          <w:sz w:val="20"/>
          <w:szCs w:val="20"/>
          <w:color w:val="auto"/>
        </w:rPr>
      </w:pPr>
    </w:p>
    <w:p>
      <w:pPr>
        <w:ind w:right="60" w:firstLine="624"/>
        <w:spacing w:after="0" w:line="253" w:lineRule="auto"/>
        <w:rPr>
          <w:sz w:val="20"/>
          <w:szCs w:val="20"/>
          <w:color w:val="auto"/>
        </w:rPr>
      </w:pPr>
      <w:r>
        <w:rPr>
          <w:rFonts w:ascii="Arial" w:cs="Arial" w:eastAsia="Arial" w:hAnsi="Arial"/>
          <w:sz w:val="16"/>
          <w:szCs w:val="16"/>
          <w:color w:val="auto"/>
        </w:rPr>
        <w:t>For Messrs. Gunderman, Wallace and Heard, awards under the Short-Term Incentive Plan were tied to the following quantitative measures of Company financial performance: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140" w:type="dxa"/>
            <w:vAlign w:val="bottom"/>
          </w:tcPr>
          <w:p>
            <w:pPr>
              <w:spacing w:after="0"/>
              <w:rPr>
                <w:sz w:val="17"/>
                <w:szCs w:val="17"/>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Performance Measure</w:t>
            </w:r>
          </w:p>
        </w:tc>
        <w:tc>
          <w:tcPr>
            <w:tcW w:w="21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Weighting</w:t>
            </w:r>
          </w:p>
        </w:tc>
        <w:tc>
          <w:tcPr>
            <w:tcW w:w="220" w:type="dxa"/>
            <w:vAlign w:val="bottom"/>
          </w:tcPr>
          <w:p>
            <w:pPr>
              <w:spacing w:after="0"/>
              <w:rPr>
                <w:sz w:val="17"/>
                <w:szCs w:val="17"/>
                <w:color w:val="auto"/>
              </w:rPr>
            </w:pPr>
          </w:p>
        </w:tc>
        <w:tc>
          <w:tcPr>
            <w:tcW w:w="3640" w:type="dxa"/>
            <w:vAlign w:val="bottom"/>
            <w:tcBorders>
              <w:bottom w:val="single" w:sz="8" w:color="auto"/>
            </w:tcBorders>
          </w:tcPr>
          <w:p>
            <w:pPr>
              <w:ind w:left="1380"/>
              <w:spacing w:after="0"/>
              <w:rPr>
                <w:sz w:val="20"/>
                <w:szCs w:val="20"/>
                <w:color w:val="auto"/>
              </w:rPr>
            </w:pPr>
            <w:r>
              <w:rPr>
                <w:rFonts w:ascii="Arial" w:cs="Arial" w:eastAsia="Arial" w:hAnsi="Arial"/>
                <w:sz w:val="16"/>
                <w:szCs w:val="16"/>
                <w:b w:val="1"/>
                <w:bCs w:val="1"/>
                <w:color w:val="auto"/>
              </w:rPr>
              <w:t>Description</w:t>
            </w:r>
          </w:p>
        </w:tc>
        <w:tc>
          <w:tcPr>
            <w:tcW w:w="1140" w:type="dxa"/>
            <w:vAlign w:val="bottom"/>
          </w:tcPr>
          <w:p>
            <w:pPr>
              <w:spacing w:after="0"/>
              <w:rPr>
                <w:sz w:val="17"/>
                <w:szCs w:val="17"/>
                <w:color w:val="auto"/>
              </w:rPr>
            </w:pPr>
          </w:p>
        </w:tc>
      </w:tr>
      <w:tr>
        <w:trPr>
          <w:trHeight w:val="180"/>
        </w:trPr>
        <w:tc>
          <w:tcPr>
            <w:tcW w:w="1140" w:type="dxa"/>
            <w:vAlign w:val="bottom"/>
          </w:tcPr>
          <w:p>
            <w:pPr>
              <w:spacing w:after="0"/>
              <w:rPr>
                <w:sz w:val="15"/>
                <w:szCs w:val="15"/>
                <w:color w:val="auto"/>
              </w:rPr>
            </w:pPr>
          </w:p>
        </w:tc>
        <w:tc>
          <w:tcPr>
            <w:tcW w:w="3860" w:type="dxa"/>
            <w:vAlign w:val="bottom"/>
            <w:gridSpan w:val="2"/>
            <w:shd w:val="clear" w:color="auto" w:fill="BFBFBF"/>
          </w:tcPr>
          <w:p>
            <w:pPr>
              <w:spacing w:after="0" w:line="181" w:lineRule="exact"/>
              <w:rPr>
                <w:sz w:val="20"/>
                <w:szCs w:val="20"/>
                <w:color w:val="auto"/>
              </w:rPr>
            </w:pPr>
            <w:r>
              <w:rPr>
                <w:rFonts w:ascii="Arial" w:cs="Arial" w:eastAsia="Arial" w:hAnsi="Arial"/>
                <w:sz w:val="16"/>
                <w:szCs w:val="16"/>
                <w:color w:val="auto"/>
              </w:rPr>
              <w:t>Consolidated Normalized AFFO per diluted share</w:t>
            </w:r>
          </w:p>
        </w:tc>
        <w:tc>
          <w:tcPr>
            <w:tcW w:w="1420" w:type="dxa"/>
            <w:vAlign w:val="bottom"/>
            <w:shd w:val="clear" w:color="auto" w:fill="BFBFBF"/>
          </w:tcPr>
          <w:p>
            <w:pPr>
              <w:spacing w:after="0"/>
              <w:rPr>
                <w:sz w:val="15"/>
                <w:szCs w:val="15"/>
                <w:color w:val="auto"/>
              </w:rPr>
            </w:pPr>
          </w:p>
        </w:tc>
        <w:tc>
          <w:tcPr>
            <w:tcW w:w="3860" w:type="dxa"/>
            <w:vAlign w:val="bottom"/>
            <w:gridSpan w:val="2"/>
            <w:shd w:val="clear" w:color="auto" w:fill="BFBFBF"/>
          </w:tcPr>
          <w:p>
            <w:pPr>
              <w:ind w:left="220"/>
              <w:spacing w:after="0" w:line="181" w:lineRule="exact"/>
              <w:rPr>
                <w:sz w:val="20"/>
                <w:szCs w:val="20"/>
                <w:color w:val="auto"/>
              </w:rPr>
            </w:pPr>
            <w:r>
              <w:rPr>
                <w:rFonts w:ascii="Arial" w:cs="Arial" w:eastAsia="Arial" w:hAnsi="Arial"/>
                <w:sz w:val="16"/>
                <w:szCs w:val="16"/>
                <w:color w:val="auto"/>
              </w:rPr>
              <w:t>Represents our consolidated funds from operation</w:t>
            </w:r>
          </w:p>
        </w:tc>
        <w:tc>
          <w:tcPr>
            <w:tcW w:w="1140" w:type="dxa"/>
            <w:vAlign w:val="bottom"/>
          </w:tcPr>
          <w:p>
            <w:pPr>
              <w:spacing w:after="0"/>
              <w:rPr>
                <w:sz w:val="15"/>
                <w:szCs w:val="15"/>
                <w:color w:val="auto"/>
              </w:rPr>
            </w:pPr>
          </w:p>
        </w:tc>
      </w:tr>
      <w:tr>
        <w:trPr>
          <w:trHeight w:val="185"/>
        </w:trPr>
        <w:tc>
          <w:tcPr>
            <w:tcW w:w="1140" w:type="dxa"/>
            <w:vAlign w:val="bottom"/>
          </w:tcPr>
          <w:p>
            <w:pPr>
              <w:spacing w:after="0"/>
              <w:rPr>
                <w:sz w:val="16"/>
                <w:szCs w:val="16"/>
                <w:color w:val="auto"/>
              </w:rPr>
            </w:pPr>
          </w:p>
        </w:tc>
        <w:tc>
          <w:tcPr>
            <w:tcW w:w="1680" w:type="dxa"/>
            <w:vAlign w:val="bottom"/>
            <w:shd w:val="clear" w:color="auto" w:fill="BFBFBF"/>
          </w:tcPr>
          <w:p>
            <w:pPr>
              <w:spacing w:after="0"/>
              <w:rPr>
                <w:sz w:val="16"/>
                <w:szCs w:val="16"/>
                <w:color w:val="auto"/>
              </w:rPr>
            </w:pPr>
          </w:p>
        </w:tc>
        <w:tc>
          <w:tcPr>
            <w:tcW w:w="2180" w:type="dxa"/>
            <w:vAlign w:val="bottom"/>
            <w:shd w:val="clear" w:color="auto" w:fill="BFBFBF"/>
          </w:tcPr>
          <w:p>
            <w:pPr>
              <w:spacing w:after="0"/>
              <w:rPr>
                <w:sz w:val="16"/>
                <w:szCs w:val="16"/>
                <w:color w:val="auto"/>
              </w:rPr>
            </w:pPr>
          </w:p>
        </w:tc>
        <w:tc>
          <w:tcPr>
            <w:tcW w:w="1420" w:type="dxa"/>
            <w:vAlign w:val="bottom"/>
            <w:shd w:val="clear" w:color="auto" w:fill="BFBFBF"/>
          </w:tcPr>
          <w:p>
            <w:pPr>
              <w:spacing w:after="0"/>
              <w:rPr>
                <w:sz w:val="16"/>
                <w:szCs w:val="16"/>
                <w:color w:val="auto"/>
              </w:rPr>
            </w:pPr>
          </w:p>
        </w:tc>
        <w:tc>
          <w:tcPr>
            <w:tcW w:w="3860" w:type="dxa"/>
            <w:vAlign w:val="bottom"/>
            <w:gridSpan w:val="2"/>
            <w:shd w:val="clear" w:color="auto" w:fill="BFBFBF"/>
          </w:tcPr>
          <w:p>
            <w:pPr>
              <w:ind w:left="220"/>
              <w:spacing w:after="0"/>
              <w:rPr>
                <w:sz w:val="20"/>
                <w:szCs w:val="20"/>
                <w:color w:val="auto"/>
              </w:rPr>
            </w:pPr>
            <w:r>
              <w:rPr>
                <w:rFonts w:ascii="Arial" w:cs="Arial" w:eastAsia="Arial" w:hAnsi="Arial"/>
                <w:sz w:val="16"/>
                <w:szCs w:val="16"/>
                <w:color w:val="auto"/>
              </w:rPr>
              <w:t>per diluted common share, adjusted to exclude the</w:t>
            </w:r>
          </w:p>
        </w:tc>
        <w:tc>
          <w:tcPr>
            <w:tcW w:w="1140" w:type="dxa"/>
            <w:vAlign w:val="bottom"/>
          </w:tcPr>
          <w:p>
            <w:pPr>
              <w:spacing w:after="0"/>
              <w:rPr>
                <w:sz w:val="16"/>
                <w:szCs w:val="16"/>
                <w:color w:val="auto"/>
              </w:rPr>
            </w:pPr>
          </w:p>
        </w:tc>
      </w:tr>
      <w:tr>
        <w:trPr>
          <w:trHeight w:val="185"/>
        </w:trPr>
        <w:tc>
          <w:tcPr>
            <w:tcW w:w="1140" w:type="dxa"/>
            <w:vAlign w:val="bottom"/>
          </w:tcPr>
          <w:p>
            <w:pPr>
              <w:spacing w:after="0"/>
              <w:rPr>
                <w:sz w:val="16"/>
                <w:szCs w:val="16"/>
                <w:color w:val="auto"/>
              </w:rPr>
            </w:pPr>
          </w:p>
        </w:tc>
        <w:tc>
          <w:tcPr>
            <w:tcW w:w="1680" w:type="dxa"/>
            <w:vAlign w:val="bottom"/>
            <w:shd w:val="clear" w:color="auto" w:fill="BFBFBF"/>
          </w:tcPr>
          <w:p>
            <w:pPr>
              <w:spacing w:after="0"/>
              <w:rPr>
                <w:sz w:val="16"/>
                <w:szCs w:val="16"/>
                <w:color w:val="auto"/>
              </w:rPr>
            </w:pPr>
          </w:p>
        </w:tc>
        <w:tc>
          <w:tcPr>
            <w:tcW w:w="2180" w:type="dxa"/>
            <w:vAlign w:val="bottom"/>
            <w:shd w:val="clear" w:color="auto" w:fill="BFBFBF"/>
          </w:tcPr>
          <w:p>
            <w:pPr>
              <w:spacing w:after="0"/>
              <w:rPr>
                <w:sz w:val="16"/>
                <w:szCs w:val="16"/>
                <w:color w:val="auto"/>
              </w:rPr>
            </w:pPr>
          </w:p>
        </w:tc>
        <w:tc>
          <w:tcPr>
            <w:tcW w:w="1420" w:type="dxa"/>
            <w:vAlign w:val="bottom"/>
            <w:shd w:val="clear" w:color="auto" w:fill="BFBFBF"/>
          </w:tcPr>
          <w:p>
            <w:pPr>
              <w:spacing w:after="0"/>
              <w:rPr>
                <w:sz w:val="16"/>
                <w:szCs w:val="16"/>
                <w:color w:val="auto"/>
              </w:rPr>
            </w:pPr>
          </w:p>
        </w:tc>
        <w:tc>
          <w:tcPr>
            <w:tcW w:w="3860" w:type="dxa"/>
            <w:vAlign w:val="bottom"/>
            <w:gridSpan w:val="2"/>
            <w:shd w:val="clear" w:color="auto" w:fill="BFBFBF"/>
          </w:tcPr>
          <w:p>
            <w:pPr>
              <w:ind w:left="220"/>
              <w:spacing w:after="0"/>
              <w:rPr>
                <w:sz w:val="20"/>
                <w:szCs w:val="20"/>
                <w:color w:val="auto"/>
              </w:rPr>
            </w:pPr>
            <w:r>
              <w:rPr>
                <w:rFonts w:ascii="Arial" w:cs="Arial" w:eastAsia="Arial" w:hAnsi="Arial"/>
                <w:sz w:val="16"/>
                <w:szCs w:val="16"/>
                <w:color w:val="auto"/>
              </w:rPr>
              <w:t>impact of capital markets and merger and</w:t>
            </w:r>
          </w:p>
        </w:tc>
        <w:tc>
          <w:tcPr>
            <w:tcW w:w="1140" w:type="dxa"/>
            <w:vAlign w:val="bottom"/>
          </w:tcPr>
          <w:p>
            <w:pPr>
              <w:spacing w:after="0"/>
              <w:rPr>
                <w:sz w:val="16"/>
                <w:szCs w:val="16"/>
                <w:color w:val="auto"/>
              </w:rPr>
            </w:pPr>
          </w:p>
        </w:tc>
      </w:tr>
      <w:tr>
        <w:trPr>
          <w:trHeight w:val="182"/>
        </w:trPr>
        <w:tc>
          <w:tcPr>
            <w:tcW w:w="1140" w:type="dxa"/>
            <w:vAlign w:val="bottom"/>
          </w:tcPr>
          <w:p>
            <w:pPr>
              <w:spacing w:after="0"/>
              <w:rPr>
                <w:sz w:val="15"/>
                <w:szCs w:val="15"/>
                <w:color w:val="auto"/>
              </w:rPr>
            </w:pPr>
          </w:p>
        </w:tc>
        <w:tc>
          <w:tcPr>
            <w:tcW w:w="1680" w:type="dxa"/>
            <w:vAlign w:val="bottom"/>
            <w:shd w:val="clear" w:color="auto" w:fill="BFBFBF"/>
          </w:tcPr>
          <w:p>
            <w:pPr>
              <w:spacing w:after="0"/>
              <w:rPr>
                <w:sz w:val="15"/>
                <w:szCs w:val="15"/>
                <w:color w:val="auto"/>
              </w:rPr>
            </w:pPr>
          </w:p>
        </w:tc>
        <w:tc>
          <w:tcPr>
            <w:tcW w:w="2180" w:type="dxa"/>
            <w:vAlign w:val="bottom"/>
            <w:shd w:val="clear" w:color="auto" w:fill="BFBFBF"/>
          </w:tcPr>
          <w:p>
            <w:pPr>
              <w:spacing w:after="0"/>
              <w:rPr>
                <w:sz w:val="15"/>
                <w:szCs w:val="15"/>
                <w:color w:val="auto"/>
              </w:rPr>
            </w:pPr>
          </w:p>
        </w:tc>
        <w:tc>
          <w:tcPr>
            <w:tcW w:w="1420" w:type="dxa"/>
            <w:vAlign w:val="bottom"/>
            <w:shd w:val="clear" w:color="auto" w:fill="BFBFBF"/>
          </w:tcPr>
          <w:p>
            <w:pPr>
              <w:jc w:val="center"/>
              <w:spacing w:after="0" w:line="182" w:lineRule="exact"/>
              <w:rPr>
                <w:sz w:val="20"/>
                <w:szCs w:val="20"/>
                <w:color w:val="auto"/>
              </w:rPr>
            </w:pPr>
            <w:r>
              <w:rPr>
                <w:rFonts w:ascii="Arial" w:cs="Arial" w:eastAsia="Arial" w:hAnsi="Arial"/>
                <w:sz w:val="16"/>
                <w:szCs w:val="16"/>
                <w:color w:val="auto"/>
                <w:w w:val="99"/>
              </w:rPr>
              <w:t>25%</w:t>
            </w:r>
          </w:p>
        </w:tc>
        <w:tc>
          <w:tcPr>
            <w:tcW w:w="3860" w:type="dxa"/>
            <w:vAlign w:val="bottom"/>
            <w:gridSpan w:val="2"/>
            <w:shd w:val="clear" w:color="auto" w:fill="BFBFBF"/>
          </w:tcPr>
          <w:p>
            <w:pPr>
              <w:ind w:left="220"/>
              <w:spacing w:after="0" w:line="182" w:lineRule="exact"/>
              <w:rPr>
                <w:sz w:val="20"/>
                <w:szCs w:val="20"/>
                <w:color w:val="auto"/>
              </w:rPr>
            </w:pPr>
            <w:r>
              <w:rPr>
                <w:rFonts w:ascii="Arial" w:cs="Arial" w:eastAsia="Arial" w:hAnsi="Arial"/>
                <w:sz w:val="16"/>
                <w:szCs w:val="16"/>
                <w:color w:val="auto"/>
              </w:rPr>
              <w:t>acquisition transactions.</w:t>
            </w:r>
          </w:p>
        </w:tc>
        <w:tc>
          <w:tcPr>
            <w:tcW w:w="1140" w:type="dxa"/>
            <w:vAlign w:val="bottom"/>
          </w:tcPr>
          <w:p>
            <w:pPr>
              <w:spacing w:after="0"/>
              <w:rPr>
                <w:sz w:val="15"/>
                <w:szCs w:val="15"/>
                <w:color w:val="auto"/>
              </w:rPr>
            </w:pPr>
          </w:p>
        </w:tc>
      </w:tr>
      <w:tr>
        <w:trPr>
          <w:trHeight w:val="385"/>
        </w:trPr>
        <w:tc>
          <w:tcPr>
            <w:tcW w:w="1140" w:type="dxa"/>
            <w:vAlign w:val="bottom"/>
          </w:tcPr>
          <w:p>
            <w:pPr>
              <w:spacing w:after="0"/>
              <w:rPr>
                <w:sz w:val="24"/>
                <w:szCs w:val="24"/>
                <w:color w:val="auto"/>
              </w:rPr>
            </w:pPr>
          </w:p>
        </w:tc>
        <w:tc>
          <w:tcPr>
            <w:tcW w:w="1680" w:type="dxa"/>
            <w:vAlign w:val="bottom"/>
            <w:shd w:val="clear" w:color="auto" w:fill="BFBFBF"/>
          </w:tcPr>
          <w:p>
            <w:pPr>
              <w:spacing w:after="0"/>
              <w:rPr>
                <w:sz w:val="24"/>
                <w:szCs w:val="24"/>
                <w:color w:val="auto"/>
              </w:rPr>
            </w:pPr>
          </w:p>
        </w:tc>
        <w:tc>
          <w:tcPr>
            <w:tcW w:w="2180" w:type="dxa"/>
            <w:vAlign w:val="bottom"/>
            <w:shd w:val="clear" w:color="auto" w:fill="BFBFBF"/>
          </w:tcPr>
          <w:p>
            <w:pPr>
              <w:spacing w:after="0"/>
              <w:rPr>
                <w:sz w:val="24"/>
                <w:szCs w:val="24"/>
                <w:color w:val="auto"/>
              </w:rPr>
            </w:pPr>
          </w:p>
        </w:tc>
        <w:tc>
          <w:tcPr>
            <w:tcW w:w="1420" w:type="dxa"/>
            <w:vAlign w:val="bottom"/>
            <w:shd w:val="clear" w:color="auto" w:fill="BFBFBF"/>
          </w:tcPr>
          <w:p>
            <w:pPr>
              <w:spacing w:after="0"/>
              <w:rPr>
                <w:sz w:val="24"/>
                <w:szCs w:val="24"/>
                <w:color w:val="auto"/>
              </w:rPr>
            </w:pPr>
          </w:p>
        </w:tc>
        <w:tc>
          <w:tcPr>
            <w:tcW w:w="3860" w:type="dxa"/>
            <w:vAlign w:val="bottom"/>
            <w:gridSpan w:val="2"/>
            <w:shd w:val="clear" w:color="auto" w:fill="BFBFBF"/>
          </w:tcPr>
          <w:p>
            <w:pPr>
              <w:ind w:left="220"/>
              <w:spacing w:after="0"/>
              <w:rPr>
                <w:sz w:val="20"/>
                <w:szCs w:val="20"/>
                <w:color w:val="auto"/>
              </w:rPr>
            </w:pPr>
            <w:r>
              <w:rPr>
                <w:rFonts w:ascii="Arial" w:cs="Arial" w:eastAsia="Arial" w:hAnsi="Arial"/>
                <w:sz w:val="16"/>
                <w:szCs w:val="16"/>
                <w:color w:val="auto"/>
              </w:rPr>
              <w:t>A reconciliation of Consolidated Normalized AFFO</w:t>
            </w:r>
          </w:p>
        </w:tc>
        <w:tc>
          <w:tcPr>
            <w:tcW w:w="1140" w:type="dxa"/>
            <w:vAlign w:val="bottom"/>
          </w:tcPr>
          <w:p>
            <w:pPr>
              <w:spacing w:after="0"/>
              <w:rPr>
                <w:sz w:val="24"/>
                <w:szCs w:val="24"/>
                <w:color w:val="auto"/>
              </w:rPr>
            </w:pPr>
          </w:p>
        </w:tc>
      </w:tr>
      <w:tr>
        <w:trPr>
          <w:trHeight w:val="185"/>
        </w:trPr>
        <w:tc>
          <w:tcPr>
            <w:tcW w:w="1140" w:type="dxa"/>
            <w:vAlign w:val="bottom"/>
          </w:tcPr>
          <w:p>
            <w:pPr>
              <w:spacing w:after="0"/>
              <w:rPr>
                <w:sz w:val="16"/>
                <w:szCs w:val="16"/>
                <w:color w:val="auto"/>
              </w:rPr>
            </w:pPr>
          </w:p>
        </w:tc>
        <w:tc>
          <w:tcPr>
            <w:tcW w:w="1680" w:type="dxa"/>
            <w:vAlign w:val="bottom"/>
            <w:shd w:val="clear" w:color="auto" w:fill="BFBFBF"/>
          </w:tcPr>
          <w:p>
            <w:pPr>
              <w:spacing w:after="0"/>
              <w:rPr>
                <w:sz w:val="16"/>
                <w:szCs w:val="16"/>
                <w:color w:val="auto"/>
              </w:rPr>
            </w:pPr>
          </w:p>
        </w:tc>
        <w:tc>
          <w:tcPr>
            <w:tcW w:w="2180" w:type="dxa"/>
            <w:vAlign w:val="bottom"/>
            <w:shd w:val="clear" w:color="auto" w:fill="BFBFBF"/>
          </w:tcPr>
          <w:p>
            <w:pPr>
              <w:spacing w:after="0"/>
              <w:rPr>
                <w:sz w:val="16"/>
                <w:szCs w:val="16"/>
                <w:color w:val="auto"/>
              </w:rPr>
            </w:pPr>
          </w:p>
        </w:tc>
        <w:tc>
          <w:tcPr>
            <w:tcW w:w="1420" w:type="dxa"/>
            <w:vAlign w:val="bottom"/>
            <w:shd w:val="clear" w:color="auto" w:fill="BFBFBF"/>
          </w:tcPr>
          <w:p>
            <w:pPr>
              <w:spacing w:after="0"/>
              <w:rPr>
                <w:sz w:val="16"/>
                <w:szCs w:val="16"/>
                <w:color w:val="auto"/>
              </w:rPr>
            </w:pPr>
          </w:p>
        </w:tc>
        <w:tc>
          <w:tcPr>
            <w:tcW w:w="3860" w:type="dxa"/>
            <w:vAlign w:val="bottom"/>
            <w:gridSpan w:val="2"/>
            <w:shd w:val="clear" w:color="auto" w:fill="BFBFBF"/>
          </w:tcPr>
          <w:p>
            <w:pPr>
              <w:ind w:left="220"/>
              <w:spacing w:after="0"/>
              <w:rPr>
                <w:sz w:val="20"/>
                <w:szCs w:val="20"/>
                <w:color w:val="auto"/>
              </w:rPr>
            </w:pPr>
            <w:r>
              <w:rPr>
                <w:rFonts w:ascii="Arial" w:cs="Arial" w:eastAsia="Arial" w:hAnsi="Arial"/>
                <w:sz w:val="16"/>
                <w:szCs w:val="16"/>
                <w:color w:val="auto"/>
              </w:rPr>
              <w:t>to net loss for the year ended December 31, 2017</w:t>
            </w:r>
          </w:p>
        </w:tc>
        <w:tc>
          <w:tcPr>
            <w:tcW w:w="1140" w:type="dxa"/>
            <w:vAlign w:val="bottom"/>
          </w:tcPr>
          <w:p>
            <w:pPr>
              <w:spacing w:after="0"/>
              <w:rPr>
                <w:sz w:val="16"/>
                <w:szCs w:val="16"/>
                <w:color w:val="auto"/>
              </w:rPr>
            </w:pPr>
          </w:p>
        </w:tc>
      </w:tr>
      <w:tr>
        <w:trPr>
          <w:trHeight w:val="182"/>
        </w:trPr>
        <w:tc>
          <w:tcPr>
            <w:tcW w:w="1140" w:type="dxa"/>
            <w:vAlign w:val="bottom"/>
          </w:tcPr>
          <w:p>
            <w:pPr>
              <w:spacing w:after="0"/>
              <w:rPr>
                <w:sz w:val="15"/>
                <w:szCs w:val="15"/>
                <w:color w:val="auto"/>
              </w:rPr>
            </w:pPr>
          </w:p>
        </w:tc>
        <w:tc>
          <w:tcPr>
            <w:tcW w:w="1680" w:type="dxa"/>
            <w:vAlign w:val="bottom"/>
            <w:shd w:val="clear" w:color="auto" w:fill="BFBFBF"/>
          </w:tcPr>
          <w:p>
            <w:pPr>
              <w:spacing w:after="0"/>
              <w:rPr>
                <w:sz w:val="15"/>
                <w:szCs w:val="15"/>
                <w:color w:val="auto"/>
              </w:rPr>
            </w:pPr>
          </w:p>
        </w:tc>
        <w:tc>
          <w:tcPr>
            <w:tcW w:w="2180" w:type="dxa"/>
            <w:vAlign w:val="bottom"/>
            <w:shd w:val="clear" w:color="auto" w:fill="BFBFBF"/>
          </w:tcPr>
          <w:p>
            <w:pPr>
              <w:spacing w:after="0"/>
              <w:rPr>
                <w:sz w:val="15"/>
                <w:szCs w:val="15"/>
                <w:color w:val="auto"/>
              </w:rPr>
            </w:pPr>
          </w:p>
        </w:tc>
        <w:tc>
          <w:tcPr>
            <w:tcW w:w="1420" w:type="dxa"/>
            <w:vAlign w:val="bottom"/>
            <w:shd w:val="clear" w:color="auto" w:fill="BFBFBF"/>
          </w:tcPr>
          <w:p>
            <w:pPr>
              <w:spacing w:after="0"/>
              <w:rPr>
                <w:sz w:val="15"/>
                <w:szCs w:val="15"/>
                <w:color w:val="auto"/>
              </w:rPr>
            </w:pPr>
          </w:p>
        </w:tc>
        <w:tc>
          <w:tcPr>
            <w:tcW w:w="3860" w:type="dxa"/>
            <w:vAlign w:val="bottom"/>
            <w:gridSpan w:val="2"/>
            <w:shd w:val="clear" w:color="auto" w:fill="BFBFBF"/>
          </w:tcPr>
          <w:p>
            <w:pPr>
              <w:ind w:left="220"/>
              <w:spacing w:after="0" w:line="182" w:lineRule="exact"/>
              <w:rPr>
                <w:sz w:val="20"/>
                <w:szCs w:val="20"/>
                <w:color w:val="auto"/>
              </w:rPr>
            </w:pPr>
            <w:r>
              <w:rPr>
                <w:rFonts w:ascii="Arial" w:cs="Arial" w:eastAsia="Arial" w:hAnsi="Arial"/>
                <w:sz w:val="16"/>
                <w:szCs w:val="16"/>
                <w:color w:val="auto"/>
              </w:rPr>
              <w:t>is included in Appendix A to this Proxy Statement.</w:t>
            </w:r>
          </w:p>
        </w:tc>
        <w:tc>
          <w:tcPr>
            <w:tcW w:w="1140" w:type="dxa"/>
            <w:vAlign w:val="bottom"/>
          </w:tcPr>
          <w:p>
            <w:pPr>
              <w:spacing w:after="0"/>
              <w:rPr>
                <w:sz w:val="15"/>
                <w:szCs w:val="15"/>
                <w:color w:val="auto"/>
              </w:rPr>
            </w:pPr>
          </w:p>
        </w:tc>
      </w:tr>
      <w:tr>
        <w:trPr>
          <w:trHeight w:val="385"/>
        </w:trPr>
        <w:tc>
          <w:tcPr>
            <w:tcW w:w="5000" w:type="dxa"/>
            <w:vAlign w:val="bottom"/>
            <w:gridSpan w:val="3"/>
          </w:tcPr>
          <w:p>
            <w:pPr>
              <w:ind w:left="1140"/>
              <w:spacing w:after="0"/>
              <w:rPr>
                <w:sz w:val="20"/>
                <w:szCs w:val="20"/>
                <w:color w:val="auto"/>
              </w:rPr>
            </w:pPr>
            <w:r>
              <w:rPr>
                <w:rFonts w:ascii="Arial" w:cs="Arial" w:eastAsia="Arial" w:hAnsi="Arial"/>
                <w:sz w:val="16"/>
                <w:szCs w:val="16"/>
                <w:color w:val="auto"/>
              </w:rPr>
              <w:t>Consolidated 4Q17 Annualized Adjusted EBITDA</w:t>
            </w:r>
          </w:p>
        </w:tc>
        <w:tc>
          <w:tcPr>
            <w:tcW w:w="1420" w:type="dxa"/>
            <w:vAlign w:val="bottom"/>
          </w:tcPr>
          <w:p>
            <w:pPr>
              <w:spacing w:after="0"/>
              <w:rPr>
                <w:sz w:val="24"/>
                <w:szCs w:val="24"/>
                <w:color w:val="auto"/>
              </w:rPr>
            </w:pPr>
          </w:p>
        </w:tc>
        <w:tc>
          <w:tcPr>
            <w:tcW w:w="5000" w:type="dxa"/>
            <w:vAlign w:val="bottom"/>
            <w:gridSpan w:val="3"/>
          </w:tcPr>
          <w:p>
            <w:pPr>
              <w:ind w:left="220"/>
              <w:spacing w:after="0"/>
              <w:rPr>
                <w:sz w:val="20"/>
                <w:szCs w:val="20"/>
                <w:color w:val="auto"/>
              </w:rPr>
            </w:pPr>
            <w:r>
              <w:rPr>
                <w:rFonts w:ascii="Arial" w:cs="Arial" w:eastAsia="Arial" w:hAnsi="Arial"/>
                <w:sz w:val="16"/>
                <w:szCs w:val="16"/>
                <w:color w:val="auto"/>
              </w:rPr>
              <w:t>Represents consolidated Adjusted EBITDA for the</w:t>
            </w:r>
          </w:p>
        </w:tc>
      </w:tr>
      <w:tr>
        <w:trPr>
          <w:trHeight w:val="185"/>
        </w:trPr>
        <w:tc>
          <w:tcPr>
            <w:tcW w:w="1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0" w:type="dxa"/>
            <w:vAlign w:val="bottom"/>
            <w:gridSpan w:val="3"/>
          </w:tcPr>
          <w:p>
            <w:pPr>
              <w:ind w:left="220"/>
              <w:spacing w:after="0"/>
              <w:rPr>
                <w:sz w:val="20"/>
                <w:szCs w:val="20"/>
                <w:color w:val="auto"/>
              </w:rPr>
            </w:pPr>
            <w:r>
              <w:rPr>
                <w:rFonts w:ascii="Arial" w:cs="Arial" w:eastAsia="Arial" w:hAnsi="Arial"/>
                <w:sz w:val="16"/>
                <w:szCs w:val="16"/>
                <w:color w:val="auto"/>
              </w:rPr>
              <w:t>fourth quarter of 2017 as publicly reported,</w:t>
            </w:r>
          </w:p>
        </w:tc>
      </w:tr>
      <w:tr>
        <w:trPr>
          <w:trHeight w:val="193"/>
        </w:trPr>
        <w:tc>
          <w:tcPr>
            <w:tcW w:w="1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25%</w:t>
            </w:r>
          </w:p>
        </w:tc>
        <w:tc>
          <w:tcPr>
            <w:tcW w:w="5000" w:type="dxa"/>
            <w:vAlign w:val="bottom"/>
            <w:gridSpan w:val="3"/>
          </w:tcPr>
          <w:p>
            <w:pPr>
              <w:ind w:left="220"/>
              <w:spacing w:after="0"/>
              <w:rPr>
                <w:sz w:val="20"/>
                <w:szCs w:val="20"/>
                <w:color w:val="auto"/>
              </w:rPr>
            </w:pPr>
            <w:r>
              <w:rPr>
                <w:rFonts w:ascii="Arial" w:cs="Arial" w:eastAsia="Arial" w:hAnsi="Arial"/>
                <w:sz w:val="16"/>
                <w:szCs w:val="16"/>
                <w:color w:val="auto"/>
              </w:rPr>
              <w:t>multiplied by four.</w:t>
            </w:r>
          </w:p>
        </w:tc>
      </w:tr>
      <w:tr>
        <w:trPr>
          <w:trHeight w:val="374"/>
        </w:trPr>
        <w:tc>
          <w:tcPr>
            <w:tcW w:w="1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0" w:type="dxa"/>
            <w:vAlign w:val="bottom"/>
            <w:gridSpan w:val="3"/>
          </w:tcPr>
          <w:p>
            <w:pPr>
              <w:ind w:left="220"/>
              <w:spacing w:after="0"/>
              <w:rPr>
                <w:sz w:val="20"/>
                <w:szCs w:val="20"/>
                <w:color w:val="auto"/>
              </w:rPr>
            </w:pPr>
            <w:r>
              <w:rPr>
                <w:rFonts w:ascii="Arial" w:cs="Arial" w:eastAsia="Arial" w:hAnsi="Arial"/>
                <w:sz w:val="16"/>
                <w:szCs w:val="16"/>
                <w:color w:val="auto"/>
              </w:rPr>
              <w:t>A reconciliation of Consolidated Adjusted EBITDA</w:t>
            </w:r>
          </w:p>
        </w:tc>
      </w:tr>
      <w:tr>
        <w:trPr>
          <w:trHeight w:val="185"/>
        </w:trPr>
        <w:tc>
          <w:tcPr>
            <w:tcW w:w="1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0" w:type="dxa"/>
            <w:vAlign w:val="bottom"/>
            <w:gridSpan w:val="3"/>
          </w:tcPr>
          <w:p>
            <w:pPr>
              <w:ind w:left="220"/>
              <w:spacing w:after="0"/>
              <w:rPr>
                <w:sz w:val="20"/>
                <w:szCs w:val="20"/>
                <w:color w:val="auto"/>
              </w:rPr>
            </w:pPr>
            <w:r>
              <w:rPr>
                <w:rFonts w:ascii="Arial" w:cs="Arial" w:eastAsia="Arial" w:hAnsi="Arial"/>
                <w:sz w:val="16"/>
                <w:szCs w:val="16"/>
                <w:color w:val="auto"/>
              </w:rPr>
              <w:t>to net income for the fourth quarter of 2017 is</w:t>
            </w:r>
          </w:p>
        </w:tc>
      </w:tr>
      <w:tr>
        <w:trPr>
          <w:trHeight w:val="182"/>
        </w:trPr>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000" w:type="dxa"/>
            <w:vAlign w:val="bottom"/>
            <w:gridSpan w:val="3"/>
          </w:tcPr>
          <w:p>
            <w:pPr>
              <w:ind w:left="220"/>
              <w:spacing w:after="0" w:line="182" w:lineRule="exact"/>
              <w:rPr>
                <w:sz w:val="20"/>
                <w:szCs w:val="20"/>
                <w:color w:val="auto"/>
              </w:rPr>
            </w:pPr>
            <w:r>
              <w:rPr>
                <w:rFonts w:ascii="Arial" w:cs="Arial" w:eastAsia="Arial" w:hAnsi="Arial"/>
                <w:sz w:val="16"/>
                <w:szCs w:val="16"/>
                <w:color w:val="auto"/>
              </w:rPr>
              <w:t>included in Appendix A to this Proxy Statement.</w:t>
            </w:r>
          </w:p>
        </w:tc>
      </w:tr>
      <w:tr>
        <w:trPr>
          <w:trHeight w:val="385"/>
        </w:trPr>
        <w:tc>
          <w:tcPr>
            <w:tcW w:w="1140" w:type="dxa"/>
            <w:vAlign w:val="bottom"/>
          </w:tcPr>
          <w:p>
            <w:pPr>
              <w:spacing w:after="0"/>
              <w:rPr>
                <w:sz w:val="24"/>
                <w:szCs w:val="24"/>
                <w:color w:val="auto"/>
              </w:rPr>
            </w:pPr>
          </w:p>
        </w:tc>
        <w:tc>
          <w:tcPr>
            <w:tcW w:w="3860" w:type="dxa"/>
            <w:vAlign w:val="bottom"/>
            <w:gridSpan w:val="2"/>
            <w:shd w:val="clear" w:color="auto" w:fill="BFBFBF"/>
          </w:tcPr>
          <w:p>
            <w:pPr>
              <w:spacing w:after="0"/>
              <w:rPr>
                <w:sz w:val="20"/>
                <w:szCs w:val="20"/>
                <w:color w:val="auto"/>
              </w:rPr>
            </w:pPr>
            <w:r>
              <w:rPr>
                <w:rFonts w:ascii="Arial" w:cs="Arial" w:eastAsia="Arial" w:hAnsi="Arial"/>
                <w:sz w:val="16"/>
                <w:szCs w:val="16"/>
                <w:color w:val="auto"/>
              </w:rPr>
              <w:t>Capital markets transactions</w:t>
            </w:r>
          </w:p>
        </w:tc>
        <w:tc>
          <w:tcPr>
            <w:tcW w:w="1420" w:type="dxa"/>
            <w:vAlign w:val="bottom"/>
            <w:shd w:val="clear" w:color="auto" w:fill="BFBFBF"/>
          </w:tcPr>
          <w:p>
            <w:pPr>
              <w:spacing w:after="0"/>
              <w:rPr>
                <w:sz w:val="24"/>
                <w:szCs w:val="24"/>
                <w:color w:val="auto"/>
              </w:rPr>
            </w:pPr>
          </w:p>
        </w:tc>
        <w:tc>
          <w:tcPr>
            <w:tcW w:w="3860" w:type="dxa"/>
            <w:vAlign w:val="bottom"/>
            <w:gridSpan w:val="2"/>
            <w:shd w:val="clear" w:color="auto" w:fill="BFBFBF"/>
          </w:tcPr>
          <w:p>
            <w:pPr>
              <w:ind w:left="220"/>
              <w:spacing w:after="0"/>
              <w:rPr>
                <w:sz w:val="20"/>
                <w:szCs w:val="20"/>
                <w:color w:val="auto"/>
              </w:rPr>
            </w:pPr>
            <w:r>
              <w:rPr>
                <w:rFonts w:ascii="Arial" w:cs="Arial" w:eastAsia="Arial" w:hAnsi="Arial"/>
                <w:sz w:val="16"/>
                <w:szCs w:val="16"/>
                <w:color w:val="auto"/>
              </w:rPr>
              <w:t>Represents volume of capital markets transactions</w:t>
            </w:r>
          </w:p>
        </w:tc>
        <w:tc>
          <w:tcPr>
            <w:tcW w:w="1140" w:type="dxa"/>
            <w:vAlign w:val="bottom"/>
          </w:tcPr>
          <w:p>
            <w:pPr>
              <w:spacing w:after="0"/>
              <w:rPr>
                <w:sz w:val="24"/>
                <w:szCs w:val="24"/>
                <w:color w:val="auto"/>
              </w:rPr>
            </w:pPr>
          </w:p>
        </w:tc>
      </w:tr>
      <w:tr>
        <w:trPr>
          <w:trHeight w:val="185"/>
        </w:trPr>
        <w:tc>
          <w:tcPr>
            <w:tcW w:w="1140" w:type="dxa"/>
            <w:vAlign w:val="bottom"/>
          </w:tcPr>
          <w:p>
            <w:pPr>
              <w:spacing w:after="0"/>
              <w:rPr>
                <w:sz w:val="16"/>
                <w:szCs w:val="16"/>
                <w:color w:val="auto"/>
              </w:rPr>
            </w:pPr>
          </w:p>
        </w:tc>
        <w:tc>
          <w:tcPr>
            <w:tcW w:w="1680" w:type="dxa"/>
            <w:vAlign w:val="bottom"/>
            <w:shd w:val="clear" w:color="auto" w:fill="BFBFBF"/>
          </w:tcPr>
          <w:p>
            <w:pPr>
              <w:spacing w:after="0"/>
              <w:rPr>
                <w:sz w:val="16"/>
                <w:szCs w:val="16"/>
                <w:color w:val="auto"/>
              </w:rPr>
            </w:pPr>
          </w:p>
        </w:tc>
        <w:tc>
          <w:tcPr>
            <w:tcW w:w="2180" w:type="dxa"/>
            <w:vAlign w:val="bottom"/>
            <w:shd w:val="clear" w:color="auto" w:fill="BFBFBF"/>
          </w:tcPr>
          <w:p>
            <w:pPr>
              <w:spacing w:after="0"/>
              <w:rPr>
                <w:sz w:val="16"/>
                <w:szCs w:val="16"/>
                <w:color w:val="auto"/>
              </w:rPr>
            </w:pPr>
          </w:p>
        </w:tc>
        <w:tc>
          <w:tcPr>
            <w:tcW w:w="1420" w:type="dxa"/>
            <w:vAlign w:val="bottom"/>
            <w:shd w:val="clear" w:color="auto" w:fill="BFBFBF"/>
          </w:tcPr>
          <w:p>
            <w:pPr>
              <w:spacing w:after="0"/>
              <w:rPr>
                <w:sz w:val="16"/>
                <w:szCs w:val="16"/>
                <w:color w:val="auto"/>
              </w:rPr>
            </w:pPr>
          </w:p>
        </w:tc>
        <w:tc>
          <w:tcPr>
            <w:tcW w:w="3860" w:type="dxa"/>
            <w:vAlign w:val="bottom"/>
            <w:gridSpan w:val="2"/>
            <w:shd w:val="clear" w:color="auto" w:fill="BFBFBF"/>
          </w:tcPr>
          <w:p>
            <w:pPr>
              <w:ind w:left="220"/>
              <w:spacing w:after="0"/>
              <w:rPr>
                <w:sz w:val="20"/>
                <w:szCs w:val="20"/>
                <w:color w:val="auto"/>
              </w:rPr>
            </w:pPr>
            <w:r>
              <w:rPr>
                <w:rFonts w:ascii="Arial" w:cs="Arial" w:eastAsia="Arial" w:hAnsi="Arial"/>
                <w:sz w:val="16"/>
                <w:szCs w:val="16"/>
                <w:color w:val="auto"/>
              </w:rPr>
              <w:t>closed during 2017, including expansion of</w:t>
            </w:r>
          </w:p>
        </w:tc>
        <w:tc>
          <w:tcPr>
            <w:tcW w:w="1140" w:type="dxa"/>
            <w:vAlign w:val="bottom"/>
          </w:tcPr>
          <w:p>
            <w:pPr>
              <w:spacing w:after="0"/>
              <w:rPr>
                <w:sz w:val="16"/>
                <w:szCs w:val="16"/>
                <w:color w:val="auto"/>
              </w:rPr>
            </w:pPr>
          </w:p>
        </w:tc>
      </w:tr>
      <w:tr>
        <w:trPr>
          <w:trHeight w:val="185"/>
        </w:trPr>
        <w:tc>
          <w:tcPr>
            <w:tcW w:w="1140" w:type="dxa"/>
            <w:vAlign w:val="bottom"/>
          </w:tcPr>
          <w:p>
            <w:pPr>
              <w:spacing w:after="0"/>
              <w:rPr>
                <w:sz w:val="16"/>
                <w:szCs w:val="16"/>
                <w:color w:val="auto"/>
              </w:rPr>
            </w:pPr>
          </w:p>
        </w:tc>
        <w:tc>
          <w:tcPr>
            <w:tcW w:w="1680" w:type="dxa"/>
            <w:vAlign w:val="bottom"/>
            <w:shd w:val="clear" w:color="auto" w:fill="BFBFBF"/>
          </w:tcPr>
          <w:p>
            <w:pPr>
              <w:spacing w:after="0"/>
              <w:rPr>
                <w:sz w:val="16"/>
                <w:szCs w:val="16"/>
                <w:color w:val="auto"/>
              </w:rPr>
            </w:pPr>
          </w:p>
        </w:tc>
        <w:tc>
          <w:tcPr>
            <w:tcW w:w="2180" w:type="dxa"/>
            <w:vAlign w:val="bottom"/>
            <w:shd w:val="clear" w:color="auto" w:fill="BFBFBF"/>
          </w:tcPr>
          <w:p>
            <w:pPr>
              <w:spacing w:after="0"/>
              <w:rPr>
                <w:sz w:val="16"/>
                <w:szCs w:val="16"/>
                <w:color w:val="auto"/>
              </w:rPr>
            </w:pPr>
          </w:p>
        </w:tc>
        <w:tc>
          <w:tcPr>
            <w:tcW w:w="1420" w:type="dxa"/>
            <w:vAlign w:val="bottom"/>
            <w:shd w:val="clear" w:color="auto" w:fill="BFBFBF"/>
          </w:tcPr>
          <w:p>
            <w:pPr>
              <w:spacing w:after="0"/>
              <w:rPr>
                <w:sz w:val="16"/>
                <w:szCs w:val="16"/>
                <w:color w:val="auto"/>
              </w:rPr>
            </w:pPr>
          </w:p>
        </w:tc>
        <w:tc>
          <w:tcPr>
            <w:tcW w:w="3860" w:type="dxa"/>
            <w:vAlign w:val="bottom"/>
            <w:gridSpan w:val="2"/>
            <w:shd w:val="clear" w:color="auto" w:fill="BFBFBF"/>
          </w:tcPr>
          <w:p>
            <w:pPr>
              <w:ind w:left="220"/>
              <w:spacing w:after="0"/>
              <w:rPr>
                <w:sz w:val="20"/>
                <w:szCs w:val="20"/>
                <w:color w:val="auto"/>
              </w:rPr>
            </w:pPr>
            <w:r>
              <w:rPr>
                <w:rFonts w:ascii="Arial" w:cs="Arial" w:eastAsia="Arial" w:hAnsi="Arial"/>
                <w:sz w:val="16"/>
                <w:szCs w:val="16"/>
                <w:color w:val="auto"/>
              </w:rPr>
              <w:t>revolving credit facilities, equity and debt</w:t>
            </w:r>
          </w:p>
        </w:tc>
        <w:tc>
          <w:tcPr>
            <w:tcW w:w="1140" w:type="dxa"/>
            <w:vAlign w:val="bottom"/>
          </w:tcPr>
          <w:p>
            <w:pPr>
              <w:spacing w:after="0"/>
              <w:rPr>
                <w:sz w:val="16"/>
                <w:szCs w:val="16"/>
                <w:color w:val="auto"/>
              </w:rPr>
            </w:pPr>
          </w:p>
        </w:tc>
      </w:tr>
      <w:tr>
        <w:trPr>
          <w:trHeight w:val="185"/>
        </w:trPr>
        <w:tc>
          <w:tcPr>
            <w:tcW w:w="1140" w:type="dxa"/>
            <w:vAlign w:val="bottom"/>
          </w:tcPr>
          <w:p>
            <w:pPr>
              <w:spacing w:after="0"/>
              <w:rPr>
                <w:sz w:val="16"/>
                <w:szCs w:val="16"/>
                <w:color w:val="auto"/>
              </w:rPr>
            </w:pPr>
          </w:p>
        </w:tc>
        <w:tc>
          <w:tcPr>
            <w:tcW w:w="1680" w:type="dxa"/>
            <w:vAlign w:val="bottom"/>
            <w:shd w:val="clear" w:color="auto" w:fill="BFBFBF"/>
          </w:tcPr>
          <w:p>
            <w:pPr>
              <w:spacing w:after="0"/>
              <w:rPr>
                <w:sz w:val="16"/>
                <w:szCs w:val="16"/>
                <w:color w:val="auto"/>
              </w:rPr>
            </w:pPr>
          </w:p>
        </w:tc>
        <w:tc>
          <w:tcPr>
            <w:tcW w:w="2180" w:type="dxa"/>
            <w:vAlign w:val="bottom"/>
            <w:shd w:val="clear" w:color="auto" w:fill="BFBFBF"/>
          </w:tcPr>
          <w:p>
            <w:pPr>
              <w:spacing w:after="0"/>
              <w:rPr>
                <w:sz w:val="16"/>
                <w:szCs w:val="16"/>
                <w:color w:val="auto"/>
              </w:rPr>
            </w:pPr>
          </w:p>
        </w:tc>
        <w:tc>
          <w:tcPr>
            <w:tcW w:w="1420" w:type="dxa"/>
            <w:vAlign w:val="bottom"/>
            <w:shd w:val="clear" w:color="auto" w:fill="BFBFBF"/>
          </w:tcPr>
          <w:p>
            <w:pPr>
              <w:spacing w:after="0"/>
              <w:rPr>
                <w:sz w:val="16"/>
                <w:szCs w:val="16"/>
                <w:color w:val="auto"/>
              </w:rPr>
            </w:pPr>
          </w:p>
        </w:tc>
        <w:tc>
          <w:tcPr>
            <w:tcW w:w="3860" w:type="dxa"/>
            <w:vAlign w:val="bottom"/>
            <w:gridSpan w:val="2"/>
            <w:shd w:val="clear" w:color="auto" w:fill="BFBFBF"/>
          </w:tcPr>
          <w:p>
            <w:pPr>
              <w:ind w:left="220"/>
              <w:spacing w:after="0"/>
              <w:rPr>
                <w:sz w:val="20"/>
                <w:szCs w:val="20"/>
                <w:color w:val="auto"/>
              </w:rPr>
            </w:pPr>
            <w:r>
              <w:rPr>
                <w:rFonts w:ascii="Arial" w:cs="Arial" w:eastAsia="Arial" w:hAnsi="Arial"/>
                <w:sz w:val="16"/>
                <w:szCs w:val="16"/>
                <w:color w:val="auto"/>
              </w:rPr>
              <w:t>financings, structured financings and 33% of the</w:t>
            </w:r>
          </w:p>
        </w:tc>
        <w:tc>
          <w:tcPr>
            <w:tcW w:w="1140" w:type="dxa"/>
            <w:vAlign w:val="bottom"/>
          </w:tcPr>
          <w:p>
            <w:pPr>
              <w:spacing w:after="0"/>
              <w:rPr>
                <w:sz w:val="16"/>
                <w:szCs w:val="16"/>
                <w:color w:val="auto"/>
              </w:rPr>
            </w:pPr>
          </w:p>
        </w:tc>
      </w:tr>
      <w:tr>
        <w:trPr>
          <w:trHeight w:val="182"/>
        </w:trPr>
        <w:tc>
          <w:tcPr>
            <w:tcW w:w="1140" w:type="dxa"/>
            <w:vAlign w:val="bottom"/>
          </w:tcPr>
          <w:p>
            <w:pPr>
              <w:spacing w:after="0"/>
              <w:rPr>
                <w:sz w:val="15"/>
                <w:szCs w:val="15"/>
                <w:color w:val="auto"/>
              </w:rPr>
            </w:pPr>
          </w:p>
        </w:tc>
        <w:tc>
          <w:tcPr>
            <w:tcW w:w="1680" w:type="dxa"/>
            <w:vAlign w:val="bottom"/>
            <w:shd w:val="clear" w:color="auto" w:fill="BFBFBF"/>
          </w:tcPr>
          <w:p>
            <w:pPr>
              <w:spacing w:after="0"/>
              <w:rPr>
                <w:sz w:val="15"/>
                <w:szCs w:val="15"/>
                <w:color w:val="auto"/>
              </w:rPr>
            </w:pPr>
          </w:p>
        </w:tc>
        <w:tc>
          <w:tcPr>
            <w:tcW w:w="2180" w:type="dxa"/>
            <w:vAlign w:val="bottom"/>
            <w:shd w:val="clear" w:color="auto" w:fill="BFBFBF"/>
          </w:tcPr>
          <w:p>
            <w:pPr>
              <w:spacing w:after="0"/>
              <w:rPr>
                <w:sz w:val="15"/>
                <w:szCs w:val="15"/>
                <w:color w:val="auto"/>
              </w:rPr>
            </w:pPr>
          </w:p>
        </w:tc>
        <w:tc>
          <w:tcPr>
            <w:tcW w:w="1420" w:type="dxa"/>
            <w:vAlign w:val="bottom"/>
            <w:shd w:val="clear" w:color="auto" w:fill="BFBFBF"/>
          </w:tcPr>
          <w:p>
            <w:pPr>
              <w:jc w:val="center"/>
              <w:spacing w:after="0" w:line="182" w:lineRule="exact"/>
              <w:rPr>
                <w:sz w:val="20"/>
                <w:szCs w:val="20"/>
                <w:color w:val="auto"/>
              </w:rPr>
            </w:pPr>
            <w:r>
              <w:rPr>
                <w:rFonts w:ascii="Arial" w:cs="Arial" w:eastAsia="Arial" w:hAnsi="Arial"/>
                <w:sz w:val="16"/>
                <w:szCs w:val="16"/>
                <w:color w:val="auto"/>
                <w:w w:val="99"/>
              </w:rPr>
              <w:t>20%</w:t>
            </w:r>
          </w:p>
        </w:tc>
        <w:tc>
          <w:tcPr>
            <w:tcW w:w="3860" w:type="dxa"/>
            <w:vAlign w:val="bottom"/>
            <w:gridSpan w:val="2"/>
            <w:shd w:val="clear" w:color="auto" w:fill="BFBFBF"/>
          </w:tcPr>
          <w:p>
            <w:pPr>
              <w:ind w:left="220"/>
              <w:spacing w:after="0" w:line="182" w:lineRule="exact"/>
              <w:rPr>
                <w:sz w:val="20"/>
                <w:szCs w:val="20"/>
                <w:color w:val="auto"/>
              </w:rPr>
            </w:pPr>
            <w:r>
              <w:rPr>
                <w:rFonts w:ascii="Arial" w:cs="Arial" w:eastAsia="Arial" w:hAnsi="Arial"/>
                <w:sz w:val="16"/>
                <w:szCs w:val="16"/>
                <w:color w:val="auto"/>
              </w:rPr>
              <w:t>transaction value of any loan repricings.</w:t>
            </w:r>
          </w:p>
        </w:tc>
        <w:tc>
          <w:tcPr>
            <w:tcW w:w="1140" w:type="dxa"/>
            <w:vAlign w:val="bottom"/>
          </w:tcPr>
          <w:p>
            <w:pPr>
              <w:spacing w:after="0"/>
              <w:rPr>
                <w:sz w:val="15"/>
                <w:szCs w:val="15"/>
                <w:color w:val="auto"/>
              </w:rPr>
            </w:pPr>
          </w:p>
        </w:tc>
      </w:tr>
      <w:tr>
        <w:trPr>
          <w:trHeight w:val="385"/>
        </w:trPr>
        <w:tc>
          <w:tcPr>
            <w:tcW w:w="5000" w:type="dxa"/>
            <w:vAlign w:val="bottom"/>
            <w:gridSpan w:val="3"/>
          </w:tcPr>
          <w:p>
            <w:pPr>
              <w:ind w:left="1140"/>
              <w:spacing w:after="0"/>
              <w:rPr>
                <w:sz w:val="20"/>
                <w:szCs w:val="20"/>
                <w:color w:val="auto"/>
              </w:rPr>
            </w:pPr>
            <w:r>
              <w:rPr>
                <w:rFonts w:ascii="Arial" w:cs="Arial" w:eastAsia="Arial" w:hAnsi="Arial"/>
                <w:sz w:val="16"/>
                <w:szCs w:val="16"/>
                <w:color w:val="auto"/>
              </w:rPr>
              <w:t>Cumulative 4Q17 Annualized Revenue</w:t>
            </w:r>
          </w:p>
        </w:tc>
        <w:tc>
          <w:tcPr>
            <w:tcW w:w="1420" w:type="dxa"/>
            <w:vAlign w:val="bottom"/>
          </w:tcPr>
          <w:p>
            <w:pPr>
              <w:spacing w:after="0"/>
              <w:rPr>
                <w:sz w:val="24"/>
                <w:szCs w:val="24"/>
                <w:color w:val="auto"/>
              </w:rPr>
            </w:pPr>
          </w:p>
        </w:tc>
        <w:tc>
          <w:tcPr>
            <w:tcW w:w="5000" w:type="dxa"/>
            <w:vAlign w:val="bottom"/>
            <w:gridSpan w:val="3"/>
          </w:tcPr>
          <w:p>
            <w:pPr>
              <w:ind w:left="220"/>
              <w:spacing w:after="0"/>
              <w:rPr>
                <w:sz w:val="20"/>
                <w:szCs w:val="20"/>
                <w:color w:val="auto"/>
              </w:rPr>
            </w:pPr>
            <w:r>
              <w:rPr>
                <w:rFonts w:ascii="Arial" w:cs="Arial" w:eastAsia="Arial" w:hAnsi="Arial"/>
                <w:sz w:val="16"/>
                <w:szCs w:val="16"/>
                <w:color w:val="auto"/>
              </w:rPr>
              <w:t>Annualized Revenue Diversification (expressed as</w:t>
            </w:r>
          </w:p>
        </w:tc>
      </w:tr>
      <w:tr>
        <w:trPr>
          <w:trHeight w:val="185"/>
        </w:trPr>
        <w:tc>
          <w:tcPr>
            <w:tcW w:w="1140" w:type="dxa"/>
            <w:vAlign w:val="bottom"/>
          </w:tcPr>
          <w:p>
            <w:pPr>
              <w:spacing w:after="0"/>
              <w:rPr>
                <w:sz w:val="16"/>
                <w:szCs w:val="16"/>
                <w:color w:val="auto"/>
              </w:rPr>
            </w:pPr>
          </w:p>
        </w:tc>
        <w:tc>
          <w:tcPr>
            <w:tcW w:w="3860" w:type="dxa"/>
            <w:vAlign w:val="bottom"/>
            <w:gridSpan w:val="2"/>
          </w:tcPr>
          <w:p>
            <w:pPr>
              <w:ind w:left="160"/>
              <w:spacing w:after="0"/>
              <w:rPr>
                <w:sz w:val="20"/>
                <w:szCs w:val="20"/>
                <w:color w:val="auto"/>
              </w:rPr>
            </w:pPr>
            <w:r>
              <w:rPr>
                <w:rFonts w:ascii="Arial" w:cs="Arial" w:eastAsia="Arial" w:hAnsi="Arial"/>
                <w:sz w:val="16"/>
                <w:szCs w:val="16"/>
                <w:color w:val="auto"/>
              </w:rPr>
              <w:t>Diversification</w:t>
            </w:r>
          </w:p>
        </w:tc>
        <w:tc>
          <w:tcPr>
            <w:tcW w:w="1420" w:type="dxa"/>
            <w:vAlign w:val="bottom"/>
          </w:tcPr>
          <w:p>
            <w:pPr>
              <w:spacing w:after="0"/>
              <w:rPr>
                <w:sz w:val="16"/>
                <w:szCs w:val="16"/>
                <w:color w:val="auto"/>
              </w:rPr>
            </w:pPr>
          </w:p>
        </w:tc>
        <w:tc>
          <w:tcPr>
            <w:tcW w:w="5000" w:type="dxa"/>
            <w:vAlign w:val="bottom"/>
            <w:gridSpan w:val="3"/>
          </w:tcPr>
          <w:p>
            <w:pPr>
              <w:ind w:left="220"/>
              <w:spacing w:after="0"/>
              <w:rPr>
                <w:sz w:val="20"/>
                <w:szCs w:val="20"/>
                <w:color w:val="auto"/>
              </w:rPr>
            </w:pPr>
            <w:r>
              <w:rPr>
                <w:rFonts w:ascii="Arial" w:cs="Arial" w:eastAsia="Arial" w:hAnsi="Arial"/>
                <w:sz w:val="16"/>
                <w:szCs w:val="16"/>
                <w:color w:val="auto"/>
              </w:rPr>
              <w:t>a percentage) is a comparison of revenue from</w:t>
            </w:r>
          </w:p>
        </w:tc>
      </w:tr>
      <w:tr>
        <w:trPr>
          <w:trHeight w:val="185"/>
        </w:trPr>
        <w:tc>
          <w:tcPr>
            <w:tcW w:w="1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0" w:type="dxa"/>
            <w:vAlign w:val="bottom"/>
            <w:gridSpan w:val="3"/>
          </w:tcPr>
          <w:p>
            <w:pPr>
              <w:ind w:left="220"/>
              <w:spacing w:after="0"/>
              <w:rPr>
                <w:sz w:val="20"/>
                <w:szCs w:val="20"/>
                <w:color w:val="auto"/>
              </w:rPr>
            </w:pPr>
            <w:r>
              <w:rPr>
                <w:rFonts w:ascii="Arial" w:cs="Arial" w:eastAsia="Arial" w:hAnsi="Arial"/>
                <w:sz w:val="16"/>
                <w:szCs w:val="16"/>
                <w:color w:val="auto"/>
              </w:rPr>
              <w:t>sources other than the Master Lease with</w:t>
            </w:r>
          </w:p>
        </w:tc>
      </w:tr>
      <w:tr>
        <w:trPr>
          <w:trHeight w:val="185"/>
        </w:trPr>
        <w:tc>
          <w:tcPr>
            <w:tcW w:w="1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0" w:type="dxa"/>
            <w:vAlign w:val="bottom"/>
            <w:gridSpan w:val="3"/>
          </w:tcPr>
          <w:p>
            <w:pPr>
              <w:ind w:left="220"/>
              <w:spacing w:after="0"/>
              <w:rPr>
                <w:sz w:val="20"/>
                <w:szCs w:val="20"/>
                <w:color w:val="auto"/>
              </w:rPr>
            </w:pPr>
            <w:r>
              <w:rPr>
                <w:rFonts w:ascii="Arial" w:cs="Arial" w:eastAsia="Arial" w:hAnsi="Arial"/>
                <w:sz w:val="16"/>
                <w:szCs w:val="16"/>
                <w:color w:val="auto"/>
              </w:rPr>
              <w:t>Windstream for the fourth quarter of 2016 and the</w:t>
            </w:r>
          </w:p>
        </w:tc>
      </w:tr>
      <w:tr>
        <w:trPr>
          <w:trHeight w:val="193"/>
        </w:trPr>
        <w:tc>
          <w:tcPr>
            <w:tcW w:w="1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30%</w:t>
            </w:r>
          </w:p>
        </w:tc>
        <w:tc>
          <w:tcPr>
            <w:tcW w:w="5000" w:type="dxa"/>
            <w:vAlign w:val="bottom"/>
            <w:gridSpan w:val="3"/>
          </w:tcPr>
          <w:p>
            <w:pPr>
              <w:ind w:left="220"/>
              <w:spacing w:after="0"/>
              <w:rPr>
                <w:sz w:val="20"/>
                <w:szCs w:val="20"/>
                <w:color w:val="auto"/>
              </w:rPr>
            </w:pPr>
            <w:r>
              <w:rPr>
                <w:rFonts w:ascii="Arial" w:cs="Arial" w:eastAsia="Arial" w:hAnsi="Arial"/>
                <w:sz w:val="16"/>
                <w:szCs w:val="16"/>
                <w:color w:val="auto"/>
              </w:rPr>
              <w:t>fourth quarter of 2017.</w:t>
            </w:r>
          </w:p>
        </w:tc>
      </w:tr>
      <w:tr>
        <w:trPr>
          <w:trHeight w:val="382"/>
        </w:trPr>
        <w:tc>
          <w:tcPr>
            <w:tcW w:w="1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5"/>
        </w:trPr>
        <w:tc>
          <w:tcPr>
            <w:tcW w:w="1140" w:type="dxa"/>
            <w:vAlign w:val="bottom"/>
            <w:tcBorders>
              <w:bottom w:val="single" w:sz="8" w:color="808080"/>
            </w:tcBorders>
          </w:tcPr>
          <w:p>
            <w:pPr>
              <w:spacing w:after="0"/>
              <w:rPr>
                <w:sz w:val="16"/>
                <w:szCs w:val="16"/>
                <w:color w:val="auto"/>
              </w:rPr>
            </w:pPr>
          </w:p>
        </w:tc>
        <w:tc>
          <w:tcPr>
            <w:tcW w:w="1680" w:type="dxa"/>
            <w:vAlign w:val="bottom"/>
            <w:tcBorders>
              <w:bottom w:val="single" w:sz="8" w:color="808080"/>
            </w:tcBorders>
          </w:tcPr>
          <w:p>
            <w:pPr>
              <w:spacing w:after="0"/>
              <w:rPr>
                <w:sz w:val="16"/>
                <w:szCs w:val="16"/>
                <w:color w:val="auto"/>
              </w:rPr>
            </w:pPr>
          </w:p>
        </w:tc>
        <w:tc>
          <w:tcPr>
            <w:tcW w:w="2180" w:type="dxa"/>
            <w:vAlign w:val="bottom"/>
            <w:tcBorders>
              <w:bottom w:val="single" w:sz="8" w:color="808080"/>
            </w:tcBorders>
          </w:tcPr>
          <w:p>
            <w:pPr>
              <w:spacing w:after="0"/>
              <w:rPr>
                <w:sz w:val="16"/>
                <w:szCs w:val="16"/>
                <w:color w:val="auto"/>
              </w:rPr>
            </w:pPr>
          </w:p>
        </w:tc>
        <w:tc>
          <w:tcPr>
            <w:tcW w:w="142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3640" w:type="dxa"/>
            <w:vAlign w:val="bottom"/>
            <w:tcBorders>
              <w:bottom w:val="single" w:sz="8" w:color="808080"/>
            </w:tcBorders>
          </w:tcPr>
          <w:p>
            <w:pPr>
              <w:spacing w:after="0"/>
              <w:rPr>
                <w:sz w:val="16"/>
                <w:szCs w:val="16"/>
                <w:color w:val="auto"/>
              </w:rPr>
            </w:pPr>
          </w:p>
        </w:tc>
        <w:tc>
          <w:tcPr>
            <w:tcW w:w="11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table below sets forth the performance goal levels, as well as actual results, for each performance measure described above:</w:t>
      </w:r>
    </w:p>
    <w:p>
      <w:pPr>
        <w:spacing w:after="0" w:line="175" w:lineRule="exact"/>
        <w:rPr>
          <w:sz w:val="20"/>
          <w:szCs w:val="20"/>
          <w:color w:val="auto"/>
        </w:rPr>
      </w:pPr>
    </w:p>
    <w:tbl>
      <w:tblPr>
        <w:tblLayout w:type="fixed"/>
        <w:tblInd w:w="1360" w:type="dxa"/>
        <w:tblCellMar>
          <w:top w:w="0" w:type="dxa"/>
          <w:left w:w="0" w:type="dxa"/>
          <w:bottom w:w="0" w:type="dxa"/>
          <w:right w:w="0" w:type="dxa"/>
        </w:tblCellMar>
      </w:tblPr>
      <w:tr>
        <w:trPr>
          <w:trHeight w:val="40"/>
        </w:trPr>
        <w:tc>
          <w:tcPr>
            <w:tcW w:w="8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r>
      <w:tr>
        <w:trPr>
          <w:trHeight w:val="113"/>
        </w:trPr>
        <w:tc>
          <w:tcPr>
            <w:tcW w:w="3600" w:type="dxa"/>
            <w:vAlign w:val="bottom"/>
            <w:gridSpan w:val="2"/>
          </w:tcPr>
          <w:p>
            <w:pPr>
              <w:ind w:left="20"/>
              <w:spacing w:after="0" w:line="113" w:lineRule="exact"/>
              <w:rPr>
                <w:sz w:val="20"/>
                <w:szCs w:val="20"/>
                <w:color w:val="auto"/>
              </w:rPr>
            </w:pPr>
            <w:r>
              <w:rPr>
                <w:rFonts w:ascii="Arial" w:cs="Arial" w:eastAsia="Arial" w:hAnsi="Arial"/>
                <w:sz w:val="13"/>
                <w:szCs w:val="13"/>
                <w:b w:val="1"/>
                <w:bCs w:val="1"/>
                <w:color w:val="auto"/>
              </w:rPr>
              <w:t>Performance</w:t>
            </w: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Borders>
              <w:right w:val="single" w:sz="8" w:color="auto"/>
            </w:tcBorders>
            <w:gridSpan w:val="2"/>
          </w:tcPr>
          <w:p>
            <w:pPr>
              <w:jc w:val="center"/>
              <w:ind w:right="220"/>
              <w:spacing w:after="0" w:line="113" w:lineRule="exact"/>
              <w:rPr>
                <w:sz w:val="20"/>
                <w:szCs w:val="20"/>
                <w:color w:val="auto"/>
              </w:rPr>
            </w:pPr>
            <w:r>
              <w:rPr>
                <w:rFonts w:ascii="Arial" w:cs="Arial" w:eastAsia="Arial" w:hAnsi="Arial"/>
                <w:sz w:val="13"/>
                <w:szCs w:val="13"/>
                <w:b w:val="1"/>
                <w:bCs w:val="1"/>
                <w:color w:val="auto"/>
              </w:rPr>
              <w:t>Actual</w:t>
            </w:r>
          </w:p>
        </w:tc>
      </w:tr>
      <w:tr>
        <w:trPr>
          <w:trHeight w:val="160"/>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Measure</w:t>
            </w:r>
          </w:p>
        </w:tc>
        <w:tc>
          <w:tcPr>
            <w:tcW w:w="278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Threshold</w:t>
            </w:r>
          </w:p>
        </w:tc>
        <w:tc>
          <w:tcPr>
            <w:tcW w:w="16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Target</w:t>
            </w:r>
          </w:p>
        </w:tc>
        <w:tc>
          <w:tcPr>
            <w:tcW w:w="16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Maximum</w:t>
            </w:r>
          </w:p>
        </w:tc>
        <w:tc>
          <w:tcPr>
            <w:tcW w:w="2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Results</w:t>
            </w:r>
          </w:p>
        </w:tc>
        <w:tc>
          <w:tcPr>
            <w:tcW w:w="240" w:type="dxa"/>
            <w:vAlign w:val="bottom"/>
            <w:tcBorders>
              <w:right w:val="single" w:sz="8" w:color="auto"/>
            </w:tcBorders>
          </w:tcPr>
          <w:p>
            <w:pPr>
              <w:spacing w:after="0"/>
              <w:rPr>
                <w:sz w:val="13"/>
                <w:szCs w:val="13"/>
                <w:color w:val="auto"/>
              </w:rPr>
            </w:pPr>
          </w:p>
        </w:tc>
      </w:tr>
      <w:tr>
        <w:trPr>
          <w:trHeight w:val="140"/>
        </w:trPr>
        <w:tc>
          <w:tcPr>
            <w:tcW w:w="3600" w:type="dxa"/>
            <w:vAlign w:val="bottom"/>
            <w:gridSpan w:val="2"/>
            <w:shd w:val="clear" w:color="auto" w:fill="BFBFBF"/>
          </w:tcPr>
          <w:p>
            <w:pPr>
              <w:ind w:left="20"/>
              <w:spacing w:after="0" w:line="141" w:lineRule="exact"/>
              <w:rPr>
                <w:sz w:val="20"/>
                <w:szCs w:val="20"/>
                <w:color w:val="auto"/>
              </w:rPr>
            </w:pPr>
            <w:r>
              <w:rPr>
                <w:rFonts w:ascii="Arial" w:cs="Arial" w:eastAsia="Arial" w:hAnsi="Arial"/>
                <w:sz w:val="13"/>
                <w:szCs w:val="13"/>
                <w:color w:val="auto"/>
              </w:rPr>
              <w:t>Consolidated Normalized AFFO per diluted share</w:t>
            </w:r>
          </w:p>
        </w:tc>
        <w:tc>
          <w:tcPr>
            <w:tcW w:w="940" w:type="dxa"/>
            <w:vAlign w:val="bottom"/>
            <w:shd w:val="clear" w:color="auto" w:fill="BFBFBF"/>
          </w:tcPr>
          <w:p>
            <w:pPr>
              <w:jc w:val="center"/>
              <w:spacing w:after="0" w:line="141" w:lineRule="exact"/>
              <w:rPr>
                <w:sz w:val="20"/>
                <w:szCs w:val="20"/>
                <w:color w:val="auto"/>
              </w:rPr>
            </w:pPr>
            <w:r>
              <w:rPr>
                <w:rFonts w:ascii="Arial" w:cs="Arial" w:eastAsia="Arial" w:hAnsi="Arial"/>
                <w:sz w:val="13"/>
                <w:szCs w:val="13"/>
                <w:color w:val="auto"/>
                <w:w w:val="98"/>
              </w:rPr>
              <w:t>$2.59</w:t>
            </w:r>
          </w:p>
        </w:tc>
        <w:tc>
          <w:tcPr>
            <w:tcW w:w="1180" w:type="dxa"/>
            <w:vAlign w:val="bottom"/>
            <w:gridSpan w:val="2"/>
            <w:shd w:val="clear" w:color="auto" w:fill="BFBFBF"/>
          </w:tcPr>
          <w:p>
            <w:pPr>
              <w:jc w:val="center"/>
              <w:ind w:left="114"/>
              <w:spacing w:after="0" w:line="141" w:lineRule="exact"/>
              <w:rPr>
                <w:sz w:val="20"/>
                <w:szCs w:val="20"/>
                <w:color w:val="auto"/>
              </w:rPr>
            </w:pPr>
            <w:r>
              <w:rPr>
                <w:rFonts w:ascii="Arial" w:cs="Arial" w:eastAsia="Arial" w:hAnsi="Arial"/>
                <w:sz w:val="13"/>
                <w:szCs w:val="13"/>
                <w:color w:val="auto"/>
                <w:w w:val="98"/>
              </w:rPr>
              <w:t>$2.61</w:t>
            </w:r>
          </w:p>
        </w:tc>
        <w:tc>
          <w:tcPr>
            <w:tcW w:w="1200" w:type="dxa"/>
            <w:vAlign w:val="bottom"/>
            <w:gridSpan w:val="2"/>
            <w:shd w:val="clear" w:color="auto" w:fill="BFBFBF"/>
          </w:tcPr>
          <w:p>
            <w:pPr>
              <w:jc w:val="center"/>
              <w:ind w:left="94"/>
              <w:spacing w:after="0" w:line="141" w:lineRule="exact"/>
              <w:rPr>
                <w:sz w:val="20"/>
                <w:szCs w:val="20"/>
                <w:color w:val="auto"/>
              </w:rPr>
            </w:pPr>
            <w:r>
              <w:rPr>
                <w:rFonts w:ascii="Arial" w:cs="Arial" w:eastAsia="Arial" w:hAnsi="Arial"/>
                <w:sz w:val="13"/>
                <w:szCs w:val="13"/>
                <w:color w:val="auto"/>
                <w:w w:val="98"/>
              </w:rPr>
              <w:t>$2.65</w:t>
            </w:r>
          </w:p>
        </w:tc>
        <w:tc>
          <w:tcPr>
            <w:tcW w:w="220" w:type="dxa"/>
            <w:vAlign w:val="bottom"/>
            <w:tcBorders>
              <w:right w:val="single" w:sz="8" w:color="auto"/>
            </w:tcBorders>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1060" w:type="dxa"/>
            <w:vAlign w:val="bottom"/>
            <w:shd w:val="clear" w:color="auto" w:fill="BFBFBF"/>
          </w:tcPr>
          <w:p>
            <w:pPr>
              <w:jc w:val="center"/>
              <w:spacing w:after="0" w:line="141" w:lineRule="exact"/>
              <w:rPr>
                <w:sz w:val="20"/>
                <w:szCs w:val="20"/>
                <w:color w:val="auto"/>
              </w:rPr>
            </w:pPr>
            <w:r>
              <w:rPr>
                <w:rFonts w:ascii="Arial" w:cs="Arial" w:eastAsia="Arial" w:hAnsi="Arial"/>
                <w:sz w:val="13"/>
                <w:szCs w:val="13"/>
                <w:b w:val="1"/>
                <w:bCs w:val="1"/>
                <w:color w:val="auto"/>
                <w:w w:val="98"/>
              </w:rPr>
              <w:t>$2.61</w:t>
            </w:r>
          </w:p>
        </w:tc>
        <w:tc>
          <w:tcPr>
            <w:tcW w:w="240" w:type="dxa"/>
            <w:vAlign w:val="bottom"/>
            <w:tcBorders>
              <w:right w:val="single" w:sz="8" w:color="auto"/>
            </w:tcBorders>
            <w:shd w:val="clear" w:color="auto" w:fill="BFBFBF"/>
          </w:tcPr>
          <w:p>
            <w:pPr>
              <w:spacing w:after="0"/>
              <w:rPr>
                <w:sz w:val="12"/>
                <w:szCs w:val="12"/>
                <w:color w:val="auto"/>
              </w:rPr>
            </w:pPr>
          </w:p>
        </w:tc>
      </w:tr>
      <w:tr>
        <w:trPr>
          <w:trHeight w:val="148"/>
        </w:trPr>
        <w:tc>
          <w:tcPr>
            <w:tcW w:w="36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Consolidated 4Q17 Annualized Adjusted EBITDA</w:t>
            </w:r>
          </w:p>
        </w:tc>
        <w:tc>
          <w:tcPr>
            <w:tcW w:w="940" w:type="dxa"/>
            <w:vAlign w:val="bottom"/>
          </w:tcPr>
          <w:p>
            <w:pPr>
              <w:jc w:val="center"/>
              <w:spacing w:after="0" w:line="148" w:lineRule="exact"/>
              <w:rPr>
                <w:sz w:val="20"/>
                <w:szCs w:val="20"/>
                <w:color w:val="auto"/>
              </w:rPr>
            </w:pPr>
            <w:r>
              <w:rPr>
                <w:rFonts w:ascii="Arial" w:cs="Arial" w:eastAsia="Arial" w:hAnsi="Arial"/>
                <w:sz w:val="13"/>
                <w:szCs w:val="13"/>
                <w:color w:val="auto"/>
              </w:rPr>
              <w:t>$710M</w:t>
            </w:r>
          </w:p>
        </w:tc>
        <w:tc>
          <w:tcPr>
            <w:tcW w:w="16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rPr>
              <w:t>$745M</w:t>
            </w:r>
          </w:p>
        </w:tc>
        <w:tc>
          <w:tcPr>
            <w:tcW w:w="16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220"/>
              <w:spacing w:after="0" w:line="148" w:lineRule="exact"/>
              <w:rPr>
                <w:sz w:val="20"/>
                <w:szCs w:val="20"/>
                <w:color w:val="auto"/>
              </w:rPr>
            </w:pPr>
            <w:r>
              <w:rPr>
                <w:rFonts w:ascii="Arial" w:cs="Arial" w:eastAsia="Arial" w:hAnsi="Arial"/>
                <w:sz w:val="13"/>
                <w:szCs w:val="13"/>
                <w:color w:val="auto"/>
              </w:rPr>
              <w:t>$780M</w:t>
            </w:r>
          </w:p>
        </w:tc>
        <w:tc>
          <w:tcPr>
            <w:tcW w:w="140" w:type="dxa"/>
            <w:vAlign w:val="bottom"/>
          </w:tcPr>
          <w:p>
            <w:pPr>
              <w:spacing w:after="0"/>
              <w:rPr>
                <w:sz w:val="12"/>
                <w:szCs w:val="12"/>
                <w:color w:val="auto"/>
              </w:rPr>
            </w:pPr>
          </w:p>
        </w:tc>
        <w:tc>
          <w:tcPr>
            <w:tcW w:w="1300" w:type="dxa"/>
            <w:vAlign w:val="bottom"/>
            <w:tcBorders>
              <w:right w:val="single" w:sz="8" w:color="auto"/>
            </w:tcBorders>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rPr>
              <w:t>$792M</w:t>
            </w:r>
          </w:p>
        </w:tc>
      </w:tr>
      <w:tr>
        <w:trPr>
          <w:trHeight w:val="148"/>
        </w:trPr>
        <w:tc>
          <w:tcPr>
            <w:tcW w:w="3600" w:type="dxa"/>
            <w:vAlign w:val="bottom"/>
            <w:gridSpan w:val="2"/>
            <w:shd w:val="clear" w:color="auto" w:fill="BFBFBF"/>
          </w:tcPr>
          <w:p>
            <w:pPr>
              <w:ind w:left="20"/>
              <w:spacing w:after="0" w:line="148" w:lineRule="exact"/>
              <w:rPr>
                <w:sz w:val="20"/>
                <w:szCs w:val="20"/>
                <w:color w:val="auto"/>
              </w:rPr>
            </w:pPr>
            <w:r>
              <w:rPr>
                <w:rFonts w:ascii="Arial" w:cs="Arial" w:eastAsia="Arial" w:hAnsi="Arial"/>
                <w:sz w:val="13"/>
                <w:szCs w:val="13"/>
                <w:color w:val="auto"/>
              </w:rPr>
              <w:t>Capital markets transaction</w:t>
            </w:r>
          </w:p>
        </w:tc>
        <w:tc>
          <w:tcPr>
            <w:tcW w:w="940" w:type="dxa"/>
            <w:vAlign w:val="bottom"/>
            <w:shd w:val="clear" w:color="auto" w:fill="BFBFBF"/>
          </w:tcPr>
          <w:p>
            <w:pPr>
              <w:jc w:val="center"/>
              <w:spacing w:after="0" w:line="148" w:lineRule="exact"/>
              <w:rPr>
                <w:sz w:val="20"/>
                <w:szCs w:val="20"/>
                <w:color w:val="auto"/>
              </w:rPr>
            </w:pPr>
            <w:r>
              <w:rPr>
                <w:rFonts w:ascii="Arial" w:cs="Arial" w:eastAsia="Arial" w:hAnsi="Arial"/>
                <w:sz w:val="13"/>
                <w:szCs w:val="13"/>
                <w:color w:val="auto"/>
              </w:rPr>
              <w:t>$250M</w:t>
            </w:r>
          </w:p>
        </w:tc>
        <w:tc>
          <w:tcPr>
            <w:tcW w:w="160" w:type="dxa"/>
            <w:vAlign w:val="bottom"/>
            <w:shd w:val="clear" w:color="auto" w:fill="BFBFBF"/>
          </w:tcPr>
          <w:p>
            <w:pPr>
              <w:spacing w:after="0"/>
              <w:rPr>
                <w:sz w:val="12"/>
                <w:szCs w:val="12"/>
                <w:color w:val="auto"/>
              </w:rPr>
            </w:pPr>
          </w:p>
        </w:tc>
        <w:tc>
          <w:tcPr>
            <w:tcW w:w="1020" w:type="dxa"/>
            <w:vAlign w:val="bottom"/>
            <w:shd w:val="clear" w:color="auto" w:fill="BFBFBF"/>
          </w:tcPr>
          <w:p>
            <w:pPr>
              <w:jc w:val="center"/>
              <w:spacing w:after="0" w:line="148" w:lineRule="exact"/>
              <w:rPr>
                <w:sz w:val="20"/>
                <w:szCs w:val="20"/>
                <w:color w:val="auto"/>
              </w:rPr>
            </w:pPr>
            <w:r>
              <w:rPr>
                <w:rFonts w:ascii="Arial" w:cs="Arial" w:eastAsia="Arial" w:hAnsi="Arial"/>
                <w:sz w:val="13"/>
                <w:szCs w:val="13"/>
                <w:color w:val="auto"/>
              </w:rPr>
              <w:t>$500M</w:t>
            </w:r>
          </w:p>
        </w:tc>
        <w:tc>
          <w:tcPr>
            <w:tcW w:w="160" w:type="dxa"/>
            <w:vAlign w:val="bottom"/>
            <w:shd w:val="clear" w:color="auto" w:fill="BFBFBF"/>
          </w:tcPr>
          <w:p>
            <w:pPr>
              <w:spacing w:after="0"/>
              <w:rPr>
                <w:sz w:val="12"/>
                <w:szCs w:val="12"/>
                <w:color w:val="auto"/>
              </w:rPr>
            </w:pPr>
          </w:p>
        </w:tc>
        <w:tc>
          <w:tcPr>
            <w:tcW w:w="1260" w:type="dxa"/>
            <w:vAlign w:val="bottom"/>
            <w:tcBorders>
              <w:right w:val="single" w:sz="8" w:color="auto"/>
            </w:tcBorders>
            <w:gridSpan w:val="2"/>
            <w:shd w:val="clear" w:color="auto" w:fill="BFBFBF"/>
          </w:tcPr>
          <w:p>
            <w:pPr>
              <w:jc w:val="center"/>
              <w:ind w:right="220"/>
              <w:spacing w:after="0" w:line="148" w:lineRule="exact"/>
              <w:rPr>
                <w:sz w:val="20"/>
                <w:szCs w:val="20"/>
                <w:color w:val="auto"/>
              </w:rPr>
            </w:pPr>
            <w:r>
              <w:rPr>
                <w:rFonts w:ascii="Arial" w:cs="Arial" w:eastAsia="Arial" w:hAnsi="Arial"/>
                <w:sz w:val="13"/>
                <w:szCs w:val="13"/>
                <w:color w:val="auto"/>
              </w:rPr>
              <w:t>$750M</w:t>
            </w:r>
          </w:p>
        </w:tc>
        <w:tc>
          <w:tcPr>
            <w:tcW w:w="140" w:type="dxa"/>
            <w:vAlign w:val="bottom"/>
            <w:shd w:val="clear" w:color="auto" w:fill="BFBFBF"/>
          </w:tcPr>
          <w:p>
            <w:pPr>
              <w:spacing w:after="0"/>
              <w:rPr>
                <w:sz w:val="12"/>
                <w:szCs w:val="12"/>
                <w:color w:val="auto"/>
              </w:rPr>
            </w:pPr>
          </w:p>
        </w:tc>
        <w:tc>
          <w:tcPr>
            <w:tcW w:w="1300" w:type="dxa"/>
            <w:vAlign w:val="bottom"/>
            <w:tcBorders>
              <w:right w:val="single" w:sz="8" w:color="auto"/>
            </w:tcBorders>
            <w:gridSpan w:val="2"/>
            <w:shd w:val="clear" w:color="auto" w:fill="BFBFBF"/>
          </w:tcPr>
          <w:p>
            <w:pPr>
              <w:jc w:val="center"/>
              <w:ind w:right="220"/>
              <w:spacing w:after="0" w:line="148" w:lineRule="exact"/>
              <w:rPr>
                <w:sz w:val="20"/>
                <w:szCs w:val="20"/>
                <w:color w:val="auto"/>
              </w:rPr>
            </w:pPr>
            <w:r>
              <w:rPr>
                <w:rFonts w:ascii="Arial" w:cs="Arial" w:eastAsia="Arial" w:hAnsi="Arial"/>
                <w:sz w:val="13"/>
                <w:szCs w:val="13"/>
                <w:b w:val="1"/>
                <w:bCs w:val="1"/>
                <w:color w:val="auto"/>
              </w:rPr>
              <w:t>$1,662M</w:t>
            </w:r>
          </w:p>
        </w:tc>
      </w:tr>
      <w:tr>
        <w:trPr>
          <w:trHeight w:val="148"/>
        </w:trPr>
        <w:tc>
          <w:tcPr>
            <w:tcW w:w="36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Cumulative 4Q17 Annualized Revenue Diversification</w:t>
            </w:r>
          </w:p>
        </w:tc>
        <w:tc>
          <w:tcPr>
            <w:tcW w:w="940" w:type="dxa"/>
            <w:vAlign w:val="bottom"/>
          </w:tcPr>
          <w:p>
            <w:pPr>
              <w:jc w:val="center"/>
              <w:spacing w:after="0" w:line="148" w:lineRule="exact"/>
              <w:rPr>
                <w:sz w:val="20"/>
                <w:szCs w:val="20"/>
                <w:color w:val="auto"/>
              </w:rPr>
            </w:pPr>
            <w:r>
              <w:rPr>
                <w:rFonts w:ascii="Arial" w:cs="Arial" w:eastAsia="Arial" w:hAnsi="Arial"/>
                <w:sz w:val="13"/>
                <w:szCs w:val="13"/>
                <w:color w:val="auto"/>
                <w:w w:val="99"/>
              </w:rPr>
              <w:t>25%</w:t>
            </w:r>
          </w:p>
        </w:tc>
        <w:tc>
          <w:tcPr>
            <w:tcW w:w="1180" w:type="dxa"/>
            <w:vAlign w:val="bottom"/>
            <w:gridSpan w:val="2"/>
          </w:tcPr>
          <w:p>
            <w:pPr>
              <w:jc w:val="center"/>
              <w:ind w:left="94"/>
              <w:spacing w:after="0" w:line="148" w:lineRule="exact"/>
              <w:rPr>
                <w:sz w:val="20"/>
                <w:szCs w:val="20"/>
                <w:color w:val="auto"/>
              </w:rPr>
            </w:pPr>
            <w:r>
              <w:rPr>
                <w:rFonts w:ascii="Arial" w:cs="Arial" w:eastAsia="Arial" w:hAnsi="Arial"/>
                <w:sz w:val="13"/>
                <w:szCs w:val="13"/>
                <w:color w:val="auto"/>
              </w:rPr>
              <w:t>27.5%</w:t>
            </w:r>
          </w:p>
        </w:tc>
        <w:tc>
          <w:tcPr>
            <w:tcW w:w="1200" w:type="dxa"/>
            <w:vAlign w:val="bottom"/>
            <w:gridSpan w:val="2"/>
          </w:tcPr>
          <w:p>
            <w:pPr>
              <w:jc w:val="center"/>
              <w:ind w:left="94"/>
              <w:spacing w:after="0" w:line="148" w:lineRule="exact"/>
              <w:rPr>
                <w:sz w:val="20"/>
                <w:szCs w:val="20"/>
                <w:color w:val="auto"/>
              </w:rPr>
            </w:pPr>
            <w:r>
              <w:rPr>
                <w:rFonts w:ascii="Arial" w:cs="Arial" w:eastAsia="Arial" w:hAnsi="Arial"/>
                <w:sz w:val="13"/>
                <w:szCs w:val="13"/>
                <w:color w:val="auto"/>
              </w:rPr>
              <w:t>30%</w:t>
            </w:r>
          </w:p>
        </w:tc>
        <w:tc>
          <w:tcPr>
            <w:tcW w:w="220" w:type="dxa"/>
            <w:vAlign w:val="bottom"/>
            <w:tcBorders>
              <w:right w:val="single" w:sz="8" w:color="auto"/>
            </w:tcBorders>
          </w:tcPr>
          <w:p>
            <w:pPr>
              <w:spacing w:after="0"/>
              <w:rPr>
                <w:sz w:val="12"/>
                <w:szCs w:val="12"/>
                <w:color w:val="auto"/>
              </w:rPr>
            </w:pPr>
          </w:p>
        </w:tc>
        <w:tc>
          <w:tcPr>
            <w:tcW w:w="1200" w:type="dxa"/>
            <w:vAlign w:val="bottom"/>
            <w:gridSpan w:val="2"/>
          </w:tcPr>
          <w:p>
            <w:pPr>
              <w:jc w:val="center"/>
              <w:ind w:left="74"/>
              <w:spacing w:after="0" w:line="148" w:lineRule="exact"/>
              <w:rPr>
                <w:sz w:val="20"/>
                <w:szCs w:val="20"/>
                <w:color w:val="auto"/>
              </w:rPr>
            </w:pPr>
            <w:r>
              <w:rPr>
                <w:rFonts w:ascii="Arial" w:cs="Arial" w:eastAsia="Arial" w:hAnsi="Arial"/>
                <w:sz w:val="13"/>
                <w:szCs w:val="13"/>
                <w:b w:val="1"/>
                <w:bCs w:val="1"/>
                <w:color w:val="auto"/>
                <w:w w:val="99"/>
              </w:rPr>
              <w:t>30%</w:t>
            </w:r>
          </w:p>
        </w:tc>
        <w:tc>
          <w:tcPr>
            <w:tcW w:w="240" w:type="dxa"/>
            <w:vAlign w:val="bottom"/>
            <w:tcBorders>
              <w:right w:val="single" w:sz="8" w:color="auto"/>
            </w:tcBorders>
          </w:tcPr>
          <w:p>
            <w:pPr>
              <w:spacing w:after="0"/>
              <w:rPr>
                <w:sz w:val="12"/>
                <w:szCs w:val="12"/>
                <w:color w:val="auto"/>
              </w:rPr>
            </w:pPr>
          </w:p>
        </w:tc>
      </w:tr>
      <w:tr>
        <w:trPr>
          <w:trHeight w:val="188"/>
        </w:trPr>
        <w:tc>
          <w:tcPr>
            <w:tcW w:w="3600" w:type="dxa"/>
            <w:vAlign w:val="bottom"/>
            <w:tcBorders>
              <w:bottom w:val="single" w:sz="8" w:color="BFBFBF"/>
            </w:tcBorders>
            <w:gridSpan w:val="2"/>
            <w:shd w:val="clear" w:color="auto" w:fill="BFBFBF"/>
          </w:tcPr>
          <w:p>
            <w:pPr>
              <w:ind w:left="120"/>
              <w:spacing w:after="0" w:line="148" w:lineRule="exact"/>
              <w:rPr>
                <w:sz w:val="20"/>
                <w:szCs w:val="20"/>
                <w:color w:val="auto"/>
              </w:rPr>
            </w:pPr>
            <w:r>
              <w:rPr>
                <w:rFonts w:ascii="Arial" w:cs="Arial" w:eastAsia="Arial" w:hAnsi="Arial"/>
                <w:sz w:val="13"/>
                <w:szCs w:val="13"/>
                <w:b w:val="1"/>
                <w:bCs w:val="1"/>
                <w:color w:val="auto"/>
              </w:rPr>
              <w:t>Payout Opportunity</w:t>
            </w:r>
          </w:p>
        </w:tc>
        <w:tc>
          <w:tcPr>
            <w:tcW w:w="940" w:type="dxa"/>
            <w:vAlign w:val="bottom"/>
            <w:tcBorders>
              <w:bottom w:val="single" w:sz="8" w:color="BFBFBF"/>
            </w:tcBorders>
            <w:shd w:val="clear" w:color="auto" w:fill="BFBFBF"/>
          </w:tcPr>
          <w:p>
            <w:pPr>
              <w:jc w:val="center"/>
              <w:spacing w:after="0" w:line="148" w:lineRule="exact"/>
              <w:rPr>
                <w:sz w:val="20"/>
                <w:szCs w:val="20"/>
                <w:color w:val="auto"/>
              </w:rPr>
            </w:pPr>
            <w:r>
              <w:rPr>
                <w:rFonts w:ascii="Arial" w:cs="Arial" w:eastAsia="Arial" w:hAnsi="Arial"/>
                <w:sz w:val="13"/>
                <w:szCs w:val="13"/>
                <w:b w:val="1"/>
                <w:bCs w:val="1"/>
                <w:color w:val="auto"/>
              </w:rPr>
              <w:t>50% of Target</w:t>
            </w:r>
          </w:p>
        </w:tc>
        <w:tc>
          <w:tcPr>
            <w:tcW w:w="160" w:type="dxa"/>
            <w:vAlign w:val="bottom"/>
            <w:tcBorders>
              <w:bottom w:val="single" w:sz="8" w:color="BFBFBF"/>
            </w:tcBorders>
            <w:shd w:val="clear" w:color="auto" w:fill="BFBFBF"/>
          </w:tcPr>
          <w:p>
            <w:pPr>
              <w:spacing w:after="0"/>
              <w:rPr>
                <w:sz w:val="16"/>
                <w:szCs w:val="16"/>
                <w:color w:val="auto"/>
              </w:rPr>
            </w:pPr>
          </w:p>
        </w:tc>
        <w:tc>
          <w:tcPr>
            <w:tcW w:w="1020" w:type="dxa"/>
            <w:vAlign w:val="bottom"/>
            <w:tcBorders>
              <w:bottom w:val="single" w:sz="8" w:color="BFBFBF"/>
            </w:tcBorders>
            <w:shd w:val="clear" w:color="auto" w:fill="BFBFBF"/>
          </w:tcPr>
          <w:p>
            <w:pPr>
              <w:jc w:val="center"/>
              <w:spacing w:after="0" w:line="148" w:lineRule="exact"/>
              <w:rPr>
                <w:sz w:val="20"/>
                <w:szCs w:val="20"/>
                <w:color w:val="auto"/>
              </w:rPr>
            </w:pPr>
            <w:r>
              <w:rPr>
                <w:rFonts w:ascii="Arial" w:cs="Arial" w:eastAsia="Arial" w:hAnsi="Arial"/>
                <w:sz w:val="13"/>
                <w:szCs w:val="13"/>
                <w:b w:val="1"/>
                <w:bCs w:val="1"/>
                <w:color w:val="auto"/>
                <w:w w:val="99"/>
              </w:rPr>
              <w:t>100% of Target</w:t>
            </w:r>
          </w:p>
        </w:tc>
        <w:tc>
          <w:tcPr>
            <w:tcW w:w="160" w:type="dxa"/>
            <w:vAlign w:val="bottom"/>
            <w:tcBorders>
              <w:bottom w:val="single" w:sz="8" w:color="BFBFBF"/>
            </w:tcBorders>
            <w:shd w:val="clear" w:color="auto" w:fill="BFBFBF"/>
          </w:tcPr>
          <w:p>
            <w:pPr>
              <w:spacing w:after="0"/>
              <w:rPr>
                <w:sz w:val="16"/>
                <w:szCs w:val="16"/>
                <w:color w:val="auto"/>
              </w:rPr>
            </w:pPr>
          </w:p>
        </w:tc>
        <w:tc>
          <w:tcPr>
            <w:tcW w:w="1260" w:type="dxa"/>
            <w:vAlign w:val="bottom"/>
            <w:tcBorders>
              <w:bottom w:val="single" w:sz="8" w:color="BFBFBF"/>
              <w:right w:val="single" w:sz="8" w:color="auto"/>
            </w:tcBorders>
            <w:gridSpan w:val="2"/>
            <w:shd w:val="clear" w:color="auto" w:fill="BFBFBF"/>
          </w:tcPr>
          <w:p>
            <w:pPr>
              <w:jc w:val="center"/>
              <w:ind w:right="220"/>
              <w:spacing w:after="0" w:line="148" w:lineRule="exact"/>
              <w:rPr>
                <w:sz w:val="20"/>
                <w:szCs w:val="20"/>
                <w:color w:val="auto"/>
              </w:rPr>
            </w:pPr>
            <w:r>
              <w:rPr>
                <w:rFonts w:ascii="Arial" w:cs="Arial" w:eastAsia="Arial" w:hAnsi="Arial"/>
                <w:sz w:val="13"/>
                <w:szCs w:val="13"/>
                <w:b w:val="1"/>
                <w:bCs w:val="1"/>
                <w:color w:val="auto"/>
                <w:w w:val="99"/>
              </w:rPr>
              <w:t>150% of Target</w:t>
            </w:r>
          </w:p>
        </w:tc>
        <w:tc>
          <w:tcPr>
            <w:tcW w:w="140" w:type="dxa"/>
            <w:vAlign w:val="bottom"/>
            <w:tcBorders>
              <w:bottom w:val="single" w:sz="8" w:color="auto"/>
            </w:tcBorders>
            <w:shd w:val="clear" w:color="auto" w:fill="BFBFBF"/>
          </w:tcPr>
          <w:p>
            <w:pPr>
              <w:spacing w:after="0"/>
              <w:rPr>
                <w:sz w:val="16"/>
                <w:szCs w:val="16"/>
                <w:color w:val="auto"/>
              </w:rPr>
            </w:pPr>
          </w:p>
        </w:tc>
        <w:tc>
          <w:tcPr>
            <w:tcW w:w="1300" w:type="dxa"/>
            <w:vAlign w:val="bottom"/>
            <w:tcBorders>
              <w:bottom w:val="single" w:sz="8" w:color="auto"/>
              <w:right w:val="single" w:sz="8" w:color="auto"/>
            </w:tcBorders>
            <w:gridSpan w:val="2"/>
            <w:shd w:val="clear" w:color="auto" w:fill="BFBFBF"/>
          </w:tcPr>
          <w:p>
            <w:pPr>
              <w:jc w:val="center"/>
              <w:ind w:right="220"/>
              <w:spacing w:after="0" w:line="148" w:lineRule="exact"/>
              <w:rPr>
                <w:sz w:val="20"/>
                <w:szCs w:val="20"/>
                <w:color w:val="auto"/>
              </w:rPr>
            </w:pPr>
            <w:r>
              <w:rPr>
                <w:rFonts w:ascii="Arial" w:cs="Arial" w:eastAsia="Arial" w:hAnsi="Arial"/>
                <w:sz w:val="13"/>
                <w:szCs w:val="13"/>
                <w:b w:val="1"/>
                <w:bCs w:val="1"/>
                <w:color w:val="auto"/>
                <w:w w:val="99"/>
              </w:rPr>
              <w:t>138% of Target</w:t>
            </w:r>
          </w:p>
        </w:tc>
      </w:tr>
    </w:tbl>
    <w:p>
      <w:pPr>
        <w:spacing w:after="0" w:line="200" w:lineRule="exact"/>
        <w:rPr>
          <w:sz w:val="20"/>
          <w:szCs w:val="20"/>
          <w:color w:val="auto"/>
        </w:rPr>
      </w:pPr>
    </w:p>
    <w:p>
      <w:pPr>
        <w:ind w:firstLine="615"/>
        <w:spacing w:after="0" w:line="245" w:lineRule="auto"/>
        <w:rPr>
          <w:sz w:val="20"/>
          <w:szCs w:val="20"/>
          <w:color w:val="auto"/>
        </w:rPr>
      </w:pPr>
      <w:r>
        <w:rPr>
          <w:rFonts w:ascii="Arial" w:cs="Arial" w:eastAsia="Arial" w:hAnsi="Arial"/>
          <w:sz w:val="16"/>
          <w:szCs w:val="16"/>
          <w:color w:val="auto"/>
        </w:rPr>
        <w:t>As reflected in the table above, the Company met the target performance goal for Consolidated Normalized AFFO per diluted share and met or exceeded the maximum performance goals for Consolidated 4Q17 Annualized Adjusted EBITDA, capital markets transaction volume and Cumulative 4Q17 Annualized Revenue Diversification. Based on such performance, the NEOs were eligible to receive, and the Compensation Committee awarded payouts to each of the NEOs equal to, 138% of their target cash incentives. The following table shows the actual payouts under the Short-Term Incentive Plan:</w:t>
      </w:r>
    </w:p>
    <w:p>
      <w:pPr>
        <w:spacing w:after="0" w:line="166" w:lineRule="exact"/>
        <w:rPr>
          <w:sz w:val="20"/>
          <w:szCs w:val="20"/>
          <w:color w:val="auto"/>
        </w:rPr>
      </w:pPr>
    </w:p>
    <w:tbl>
      <w:tblPr>
        <w:tblLayout w:type="fixed"/>
        <w:tblInd w:w="2280" w:type="dxa"/>
        <w:tblCellMar>
          <w:top w:w="0" w:type="dxa"/>
          <w:left w:w="0" w:type="dxa"/>
          <w:bottom w:w="0" w:type="dxa"/>
          <w:right w:w="0" w:type="dxa"/>
        </w:tblCellMar>
      </w:tblPr>
      <w:tr>
        <w:trPr>
          <w:trHeight w:val="202"/>
        </w:trPr>
        <w:tc>
          <w:tcPr>
            <w:tcW w:w="3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7"/>
              </w:rPr>
              <w:t>NEO</w:t>
            </w:r>
          </w:p>
        </w:tc>
        <w:tc>
          <w:tcPr>
            <w:tcW w:w="4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Actual Payout</w:t>
            </w:r>
          </w:p>
        </w:tc>
        <w:tc>
          <w:tcPr>
            <w:tcW w:w="20" w:type="dxa"/>
            <w:vAlign w:val="bottom"/>
          </w:tcPr>
          <w:p>
            <w:pPr>
              <w:spacing w:after="0"/>
              <w:rPr>
                <w:sz w:val="17"/>
                <w:szCs w:val="17"/>
                <w:color w:val="auto"/>
              </w:rPr>
            </w:pPr>
          </w:p>
        </w:tc>
      </w:tr>
      <w:tr>
        <w:trPr>
          <w:trHeight w:val="177"/>
        </w:trPr>
        <w:tc>
          <w:tcPr>
            <w:tcW w:w="5260" w:type="dxa"/>
            <w:vAlign w:val="bottom"/>
            <w:gridSpan w:val="2"/>
            <w:shd w:val="clear" w:color="auto" w:fill="BFBFBF"/>
          </w:tcPr>
          <w:p>
            <w:pPr>
              <w:spacing w:after="0" w:line="178" w:lineRule="exact"/>
              <w:rPr>
                <w:sz w:val="20"/>
                <w:szCs w:val="20"/>
                <w:color w:val="auto"/>
              </w:rPr>
            </w:pPr>
            <w:r>
              <w:rPr>
                <w:rFonts w:ascii="Arial" w:cs="Arial" w:eastAsia="Arial" w:hAnsi="Arial"/>
                <w:sz w:val="16"/>
                <w:szCs w:val="16"/>
                <w:color w:val="auto"/>
              </w:rPr>
              <w:t>Kenneth A. Gunderman</w:t>
            </w:r>
          </w:p>
        </w:tc>
        <w:tc>
          <w:tcPr>
            <w:tcW w:w="140" w:type="dxa"/>
            <w:vAlign w:val="bottom"/>
            <w:shd w:val="clear" w:color="auto" w:fill="BFBFB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BFBFBF"/>
          </w:tcPr>
          <w:p>
            <w:pPr>
              <w:jc w:val="right"/>
              <w:spacing w:after="0" w:line="178" w:lineRule="exact"/>
              <w:rPr>
                <w:sz w:val="20"/>
                <w:szCs w:val="20"/>
                <w:color w:val="auto"/>
              </w:rPr>
            </w:pPr>
            <w:r>
              <w:rPr>
                <w:rFonts w:ascii="Arial" w:cs="Arial" w:eastAsia="Arial" w:hAnsi="Arial"/>
                <w:sz w:val="16"/>
                <w:szCs w:val="16"/>
                <w:color w:val="auto"/>
              </w:rPr>
              <w:t>1,495,313</w:t>
            </w:r>
          </w:p>
        </w:tc>
        <w:tc>
          <w:tcPr>
            <w:tcW w:w="20" w:type="dxa"/>
            <w:vAlign w:val="bottom"/>
          </w:tcPr>
          <w:p>
            <w:pPr>
              <w:spacing w:after="0"/>
              <w:rPr>
                <w:sz w:val="15"/>
                <w:szCs w:val="15"/>
                <w:color w:val="auto"/>
              </w:rPr>
            </w:pPr>
          </w:p>
        </w:tc>
      </w:tr>
      <w:tr>
        <w:trPr>
          <w:trHeight w:val="185"/>
        </w:trPr>
        <w:tc>
          <w:tcPr>
            <w:tcW w:w="5260" w:type="dxa"/>
            <w:vAlign w:val="bottom"/>
            <w:gridSpan w:val="2"/>
          </w:tcPr>
          <w:p>
            <w:pPr>
              <w:spacing w:after="0"/>
              <w:rPr>
                <w:sz w:val="20"/>
                <w:szCs w:val="20"/>
                <w:color w:val="auto"/>
              </w:rPr>
            </w:pPr>
            <w:r>
              <w:rPr>
                <w:rFonts w:ascii="Arial" w:cs="Arial" w:eastAsia="Arial" w:hAnsi="Arial"/>
                <w:sz w:val="16"/>
                <w:szCs w:val="16"/>
                <w:color w:val="auto"/>
              </w:rPr>
              <w:t>Mark A. Wallace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618,750</w:t>
            </w:r>
          </w:p>
        </w:tc>
      </w:tr>
      <w:tr>
        <w:trPr>
          <w:trHeight w:val="185"/>
        </w:trPr>
        <w:tc>
          <w:tcPr>
            <w:tcW w:w="5260" w:type="dxa"/>
            <w:vAlign w:val="bottom"/>
            <w:gridSpan w:val="2"/>
            <w:shd w:val="clear" w:color="auto" w:fill="BFBFBF"/>
          </w:tcPr>
          <w:p>
            <w:pPr>
              <w:spacing w:after="0"/>
              <w:rPr>
                <w:sz w:val="20"/>
                <w:szCs w:val="20"/>
                <w:color w:val="auto"/>
              </w:rPr>
            </w:pPr>
            <w:r>
              <w:rPr>
                <w:rFonts w:ascii="Arial" w:cs="Arial" w:eastAsia="Arial" w:hAnsi="Arial"/>
                <w:sz w:val="16"/>
                <w:szCs w:val="16"/>
                <w:color w:val="auto"/>
              </w:rPr>
              <w:t>Daniel L. Heard</w:t>
            </w:r>
          </w:p>
        </w:tc>
        <w:tc>
          <w:tcPr>
            <w:tcW w:w="140" w:type="dxa"/>
            <w:vAlign w:val="bottom"/>
            <w:shd w:val="clear" w:color="auto" w:fill="BFBFB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515,625</w:t>
            </w:r>
          </w:p>
        </w:tc>
        <w:tc>
          <w:tcPr>
            <w:tcW w:w="20" w:type="dxa"/>
            <w:vAlign w:val="bottom"/>
          </w:tcPr>
          <w:p>
            <w:pPr>
              <w:spacing w:after="0"/>
              <w:rPr>
                <w:sz w:val="16"/>
                <w:szCs w:val="16"/>
                <w:color w:val="auto"/>
              </w:rPr>
            </w:pPr>
          </w:p>
        </w:tc>
      </w:tr>
    </w:tbl>
    <w:p>
      <w:pPr>
        <w:spacing w:after="0" w:line="20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Mr. Mudry's award opportunity under the Short-Term Incentive Plan was tied to the three quantitative measures applicable to Uniti Fiber:</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202"/>
        </w:trPr>
        <w:tc>
          <w:tcPr>
            <w:tcW w:w="16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Performance Measure</w:t>
            </w:r>
          </w:p>
        </w:tc>
        <w:tc>
          <w:tcPr>
            <w:tcW w:w="2180" w:type="dxa"/>
            <w:vAlign w:val="bottom"/>
          </w:tcPr>
          <w:p>
            <w:pPr>
              <w:spacing w:after="0"/>
              <w:rPr>
                <w:sz w:val="17"/>
                <w:szCs w:val="17"/>
                <w:color w:val="auto"/>
              </w:rPr>
            </w:pPr>
          </w:p>
        </w:tc>
        <w:tc>
          <w:tcPr>
            <w:tcW w:w="142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Weighting</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40" w:type="dxa"/>
            <w:vAlign w:val="bottom"/>
            <w:tcBorders>
              <w:bottom w:val="single" w:sz="8" w:color="auto"/>
            </w:tcBorders>
          </w:tcPr>
          <w:p>
            <w:pPr>
              <w:ind w:left="1380"/>
              <w:spacing w:after="0"/>
              <w:rPr>
                <w:sz w:val="20"/>
                <w:szCs w:val="20"/>
                <w:color w:val="auto"/>
              </w:rPr>
            </w:pPr>
            <w:r>
              <w:rPr>
                <w:rFonts w:ascii="Arial" w:cs="Arial" w:eastAsia="Arial" w:hAnsi="Arial"/>
                <w:sz w:val="16"/>
                <w:szCs w:val="16"/>
                <w:b w:val="1"/>
                <w:bCs w:val="1"/>
                <w:color w:val="auto"/>
              </w:rPr>
              <w:t>Description</w:t>
            </w:r>
          </w:p>
        </w:tc>
      </w:tr>
      <w:tr>
        <w:trPr>
          <w:trHeight w:val="180"/>
        </w:trPr>
        <w:tc>
          <w:tcPr>
            <w:tcW w:w="3860" w:type="dxa"/>
            <w:vAlign w:val="bottom"/>
            <w:gridSpan w:val="2"/>
            <w:shd w:val="clear" w:color="auto" w:fill="BFBFBF"/>
          </w:tcPr>
          <w:p>
            <w:pPr>
              <w:spacing w:after="0" w:line="181" w:lineRule="exact"/>
              <w:rPr>
                <w:sz w:val="20"/>
                <w:szCs w:val="20"/>
                <w:color w:val="auto"/>
              </w:rPr>
            </w:pPr>
            <w:r>
              <w:rPr>
                <w:rFonts w:ascii="Arial" w:cs="Arial" w:eastAsia="Arial" w:hAnsi="Arial"/>
                <w:sz w:val="16"/>
                <w:szCs w:val="16"/>
                <w:color w:val="auto"/>
              </w:rPr>
              <w:t>Sales bookings</w:t>
            </w:r>
          </w:p>
        </w:tc>
        <w:tc>
          <w:tcPr>
            <w:tcW w:w="1420" w:type="dxa"/>
            <w:vAlign w:val="bottom"/>
            <w:shd w:val="clear" w:color="auto" w:fill="BFBFBF"/>
          </w:tcPr>
          <w:p>
            <w:pPr>
              <w:spacing w:after="0"/>
              <w:rPr>
                <w:sz w:val="15"/>
                <w:szCs w:val="15"/>
                <w:color w:val="auto"/>
              </w:rPr>
            </w:pPr>
          </w:p>
        </w:tc>
        <w:tc>
          <w:tcPr>
            <w:tcW w:w="180" w:type="dxa"/>
            <w:vAlign w:val="bottom"/>
            <w:shd w:val="clear" w:color="auto" w:fill="BFBFBF"/>
          </w:tcPr>
          <w:p>
            <w:pPr>
              <w:spacing w:after="0"/>
              <w:rPr>
                <w:sz w:val="15"/>
                <w:szCs w:val="15"/>
                <w:color w:val="auto"/>
              </w:rPr>
            </w:pPr>
          </w:p>
        </w:tc>
        <w:tc>
          <w:tcPr>
            <w:tcW w:w="3680" w:type="dxa"/>
            <w:vAlign w:val="bottom"/>
            <w:gridSpan w:val="2"/>
            <w:shd w:val="clear" w:color="auto" w:fill="BFBFBF"/>
          </w:tcPr>
          <w:p>
            <w:pPr>
              <w:ind w:left="40"/>
              <w:spacing w:after="0" w:line="181" w:lineRule="exact"/>
              <w:rPr>
                <w:sz w:val="20"/>
                <w:szCs w:val="20"/>
                <w:color w:val="auto"/>
              </w:rPr>
            </w:pPr>
            <w:r>
              <w:rPr>
                <w:rFonts w:ascii="Arial" w:cs="Arial" w:eastAsia="Arial" w:hAnsi="Arial"/>
                <w:sz w:val="16"/>
                <w:szCs w:val="16"/>
                <w:color w:val="auto"/>
                <w:w w:val="99"/>
              </w:rPr>
              <w:t>Represents sales bookings for Uniti Fiber based on</w:t>
            </w:r>
          </w:p>
        </w:tc>
      </w:tr>
      <w:tr>
        <w:trPr>
          <w:trHeight w:val="182"/>
        </w:trPr>
        <w:tc>
          <w:tcPr>
            <w:tcW w:w="1680" w:type="dxa"/>
            <w:vAlign w:val="bottom"/>
            <w:shd w:val="clear" w:color="auto" w:fill="BFBFBF"/>
          </w:tcPr>
          <w:p>
            <w:pPr>
              <w:spacing w:after="0"/>
              <w:rPr>
                <w:sz w:val="15"/>
                <w:szCs w:val="15"/>
                <w:color w:val="auto"/>
              </w:rPr>
            </w:pPr>
          </w:p>
        </w:tc>
        <w:tc>
          <w:tcPr>
            <w:tcW w:w="2180" w:type="dxa"/>
            <w:vAlign w:val="bottom"/>
            <w:shd w:val="clear" w:color="auto" w:fill="BFBFBF"/>
          </w:tcPr>
          <w:p>
            <w:pPr>
              <w:spacing w:after="0"/>
              <w:rPr>
                <w:sz w:val="15"/>
                <w:szCs w:val="15"/>
                <w:color w:val="auto"/>
              </w:rPr>
            </w:pPr>
          </w:p>
        </w:tc>
        <w:tc>
          <w:tcPr>
            <w:tcW w:w="1600" w:type="dxa"/>
            <w:vAlign w:val="bottom"/>
            <w:gridSpan w:val="2"/>
            <w:shd w:val="clear" w:color="auto" w:fill="BFBFBF"/>
          </w:tcPr>
          <w:p>
            <w:pPr>
              <w:jc w:val="right"/>
              <w:ind w:right="40"/>
              <w:spacing w:after="0" w:line="182" w:lineRule="exact"/>
              <w:rPr>
                <w:sz w:val="20"/>
                <w:szCs w:val="20"/>
                <w:color w:val="auto"/>
              </w:rPr>
            </w:pPr>
            <w:r>
              <w:rPr>
                <w:rFonts w:ascii="Arial" w:cs="Arial" w:eastAsia="Arial" w:hAnsi="Arial"/>
                <w:sz w:val="16"/>
                <w:szCs w:val="16"/>
                <w:color w:val="auto"/>
              </w:rPr>
              <w:t>40%</w:t>
            </w:r>
          </w:p>
        </w:tc>
        <w:tc>
          <w:tcPr>
            <w:tcW w:w="3680" w:type="dxa"/>
            <w:vAlign w:val="bottom"/>
            <w:gridSpan w:val="2"/>
            <w:shd w:val="clear" w:color="auto" w:fill="BFBFBF"/>
          </w:tcPr>
          <w:p>
            <w:pPr>
              <w:ind w:left="40"/>
              <w:spacing w:after="0" w:line="182" w:lineRule="exact"/>
              <w:rPr>
                <w:sz w:val="20"/>
                <w:szCs w:val="20"/>
                <w:color w:val="auto"/>
              </w:rPr>
            </w:pPr>
            <w:r>
              <w:rPr>
                <w:rFonts w:ascii="Arial" w:cs="Arial" w:eastAsia="Arial" w:hAnsi="Arial"/>
                <w:sz w:val="16"/>
                <w:szCs w:val="16"/>
                <w:color w:val="auto"/>
              </w:rPr>
              <w:t>recurring monthly revenue</w:t>
            </w:r>
          </w:p>
        </w:tc>
      </w:tr>
      <w:tr>
        <w:trPr>
          <w:trHeight w:val="185"/>
        </w:trPr>
        <w:tc>
          <w:tcPr>
            <w:tcW w:w="3860" w:type="dxa"/>
            <w:vAlign w:val="bottom"/>
            <w:gridSpan w:val="2"/>
          </w:tcPr>
          <w:p>
            <w:pPr>
              <w:spacing w:after="0"/>
              <w:rPr>
                <w:sz w:val="20"/>
                <w:szCs w:val="20"/>
                <w:color w:val="auto"/>
              </w:rPr>
            </w:pPr>
            <w:r>
              <w:rPr>
                <w:rFonts w:ascii="Arial" w:cs="Arial" w:eastAsia="Arial" w:hAnsi="Arial"/>
                <w:sz w:val="16"/>
                <w:szCs w:val="16"/>
                <w:color w:val="auto"/>
              </w:rPr>
              <w:t>Normalized Adjusted EBITDA</w:t>
            </w:r>
          </w:p>
        </w:tc>
        <w:tc>
          <w:tcPr>
            <w:tcW w:w="1600" w:type="dxa"/>
            <w:vAlign w:val="bottom"/>
            <w:gridSpan w:val="2"/>
          </w:tcPr>
          <w:p>
            <w:pPr>
              <w:jc w:val="right"/>
              <w:ind w:right="40"/>
              <w:spacing w:after="0"/>
              <w:rPr>
                <w:sz w:val="20"/>
                <w:szCs w:val="20"/>
                <w:color w:val="auto"/>
              </w:rPr>
            </w:pPr>
            <w:r>
              <w:rPr>
                <w:rFonts w:ascii="Arial" w:cs="Arial" w:eastAsia="Arial" w:hAnsi="Arial"/>
                <w:sz w:val="16"/>
                <w:szCs w:val="16"/>
                <w:color w:val="auto"/>
              </w:rPr>
              <w:t>40%</w:t>
            </w:r>
          </w:p>
        </w:tc>
        <w:tc>
          <w:tcPr>
            <w:tcW w:w="3680" w:type="dxa"/>
            <w:vAlign w:val="bottom"/>
            <w:gridSpan w:val="2"/>
          </w:tcPr>
          <w:p>
            <w:pPr>
              <w:ind w:left="40"/>
              <w:spacing w:after="0"/>
              <w:rPr>
                <w:sz w:val="20"/>
                <w:szCs w:val="20"/>
                <w:color w:val="auto"/>
              </w:rPr>
            </w:pPr>
            <w:r>
              <w:rPr>
                <w:rFonts w:ascii="Arial" w:cs="Arial" w:eastAsia="Arial" w:hAnsi="Arial"/>
                <w:sz w:val="16"/>
                <w:szCs w:val="16"/>
                <w:color w:val="auto"/>
              </w:rPr>
              <w:t>Represents Adjusted EBITDA for Uniti Fiber</w:t>
            </w:r>
          </w:p>
        </w:tc>
      </w:tr>
      <w:tr>
        <w:trPr>
          <w:trHeight w:val="185"/>
        </w:trPr>
        <w:tc>
          <w:tcPr>
            <w:tcW w:w="3860" w:type="dxa"/>
            <w:vAlign w:val="bottom"/>
            <w:gridSpan w:val="2"/>
            <w:shd w:val="clear" w:color="auto" w:fill="BFBFBF"/>
          </w:tcPr>
          <w:p>
            <w:pPr>
              <w:spacing w:after="0"/>
              <w:rPr>
                <w:sz w:val="20"/>
                <w:szCs w:val="20"/>
                <w:color w:val="auto"/>
              </w:rPr>
            </w:pPr>
            <w:r>
              <w:rPr>
                <w:rFonts w:ascii="Arial" w:cs="Arial" w:eastAsia="Arial" w:hAnsi="Arial"/>
                <w:sz w:val="16"/>
                <w:szCs w:val="16"/>
                <w:color w:val="auto"/>
              </w:rPr>
              <w:t>Normalized Revenue</w:t>
            </w:r>
          </w:p>
        </w:tc>
        <w:tc>
          <w:tcPr>
            <w:tcW w:w="1600" w:type="dxa"/>
            <w:vAlign w:val="bottom"/>
            <w:gridSpan w:val="2"/>
            <w:shd w:val="clear" w:color="auto" w:fill="BFBFBF"/>
          </w:tcPr>
          <w:p>
            <w:pPr>
              <w:jc w:val="right"/>
              <w:ind w:right="40"/>
              <w:spacing w:after="0"/>
              <w:rPr>
                <w:sz w:val="20"/>
                <w:szCs w:val="20"/>
                <w:color w:val="auto"/>
              </w:rPr>
            </w:pPr>
            <w:r>
              <w:rPr>
                <w:rFonts w:ascii="Arial" w:cs="Arial" w:eastAsia="Arial" w:hAnsi="Arial"/>
                <w:sz w:val="16"/>
                <w:szCs w:val="16"/>
                <w:color w:val="auto"/>
              </w:rPr>
              <w:t>20%</w:t>
            </w:r>
          </w:p>
        </w:tc>
        <w:tc>
          <w:tcPr>
            <w:tcW w:w="3680" w:type="dxa"/>
            <w:vAlign w:val="bottom"/>
            <w:gridSpan w:val="2"/>
            <w:shd w:val="clear" w:color="auto" w:fill="BFBFBF"/>
          </w:tcPr>
          <w:p>
            <w:pPr>
              <w:ind w:left="40"/>
              <w:spacing w:after="0"/>
              <w:rPr>
                <w:sz w:val="20"/>
                <w:szCs w:val="20"/>
                <w:color w:val="auto"/>
              </w:rPr>
            </w:pPr>
            <w:r>
              <w:rPr>
                <w:rFonts w:ascii="Arial" w:cs="Arial" w:eastAsia="Arial" w:hAnsi="Arial"/>
                <w:sz w:val="16"/>
                <w:szCs w:val="16"/>
                <w:color w:val="auto"/>
              </w:rPr>
              <w:t>Represents revenue for Uniti Fiber</w:t>
            </w:r>
          </w:p>
        </w:tc>
      </w:tr>
    </w:tbl>
    <w:p>
      <w:pPr>
        <w:spacing w:after="0" w:line="20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table below sets forth the performance goal levels, as well as actual results, for each performance measure:</w:t>
      </w:r>
    </w:p>
    <w:p>
      <w:pPr>
        <w:spacing w:after="0" w:line="175" w:lineRule="exact"/>
        <w:rPr>
          <w:sz w:val="20"/>
          <w:szCs w:val="20"/>
          <w:color w:val="auto"/>
        </w:rPr>
      </w:pPr>
    </w:p>
    <w:tbl>
      <w:tblPr>
        <w:tblLayout w:type="fixed"/>
        <w:tblInd w:w="1360" w:type="dxa"/>
        <w:tblCellMar>
          <w:top w:w="0" w:type="dxa"/>
          <w:left w:w="0" w:type="dxa"/>
          <w:bottom w:w="0" w:type="dxa"/>
          <w:right w:w="0" w:type="dxa"/>
        </w:tblCellMar>
      </w:tblPr>
      <w:tr>
        <w:trPr>
          <w:trHeight w:val="40"/>
        </w:trPr>
        <w:tc>
          <w:tcPr>
            <w:tcW w:w="8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122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r>
      <w:tr>
        <w:trPr>
          <w:trHeight w:val="113"/>
        </w:trPr>
        <w:tc>
          <w:tcPr>
            <w:tcW w:w="2580" w:type="dxa"/>
            <w:vAlign w:val="bottom"/>
            <w:gridSpan w:val="2"/>
          </w:tcPr>
          <w:p>
            <w:pPr>
              <w:ind w:left="20"/>
              <w:spacing w:after="0" w:line="113" w:lineRule="exact"/>
              <w:rPr>
                <w:sz w:val="20"/>
                <w:szCs w:val="20"/>
                <w:color w:val="auto"/>
              </w:rPr>
            </w:pPr>
            <w:r>
              <w:rPr>
                <w:rFonts w:ascii="Arial" w:cs="Arial" w:eastAsia="Arial" w:hAnsi="Arial"/>
                <w:sz w:val="13"/>
                <w:szCs w:val="13"/>
                <w:b w:val="1"/>
                <w:bCs w:val="1"/>
                <w:color w:val="auto"/>
              </w:rPr>
              <w:t>Performance</w:t>
            </w: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Borders>
              <w:right w:val="single" w:sz="8" w:color="auto"/>
            </w:tcBorders>
            <w:gridSpan w:val="2"/>
          </w:tcPr>
          <w:p>
            <w:pPr>
              <w:jc w:val="center"/>
              <w:ind w:right="160"/>
              <w:spacing w:after="0" w:line="113" w:lineRule="exact"/>
              <w:rPr>
                <w:sz w:val="20"/>
                <w:szCs w:val="20"/>
                <w:color w:val="auto"/>
              </w:rPr>
            </w:pPr>
            <w:r>
              <w:rPr>
                <w:rFonts w:ascii="Arial" w:cs="Arial" w:eastAsia="Arial" w:hAnsi="Arial"/>
                <w:sz w:val="13"/>
                <w:szCs w:val="13"/>
                <w:b w:val="1"/>
                <w:bCs w:val="1"/>
                <w:color w:val="auto"/>
              </w:rPr>
              <w:t>Actual</w:t>
            </w:r>
          </w:p>
        </w:tc>
        <w:tc>
          <w:tcPr>
            <w:tcW w:w="100" w:type="dxa"/>
            <w:vAlign w:val="bottom"/>
            <w:tcBorders>
              <w:right w:val="single" w:sz="8" w:color="auto"/>
            </w:tcBorders>
          </w:tcPr>
          <w:p>
            <w:pPr>
              <w:spacing w:after="0"/>
              <w:rPr>
                <w:sz w:val="9"/>
                <w:szCs w:val="9"/>
                <w:color w:val="auto"/>
              </w:rPr>
            </w:pPr>
          </w:p>
        </w:tc>
      </w:tr>
      <w:tr>
        <w:trPr>
          <w:trHeight w:val="160"/>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Measure</w:t>
            </w:r>
          </w:p>
        </w:tc>
        <w:tc>
          <w:tcPr>
            <w:tcW w:w="1760" w:type="dxa"/>
            <w:vAlign w:val="bottom"/>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Threshold</w:t>
            </w:r>
          </w:p>
        </w:tc>
        <w:tc>
          <w:tcPr>
            <w:tcW w:w="140" w:type="dxa"/>
            <w:vAlign w:val="bottom"/>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Target</w:t>
            </w:r>
          </w:p>
        </w:tc>
        <w:tc>
          <w:tcPr>
            <w:tcW w:w="140" w:type="dxa"/>
            <w:vAlign w:val="bottom"/>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Maximum</w:t>
            </w:r>
          </w:p>
        </w:tc>
        <w:tc>
          <w:tcPr>
            <w:tcW w:w="2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Results</w:t>
            </w:r>
          </w:p>
        </w:tc>
        <w:tc>
          <w:tcPr>
            <w:tcW w:w="180" w:type="dxa"/>
            <w:vAlign w:val="bottom"/>
            <w:tcBorders>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r>
      <w:tr>
        <w:trPr>
          <w:trHeight w:val="140"/>
        </w:trPr>
        <w:tc>
          <w:tcPr>
            <w:tcW w:w="2580" w:type="dxa"/>
            <w:vAlign w:val="bottom"/>
            <w:gridSpan w:val="2"/>
            <w:shd w:val="clear" w:color="auto" w:fill="BFBFBF"/>
          </w:tcPr>
          <w:p>
            <w:pPr>
              <w:ind w:left="20"/>
              <w:spacing w:after="0" w:line="141" w:lineRule="exact"/>
              <w:rPr>
                <w:sz w:val="20"/>
                <w:szCs w:val="20"/>
                <w:color w:val="auto"/>
              </w:rPr>
            </w:pPr>
            <w:r>
              <w:rPr>
                <w:rFonts w:ascii="Arial" w:cs="Arial" w:eastAsia="Arial" w:hAnsi="Arial"/>
                <w:sz w:val="13"/>
                <w:szCs w:val="13"/>
                <w:color w:val="auto"/>
              </w:rPr>
              <w:t>Sales bookings</w:t>
            </w:r>
          </w:p>
        </w:tc>
        <w:tc>
          <w:tcPr>
            <w:tcW w:w="1200" w:type="dxa"/>
            <w:vAlign w:val="bottom"/>
            <w:shd w:val="clear" w:color="auto" w:fill="BFBFBF"/>
          </w:tcPr>
          <w:p>
            <w:pPr>
              <w:jc w:val="center"/>
              <w:spacing w:after="0" w:line="141" w:lineRule="exact"/>
              <w:rPr>
                <w:sz w:val="20"/>
                <w:szCs w:val="20"/>
                <w:color w:val="auto"/>
              </w:rPr>
            </w:pPr>
            <w:r>
              <w:rPr>
                <w:rFonts w:ascii="Arial" w:cs="Arial" w:eastAsia="Arial" w:hAnsi="Arial"/>
                <w:sz w:val="13"/>
                <w:szCs w:val="13"/>
                <w:color w:val="auto"/>
                <w:w w:val="99"/>
              </w:rPr>
              <w:t>$1.5M</w:t>
            </w:r>
          </w:p>
        </w:tc>
        <w:tc>
          <w:tcPr>
            <w:tcW w:w="140" w:type="dxa"/>
            <w:vAlign w:val="bottom"/>
            <w:shd w:val="clear" w:color="auto" w:fill="BFBFBF"/>
          </w:tcPr>
          <w:p>
            <w:pPr>
              <w:spacing w:after="0"/>
              <w:rPr>
                <w:sz w:val="12"/>
                <w:szCs w:val="12"/>
                <w:color w:val="auto"/>
              </w:rPr>
            </w:pPr>
          </w:p>
        </w:tc>
        <w:tc>
          <w:tcPr>
            <w:tcW w:w="1320" w:type="dxa"/>
            <w:vAlign w:val="bottom"/>
            <w:shd w:val="clear" w:color="auto" w:fill="BFBFBF"/>
          </w:tcPr>
          <w:p>
            <w:pPr>
              <w:jc w:val="center"/>
              <w:spacing w:after="0" w:line="141" w:lineRule="exact"/>
              <w:rPr>
                <w:sz w:val="20"/>
                <w:szCs w:val="20"/>
                <w:color w:val="auto"/>
              </w:rPr>
            </w:pPr>
            <w:r>
              <w:rPr>
                <w:rFonts w:ascii="Arial" w:cs="Arial" w:eastAsia="Arial" w:hAnsi="Arial"/>
                <w:sz w:val="13"/>
                <w:szCs w:val="13"/>
                <w:color w:val="auto"/>
                <w:w w:val="99"/>
              </w:rPr>
              <w:t>$2.0M</w:t>
            </w:r>
          </w:p>
        </w:tc>
        <w:tc>
          <w:tcPr>
            <w:tcW w:w="140" w:type="dxa"/>
            <w:vAlign w:val="bottom"/>
            <w:shd w:val="clear" w:color="auto" w:fill="BFBFBF"/>
          </w:tcPr>
          <w:p>
            <w:pPr>
              <w:spacing w:after="0"/>
              <w:rPr>
                <w:sz w:val="12"/>
                <w:szCs w:val="12"/>
                <w:color w:val="auto"/>
              </w:rPr>
            </w:pPr>
          </w:p>
        </w:tc>
        <w:tc>
          <w:tcPr>
            <w:tcW w:w="1560" w:type="dxa"/>
            <w:vAlign w:val="bottom"/>
            <w:tcBorders>
              <w:right w:val="single" w:sz="8" w:color="auto"/>
            </w:tcBorders>
            <w:gridSpan w:val="2"/>
            <w:shd w:val="clear" w:color="auto" w:fill="BFBFBF"/>
          </w:tcPr>
          <w:p>
            <w:pPr>
              <w:jc w:val="center"/>
              <w:ind w:right="240"/>
              <w:spacing w:after="0" w:line="141" w:lineRule="exact"/>
              <w:rPr>
                <w:sz w:val="20"/>
                <w:szCs w:val="20"/>
                <w:color w:val="auto"/>
              </w:rPr>
            </w:pPr>
            <w:r>
              <w:rPr>
                <w:rFonts w:ascii="Arial" w:cs="Arial" w:eastAsia="Arial" w:hAnsi="Arial"/>
                <w:sz w:val="13"/>
                <w:szCs w:val="13"/>
                <w:color w:val="auto"/>
                <w:w w:val="99"/>
              </w:rPr>
              <w:t>$2.5M</w:t>
            </w:r>
          </w:p>
        </w:tc>
        <w:tc>
          <w:tcPr>
            <w:tcW w:w="140" w:type="dxa"/>
            <w:vAlign w:val="bottom"/>
            <w:shd w:val="clear" w:color="auto" w:fill="BFBFBF"/>
          </w:tcPr>
          <w:p>
            <w:pPr>
              <w:spacing w:after="0"/>
              <w:rPr>
                <w:sz w:val="12"/>
                <w:szCs w:val="12"/>
                <w:color w:val="auto"/>
              </w:rPr>
            </w:pPr>
          </w:p>
        </w:tc>
        <w:tc>
          <w:tcPr>
            <w:tcW w:w="1220" w:type="dxa"/>
            <w:vAlign w:val="bottom"/>
            <w:shd w:val="clear" w:color="auto" w:fill="BFBFBF"/>
          </w:tcPr>
          <w:p>
            <w:pPr>
              <w:jc w:val="center"/>
              <w:spacing w:after="0" w:line="141" w:lineRule="exact"/>
              <w:rPr>
                <w:sz w:val="20"/>
                <w:szCs w:val="20"/>
                <w:color w:val="auto"/>
              </w:rPr>
            </w:pPr>
            <w:r>
              <w:rPr>
                <w:rFonts w:ascii="Arial" w:cs="Arial" w:eastAsia="Arial" w:hAnsi="Arial"/>
                <w:sz w:val="13"/>
                <w:szCs w:val="13"/>
                <w:b w:val="1"/>
                <w:bCs w:val="1"/>
                <w:color w:val="auto"/>
                <w:w w:val="99"/>
              </w:rPr>
              <w:t>$1.4M</w:t>
            </w:r>
          </w:p>
        </w:tc>
        <w:tc>
          <w:tcPr>
            <w:tcW w:w="180" w:type="dxa"/>
            <w:vAlign w:val="bottom"/>
            <w:tcBorders>
              <w:right w:val="single" w:sz="8" w:color="auto"/>
            </w:tcBorders>
            <w:shd w:val="clear" w:color="auto" w:fill="BFBFBF"/>
          </w:tcPr>
          <w:p>
            <w:pPr>
              <w:spacing w:after="0"/>
              <w:rPr>
                <w:sz w:val="12"/>
                <w:szCs w:val="12"/>
                <w:color w:val="auto"/>
              </w:rPr>
            </w:pPr>
          </w:p>
        </w:tc>
        <w:tc>
          <w:tcPr>
            <w:tcW w:w="100" w:type="dxa"/>
            <w:vAlign w:val="bottom"/>
            <w:tcBorders>
              <w:right w:val="single" w:sz="8" w:color="auto"/>
            </w:tcBorders>
            <w:shd w:val="clear" w:color="auto" w:fill="BFBFBF"/>
          </w:tcPr>
          <w:p>
            <w:pPr>
              <w:spacing w:after="0"/>
              <w:rPr>
                <w:sz w:val="12"/>
                <w:szCs w:val="12"/>
                <w:color w:val="auto"/>
              </w:rPr>
            </w:pPr>
          </w:p>
        </w:tc>
      </w:tr>
      <w:tr>
        <w:trPr>
          <w:trHeight w:val="148"/>
        </w:trPr>
        <w:tc>
          <w:tcPr>
            <w:tcW w:w="25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Normalized Adjusted EBITDA</w:t>
            </w:r>
          </w:p>
        </w:tc>
        <w:tc>
          <w:tcPr>
            <w:tcW w:w="1200" w:type="dxa"/>
            <w:vAlign w:val="bottom"/>
          </w:tcPr>
          <w:p>
            <w:pPr>
              <w:jc w:val="center"/>
              <w:spacing w:after="0" w:line="148" w:lineRule="exact"/>
              <w:rPr>
                <w:sz w:val="20"/>
                <w:szCs w:val="20"/>
                <w:color w:val="auto"/>
              </w:rPr>
            </w:pPr>
            <w:r>
              <w:rPr>
                <w:rFonts w:ascii="Arial" w:cs="Arial" w:eastAsia="Arial" w:hAnsi="Arial"/>
                <w:sz w:val="13"/>
                <w:szCs w:val="13"/>
                <w:color w:val="auto"/>
                <w:w w:val="98"/>
              </w:rPr>
              <w:t>$50M</w:t>
            </w:r>
          </w:p>
        </w:tc>
        <w:tc>
          <w:tcPr>
            <w:tcW w:w="140" w:type="dxa"/>
            <w:vAlign w:val="bottom"/>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Arial" w:cs="Arial" w:eastAsia="Arial" w:hAnsi="Arial"/>
                <w:sz w:val="13"/>
                <w:szCs w:val="13"/>
                <w:color w:val="auto"/>
              </w:rPr>
              <w:t>$52M</w:t>
            </w:r>
          </w:p>
        </w:tc>
        <w:tc>
          <w:tcPr>
            <w:tcW w:w="140" w:type="dxa"/>
            <w:vAlign w:val="bottom"/>
          </w:tcPr>
          <w:p>
            <w:pPr>
              <w:spacing w:after="0"/>
              <w:rPr>
                <w:sz w:val="12"/>
                <w:szCs w:val="12"/>
                <w:color w:val="auto"/>
              </w:rPr>
            </w:pPr>
          </w:p>
        </w:tc>
        <w:tc>
          <w:tcPr>
            <w:tcW w:w="1560" w:type="dxa"/>
            <w:vAlign w:val="bottom"/>
            <w:tcBorders>
              <w:right w:val="single" w:sz="8" w:color="auto"/>
            </w:tcBorders>
            <w:gridSpan w:val="2"/>
          </w:tcPr>
          <w:p>
            <w:pPr>
              <w:jc w:val="center"/>
              <w:ind w:right="240"/>
              <w:spacing w:after="0" w:line="148" w:lineRule="exact"/>
              <w:rPr>
                <w:sz w:val="20"/>
                <w:szCs w:val="20"/>
                <w:color w:val="auto"/>
              </w:rPr>
            </w:pPr>
            <w:r>
              <w:rPr>
                <w:rFonts w:ascii="Arial" w:cs="Arial" w:eastAsia="Arial" w:hAnsi="Arial"/>
                <w:sz w:val="13"/>
                <w:szCs w:val="13"/>
                <w:color w:val="auto"/>
                <w:w w:val="98"/>
              </w:rPr>
              <w:t>$54M</w:t>
            </w:r>
          </w:p>
        </w:tc>
        <w:tc>
          <w:tcPr>
            <w:tcW w:w="140" w:type="dxa"/>
            <w:vAlign w:val="bottom"/>
          </w:tcPr>
          <w:p>
            <w:pPr>
              <w:spacing w:after="0"/>
              <w:rPr>
                <w:sz w:val="12"/>
                <w:szCs w:val="12"/>
                <w:color w:val="auto"/>
              </w:rPr>
            </w:pPr>
          </w:p>
        </w:tc>
        <w:tc>
          <w:tcPr>
            <w:tcW w:w="1400" w:type="dxa"/>
            <w:vAlign w:val="bottom"/>
            <w:tcBorders>
              <w:right w:val="single" w:sz="8" w:color="auto"/>
            </w:tcBorders>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rPr>
              <w:t>$51.1M</w:t>
            </w:r>
          </w:p>
        </w:tc>
        <w:tc>
          <w:tcPr>
            <w:tcW w:w="100" w:type="dxa"/>
            <w:vAlign w:val="bottom"/>
            <w:tcBorders>
              <w:right w:val="single" w:sz="8" w:color="auto"/>
            </w:tcBorders>
          </w:tcPr>
          <w:p>
            <w:pPr>
              <w:spacing w:after="0"/>
              <w:rPr>
                <w:sz w:val="12"/>
                <w:szCs w:val="12"/>
                <w:color w:val="auto"/>
              </w:rPr>
            </w:pPr>
          </w:p>
        </w:tc>
      </w:tr>
      <w:tr>
        <w:trPr>
          <w:trHeight w:val="148"/>
        </w:trPr>
        <w:tc>
          <w:tcPr>
            <w:tcW w:w="2580" w:type="dxa"/>
            <w:vAlign w:val="bottom"/>
            <w:gridSpan w:val="2"/>
            <w:shd w:val="clear" w:color="auto" w:fill="BFBFBF"/>
          </w:tcPr>
          <w:p>
            <w:pPr>
              <w:ind w:left="20"/>
              <w:spacing w:after="0" w:line="148" w:lineRule="exact"/>
              <w:rPr>
                <w:sz w:val="20"/>
                <w:szCs w:val="20"/>
                <w:color w:val="auto"/>
              </w:rPr>
            </w:pPr>
            <w:r>
              <w:rPr>
                <w:rFonts w:ascii="Arial" w:cs="Arial" w:eastAsia="Arial" w:hAnsi="Arial"/>
                <w:sz w:val="13"/>
                <w:szCs w:val="13"/>
                <w:color w:val="auto"/>
              </w:rPr>
              <w:t>Normalized Revenue</w:t>
            </w:r>
          </w:p>
        </w:tc>
        <w:tc>
          <w:tcPr>
            <w:tcW w:w="1200" w:type="dxa"/>
            <w:vAlign w:val="bottom"/>
            <w:shd w:val="clear" w:color="auto" w:fill="BFBFBF"/>
          </w:tcPr>
          <w:p>
            <w:pPr>
              <w:jc w:val="center"/>
              <w:spacing w:after="0" w:line="148" w:lineRule="exact"/>
              <w:rPr>
                <w:sz w:val="20"/>
                <w:szCs w:val="20"/>
                <w:color w:val="auto"/>
              </w:rPr>
            </w:pPr>
            <w:r>
              <w:rPr>
                <w:rFonts w:ascii="Arial" w:cs="Arial" w:eastAsia="Arial" w:hAnsi="Arial"/>
                <w:sz w:val="13"/>
                <w:szCs w:val="13"/>
                <w:color w:val="auto"/>
              </w:rPr>
              <w:t>$132M</w:t>
            </w:r>
          </w:p>
        </w:tc>
        <w:tc>
          <w:tcPr>
            <w:tcW w:w="140" w:type="dxa"/>
            <w:vAlign w:val="bottom"/>
            <w:shd w:val="clear" w:color="auto" w:fill="BFBFBF"/>
          </w:tcPr>
          <w:p>
            <w:pPr>
              <w:spacing w:after="0"/>
              <w:rPr>
                <w:sz w:val="12"/>
                <w:szCs w:val="12"/>
                <w:color w:val="auto"/>
              </w:rPr>
            </w:pPr>
          </w:p>
        </w:tc>
        <w:tc>
          <w:tcPr>
            <w:tcW w:w="1320" w:type="dxa"/>
            <w:vAlign w:val="bottom"/>
            <w:shd w:val="clear" w:color="auto" w:fill="BFBFBF"/>
          </w:tcPr>
          <w:p>
            <w:pPr>
              <w:jc w:val="center"/>
              <w:spacing w:after="0" w:line="148" w:lineRule="exact"/>
              <w:rPr>
                <w:sz w:val="20"/>
                <w:szCs w:val="20"/>
                <w:color w:val="auto"/>
              </w:rPr>
            </w:pPr>
            <w:r>
              <w:rPr>
                <w:rFonts w:ascii="Arial" w:cs="Arial" w:eastAsia="Arial" w:hAnsi="Arial"/>
                <w:sz w:val="13"/>
                <w:szCs w:val="13"/>
                <w:color w:val="auto"/>
              </w:rPr>
              <w:t>$136M</w:t>
            </w:r>
          </w:p>
        </w:tc>
        <w:tc>
          <w:tcPr>
            <w:tcW w:w="140" w:type="dxa"/>
            <w:vAlign w:val="bottom"/>
            <w:shd w:val="clear" w:color="auto" w:fill="BFBFBF"/>
          </w:tcPr>
          <w:p>
            <w:pPr>
              <w:spacing w:after="0"/>
              <w:rPr>
                <w:sz w:val="12"/>
                <w:szCs w:val="12"/>
                <w:color w:val="auto"/>
              </w:rPr>
            </w:pPr>
          </w:p>
        </w:tc>
        <w:tc>
          <w:tcPr>
            <w:tcW w:w="1560" w:type="dxa"/>
            <w:vAlign w:val="bottom"/>
            <w:tcBorders>
              <w:right w:val="single" w:sz="8" w:color="auto"/>
            </w:tcBorders>
            <w:gridSpan w:val="2"/>
            <w:shd w:val="clear" w:color="auto" w:fill="BFBFBF"/>
          </w:tcPr>
          <w:p>
            <w:pPr>
              <w:jc w:val="center"/>
              <w:ind w:right="240"/>
              <w:spacing w:after="0" w:line="148" w:lineRule="exact"/>
              <w:rPr>
                <w:sz w:val="20"/>
                <w:szCs w:val="20"/>
                <w:color w:val="auto"/>
              </w:rPr>
            </w:pPr>
            <w:r>
              <w:rPr>
                <w:rFonts w:ascii="Arial" w:cs="Arial" w:eastAsia="Arial" w:hAnsi="Arial"/>
                <w:sz w:val="13"/>
                <w:szCs w:val="13"/>
                <w:color w:val="auto"/>
              </w:rPr>
              <w:t>$140M</w:t>
            </w:r>
          </w:p>
        </w:tc>
        <w:tc>
          <w:tcPr>
            <w:tcW w:w="140" w:type="dxa"/>
            <w:vAlign w:val="bottom"/>
            <w:shd w:val="clear" w:color="auto" w:fill="BFBFBF"/>
          </w:tcPr>
          <w:p>
            <w:pPr>
              <w:spacing w:after="0"/>
              <w:rPr>
                <w:sz w:val="12"/>
                <w:szCs w:val="12"/>
                <w:color w:val="auto"/>
              </w:rPr>
            </w:pPr>
          </w:p>
        </w:tc>
        <w:tc>
          <w:tcPr>
            <w:tcW w:w="1400" w:type="dxa"/>
            <w:vAlign w:val="bottom"/>
            <w:tcBorders>
              <w:right w:val="single" w:sz="8" w:color="auto"/>
            </w:tcBorders>
            <w:gridSpan w:val="2"/>
            <w:shd w:val="clear" w:color="auto" w:fill="BFBFBF"/>
          </w:tcPr>
          <w:p>
            <w:pPr>
              <w:jc w:val="center"/>
              <w:ind w:right="160"/>
              <w:spacing w:after="0" w:line="148" w:lineRule="exact"/>
              <w:rPr>
                <w:sz w:val="20"/>
                <w:szCs w:val="20"/>
                <w:color w:val="auto"/>
              </w:rPr>
            </w:pPr>
            <w:r>
              <w:rPr>
                <w:rFonts w:ascii="Arial" w:cs="Arial" w:eastAsia="Arial" w:hAnsi="Arial"/>
                <w:sz w:val="13"/>
                <w:szCs w:val="13"/>
                <w:b w:val="1"/>
                <w:bCs w:val="1"/>
                <w:color w:val="auto"/>
              </w:rPr>
              <w:t>$141.2M</w:t>
            </w:r>
          </w:p>
        </w:tc>
        <w:tc>
          <w:tcPr>
            <w:tcW w:w="100" w:type="dxa"/>
            <w:vAlign w:val="bottom"/>
            <w:tcBorders>
              <w:right w:val="single" w:sz="8" w:color="auto"/>
            </w:tcBorders>
            <w:shd w:val="clear" w:color="auto" w:fill="BFBFBF"/>
          </w:tcPr>
          <w:p>
            <w:pPr>
              <w:spacing w:after="0"/>
              <w:rPr>
                <w:sz w:val="12"/>
                <w:szCs w:val="12"/>
                <w:color w:val="auto"/>
              </w:rPr>
            </w:pPr>
          </w:p>
        </w:tc>
      </w:tr>
      <w:tr>
        <w:trPr>
          <w:trHeight w:val="185"/>
        </w:trPr>
        <w:tc>
          <w:tcPr>
            <w:tcW w:w="2580" w:type="dxa"/>
            <w:vAlign w:val="bottom"/>
            <w:gridSpan w:val="2"/>
          </w:tcPr>
          <w:p>
            <w:pPr>
              <w:ind w:left="20"/>
              <w:spacing w:after="0"/>
              <w:rPr>
                <w:sz w:val="20"/>
                <w:szCs w:val="20"/>
                <w:color w:val="auto"/>
              </w:rPr>
            </w:pPr>
            <w:r>
              <w:rPr>
                <w:rFonts w:ascii="Arial" w:cs="Arial" w:eastAsia="Arial" w:hAnsi="Arial"/>
                <w:sz w:val="13"/>
                <w:szCs w:val="13"/>
                <w:b w:val="1"/>
                <w:bCs w:val="1"/>
                <w:color w:val="auto"/>
              </w:rPr>
              <w:t>Payout Opportunity</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8"/>
              </w:rPr>
              <w:t>50% of Target</w:t>
            </w:r>
          </w:p>
        </w:tc>
        <w:tc>
          <w:tcPr>
            <w:tcW w:w="14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9"/>
              </w:rPr>
              <w:t>100% of Target</w:t>
            </w:r>
          </w:p>
        </w:tc>
        <w:tc>
          <w:tcPr>
            <w:tcW w:w="140" w:type="dxa"/>
            <w:vAlign w:val="bottom"/>
          </w:tcPr>
          <w:p>
            <w:pPr>
              <w:spacing w:after="0"/>
              <w:rPr>
                <w:sz w:val="16"/>
                <w:szCs w:val="16"/>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9"/>
              </w:rPr>
              <w:t>150% of Target</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8"/>
              </w:rPr>
              <w:t>61% of Target</w:t>
            </w:r>
          </w:p>
        </w:tc>
        <w:tc>
          <w:tcPr>
            <w:tcW w:w="100" w:type="dxa"/>
            <w:vAlign w:val="bottom"/>
            <w:tcBorders>
              <w:bottom w:val="single" w:sz="8" w:color="auto"/>
              <w:right w:val="single" w:sz="8" w:color="auto"/>
            </w:tcBorders>
          </w:tcPr>
          <w:p>
            <w:pPr>
              <w:spacing w:after="0"/>
              <w:rPr>
                <w:sz w:val="16"/>
                <w:szCs w:val="16"/>
                <w:color w:val="auto"/>
              </w:rPr>
            </w:pPr>
          </w:p>
        </w:tc>
      </w:tr>
      <w:tr>
        <w:trPr>
          <w:trHeight w:val="20"/>
        </w:trPr>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60" w:firstLine="615"/>
        <w:spacing w:after="0" w:line="247" w:lineRule="auto"/>
        <w:rPr>
          <w:sz w:val="20"/>
          <w:szCs w:val="20"/>
          <w:color w:val="auto"/>
        </w:rPr>
      </w:pPr>
      <w:r>
        <w:rPr>
          <w:rFonts w:ascii="Arial" w:cs="Arial" w:eastAsia="Arial" w:hAnsi="Arial"/>
          <w:sz w:val="16"/>
          <w:szCs w:val="16"/>
          <w:color w:val="auto"/>
        </w:rPr>
        <w:t>As reflected in the table above, Uniti Fiber exceeded the maximum performance goal for Normalized Revenue, finished between the threshold and target performance goals for Normalized Adjusted EBITDA and did not achieve the threshold level of performance for sales bookings. Based on such performance, Mr. Mudry was eligible to receive a payout equal to $214,235 (or 61% of his target cash incentive). The</w:t>
      </w:r>
    </w:p>
    <w:p>
      <w:pPr>
        <w:spacing w:after="0" w:line="184"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040"/>
          </w:cols>
          <w:pgMar w:left="240" w:top="142" w:right="61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Compensation Committee adjusted the actual payout to Mr. Mudry upward to $264,235 to reflect changes at Uniti Fiber resulting from the acquisition of Hunt Telecommunications, LLC and Southern Light, LLC that impacted the three quantitative measures applicable to Uniti Fiber.</w:t>
      </w:r>
    </w:p>
    <w:p>
      <w:pPr>
        <w:spacing w:after="0" w:line="348" w:lineRule="exact"/>
        <w:rPr>
          <w:sz w:val="20"/>
          <w:szCs w:val="20"/>
          <w:color w:val="auto"/>
        </w:rPr>
      </w:pPr>
    </w:p>
    <w:p>
      <w:pPr>
        <w:ind w:firstLine="624"/>
        <w:spacing w:after="0" w:line="243" w:lineRule="auto"/>
        <w:rPr>
          <w:sz w:val="20"/>
          <w:szCs w:val="20"/>
          <w:color w:val="auto"/>
        </w:rPr>
      </w:pPr>
      <w:r>
        <w:rPr>
          <w:rFonts w:ascii="Arial" w:cs="Arial" w:eastAsia="Arial" w:hAnsi="Arial"/>
          <w:sz w:val="16"/>
          <w:szCs w:val="16"/>
          <w:i w:val="1"/>
          <w:iCs w:val="1"/>
          <w:color w:val="00ACD2"/>
        </w:rPr>
        <w:t xml:space="preserve">Equity-Based Compensation. </w:t>
      </w:r>
      <w:r>
        <w:rPr>
          <w:rFonts w:ascii="Arial" w:cs="Arial" w:eastAsia="Arial" w:hAnsi="Arial"/>
          <w:sz w:val="16"/>
          <w:szCs w:val="16"/>
          <w:color w:val="000000"/>
        </w:rPr>
        <w:t>The Uniti Group Inc. 2015 Equity Incentive Plan (the "Long-Term Incentive Plan") permits us to make grants of equity</w:t>
      </w:r>
      <w:r>
        <w:rPr>
          <w:rFonts w:ascii="Arial" w:cs="Arial" w:eastAsia="Arial" w:hAnsi="Arial"/>
          <w:sz w:val="16"/>
          <w:szCs w:val="16"/>
          <w:i w:val="1"/>
          <w:iCs w:val="1"/>
          <w:color w:val="00ACD2"/>
        </w:rPr>
        <w:t xml:space="preserve"> </w:t>
      </w:r>
      <w:r>
        <w:rPr>
          <w:rFonts w:ascii="Arial" w:cs="Arial" w:eastAsia="Arial" w:hAnsi="Arial"/>
          <w:sz w:val="16"/>
          <w:szCs w:val="16"/>
          <w:color w:val="000000"/>
        </w:rPr>
        <w:t>awards to our employees, including our executive officers. We make equity grants to our executive officers as part of our annual compensation program to align their long-term interests with that of our stockholders and to maintain the competitiveness of our total compensation package. It is the Compensation Committee's policy to review and grant all annual equity compensation awards to directors, executive officers, and all other eligible employees at its first regularly scheduled meeting of each year, which it expects to occur in February of each year, with each such grant based on the average closing price of our common stock as reported on NASDAQ for the 20 trading days prior to the grant date. During 2017, we granted time-based restricted stock and performance-based restricted stock units ("RSUs") to our executive officers. Holders of time-based restricted stock are entitled to dividends when paid by the Company and performance-based RSUs accrue a dividend equivalent that is paid in cash, when and solely to the extent that the underlying RSUs vest. The Compensation Committee believes restricted stock and performance-based RSUs are a more meaningful tool for compensating our executive officers as compared to stock options because the value of our stock, as is the case with other REITs, is principally determined by its dividend yield relative to market interest rates rather than by its potential for capital appreciation. Because the incentive value of stock options is tied to future appreciation in stock price and because the high dividend rate of REIT stocks tends to diminish the potential future appreciation in the price of such stocks, the Compensation Committee believes stock options may not provide appropriate incentives for management. The Compensation Committee also views restricted stock and performance-based RSUs as being more effective in managing equity plan dilution.</w:t>
      </w:r>
    </w:p>
    <w:p>
      <w:pPr>
        <w:spacing w:after="0" w:line="195" w:lineRule="exact"/>
        <w:rPr>
          <w:sz w:val="20"/>
          <w:szCs w:val="20"/>
          <w:color w:val="auto"/>
        </w:rPr>
      </w:pPr>
    </w:p>
    <w:p>
      <w:pPr>
        <w:ind w:right="100" w:firstLine="624"/>
        <w:spacing w:after="0" w:line="247" w:lineRule="auto"/>
        <w:rPr>
          <w:sz w:val="20"/>
          <w:szCs w:val="20"/>
          <w:color w:val="auto"/>
        </w:rPr>
      </w:pPr>
      <w:r>
        <w:rPr>
          <w:rFonts w:ascii="Arial" w:cs="Arial" w:eastAsia="Arial" w:hAnsi="Arial"/>
          <w:sz w:val="16"/>
          <w:szCs w:val="16"/>
          <w:color w:val="auto"/>
        </w:rPr>
        <w:t>During 2017, we made the following equity grants to Messrs. Gunderman, Wallace, Heard and Mudry, of which (i) 50% was in the form of performance-based RSUs that are eligible for vesting in March 2020 if we meet specified relative total shareholder return ("TSR") performance goals, as further described below, and (ii) 50% was in the form of time-based restricted stock that vests in three equal installments on March 1 of each year, beginning on March 1, 2017.</w:t>
      </w:r>
    </w:p>
    <w:p>
      <w:pPr>
        <w:spacing w:after="0" w:line="164" w:lineRule="exact"/>
        <w:rPr>
          <w:sz w:val="20"/>
          <w:szCs w:val="20"/>
          <w:color w:val="auto"/>
        </w:rPr>
      </w:pPr>
    </w:p>
    <w:tbl>
      <w:tblPr>
        <w:tblLayout w:type="fixed"/>
        <w:tblInd w:w="2280" w:type="dxa"/>
        <w:tblCellMar>
          <w:top w:w="0" w:type="dxa"/>
          <w:left w:w="0" w:type="dxa"/>
          <w:bottom w:w="0" w:type="dxa"/>
          <w:right w:w="0" w:type="dxa"/>
        </w:tblCellMar>
      </w:tblPr>
      <w:tr>
        <w:trPr>
          <w:trHeight w:val="185"/>
        </w:trPr>
        <w:tc>
          <w:tcPr>
            <w:tcW w:w="4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5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8"/>
              </w:rPr>
              <w:t>Target Value of</w:t>
            </w:r>
          </w:p>
        </w:tc>
      </w:tr>
      <w:tr>
        <w:trPr>
          <w:trHeight w:val="185"/>
        </w:trPr>
        <w:tc>
          <w:tcPr>
            <w:tcW w:w="4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5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Restricted</w:t>
            </w:r>
          </w:p>
        </w:tc>
      </w:tr>
      <w:tr>
        <w:trPr>
          <w:trHeight w:val="185"/>
        </w:trPr>
        <w:tc>
          <w:tcPr>
            <w:tcW w:w="4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580" w:type="dxa"/>
            <w:vAlign w:val="bottom"/>
            <w:gridSpan w:val="3"/>
          </w:tcPr>
          <w:p>
            <w:pPr>
              <w:jc w:val="center"/>
              <w:spacing w:after="0"/>
              <w:rPr>
                <w:sz w:val="20"/>
                <w:szCs w:val="20"/>
                <w:color w:val="auto"/>
              </w:rPr>
            </w:pPr>
            <w:r>
              <w:rPr>
                <w:rFonts w:ascii="Arial" w:cs="Arial" w:eastAsia="Arial" w:hAnsi="Arial"/>
                <w:sz w:val="16"/>
                <w:szCs w:val="16"/>
                <w:b w:val="1"/>
                <w:bCs w:val="1"/>
                <w:color w:val="auto"/>
              </w:rPr>
              <w:t>Shares and RSUs</w:t>
            </w:r>
          </w:p>
        </w:tc>
      </w:tr>
      <w:tr>
        <w:trPr>
          <w:trHeight w:val="202"/>
        </w:trPr>
        <w:tc>
          <w:tcPr>
            <w:tcW w:w="514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7"/>
                <w:szCs w:val="17"/>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5140" w:type="dxa"/>
            <w:vAlign w:val="bottom"/>
            <w:gridSpan w:val="2"/>
            <w:shd w:val="clear" w:color="auto" w:fill="BFBFBF"/>
          </w:tcPr>
          <w:p>
            <w:pPr>
              <w:spacing w:after="0" w:line="178" w:lineRule="exact"/>
              <w:rPr>
                <w:sz w:val="20"/>
                <w:szCs w:val="20"/>
                <w:color w:val="auto"/>
              </w:rPr>
            </w:pPr>
            <w:r>
              <w:rPr>
                <w:rFonts w:ascii="Arial" w:cs="Arial" w:eastAsia="Arial" w:hAnsi="Arial"/>
                <w:sz w:val="16"/>
                <w:szCs w:val="16"/>
                <w:color w:val="auto"/>
              </w:rPr>
              <w:t>Kenneth A. Gunderman</w:t>
            </w:r>
          </w:p>
        </w:tc>
        <w:tc>
          <w:tcPr>
            <w:tcW w:w="840" w:type="dxa"/>
            <w:vAlign w:val="bottom"/>
            <w:shd w:val="clear" w:color="auto" w:fill="BFBFBF"/>
          </w:tcPr>
          <w:p>
            <w:pPr>
              <w:jc w:val="right"/>
              <w:ind w:right="660"/>
              <w:spacing w:after="0" w:line="178"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BFBFBF"/>
          </w:tcPr>
          <w:p>
            <w:pPr>
              <w:ind w:left="20"/>
              <w:spacing w:after="0" w:line="178" w:lineRule="exact"/>
              <w:rPr>
                <w:sz w:val="20"/>
                <w:szCs w:val="20"/>
                <w:color w:val="auto"/>
              </w:rPr>
            </w:pPr>
            <w:r>
              <w:rPr>
                <w:rFonts w:ascii="Arial" w:cs="Arial" w:eastAsia="Arial" w:hAnsi="Arial"/>
                <w:sz w:val="16"/>
                <w:szCs w:val="16"/>
                <w:color w:val="auto"/>
                <w:w w:val="95"/>
              </w:rPr>
              <w:t>2,718,750</w:t>
            </w:r>
          </w:p>
        </w:tc>
        <w:tc>
          <w:tcPr>
            <w:tcW w:w="20" w:type="dxa"/>
            <w:vAlign w:val="bottom"/>
          </w:tcPr>
          <w:p>
            <w:pPr>
              <w:spacing w:after="0"/>
              <w:rPr>
                <w:sz w:val="15"/>
                <w:szCs w:val="15"/>
                <w:color w:val="auto"/>
              </w:rPr>
            </w:pPr>
          </w:p>
        </w:tc>
      </w:tr>
      <w:tr>
        <w:trPr>
          <w:trHeight w:val="185"/>
        </w:trPr>
        <w:tc>
          <w:tcPr>
            <w:tcW w:w="5140" w:type="dxa"/>
            <w:vAlign w:val="bottom"/>
            <w:gridSpan w:val="2"/>
          </w:tcPr>
          <w:p>
            <w:pPr>
              <w:spacing w:after="0"/>
              <w:rPr>
                <w:sz w:val="20"/>
                <w:szCs w:val="20"/>
                <w:color w:val="auto"/>
              </w:rPr>
            </w:pPr>
            <w:r>
              <w:rPr>
                <w:rFonts w:ascii="Arial" w:cs="Arial" w:eastAsia="Arial" w:hAnsi="Arial"/>
                <w:sz w:val="16"/>
                <w:szCs w:val="16"/>
                <w:color w:val="auto"/>
              </w:rPr>
              <w:t>Mark A. Wallace</w:t>
            </w:r>
          </w:p>
        </w:tc>
        <w:tc>
          <w:tcPr>
            <w:tcW w:w="840" w:type="dxa"/>
            <w:vAlign w:val="bottom"/>
          </w:tcPr>
          <w:p>
            <w:pPr>
              <w:jc w:val="right"/>
              <w:ind w:right="660"/>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ind w:left="160"/>
              <w:spacing w:after="0"/>
              <w:rPr>
                <w:sz w:val="20"/>
                <w:szCs w:val="20"/>
                <w:color w:val="auto"/>
              </w:rPr>
            </w:pPr>
            <w:r>
              <w:rPr>
                <w:rFonts w:ascii="Arial" w:cs="Arial" w:eastAsia="Arial" w:hAnsi="Arial"/>
                <w:sz w:val="16"/>
                <w:szCs w:val="16"/>
                <w:color w:val="auto"/>
                <w:w w:val="96"/>
              </w:rPr>
              <w:t>787,500</w:t>
            </w:r>
          </w:p>
        </w:tc>
      </w:tr>
      <w:tr>
        <w:trPr>
          <w:trHeight w:val="185"/>
        </w:trPr>
        <w:tc>
          <w:tcPr>
            <w:tcW w:w="5140" w:type="dxa"/>
            <w:vAlign w:val="bottom"/>
            <w:gridSpan w:val="2"/>
            <w:shd w:val="clear" w:color="auto" w:fill="BFBFBF"/>
          </w:tcPr>
          <w:p>
            <w:pPr>
              <w:spacing w:after="0"/>
              <w:rPr>
                <w:sz w:val="20"/>
                <w:szCs w:val="20"/>
                <w:color w:val="auto"/>
              </w:rPr>
            </w:pPr>
            <w:r>
              <w:rPr>
                <w:rFonts w:ascii="Arial" w:cs="Arial" w:eastAsia="Arial" w:hAnsi="Arial"/>
                <w:sz w:val="16"/>
                <w:szCs w:val="16"/>
                <w:color w:val="auto"/>
              </w:rPr>
              <w:t>Daniel L. Heard</w:t>
            </w:r>
          </w:p>
        </w:tc>
        <w:tc>
          <w:tcPr>
            <w:tcW w:w="840" w:type="dxa"/>
            <w:vAlign w:val="bottom"/>
            <w:shd w:val="clear" w:color="auto" w:fill="BFBFBF"/>
          </w:tcPr>
          <w:p>
            <w:pPr>
              <w:jc w:val="right"/>
              <w:ind w:right="66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BFBFBF"/>
          </w:tcPr>
          <w:p>
            <w:pPr>
              <w:ind w:left="160"/>
              <w:spacing w:after="0"/>
              <w:rPr>
                <w:sz w:val="20"/>
                <w:szCs w:val="20"/>
                <w:color w:val="auto"/>
              </w:rPr>
            </w:pPr>
            <w:r>
              <w:rPr>
                <w:rFonts w:ascii="Arial" w:cs="Arial" w:eastAsia="Arial" w:hAnsi="Arial"/>
                <w:sz w:val="16"/>
                <w:szCs w:val="16"/>
                <w:color w:val="auto"/>
                <w:w w:val="93"/>
              </w:rPr>
              <w:t>468,750</w:t>
            </w:r>
          </w:p>
        </w:tc>
        <w:tc>
          <w:tcPr>
            <w:tcW w:w="20" w:type="dxa"/>
            <w:vAlign w:val="bottom"/>
          </w:tcPr>
          <w:p>
            <w:pPr>
              <w:spacing w:after="0"/>
              <w:rPr>
                <w:sz w:val="16"/>
                <w:szCs w:val="16"/>
                <w:color w:val="auto"/>
              </w:rPr>
            </w:pPr>
          </w:p>
        </w:tc>
      </w:tr>
      <w:tr>
        <w:trPr>
          <w:trHeight w:val="196"/>
        </w:trPr>
        <w:tc>
          <w:tcPr>
            <w:tcW w:w="5140" w:type="dxa"/>
            <w:vAlign w:val="bottom"/>
            <w:gridSpan w:val="2"/>
          </w:tcPr>
          <w:p>
            <w:pPr>
              <w:spacing w:after="0"/>
              <w:rPr>
                <w:sz w:val="20"/>
                <w:szCs w:val="20"/>
                <w:color w:val="auto"/>
              </w:rPr>
            </w:pPr>
            <w:r>
              <w:rPr>
                <w:rFonts w:ascii="Arial" w:cs="Arial" w:eastAsia="Arial" w:hAnsi="Arial"/>
                <w:sz w:val="16"/>
                <w:szCs w:val="16"/>
                <w:color w:val="auto"/>
              </w:rPr>
              <w:t>Ronald J. Mudry</w:t>
            </w:r>
          </w:p>
        </w:tc>
        <w:tc>
          <w:tcPr>
            <w:tcW w:w="840" w:type="dxa"/>
            <w:vAlign w:val="bottom"/>
          </w:tcPr>
          <w:p>
            <w:pPr>
              <w:jc w:val="right"/>
              <w:ind w:right="660"/>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ind w:left="160"/>
              <w:spacing w:after="0"/>
              <w:rPr>
                <w:sz w:val="20"/>
                <w:szCs w:val="20"/>
                <w:color w:val="auto"/>
              </w:rPr>
            </w:pPr>
            <w:r>
              <w:rPr>
                <w:rFonts w:ascii="Arial" w:cs="Arial" w:eastAsia="Arial" w:hAnsi="Arial"/>
                <w:sz w:val="16"/>
                <w:szCs w:val="16"/>
                <w:color w:val="auto"/>
                <w:w w:val="96"/>
              </w:rPr>
              <w:t>350,000</w:t>
            </w:r>
          </w:p>
        </w:tc>
      </w:tr>
    </w:tbl>
    <w:p>
      <w:pPr>
        <w:spacing w:after="0" w:line="18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actual amount of the performance-based RSUs that may be earned and become vested will be between 0% and 200% (or 150% in the case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Mr. Mudry) of the target amount, depending on our achievement of relative TSR over a three-year period from March 1, 2017 to March 1, 2020. In measuring our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relative TSR, 50% will be weighted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right="280"/>
        <w:spacing w:after="0" w:line="247" w:lineRule="auto"/>
        <w:rPr>
          <w:sz w:val="20"/>
          <w:szCs w:val="20"/>
          <w:color w:val="auto"/>
        </w:rPr>
      </w:pPr>
      <w:r>
        <w:rPr>
          <w:rFonts w:ascii="Arial" w:cs="Arial" w:eastAsia="Arial" w:hAnsi="Arial"/>
          <w:sz w:val="16"/>
          <w:szCs w:val="16"/>
          <w:color w:val="auto"/>
        </w:rPr>
        <w:t>to our performance against the Peer Group, and 50% will be weighted to our performance against a select group of other publicly traded telecommunications companies (the "Telecom Peer Group"), in each case measured by percentile ranking. Specifically, the metrics for the three-year performance cycle ending March 1, 2020 are:</w:t>
      </w:r>
    </w:p>
    <w:p>
      <w:pPr>
        <w:spacing w:after="0" w:line="168"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2140" w:type="dxa"/>
            <w:vAlign w:val="bottom"/>
            <w:gridSpan w:val="2"/>
          </w:tcPr>
          <w:p>
            <w:pPr>
              <w:ind w:left="20"/>
              <w:spacing w:after="0"/>
              <w:rPr>
                <w:sz w:val="20"/>
                <w:szCs w:val="20"/>
                <w:color w:val="auto"/>
              </w:rPr>
            </w:pPr>
            <w:r>
              <w:rPr>
                <w:rFonts w:ascii="Arial" w:cs="Arial" w:eastAsia="Arial" w:hAnsi="Arial"/>
                <w:sz w:val="13"/>
                <w:szCs w:val="13"/>
                <w:b w:val="1"/>
                <w:bCs w:val="1"/>
                <w:color w:val="auto"/>
              </w:rPr>
              <w:t>Performance</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Criteria</w:t>
            </w:r>
          </w:p>
        </w:tc>
        <w:tc>
          <w:tcPr>
            <w:tcW w:w="1320" w:type="dxa"/>
            <w:vAlign w:val="bottom"/>
          </w:tcPr>
          <w:p>
            <w:pPr>
              <w:spacing w:after="0"/>
              <w:rPr>
                <w:sz w:val="13"/>
                <w:szCs w:val="13"/>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Weight</w:t>
            </w:r>
          </w:p>
        </w:tc>
        <w:tc>
          <w:tcPr>
            <w:tcW w:w="16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Below Threshold</w:t>
            </w:r>
          </w:p>
        </w:tc>
        <w:tc>
          <w:tcPr>
            <w:tcW w:w="1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Threshold</w:t>
            </w:r>
          </w:p>
        </w:tc>
        <w:tc>
          <w:tcPr>
            <w:tcW w:w="1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Target</w:t>
            </w:r>
          </w:p>
        </w:tc>
        <w:tc>
          <w:tcPr>
            <w:tcW w:w="140" w:type="dxa"/>
            <w:vAlign w:val="bottom"/>
          </w:tcPr>
          <w:p>
            <w:pPr>
              <w:spacing w:after="0"/>
              <w:rPr>
                <w:sz w:val="13"/>
                <w:szCs w:val="13"/>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Maximum</w:t>
            </w:r>
          </w:p>
        </w:tc>
        <w:tc>
          <w:tcPr>
            <w:tcW w:w="0" w:type="dxa"/>
            <w:vAlign w:val="bottom"/>
          </w:tcPr>
          <w:p>
            <w:pPr>
              <w:spacing w:after="0"/>
              <w:rPr>
                <w:sz w:val="1"/>
                <w:szCs w:val="1"/>
                <w:color w:val="auto"/>
              </w:rPr>
            </w:pPr>
          </w:p>
        </w:tc>
      </w:tr>
      <w:tr>
        <w:trPr>
          <w:trHeight w:val="145"/>
        </w:trPr>
        <w:tc>
          <w:tcPr>
            <w:tcW w:w="2140" w:type="dxa"/>
            <w:vAlign w:val="bottom"/>
            <w:gridSpan w:val="2"/>
            <w:shd w:val="clear" w:color="auto" w:fill="BFBFBF"/>
          </w:tcPr>
          <w:p>
            <w:pPr>
              <w:ind w:left="20"/>
              <w:spacing w:after="0" w:line="145" w:lineRule="exact"/>
              <w:rPr>
                <w:sz w:val="20"/>
                <w:szCs w:val="20"/>
                <w:color w:val="auto"/>
              </w:rPr>
            </w:pPr>
            <w:r>
              <w:rPr>
                <w:rFonts w:ascii="Arial" w:cs="Arial" w:eastAsia="Arial" w:hAnsi="Arial"/>
                <w:sz w:val="13"/>
                <w:szCs w:val="13"/>
                <w:color w:val="auto"/>
              </w:rPr>
              <w:t>TSR position within the Peer</w:t>
            </w:r>
          </w:p>
        </w:tc>
        <w:tc>
          <w:tcPr>
            <w:tcW w:w="120" w:type="dxa"/>
            <w:vAlign w:val="bottom"/>
            <w:shd w:val="clear" w:color="auto" w:fill="BFBFBF"/>
          </w:tcPr>
          <w:p>
            <w:pPr>
              <w:spacing w:after="0"/>
              <w:rPr>
                <w:sz w:val="12"/>
                <w:szCs w:val="12"/>
                <w:color w:val="auto"/>
              </w:rPr>
            </w:pPr>
          </w:p>
        </w:tc>
        <w:tc>
          <w:tcPr>
            <w:tcW w:w="440" w:type="dxa"/>
            <w:vAlign w:val="bottom"/>
            <w:shd w:val="clear" w:color="auto" w:fill="BFBFBF"/>
          </w:tcPr>
          <w:p>
            <w:pPr>
              <w:spacing w:after="0"/>
              <w:rPr>
                <w:sz w:val="12"/>
                <w:szCs w:val="12"/>
                <w:color w:val="auto"/>
              </w:rPr>
            </w:pPr>
          </w:p>
        </w:tc>
        <w:tc>
          <w:tcPr>
            <w:tcW w:w="160" w:type="dxa"/>
            <w:vAlign w:val="bottom"/>
            <w:shd w:val="clear" w:color="auto" w:fill="BFBFBF"/>
          </w:tcPr>
          <w:p>
            <w:pPr>
              <w:spacing w:after="0"/>
              <w:rPr>
                <w:sz w:val="12"/>
                <w:szCs w:val="12"/>
                <w:color w:val="auto"/>
              </w:rPr>
            </w:pPr>
          </w:p>
        </w:tc>
        <w:tc>
          <w:tcPr>
            <w:tcW w:w="1080" w:type="dxa"/>
            <w:vAlign w:val="bottom"/>
            <w:vMerge w:val="restart"/>
            <w:shd w:val="clear" w:color="auto" w:fill="BFBFBF"/>
          </w:tcPr>
          <w:p>
            <w:pPr>
              <w:jc w:val="center"/>
              <w:spacing w:after="0"/>
              <w:rPr>
                <w:sz w:val="20"/>
                <w:szCs w:val="20"/>
                <w:color w:val="auto"/>
              </w:rPr>
            </w:pPr>
            <w:r>
              <w:rPr>
                <w:rFonts w:ascii="Arial" w:cs="Arial" w:eastAsia="Arial" w:hAnsi="Arial"/>
                <w:sz w:val="13"/>
                <w:szCs w:val="13"/>
                <w:color w:val="auto"/>
                <w:w w:val="98"/>
              </w:rPr>
              <w:t>&lt;33</w:t>
            </w:r>
            <w:r>
              <w:rPr>
                <w:rFonts w:ascii="Arial" w:cs="Arial" w:eastAsia="Arial" w:hAnsi="Arial"/>
                <w:sz w:val="19"/>
                <w:szCs w:val="19"/>
                <w:color w:val="auto"/>
                <w:w w:val="98"/>
                <w:vertAlign w:val="superscript"/>
              </w:rPr>
              <w:t>rd</w:t>
            </w:r>
            <w:r>
              <w:rPr>
                <w:rFonts w:ascii="Arial" w:cs="Arial" w:eastAsia="Arial" w:hAnsi="Arial"/>
                <w:sz w:val="13"/>
                <w:szCs w:val="13"/>
                <w:color w:val="auto"/>
                <w:w w:val="98"/>
              </w:rPr>
              <w:t xml:space="preserve"> percentile</w:t>
            </w:r>
          </w:p>
        </w:tc>
        <w:tc>
          <w:tcPr>
            <w:tcW w:w="140" w:type="dxa"/>
            <w:vAlign w:val="bottom"/>
            <w:shd w:val="clear" w:color="auto" w:fill="BFBFBF"/>
          </w:tcPr>
          <w:p>
            <w:pPr>
              <w:spacing w:after="0"/>
              <w:rPr>
                <w:sz w:val="12"/>
                <w:szCs w:val="12"/>
                <w:color w:val="auto"/>
              </w:rPr>
            </w:pPr>
          </w:p>
        </w:tc>
        <w:tc>
          <w:tcPr>
            <w:tcW w:w="1020" w:type="dxa"/>
            <w:vAlign w:val="bottom"/>
            <w:vMerge w:val="restart"/>
            <w:shd w:val="clear" w:color="auto" w:fill="BFBFBF"/>
          </w:tcPr>
          <w:p>
            <w:pPr>
              <w:jc w:val="center"/>
              <w:spacing w:after="0"/>
              <w:rPr>
                <w:sz w:val="20"/>
                <w:szCs w:val="20"/>
                <w:color w:val="auto"/>
              </w:rPr>
            </w:pPr>
            <w:r>
              <w:rPr>
                <w:rFonts w:ascii="Arial" w:cs="Arial" w:eastAsia="Arial" w:hAnsi="Arial"/>
                <w:sz w:val="13"/>
                <w:szCs w:val="13"/>
                <w:color w:val="auto"/>
                <w:w w:val="97"/>
              </w:rPr>
              <w:t>33</w:t>
            </w:r>
            <w:r>
              <w:rPr>
                <w:rFonts w:ascii="Arial" w:cs="Arial" w:eastAsia="Arial" w:hAnsi="Arial"/>
                <w:sz w:val="19"/>
                <w:szCs w:val="19"/>
                <w:color w:val="auto"/>
                <w:w w:val="97"/>
                <w:vertAlign w:val="superscript"/>
              </w:rPr>
              <w:t>rd</w:t>
            </w:r>
            <w:r>
              <w:rPr>
                <w:rFonts w:ascii="Arial" w:cs="Arial" w:eastAsia="Arial" w:hAnsi="Arial"/>
                <w:sz w:val="13"/>
                <w:szCs w:val="13"/>
                <w:color w:val="auto"/>
                <w:w w:val="97"/>
              </w:rPr>
              <w:t xml:space="preserve"> percentile</w:t>
            </w:r>
          </w:p>
        </w:tc>
        <w:tc>
          <w:tcPr>
            <w:tcW w:w="140" w:type="dxa"/>
            <w:vAlign w:val="bottom"/>
            <w:shd w:val="clear" w:color="auto" w:fill="BFBFBF"/>
          </w:tcPr>
          <w:p>
            <w:pPr>
              <w:spacing w:after="0"/>
              <w:rPr>
                <w:sz w:val="12"/>
                <w:szCs w:val="12"/>
                <w:color w:val="auto"/>
              </w:rPr>
            </w:pPr>
          </w:p>
        </w:tc>
        <w:tc>
          <w:tcPr>
            <w:tcW w:w="1020" w:type="dxa"/>
            <w:vAlign w:val="bottom"/>
            <w:vMerge w:val="restart"/>
            <w:shd w:val="clear" w:color="auto" w:fill="BFBFBF"/>
          </w:tcPr>
          <w:p>
            <w:pPr>
              <w:jc w:val="center"/>
              <w:spacing w:after="0"/>
              <w:rPr>
                <w:sz w:val="20"/>
                <w:szCs w:val="20"/>
                <w:color w:val="auto"/>
              </w:rPr>
            </w:pPr>
            <w:r>
              <w:rPr>
                <w:rFonts w:ascii="Arial" w:cs="Arial" w:eastAsia="Arial" w:hAnsi="Arial"/>
                <w:sz w:val="13"/>
                <w:szCs w:val="13"/>
                <w:color w:val="auto"/>
                <w:w w:val="98"/>
              </w:rPr>
              <w:t>50</w:t>
            </w:r>
            <w:r>
              <w:rPr>
                <w:rFonts w:ascii="Arial" w:cs="Arial" w:eastAsia="Arial" w:hAnsi="Arial"/>
                <w:sz w:val="19"/>
                <w:szCs w:val="19"/>
                <w:color w:val="auto"/>
                <w:w w:val="98"/>
                <w:vertAlign w:val="superscript"/>
              </w:rPr>
              <w:t>th</w:t>
            </w:r>
            <w:r>
              <w:rPr>
                <w:rFonts w:ascii="Arial" w:cs="Arial" w:eastAsia="Arial" w:hAnsi="Arial"/>
                <w:sz w:val="13"/>
                <w:szCs w:val="13"/>
                <w:color w:val="auto"/>
                <w:w w:val="98"/>
              </w:rPr>
              <w:t xml:space="preserve"> percentile</w:t>
            </w:r>
          </w:p>
        </w:tc>
        <w:tc>
          <w:tcPr>
            <w:tcW w:w="140" w:type="dxa"/>
            <w:vAlign w:val="bottom"/>
            <w:shd w:val="clear" w:color="auto" w:fill="BFBFBF"/>
          </w:tcPr>
          <w:p>
            <w:pPr>
              <w:spacing w:after="0"/>
              <w:rPr>
                <w:sz w:val="12"/>
                <w:szCs w:val="12"/>
                <w:color w:val="auto"/>
              </w:rPr>
            </w:pPr>
          </w:p>
        </w:tc>
        <w:tc>
          <w:tcPr>
            <w:tcW w:w="2180" w:type="dxa"/>
            <w:vAlign w:val="bottom"/>
            <w:vMerge w:val="restart"/>
            <w:shd w:val="clear" w:color="auto" w:fill="BFBFBF"/>
          </w:tcPr>
          <w:p>
            <w:pPr>
              <w:jc w:val="center"/>
              <w:spacing w:after="0"/>
              <w:rPr>
                <w:sz w:val="20"/>
                <w:szCs w:val="20"/>
                <w:color w:val="auto"/>
              </w:rPr>
            </w:pPr>
            <w:r>
              <w:rPr>
                <w:rFonts w:ascii="Arial" w:cs="Arial" w:eastAsia="Arial" w:hAnsi="Arial"/>
                <w:sz w:val="13"/>
                <w:szCs w:val="13"/>
                <w:color w:val="auto"/>
                <w:w w:val="98"/>
              </w:rPr>
              <w:t>75</w:t>
            </w:r>
            <w:r>
              <w:rPr>
                <w:rFonts w:ascii="Arial" w:cs="Arial" w:eastAsia="Arial" w:hAnsi="Arial"/>
                <w:sz w:val="19"/>
                <w:szCs w:val="19"/>
                <w:color w:val="auto"/>
                <w:w w:val="98"/>
                <w:vertAlign w:val="superscript"/>
              </w:rPr>
              <w:t>th</w:t>
            </w:r>
            <w:r>
              <w:rPr>
                <w:rFonts w:ascii="Arial" w:cs="Arial" w:eastAsia="Arial" w:hAnsi="Arial"/>
                <w:sz w:val="13"/>
                <w:szCs w:val="13"/>
                <w:color w:val="auto"/>
                <w:w w:val="98"/>
              </w:rPr>
              <w:t xml:space="preserve"> percentile</w:t>
            </w:r>
          </w:p>
        </w:tc>
        <w:tc>
          <w:tcPr>
            <w:tcW w:w="0" w:type="dxa"/>
            <w:vAlign w:val="bottom"/>
          </w:tcPr>
          <w:p>
            <w:pPr>
              <w:spacing w:after="0"/>
              <w:rPr>
                <w:sz w:val="1"/>
                <w:szCs w:val="1"/>
                <w:color w:val="auto"/>
              </w:rPr>
            </w:pPr>
          </w:p>
        </w:tc>
      </w:tr>
      <w:tr>
        <w:trPr>
          <w:trHeight w:val="144"/>
        </w:trPr>
        <w:tc>
          <w:tcPr>
            <w:tcW w:w="2140" w:type="dxa"/>
            <w:vAlign w:val="bottom"/>
            <w:gridSpan w:val="2"/>
            <w:shd w:val="clear" w:color="auto" w:fill="BFBFBF"/>
          </w:tcPr>
          <w:p>
            <w:pPr>
              <w:ind w:left="140"/>
              <w:spacing w:after="0" w:line="144" w:lineRule="exact"/>
              <w:rPr>
                <w:sz w:val="20"/>
                <w:szCs w:val="20"/>
                <w:color w:val="auto"/>
              </w:rPr>
            </w:pPr>
            <w:r>
              <w:rPr>
                <w:rFonts w:ascii="Arial" w:cs="Arial" w:eastAsia="Arial" w:hAnsi="Arial"/>
                <w:sz w:val="13"/>
                <w:szCs w:val="13"/>
                <w:color w:val="auto"/>
              </w:rPr>
              <w:t>Group</w:t>
            </w:r>
          </w:p>
        </w:tc>
        <w:tc>
          <w:tcPr>
            <w:tcW w:w="560" w:type="dxa"/>
            <w:vAlign w:val="bottom"/>
            <w:gridSpan w:val="2"/>
            <w:shd w:val="clear" w:color="auto" w:fill="BFBFBF"/>
          </w:tcPr>
          <w:p>
            <w:pPr>
              <w:jc w:val="center"/>
              <w:spacing w:after="0" w:line="144" w:lineRule="exact"/>
              <w:rPr>
                <w:sz w:val="20"/>
                <w:szCs w:val="20"/>
                <w:color w:val="auto"/>
              </w:rPr>
            </w:pPr>
            <w:r>
              <w:rPr>
                <w:rFonts w:ascii="Arial" w:cs="Arial" w:eastAsia="Arial" w:hAnsi="Arial"/>
                <w:sz w:val="13"/>
                <w:szCs w:val="13"/>
                <w:color w:val="auto"/>
                <w:w w:val="99"/>
              </w:rPr>
              <w:t>50%</w:t>
            </w:r>
          </w:p>
        </w:tc>
        <w:tc>
          <w:tcPr>
            <w:tcW w:w="160" w:type="dxa"/>
            <w:vAlign w:val="bottom"/>
            <w:shd w:val="clear" w:color="auto" w:fill="BFBFBF"/>
          </w:tcPr>
          <w:p>
            <w:pPr>
              <w:spacing w:after="0"/>
              <w:rPr>
                <w:sz w:val="12"/>
                <w:szCs w:val="12"/>
                <w:color w:val="auto"/>
              </w:rPr>
            </w:pPr>
          </w:p>
        </w:tc>
        <w:tc>
          <w:tcPr>
            <w:tcW w:w="1080" w:type="dxa"/>
            <w:vAlign w:val="bottom"/>
            <w:vMerge w:val="continue"/>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1020" w:type="dxa"/>
            <w:vAlign w:val="bottom"/>
            <w:vMerge w:val="continue"/>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1020" w:type="dxa"/>
            <w:vAlign w:val="bottom"/>
            <w:vMerge w:val="continue"/>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2180" w:type="dxa"/>
            <w:vAlign w:val="bottom"/>
            <w:vMerge w:val="continue"/>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40" w:type="dxa"/>
            <w:vAlign w:val="bottom"/>
            <w:gridSpan w:val="2"/>
          </w:tcPr>
          <w:p>
            <w:pPr>
              <w:ind w:left="20"/>
              <w:spacing w:after="0" w:line="145" w:lineRule="exact"/>
              <w:rPr>
                <w:sz w:val="20"/>
                <w:szCs w:val="20"/>
                <w:color w:val="auto"/>
              </w:rPr>
            </w:pPr>
            <w:r>
              <w:rPr>
                <w:rFonts w:ascii="Arial" w:cs="Arial" w:eastAsia="Arial" w:hAnsi="Arial"/>
                <w:sz w:val="13"/>
                <w:szCs w:val="13"/>
                <w:color w:val="auto"/>
              </w:rPr>
              <w:t>TSR position within the Telecom</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140" w:type="dxa"/>
            <w:vAlign w:val="bottom"/>
            <w:gridSpan w:val="2"/>
          </w:tcPr>
          <w:p>
            <w:pPr>
              <w:ind w:left="140"/>
              <w:spacing w:after="0" w:line="175" w:lineRule="exact"/>
              <w:rPr>
                <w:sz w:val="20"/>
                <w:szCs w:val="20"/>
                <w:color w:val="auto"/>
              </w:rPr>
            </w:pPr>
            <w:r>
              <w:rPr>
                <w:rFonts w:ascii="Arial" w:cs="Arial" w:eastAsia="Arial" w:hAnsi="Arial"/>
                <w:sz w:val="13"/>
                <w:szCs w:val="13"/>
                <w:color w:val="auto"/>
              </w:rPr>
              <w:t>Peer Group</w:t>
            </w:r>
            <w:r>
              <w:rPr>
                <w:rFonts w:ascii="Arial" w:cs="Arial" w:eastAsia="Arial" w:hAnsi="Arial"/>
                <w:sz w:val="19"/>
                <w:szCs w:val="19"/>
                <w:color w:val="auto"/>
                <w:vertAlign w:val="superscript"/>
              </w:rPr>
              <w:t>(1)</w:t>
            </w:r>
          </w:p>
        </w:tc>
        <w:tc>
          <w:tcPr>
            <w:tcW w:w="560" w:type="dxa"/>
            <w:vAlign w:val="bottom"/>
            <w:gridSpan w:val="2"/>
          </w:tcPr>
          <w:p>
            <w:pPr>
              <w:jc w:val="center"/>
              <w:spacing w:after="0"/>
              <w:rPr>
                <w:sz w:val="20"/>
                <w:szCs w:val="20"/>
                <w:color w:val="auto"/>
              </w:rPr>
            </w:pPr>
            <w:r>
              <w:rPr>
                <w:rFonts w:ascii="Arial" w:cs="Arial" w:eastAsia="Arial" w:hAnsi="Arial"/>
                <w:sz w:val="13"/>
                <w:szCs w:val="13"/>
                <w:color w:val="auto"/>
                <w:w w:val="99"/>
              </w:rPr>
              <w:t>50%</w:t>
            </w:r>
          </w:p>
        </w:tc>
        <w:tc>
          <w:tcPr>
            <w:tcW w:w="160" w:type="dxa"/>
            <w:vAlign w:val="bottom"/>
          </w:tcPr>
          <w:p>
            <w:pPr>
              <w:spacing w:after="0"/>
              <w:rPr>
                <w:sz w:val="15"/>
                <w:szCs w:val="15"/>
                <w:color w:val="auto"/>
              </w:rPr>
            </w:pPr>
          </w:p>
        </w:tc>
        <w:tc>
          <w:tcPr>
            <w:tcW w:w="1080" w:type="dxa"/>
            <w:vAlign w:val="bottom"/>
          </w:tcPr>
          <w:p>
            <w:pPr>
              <w:jc w:val="center"/>
              <w:spacing w:after="0" w:line="175" w:lineRule="exact"/>
              <w:rPr>
                <w:sz w:val="20"/>
                <w:szCs w:val="20"/>
                <w:color w:val="auto"/>
              </w:rPr>
            </w:pPr>
            <w:r>
              <w:rPr>
                <w:rFonts w:ascii="Arial" w:cs="Arial" w:eastAsia="Arial" w:hAnsi="Arial"/>
                <w:sz w:val="13"/>
                <w:szCs w:val="13"/>
                <w:color w:val="auto"/>
                <w:w w:val="98"/>
              </w:rPr>
              <w:t>&lt;33</w:t>
            </w:r>
            <w:r>
              <w:rPr>
                <w:rFonts w:ascii="Arial" w:cs="Arial" w:eastAsia="Arial" w:hAnsi="Arial"/>
                <w:sz w:val="19"/>
                <w:szCs w:val="19"/>
                <w:color w:val="auto"/>
                <w:w w:val="98"/>
                <w:vertAlign w:val="superscript"/>
              </w:rPr>
              <w:t>rd</w:t>
            </w:r>
            <w:r>
              <w:rPr>
                <w:rFonts w:ascii="Arial" w:cs="Arial" w:eastAsia="Arial" w:hAnsi="Arial"/>
                <w:sz w:val="13"/>
                <w:szCs w:val="13"/>
                <w:color w:val="auto"/>
                <w:w w:val="98"/>
              </w:rPr>
              <w:t xml:space="preserve"> percentile</w:t>
            </w:r>
          </w:p>
        </w:tc>
        <w:tc>
          <w:tcPr>
            <w:tcW w:w="140" w:type="dxa"/>
            <w:vAlign w:val="bottom"/>
          </w:tcPr>
          <w:p>
            <w:pPr>
              <w:spacing w:after="0"/>
              <w:rPr>
                <w:sz w:val="15"/>
                <w:szCs w:val="15"/>
                <w:color w:val="auto"/>
              </w:rPr>
            </w:pPr>
          </w:p>
        </w:tc>
        <w:tc>
          <w:tcPr>
            <w:tcW w:w="1020" w:type="dxa"/>
            <w:vAlign w:val="bottom"/>
          </w:tcPr>
          <w:p>
            <w:pPr>
              <w:jc w:val="center"/>
              <w:spacing w:after="0" w:line="175" w:lineRule="exact"/>
              <w:rPr>
                <w:sz w:val="20"/>
                <w:szCs w:val="20"/>
                <w:color w:val="auto"/>
              </w:rPr>
            </w:pPr>
            <w:r>
              <w:rPr>
                <w:rFonts w:ascii="Arial" w:cs="Arial" w:eastAsia="Arial" w:hAnsi="Arial"/>
                <w:sz w:val="13"/>
                <w:szCs w:val="13"/>
                <w:color w:val="auto"/>
                <w:w w:val="97"/>
              </w:rPr>
              <w:t>33</w:t>
            </w:r>
            <w:r>
              <w:rPr>
                <w:rFonts w:ascii="Arial" w:cs="Arial" w:eastAsia="Arial" w:hAnsi="Arial"/>
                <w:sz w:val="19"/>
                <w:szCs w:val="19"/>
                <w:color w:val="auto"/>
                <w:w w:val="97"/>
                <w:vertAlign w:val="superscript"/>
              </w:rPr>
              <w:t>rd</w:t>
            </w:r>
            <w:r>
              <w:rPr>
                <w:rFonts w:ascii="Arial" w:cs="Arial" w:eastAsia="Arial" w:hAnsi="Arial"/>
                <w:sz w:val="13"/>
                <w:szCs w:val="13"/>
                <w:color w:val="auto"/>
                <w:w w:val="97"/>
              </w:rPr>
              <w:t xml:space="preserve"> percentile</w:t>
            </w:r>
          </w:p>
        </w:tc>
        <w:tc>
          <w:tcPr>
            <w:tcW w:w="140" w:type="dxa"/>
            <w:vAlign w:val="bottom"/>
          </w:tcPr>
          <w:p>
            <w:pPr>
              <w:spacing w:after="0"/>
              <w:rPr>
                <w:sz w:val="15"/>
                <w:szCs w:val="15"/>
                <w:color w:val="auto"/>
              </w:rPr>
            </w:pPr>
          </w:p>
        </w:tc>
        <w:tc>
          <w:tcPr>
            <w:tcW w:w="1020" w:type="dxa"/>
            <w:vAlign w:val="bottom"/>
          </w:tcPr>
          <w:p>
            <w:pPr>
              <w:jc w:val="center"/>
              <w:spacing w:after="0" w:line="175" w:lineRule="exact"/>
              <w:rPr>
                <w:sz w:val="20"/>
                <w:szCs w:val="20"/>
                <w:color w:val="auto"/>
              </w:rPr>
            </w:pPr>
            <w:r>
              <w:rPr>
                <w:rFonts w:ascii="Arial" w:cs="Arial" w:eastAsia="Arial" w:hAnsi="Arial"/>
                <w:sz w:val="13"/>
                <w:szCs w:val="13"/>
                <w:color w:val="auto"/>
                <w:w w:val="98"/>
              </w:rPr>
              <w:t>50</w:t>
            </w:r>
            <w:r>
              <w:rPr>
                <w:rFonts w:ascii="Arial" w:cs="Arial" w:eastAsia="Arial" w:hAnsi="Arial"/>
                <w:sz w:val="19"/>
                <w:szCs w:val="19"/>
                <w:color w:val="auto"/>
                <w:w w:val="98"/>
                <w:vertAlign w:val="superscript"/>
              </w:rPr>
              <w:t>th</w:t>
            </w:r>
            <w:r>
              <w:rPr>
                <w:rFonts w:ascii="Arial" w:cs="Arial" w:eastAsia="Arial" w:hAnsi="Arial"/>
                <w:sz w:val="13"/>
                <w:szCs w:val="13"/>
                <w:color w:val="auto"/>
                <w:w w:val="98"/>
              </w:rPr>
              <w:t xml:space="preserve"> percentile</w:t>
            </w:r>
          </w:p>
        </w:tc>
        <w:tc>
          <w:tcPr>
            <w:tcW w:w="140" w:type="dxa"/>
            <w:vAlign w:val="bottom"/>
          </w:tcPr>
          <w:p>
            <w:pPr>
              <w:spacing w:after="0"/>
              <w:rPr>
                <w:sz w:val="15"/>
                <w:szCs w:val="15"/>
                <w:color w:val="auto"/>
              </w:rPr>
            </w:pPr>
          </w:p>
        </w:tc>
        <w:tc>
          <w:tcPr>
            <w:tcW w:w="2180" w:type="dxa"/>
            <w:vAlign w:val="bottom"/>
          </w:tcPr>
          <w:p>
            <w:pPr>
              <w:jc w:val="center"/>
              <w:spacing w:after="0" w:line="175" w:lineRule="exact"/>
              <w:rPr>
                <w:sz w:val="20"/>
                <w:szCs w:val="20"/>
                <w:color w:val="auto"/>
              </w:rPr>
            </w:pPr>
            <w:r>
              <w:rPr>
                <w:rFonts w:ascii="Arial" w:cs="Arial" w:eastAsia="Arial" w:hAnsi="Arial"/>
                <w:sz w:val="13"/>
                <w:szCs w:val="13"/>
                <w:color w:val="auto"/>
                <w:w w:val="98"/>
              </w:rPr>
              <w:t>75</w:t>
            </w:r>
            <w:r>
              <w:rPr>
                <w:rFonts w:ascii="Arial" w:cs="Arial" w:eastAsia="Arial" w:hAnsi="Arial"/>
                <w:sz w:val="19"/>
                <w:szCs w:val="19"/>
                <w:color w:val="auto"/>
                <w:w w:val="98"/>
                <w:vertAlign w:val="superscript"/>
              </w:rPr>
              <w:t>th</w:t>
            </w:r>
            <w:r>
              <w:rPr>
                <w:rFonts w:ascii="Arial" w:cs="Arial" w:eastAsia="Arial" w:hAnsi="Arial"/>
                <w:sz w:val="13"/>
                <w:szCs w:val="13"/>
                <w:color w:val="auto"/>
                <w:w w:val="98"/>
              </w:rPr>
              <w:t xml:space="preserve"> percentile</w:t>
            </w:r>
          </w:p>
        </w:tc>
        <w:tc>
          <w:tcPr>
            <w:tcW w:w="0" w:type="dxa"/>
            <w:vAlign w:val="bottom"/>
          </w:tcPr>
          <w:p>
            <w:pPr>
              <w:spacing w:after="0"/>
              <w:rPr>
                <w:sz w:val="1"/>
                <w:szCs w:val="1"/>
                <w:color w:val="auto"/>
              </w:rPr>
            </w:pPr>
          </w:p>
        </w:tc>
      </w:tr>
      <w:tr>
        <w:trPr>
          <w:trHeight w:val="152"/>
        </w:trPr>
        <w:tc>
          <w:tcPr>
            <w:tcW w:w="2140" w:type="dxa"/>
            <w:vAlign w:val="bottom"/>
            <w:gridSpan w:val="2"/>
            <w:shd w:val="clear" w:color="auto" w:fill="BFBFBF"/>
          </w:tcPr>
          <w:p>
            <w:pPr>
              <w:ind w:left="140"/>
              <w:spacing w:after="0"/>
              <w:rPr>
                <w:sz w:val="20"/>
                <w:szCs w:val="20"/>
                <w:color w:val="auto"/>
              </w:rPr>
            </w:pPr>
            <w:r>
              <w:rPr>
                <w:rFonts w:ascii="Arial" w:cs="Arial" w:eastAsia="Arial" w:hAnsi="Arial"/>
                <w:sz w:val="13"/>
                <w:szCs w:val="13"/>
                <w:b w:val="1"/>
                <w:bCs w:val="1"/>
                <w:color w:val="auto"/>
              </w:rPr>
              <w:t>Payout Opportunity</w:t>
            </w:r>
          </w:p>
        </w:tc>
        <w:tc>
          <w:tcPr>
            <w:tcW w:w="120" w:type="dxa"/>
            <w:vAlign w:val="bottom"/>
            <w:shd w:val="clear" w:color="auto" w:fill="BFBFBF"/>
          </w:tcPr>
          <w:p>
            <w:pPr>
              <w:spacing w:after="0"/>
              <w:rPr>
                <w:sz w:val="13"/>
                <w:szCs w:val="13"/>
                <w:color w:val="auto"/>
              </w:rPr>
            </w:pPr>
          </w:p>
        </w:tc>
        <w:tc>
          <w:tcPr>
            <w:tcW w:w="440" w:type="dxa"/>
            <w:vAlign w:val="bottom"/>
            <w:shd w:val="clear" w:color="auto" w:fill="BFBFBF"/>
          </w:tcPr>
          <w:p>
            <w:pPr>
              <w:spacing w:after="0"/>
              <w:rPr>
                <w:sz w:val="13"/>
                <w:szCs w:val="13"/>
                <w:color w:val="auto"/>
              </w:rPr>
            </w:pPr>
          </w:p>
        </w:tc>
        <w:tc>
          <w:tcPr>
            <w:tcW w:w="160" w:type="dxa"/>
            <w:vAlign w:val="bottom"/>
            <w:shd w:val="clear" w:color="auto" w:fill="BFBFBF"/>
          </w:tcPr>
          <w:p>
            <w:pPr>
              <w:spacing w:after="0"/>
              <w:rPr>
                <w:sz w:val="13"/>
                <w:szCs w:val="13"/>
                <w:color w:val="auto"/>
              </w:rPr>
            </w:pPr>
          </w:p>
        </w:tc>
        <w:tc>
          <w:tcPr>
            <w:tcW w:w="1080" w:type="dxa"/>
            <w:vAlign w:val="bottom"/>
            <w:shd w:val="clear" w:color="auto" w:fill="BFBFBF"/>
          </w:tcPr>
          <w:p>
            <w:pPr>
              <w:spacing w:after="0"/>
              <w:rPr>
                <w:sz w:val="13"/>
                <w:szCs w:val="13"/>
                <w:color w:val="auto"/>
              </w:rPr>
            </w:pPr>
          </w:p>
        </w:tc>
        <w:tc>
          <w:tcPr>
            <w:tcW w:w="1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c>
          <w:tcPr>
            <w:tcW w:w="1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c>
          <w:tcPr>
            <w:tcW w:w="140" w:type="dxa"/>
            <w:vAlign w:val="bottom"/>
            <w:shd w:val="clear" w:color="auto" w:fill="BFBFBF"/>
          </w:tcPr>
          <w:p>
            <w:pPr>
              <w:spacing w:after="0"/>
              <w:rPr>
                <w:sz w:val="13"/>
                <w:szCs w:val="13"/>
                <w:color w:val="auto"/>
              </w:rPr>
            </w:pPr>
          </w:p>
        </w:tc>
        <w:tc>
          <w:tcPr>
            <w:tcW w:w="2180" w:type="dxa"/>
            <w:vAlign w:val="bottom"/>
            <w:shd w:val="clear" w:color="auto" w:fill="BFBFBF"/>
          </w:tcPr>
          <w:p>
            <w:pPr>
              <w:jc w:val="center"/>
              <w:spacing w:after="0"/>
              <w:rPr>
                <w:sz w:val="20"/>
                <w:szCs w:val="20"/>
                <w:color w:val="auto"/>
              </w:rPr>
            </w:pPr>
            <w:r>
              <w:rPr>
                <w:rFonts w:ascii="Arial" w:cs="Arial" w:eastAsia="Arial" w:hAnsi="Arial"/>
                <w:sz w:val="13"/>
                <w:szCs w:val="13"/>
                <w:color w:val="auto"/>
              </w:rPr>
              <w:t>200% of Target (or 150% in the case</w:t>
            </w:r>
          </w:p>
        </w:tc>
        <w:tc>
          <w:tcPr>
            <w:tcW w:w="0" w:type="dxa"/>
            <w:vAlign w:val="bottom"/>
          </w:tcPr>
          <w:p>
            <w:pPr>
              <w:spacing w:after="0"/>
              <w:rPr>
                <w:sz w:val="1"/>
                <w:szCs w:val="1"/>
                <w:color w:val="auto"/>
              </w:rPr>
            </w:pPr>
          </w:p>
        </w:tc>
      </w:tr>
      <w:tr>
        <w:trPr>
          <w:trHeight w:val="144"/>
        </w:trPr>
        <w:tc>
          <w:tcPr>
            <w:tcW w:w="820" w:type="dxa"/>
            <w:vAlign w:val="bottom"/>
            <w:shd w:val="clear" w:color="auto" w:fill="BFBFBF"/>
          </w:tcPr>
          <w:p>
            <w:pPr>
              <w:spacing w:after="0"/>
              <w:rPr>
                <w:sz w:val="12"/>
                <w:szCs w:val="12"/>
                <w:color w:val="auto"/>
              </w:rPr>
            </w:pPr>
          </w:p>
        </w:tc>
        <w:tc>
          <w:tcPr>
            <w:tcW w:w="1320" w:type="dxa"/>
            <w:vAlign w:val="bottom"/>
            <w:shd w:val="clear" w:color="auto" w:fill="BFBFBF"/>
          </w:tcPr>
          <w:p>
            <w:pPr>
              <w:spacing w:after="0"/>
              <w:rPr>
                <w:sz w:val="12"/>
                <w:szCs w:val="12"/>
                <w:color w:val="auto"/>
              </w:rPr>
            </w:pPr>
          </w:p>
        </w:tc>
        <w:tc>
          <w:tcPr>
            <w:tcW w:w="120" w:type="dxa"/>
            <w:vAlign w:val="bottom"/>
            <w:shd w:val="clear" w:color="auto" w:fill="BFBFBF"/>
          </w:tcPr>
          <w:p>
            <w:pPr>
              <w:spacing w:after="0"/>
              <w:rPr>
                <w:sz w:val="12"/>
                <w:szCs w:val="12"/>
                <w:color w:val="auto"/>
              </w:rPr>
            </w:pPr>
          </w:p>
        </w:tc>
        <w:tc>
          <w:tcPr>
            <w:tcW w:w="440" w:type="dxa"/>
            <w:vAlign w:val="bottom"/>
            <w:shd w:val="clear" w:color="auto" w:fill="BFBFBF"/>
          </w:tcPr>
          <w:p>
            <w:pPr>
              <w:spacing w:after="0"/>
              <w:rPr>
                <w:sz w:val="12"/>
                <w:szCs w:val="12"/>
                <w:color w:val="auto"/>
              </w:rPr>
            </w:pPr>
          </w:p>
        </w:tc>
        <w:tc>
          <w:tcPr>
            <w:tcW w:w="160" w:type="dxa"/>
            <w:vAlign w:val="bottom"/>
            <w:shd w:val="clear" w:color="auto" w:fill="BFBFBF"/>
          </w:tcPr>
          <w:p>
            <w:pPr>
              <w:spacing w:after="0"/>
              <w:rPr>
                <w:sz w:val="12"/>
                <w:szCs w:val="12"/>
                <w:color w:val="auto"/>
              </w:rPr>
            </w:pPr>
          </w:p>
        </w:tc>
        <w:tc>
          <w:tcPr>
            <w:tcW w:w="1080" w:type="dxa"/>
            <w:vAlign w:val="bottom"/>
            <w:shd w:val="clear" w:color="auto" w:fill="BFBFBF"/>
          </w:tcPr>
          <w:p>
            <w:pPr>
              <w:jc w:val="center"/>
              <w:spacing w:after="0" w:line="144" w:lineRule="exact"/>
              <w:rPr>
                <w:sz w:val="20"/>
                <w:szCs w:val="20"/>
                <w:color w:val="auto"/>
              </w:rPr>
            </w:pPr>
            <w:r>
              <w:rPr>
                <w:rFonts w:ascii="Arial" w:cs="Arial" w:eastAsia="Arial" w:hAnsi="Arial"/>
                <w:sz w:val="13"/>
                <w:szCs w:val="13"/>
                <w:color w:val="auto"/>
                <w:w w:val="99"/>
              </w:rPr>
              <w:t>0% of Target</w:t>
            </w:r>
          </w:p>
        </w:tc>
        <w:tc>
          <w:tcPr>
            <w:tcW w:w="140" w:type="dxa"/>
            <w:vAlign w:val="bottom"/>
            <w:shd w:val="clear" w:color="auto" w:fill="BFBFBF"/>
          </w:tcPr>
          <w:p>
            <w:pPr>
              <w:spacing w:after="0"/>
              <w:rPr>
                <w:sz w:val="12"/>
                <w:szCs w:val="12"/>
                <w:color w:val="auto"/>
              </w:rPr>
            </w:pPr>
          </w:p>
        </w:tc>
        <w:tc>
          <w:tcPr>
            <w:tcW w:w="1020" w:type="dxa"/>
            <w:vAlign w:val="bottom"/>
            <w:shd w:val="clear" w:color="auto" w:fill="BFBFBF"/>
          </w:tcPr>
          <w:p>
            <w:pPr>
              <w:jc w:val="center"/>
              <w:spacing w:after="0" w:line="144" w:lineRule="exact"/>
              <w:rPr>
                <w:sz w:val="20"/>
                <w:szCs w:val="20"/>
                <w:color w:val="auto"/>
              </w:rPr>
            </w:pPr>
            <w:r>
              <w:rPr>
                <w:rFonts w:ascii="Arial" w:cs="Arial" w:eastAsia="Arial" w:hAnsi="Arial"/>
                <w:sz w:val="13"/>
                <w:szCs w:val="13"/>
                <w:color w:val="auto"/>
                <w:w w:val="97"/>
              </w:rPr>
              <w:t>50% of Target</w:t>
            </w:r>
          </w:p>
        </w:tc>
        <w:tc>
          <w:tcPr>
            <w:tcW w:w="140" w:type="dxa"/>
            <w:vAlign w:val="bottom"/>
            <w:shd w:val="clear" w:color="auto" w:fill="BFBFBF"/>
          </w:tcPr>
          <w:p>
            <w:pPr>
              <w:spacing w:after="0"/>
              <w:rPr>
                <w:sz w:val="12"/>
                <w:szCs w:val="12"/>
                <w:color w:val="auto"/>
              </w:rPr>
            </w:pPr>
          </w:p>
        </w:tc>
        <w:tc>
          <w:tcPr>
            <w:tcW w:w="1020" w:type="dxa"/>
            <w:vAlign w:val="bottom"/>
            <w:shd w:val="clear" w:color="auto" w:fill="BFBFBF"/>
          </w:tcPr>
          <w:p>
            <w:pPr>
              <w:jc w:val="center"/>
              <w:spacing w:after="0" w:line="144" w:lineRule="exact"/>
              <w:rPr>
                <w:sz w:val="20"/>
                <w:szCs w:val="20"/>
                <w:color w:val="auto"/>
              </w:rPr>
            </w:pPr>
            <w:r>
              <w:rPr>
                <w:rFonts w:ascii="Arial" w:cs="Arial" w:eastAsia="Arial" w:hAnsi="Arial"/>
                <w:sz w:val="13"/>
                <w:szCs w:val="13"/>
                <w:color w:val="auto"/>
                <w:w w:val="98"/>
              </w:rPr>
              <w:t>100% of Target</w:t>
            </w:r>
          </w:p>
        </w:tc>
        <w:tc>
          <w:tcPr>
            <w:tcW w:w="140" w:type="dxa"/>
            <w:vAlign w:val="bottom"/>
            <w:shd w:val="clear" w:color="auto" w:fill="BFBFBF"/>
          </w:tcPr>
          <w:p>
            <w:pPr>
              <w:spacing w:after="0"/>
              <w:rPr>
                <w:sz w:val="12"/>
                <w:szCs w:val="12"/>
                <w:color w:val="auto"/>
              </w:rPr>
            </w:pPr>
          </w:p>
        </w:tc>
        <w:tc>
          <w:tcPr>
            <w:tcW w:w="2180" w:type="dxa"/>
            <w:vAlign w:val="bottom"/>
            <w:shd w:val="clear" w:color="auto" w:fill="BFBFBF"/>
          </w:tcPr>
          <w:p>
            <w:pPr>
              <w:jc w:val="center"/>
              <w:spacing w:after="0" w:line="144" w:lineRule="exact"/>
              <w:rPr>
                <w:sz w:val="20"/>
                <w:szCs w:val="20"/>
                <w:color w:val="auto"/>
              </w:rPr>
            </w:pPr>
            <w:r>
              <w:rPr>
                <w:rFonts w:ascii="Arial" w:cs="Arial" w:eastAsia="Arial" w:hAnsi="Arial"/>
                <w:sz w:val="13"/>
                <w:szCs w:val="13"/>
                <w:color w:val="auto"/>
              </w:rPr>
              <w:t>of Mr. Mudry)</w:t>
            </w:r>
          </w:p>
        </w:tc>
        <w:tc>
          <w:tcPr>
            <w:tcW w:w="0" w:type="dxa"/>
            <w:vAlign w:val="bottom"/>
          </w:tcPr>
          <w:p>
            <w:pPr>
              <w:spacing w:after="0"/>
              <w:rPr>
                <w:sz w:val="1"/>
                <w:szCs w:val="1"/>
                <w:color w:val="auto"/>
              </w:rPr>
            </w:pPr>
          </w:p>
        </w:tc>
      </w:tr>
      <w:tr>
        <w:trPr>
          <w:trHeight w:val="99"/>
        </w:trPr>
        <w:tc>
          <w:tcPr>
            <w:tcW w:w="8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60" w:right="80" w:hanging="490"/>
        <w:spacing w:after="0"/>
        <w:tabs>
          <w:tab w:leader="none" w:pos="18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Telecom Peer Group is comprised of the following companies: American Tower Corporation, ATN International, Inc., CenturyLink, Inc., Consolidated Communications Holdings, Inc., Crown Castle International Corp., Frontier Communication Corporation, Landmark Infrastructure Partners LP, Level 3 Communications, Inc., Lumos Network Corp., Windstream Holdings, Inc. and Zayo Group Holdings, Inc. The Telecom Peer Group is identical to the publicly traded telecommunications company peer group used for equity grants in 2016, except that Outfront Media Inc. was removed to better align the Telecom Peer Group with our business focus.</w:t>
      </w:r>
    </w:p>
    <w:p>
      <w:pPr>
        <w:spacing w:after="0" w:line="188" w:lineRule="exact"/>
        <w:rPr>
          <w:sz w:val="20"/>
          <w:szCs w:val="20"/>
          <w:color w:val="auto"/>
        </w:rPr>
      </w:pPr>
    </w:p>
    <w:p>
      <w:pPr>
        <w:ind w:right="40" w:firstLine="621"/>
        <w:spacing w:after="0" w:line="245" w:lineRule="auto"/>
        <w:rPr>
          <w:sz w:val="20"/>
          <w:szCs w:val="20"/>
          <w:color w:val="auto"/>
        </w:rPr>
      </w:pPr>
      <w:r>
        <w:rPr>
          <w:rFonts w:ascii="Arial" w:cs="Arial" w:eastAsia="Arial" w:hAnsi="Arial"/>
          <w:sz w:val="16"/>
          <w:szCs w:val="16"/>
          <w:color w:val="auto"/>
        </w:rPr>
        <w:t>Threshold, target and maximum performance result in the executive officers earning 50%, 100% or 200% (or 150% in the case of Mr. Mudry) of the target number of performance-based RSUs associated with each component, with linear interpolation between specified levels. No performance shares are earned for below-threshold performance, and payout is capped at 200% (or 150% in the case of Mr. Mudry) of target even if performance exceeds the maximum goal.</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As noted later in this CD&amp;A, our NEOs are subject to robust stock ownership guidelines to reinforce a focus on long-term shareholder value creation.</w:t>
      </w:r>
    </w:p>
    <w:p>
      <w:pPr>
        <w:spacing w:after="0" w:line="198" w:lineRule="exact"/>
        <w:rPr>
          <w:sz w:val="20"/>
          <w:szCs w:val="20"/>
          <w:color w:val="auto"/>
        </w:rPr>
      </w:pPr>
    </w:p>
    <w:p>
      <w:pPr>
        <w:ind w:right="20" w:firstLine="621"/>
        <w:spacing w:after="0" w:line="245" w:lineRule="auto"/>
        <w:rPr>
          <w:sz w:val="20"/>
          <w:szCs w:val="20"/>
          <w:color w:val="auto"/>
        </w:rPr>
      </w:pPr>
      <w:r>
        <w:rPr>
          <w:rFonts w:ascii="Arial" w:cs="Arial" w:eastAsia="Arial" w:hAnsi="Arial"/>
          <w:sz w:val="16"/>
          <w:szCs w:val="16"/>
          <w:color w:val="auto"/>
        </w:rPr>
        <w:t>The number of time-based restricted shares and performance-based RSUs granted during 2017 were both based on the average closing price of our common stock as reported on NASDAQ for the 20 trading days prior to the grant date. Under SEC rules, for purposes of this Proxy Statement we are required to value these awards using different calculations in the compensation tables following this CD&amp;A. For ease of reference, the table below reconciles the values of these awards from the amount reported in this CD&amp;A to the amounts reported in the compensation tables.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2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Pr>
          <w:p>
            <w:pPr>
              <w:jc w:val="center"/>
              <w:ind w:right="120"/>
              <w:spacing w:after="0"/>
              <w:rPr>
                <w:sz w:val="20"/>
                <w:szCs w:val="20"/>
                <w:color w:val="auto"/>
              </w:rPr>
            </w:pPr>
            <w:r>
              <w:rPr>
                <w:rFonts w:ascii="Arial" w:cs="Arial" w:eastAsia="Arial" w:hAnsi="Arial"/>
                <w:sz w:val="16"/>
                <w:szCs w:val="16"/>
                <w:b w:val="1"/>
                <w:bCs w:val="1"/>
                <w:color w:val="auto"/>
                <w:w w:val="99"/>
              </w:rPr>
              <w:t>Grant Date Fair Value</w:t>
            </w:r>
          </w:p>
        </w:tc>
      </w:tr>
      <w:tr>
        <w:trPr>
          <w:trHeight w:val="185"/>
        </w:trPr>
        <w:tc>
          <w:tcPr>
            <w:tcW w:w="2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Pr>
          <w:p>
            <w:pPr>
              <w:jc w:val="center"/>
              <w:ind w:right="100"/>
              <w:spacing w:after="0"/>
              <w:rPr>
                <w:sz w:val="20"/>
                <w:szCs w:val="20"/>
                <w:color w:val="auto"/>
              </w:rPr>
            </w:pPr>
            <w:r>
              <w:rPr>
                <w:rFonts w:ascii="Arial" w:cs="Arial" w:eastAsia="Arial" w:hAnsi="Arial"/>
                <w:sz w:val="16"/>
                <w:szCs w:val="16"/>
                <w:b w:val="1"/>
                <w:bCs w:val="1"/>
                <w:color w:val="auto"/>
              </w:rPr>
              <w:t>(as reported in the</w:t>
            </w:r>
          </w:p>
        </w:tc>
      </w:tr>
      <w:tr>
        <w:trPr>
          <w:trHeight w:val="185"/>
        </w:trPr>
        <w:tc>
          <w:tcPr>
            <w:tcW w:w="2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40"/>
              <w:spacing w:after="0"/>
              <w:rPr>
                <w:sz w:val="20"/>
                <w:szCs w:val="20"/>
                <w:color w:val="auto"/>
              </w:rPr>
            </w:pPr>
            <w:r>
              <w:rPr>
                <w:rFonts w:ascii="Arial" w:cs="Arial" w:eastAsia="Arial" w:hAnsi="Arial"/>
                <w:sz w:val="16"/>
                <w:szCs w:val="16"/>
                <w:b w:val="1"/>
                <w:bCs w:val="1"/>
                <w:color w:val="auto"/>
              </w:rPr>
              <w:t>Award Amount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Pr>
          <w:p>
            <w:pPr>
              <w:jc w:val="center"/>
              <w:ind w:right="100"/>
              <w:spacing w:after="0"/>
              <w:rPr>
                <w:sz w:val="20"/>
                <w:szCs w:val="20"/>
                <w:color w:val="auto"/>
              </w:rPr>
            </w:pPr>
            <w:r>
              <w:rPr>
                <w:rFonts w:ascii="Arial" w:cs="Arial" w:eastAsia="Arial" w:hAnsi="Arial"/>
                <w:sz w:val="16"/>
                <w:szCs w:val="16"/>
                <w:b w:val="1"/>
                <w:bCs w:val="1"/>
                <w:color w:val="auto"/>
                <w:w w:val="98"/>
              </w:rPr>
              <w:t>Summary</w:t>
            </w:r>
          </w:p>
        </w:tc>
      </w:tr>
      <w:tr>
        <w:trPr>
          <w:trHeight w:val="202"/>
        </w:trPr>
        <w:tc>
          <w:tcPr>
            <w:tcW w:w="3900" w:type="dxa"/>
            <w:vAlign w:val="bottom"/>
            <w:gridSpan w:val="3"/>
          </w:tcPr>
          <w:p>
            <w:pPr>
              <w:ind w:left="2260"/>
              <w:spacing w:after="0"/>
              <w:rPr>
                <w:sz w:val="20"/>
                <w:szCs w:val="20"/>
                <w:color w:val="auto"/>
              </w:rPr>
            </w:pPr>
            <w:r>
              <w:rPr>
                <w:rFonts w:ascii="Arial" w:cs="Arial" w:eastAsia="Arial" w:hAnsi="Arial"/>
                <w:sz w:val="16"/>
                <w:szCs w:val="16"/>
                <w:b w:val="1"/>
                <w:bCs w:val="1"/>
                <w:color w:val="auto"/>
              </w:rPr>
              <w:t>Name</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140"/>
              <w:spacing w:after="0"/>
              <w:rPr>
                <w:sz w:val="20"/>
                <w:szCs w:val="20"/>
                <w:color w:val="auto"/>
              </w:rPr>
            </w:pPr>
            <w:r>
              <w:rPr>
                <w:rFonts w:ascii="Arial" w:cs="Arial" w:eastAsia="Arial" w:hAnsi="Arial"/>
                <w:sz w:val="16"/>
                <w:szCs w:val="16"/>
                <w:b w:val="1"/>
                <w:bCs w:val="1"/>
                <w:color w:val="auto"/>
              </w:rPr>
              <w:t>(at target level)</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jc w:val="center"/>
              <w:ind w:right="120"/>
              <w:spacing w:after="0"/>
              <w:rPr>
                <w:sz w:val="20"/>
                <w:szCs w:val="20"/>
                <w:color w:val="auto"/>
              </w:rPr>
            </w:pPr>
            <w:r>
              <w:rPr>
                <w:rFonts w:ascii="Arial" w:cs="Arial" w:eastAsia="Arial" w:hAnsi="Arial"/>
                <w:sz w:val="16"/>
                <w:szCs w:val="16"/>
                <w:b w:val="1"/>
                <w:bCs w:val="1"/>
                <w:color w:val="auto"/>
                <w:w w:val="99"/>
              </w:rPr>
              <w:t>Compensation Table)</w:t>
            </w:r>
          </w:p>
        </w:tc>
      </w:tr>
      <w:tr>
        <w:trPr>
          <w:trHeight w:val="20"/>
        </w:trPr>
        <w:tc>
          <w:tcPr>
            <w:tcW w:w="2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177"/>
        </w:trPr>
        <w:tc>
          <w:tcPr>
            <w:tcW w:w="2260" w:type="dxa"/>
            <w:vAlign w:val="bottom"/>
          </w:tcPr>
          <w:p>
            <w:pPr>
              <w:spacing w:after="0" w:line="178" w:lineRule="exact"/>
              <w:rPr>
                <w:sz w:val="20"/>
                <w:szCs w:val="20"/>
                <w:color w:val="auto"/>
              </w:rPr>
            </w:pPr>
            <w:r>
              <w:rPr>
                <w:rFonts w:ascii="Arial" w:cs="Arial" w:eastAsia="Arial" w:hAnsi="Arial"/>
                <w:sz w:val="16"/>
                <w:szCs w:val="16"/>
                <w:color w:val="auto"/>
              </w:rPr>
              <w:t>Kenneth A. Gunderman</w:t>
            </w: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6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w:t>
            </w:r>
          </w:p>
        </w:tc>
        <w:tc>
          <w:tcPr>
            <w:tcW w:w="1420" w:type="dxa"/>
            <w:vAlign w:val="bottom"/>
          </w:tcPr>
          <w:p>
            <w:pPr>
              <w:jc w:val="right"/>
              <w:spacing w:after="0" w:line="178" w:lineRule="exact"/>
              <w:rPr>
                <w:sz w:val="20"/>
                <w:szCs w:val="20"/>
                <w:color w:val="auto"/>
              </w:rPr>
            </w:pPr>
            <w:r>
              <w:rPr>
                <w:rFonts w:ascii="Arial" w:cs="Arial" w:eastAsia="Arial" w:hAnsi="Arial"/>
                <w:sz w:val="16"/>
                <w:szCs w:val="16"/>
                <w:color w:val="auto"/>
              </w:rPr>
              <w:t>2,718,750</w:t>
            </w:r>
          </w:p>
        </w:tc>
        <w:tc>
          <w:tcPr>
            <w:tcW w:w="34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1980" w:type="dxa"/>
            <w:vAlign w:val="bottom"/>
          </w:tcPr>
          <w:p>
            <w:pPr>
              <w:jc w:val="right"/>
              <w:spacing w:after="0" w:line="178" w:lineRule="exact"/>
              <w:rPr>
                <w:sz w:val="20"/>
                <w:szCs w:val="20"/>
                <w:color w:val="auto"/>
              </w:rPr>
            </w:pPr>
            <w:r>
              <w:rPr>
                <w:rFonts w:ascii="Arial" w:cs="Arial" w:eastAsia="Arial" w:hAnsi="Arial"/>
                <w:sz w:val="16"/>
                <w:szCs w:val="16"/>
                <w:color w:val="auto"/>
              </w:rPr>
              <w:t>3,192,182</w:t>
            </w:r>
          </w:p>
        </w:tc>
      </w:tr>
      <w:tr>
        <w:trPr>
          <w:trHeight w:val="185"/>
        </w:trPr>
        <w:tc>
          <w:tcPr>
            <w:tcW w:w="3900" w:type="dxa"/>
            <w:vAlign w:val="bottom"/>
            <w:gridSpan w:val="3"/>
            <w:shd w:val="clear" w:color="auto" w:fill="BFBFBF"/>
          </w:tcPr>
          <w:p>
            <w:pPr>
              <w:spacing w:after="0"/>
              <w:rPr>
                <w:sz w:val="20"/>
                <w:szCs w:val="20"/>
                <w:color w:val="auto"/>
              </w:rPr>
            </w:pPr>
            <w:r>
              <w:rPr>
                <w:rFonts w:ascii="Arial" w:cs="Arial" w:eastAsia="Arial" w:hAnsi="Arial"/>
                <w:sz w:val="16"/>
                <w:szCs w:val="16"/>
                <w:color w:val="auto"/>
              </w:rPr>
              <w:t>Mark A. Wallace</w:t>
            </w:r>
          </w:p>
        </w:tc>
        <w:tc>
          <w:tcPr>
            <w:tcW w:w="1360" w:type="dxa"/>
            <w:vAlign w:val="bottom"/>
            <w:gridSpan w:val="2"/>
            <w:shd w:val="clear" w:color="auto" w:fill="BFBFBF"/>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787,500</w:t>
            </w:r>
          </w:p>
        </w:tc>
        <w:tc>
          <w:tcPr>
            <w:tcW w:w="340" w:type="dxa"/>
            <w:vAlign w:val="bottom"/>
            <w:gridSpan w:val="2"/>
            <w:shd w:val="clear" w:color="auto" w:fill="BFBFBF"/>
          </w:tcPr>
          <w:p>
            <w:pPr>
              <w:jc w:val="right"/>
              <w:ind w:right="100"/>
              <w:spacing w:after="0"/>
              <w:rPr>
                <w:sz w:val="20"/>
                <w:szCs w:val="20"/>
                <w:color w:val="auto"/>
              </w:rPr>
            </w:pPr>
            <w:r>
              <w:rPr>
                <w:rFonts w:ascii="Arial" w:cs="Arial" w:eastAsia="Arial" w:hAnsi="Arial"/>
                <w:sz w:val="16"/>
                <w:szCs w:val="16"/>
                <w:color w:val="auto"/>
              </w:rPr>
              <w:t>$</w:t>
            </w:r>
          </w:p>
        </w:tc>
        <w:tc>
          <w:tcPr>
            <w:tcW w:w="1980" w:type="dxa"/>
            <w:vAlign w:val="bottom"/>
            <w:shd w:val="clear" w:color="auto" w:fill="BFBFBF"/>
          </w:tcPr>
          <w:p>
            <w:pPr>
              <w:jc w:val="right"/>
              <w:spacing w:after="0"/>
              <w:rPr>
                <w:sz w:val="20"/>
                <w:szCs w:val="20"/>
                <w:color w:val="auto"/>
              </w:rPr>
            </w:pPr>
            <w:r>
              <w:rPr>
                <w:rFonts w:ascii="Arial" w:cs="Arial" w:eastAsia="Arial" w:hAnsi="Arial"/>
                <w:sz w:val="16"/>
                <w:szCs w:val="16"/>
                <w:color w:val="auto"/>
              </w:rPr>
              <w:t>924,597</w:t>
            </w:r>
          </w:p>
        </w:tc>
      </w:tr>
      <w:tr>
        <w:trPr>
          <w:trHeight w:val="185"/>
        </w:trPr>
        <w:tc>
          <w:tcPr>
            <w:tcW w:w="3900" w:type="dxa"/>
            <w:vAlign w:val="bottom"/>
            <w:gridSpan w:val="3"/>
          </w:tcPr>
          <w:p>
            <w:pPr>
              <w:spacing w:after="0"/>
              <w:rPr>
                <w:sz w:val="20"/>
                <w:szCs w:val="20"/>
                <w:color w:val="auto"/>
              </w:rPr>
            </w:pPr>
            <w:r>
              <w:rPr>
                <w:rFonts w:ascii="Arial" w:cs="Arial" w:eastAsia="Arial" w:hAnsi="Arial"/>
                <w:sz w:val="16"/>
                <w:szCs w:val="16"/>
                <w:color w:val="auto"/>
              </w:rPr>
              <w:t>Daniel L. Heard</w:t>
            </w: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468,750</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550,350</w:t>
            </w:r>
          </w:p>
        </w:tc>
      </w:tr>
      <w:tr>
        <w:trPr>
          <w:trHeight w:val="185"/>
        </w:trPr>
        <w:tc>
          <w:tcPr>
            <w:tcW w:w="3900" w:type="dxa"/>
            <w:vAlign w:val="bottom"/>
            <w:gridSpan w:val="3"/>
            <w:shd w:val="clear" w:color="auto" w:fill="BFBFBF"/>
          </w:tcPr>
          <w:p>
            <w:pPr>
              <w:spacing w:after="0"/>
              <w:rPr>
                <w:sz w:val="20"/>
                <w:szCs w:val="20"/>
                <w:color w:val="auto"/>
              </w:rPr>
            </w:pPr>
            <w:r>
              <w:rPr>
                <w:rFonts w:ascii="Arial" w:cs="Arial" w:eastAsia="Arial" w:hAnsi="Arial"/>
                <w:sz w:val="16"/>
                <w:szCs w:val="16"/>
                <w:color w:val="auto"/>
              </w:rPr>
              <w:t>Ronald J. Mudry</w:t>
            </w:r>
          </w:p>
        </w:tc>
        <w:tc>
          <w:tcPr>
            <w:tcW w:w="1360" w:type="dxa"/>
            <w:vAlign w:val="bottom"/>
            <w:gridSpan w:val="2"/>
            <w:shd w:val="clear" w:color="auto" w:fill="BFBFBF"/>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350,000</w:t>
            </w:r>
          </w:p>
        </w:tc>
        <w:tc>
          <w:tcPr>
            <w:tcW w:w="340" w:type="dxa"/>
            <w:vAlign w:val="bottom"/>
            <w:gridSpan w:val="2"/>
            <w:shd w:val="clear" w:color="auto" w:fill="BFBFBF"/>
          </w:tcPr>
          <w:p>
            <w:pPr>
              <w:jc w:val="right"/>
              <w:ind w:right="100"/>
              <w:spacing w:after="0"/>
              <w:rPr>
                <w:sz w:val="20"/>
                <w:szCs w:val="20"/>
                <w:color w:val="auto"/>
              </w:rPr>
            </w:pPr>
            <w:r>
              <w:rPr>
                <w:rFonts w:ascii="Arial" w:cs="Arial" w:eastAsia="Arial" w:hAnsi="Arial"/>
                <w:sz w:val="16"/>
                <w:szCs w:val="16"/>
                <w:color w:val="auto"/>
              </w:rPr>
              <w:t>$</w:t>
            </w:r>
          </w:p>
        </w:tc>
        <w:tc>
          <w:tcPr>
            <w:tcW w:w="1980" w:type="dxa"/>
            <w:vAlign w:val="bottom"/>
            <w:shd w:val="clear" w:color="auto" w:fill="BFBFBF"/>
          </w:tcPr>
          <w:p>
            <w:pPr>
              <w:jc w:val="right"/>
              <w:spacing w:after="0"/>
              <w:rPr>
                <w:sz w:val="20"/>
                <w:szCs w:val="20"/>
                <w:color w:val="auto"/>
              </w:rPr>
            </w:pPr>
            <w:r>
              <w:rPr>
                <w:rFonts w:ascii="Arial" w:cs="Arial" w:eastAsia="Arial" w:hAnsi="Arial"/>
                <w:sz w:val="16"/>
                <w:szCs w:val="16"/>
                <w:color w:val="auto"/>
              </w:rPr>
              <w:t>360,497</w:t>
            </w:r>
          </w:p>
        </w:tc>
      </w:tr>
    </w:tbl>
    <w:p>
      <w:pPr>
        <w:spacing w:after="0" w:line="200" w:lineRule="exact"/>
        <w:rPr>
          <w:sz w:val="20"/>
          <w:szCs w:val="20"/>
          <w:color w:val="auto"/>
        </w:rPr>
      </w:pPr>
    </w:p>
    <w:p>
      <w:pPr>
        <w:ind w:firstLine="624"/>
        <w:spacing w:after="0" w:line="247" w:lineRule="auto"/>
        <w:rPr>
          <w:sz w:val="20"/>
          <w:szCs w:val="20"/>
          <w:color w:val="auto"/>
        </w:rPr>
      </w:pPr>
      <w:r>
        <w:rPr>
          <w:rFonts w:ascii="Arial" w:cs="Arial" w:eastAsia="Arial" w:hAnsi="Arial"/>
          <w:sz w:val="16"/>
          <w:szCs w:val="16"/>
          <w:color w:val="auto"/>
        </w:rPr>
        <w:t>While the Short-Term Incentive Plan is designed to incentivize our executive officers to achieve specific near-term financial and operational performance goals, the Long-Term Incentive Plan's incentive opportunity is designed to focus our executive officers on long-term performance by linking a substantial portion of an NEO's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right="500"/>
        <w:spacing w:after="0" w:line="247" w:lineRule="auto"/>
        <w:rPr>
          <w:sz w:val="20"/>
          <w:szCs w:val="20"/>
          <w:color w:val="auto"/>
        </w:rPr>
      </w:pPr>
      <w:r>
        <w:rPr>
          <w:rFonts w:ascii="Arial" w:cs="Arial" w:eastAsia="Arial" w:hAnsi="Arial"/>
          <w:sz w:val="16"/>
          <w:szCs w:val="16"/>
          <w:color w:val="auto"/>
        </w:rPr>
        <w:t>compensation to the long-term stability and success of our Company. The Compensation Committee believes that the equity awards granted in 2017 appropriately align the long-term interests of our executive officers with that of our stockholders. The Compensation Committee further believes that equity compensation is a critical tool in attracting and retaining qualified executives who we believe are integral to our success.</w:t>
      </w:r>
    </w:p>
    <w:p>
      <w:pPr>
        <w:spacing w:after="0" w:line="353" w:lineRule="exact"/>
        <w:rPr>
          <w:sz w:val="20"/>
          <w:szCs w:val="20"/>
          <w:color w:val="auto"/>
        </w:rPr>
      </w:pPr>
    </w:p>
    <w:p>
      <w:pPr>
        <w:ind w:right="60" w:firstLine="624"/>
        <w:spacing w:after="0" w:line="249" w:lineRule="auto"/>
        <w:rPr>
          <w:sz w:val="20"/>
          <w:szCs w:val="20"/>
          <w:color w:val="auto"/>
        </w:rPr>
      </w:pPr>
      <w:r>
        <w:rPr>
          <w:rFonts w:ascii="Arial" w:cs="Arial" w:eastAsia="Arial" w:hAnsi="Arial"/>
          <w:sz w:val="16"/>
          <w:szCs w:val="16"/>
          <w:i w:val="1"/>
          <w:iCs w:val="1"/>
          <w:color w:val="00ACD2"/>
        </w:rPr>
        <w:t xml:space="preserve">Other Benefit Plans. </w:t>
      </w:r>
      <w:r>
        <w:rPr>
          <w:rFonts w:ascii="Arial" w:cs="Arial" w:eastAsia="Arial" w:hAnsi="Arial"/>
          <w:sz w:val="16"/>
          <w:szCs w:val="16"/>
          <w:color w:val="000000"/>
        </w:rPr>
        <w:t>Similar to all of our employees, executive officers are entitled to receive health, welfare, life insurance and 401(k) retirement</w:t>
      </w:r>
      <w:r>
        <w:rPr>
          <w:rFonts w:ascii="Arial" w:cs="Arial" w:eastAsia="Arial" w:hAnsi="Arial"/>
          <w:sz w:val="16"/>
          <w:szCs w:val="16"/>
          <w:i w:val="1"/>
          <w:iCs w:val="1"/>
          <w:color w:val="00ACD2"/>
        </w:rPr>
        <w:t xml:space="preserve"> </w:t>
      </w:r>
      <w:r>
        <w:rPr>
          <w:rFonts w:ascii="Arial" w:cs="Arial" w:eastAsia="Arial" w:hAnsi="Arial"/>
          <w:sz w:val="16"/>
          <w:szCs w:val="16"/>
          <w:color w:val="000000"/>
        </w:rPr>
        <w:t>benefits from Uniti. The Company also maintains the Uniti Group Inc. Deferred Compensation Plan, a non-qualified deferred compensation plan that offers participants the ability to defer compensation above the IRS qualified plan limits. Amounts deferred under the plan accrue interest at the lesser of the Company's weighted average cost of capital or the then current yield on the United States 10 year Treasury Note. As of December 31, 2017, the applicable rate under the plan was 2.4%. The Compensation Committee adopted such plan as part of its effort to provide a competitive total compensation package.</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2017, we did not provide any perquisites to our NEOs.</w:t>
      </w:r>
    </w:p>
    <w:p>
      <w:pPr>
        <w:spacing w:after="0" w:line="367" w:lineRule="exact"/>
        <w:rPr>
          <w:sz w:val="20"/>
          <w:szCs w:val="20"/>
          <w:color w:val="auto"/>
        </w:rPr>
      </w:pPr>
    </w:p>
    <w:p>
      <w:pPr>
        <w:ind w:right="120" w:firstLine="624"/>
        <w:spacing w:after="0" w:line="252" w:lineRule="auto"/>
        <w:rPr>
          <w:sz w:val="20"/>
          <w:szCs w:val="20"/>
          <w:color w:val="auto"/>
        </w:rPr>
      </w:pPr>
      <w:r>
        <w:rPr>
          <w:rFonts w:ascii="Arial" w:cs="Arial" w:eastAsia="Arial" w:hAnsi="Arial"/>
          <w:sz w:val="16"/>
          <w:szCs w:val="16"/>
          <w:i w:val="1"/>
          <w:iCs w:val="1"/>
          <w:color w:val="00ACD2"/>
        </w:rPr>
        <w:t xml:space="preserve">Severance and Change-in-Control Provisions. </w:t>
      </w:r>
      <w:r>
        <w:rPr>
          <w:rFonts w:ascii="Arial" w:cs="Arial" w:eastAsia="Arial" w:hAnsi="Arial"/>
          <w:sz w:val="16"/>
          <w:szCs w:val="16"/>
          <w:color w:val="000000"/>
        </w:rPr>
        <w:t>We have entered into agreements with our executive officers that provide for severance benefits upon</w:t>
      </w:r>
      <w:r>
        <w:rPr>
          <w:rFonts w:ascii="Arial" w:cs="Arial" w:eastAsia="Arial" w:hAnsi="Arial"/>
          <w:sz w:val="16"/>
          <w:szCs w:val="16"/>
          <w:i w:val="1"/>
          <w:iCs w:val="1"/>
          <w:color w:val="00ACD2"/>
        </w:rPr>
        <w:t xml:space="preserve"> </w:t>
      </w:r>
      <w:r>
        <w:rPr>
          <w:rFonts w:ascii="Arial" w:cs="Arial" w:eastAsia="Arial" w:hAnsi="Arial"/>
          <w:sz w:val="16"/>
          <w:szCs w:val="16"/>
          <w:color w:val="000000"/>
        </w:rPr>
        <w:t>qualifying termination of employment, including enhanced severance if the termination occurs in connection with a change in control. These agreements are described below under "Agreements with our Named Executive Officers." We believe the arrangements are reasonable and were an important part of the recruitment and expected long-term retention of our executive management team.</w:t>
      </w:r>
    </w:p>
    <w:p>
      <w:pPr>
        <w:spacing w:after="0" w:line="349" w:lineRule="exact"/>
        <w:rPr>
          <w:sz w:val="20"/>
          <w:szCs w:val="20"/>
          <w:color w:val="auto"/>
        </w:rPr>
      </w:pPr>
    </w:p>
    <w:p>
      <w:pPr>
        <w:ind w:right="40" w:firstLine="624"/>
        <w:spacing w:after="0" w:line="245" w:lineRule="auto"/>
        <w:rPr>
          <w:sz w:val="20"/>
          <w:szCs w:val="20"/>
          <w:color w:val="auto"/>
        </w:rPr>
      </w:pPr>
      <w:r>
        <w:rPr>
          <w:rFonts w:ascii="Arial" w:cs="Arial" w:eastAsia="Arial" w:hAnsi="Arial"/>
          <w:sz w:val="16"/>
          <w:szCs w:val="16"/>
          <w:i w:val="1"/>
          <w:iCs w:val="1"/>
          <w:color w:val="00ACD2"/>
        </w:rPr>
        <w:t xml:space="preserve">Clawback Policy. </w:t>
      </w:r>
      <w:r>
        <w:rPr>
          <w:rFonts w:ascii="Arial" w:cs="Arial" w:eastAsia="Arial" w:hAnsi="Arial"/>
          <w:sz w:val="16"/>
          <w:szCs w:val="16"/>
          <w:color w:val="000000"/>
        </w:rPr>
        <w:t>We maintain a clawback policy (the "Clawback Policy") that may require an executive officer to repay or forfeit certain compensation</w:t>
      </w:r>
      <w:r>
        <w:rPr>
          <w:rFonts w:ascii="Arial" w:cs="Arial" w:eastAsia="Arial" w:hAnsi="Arial"/>
          <w:sz w:val="16"/>
          <w:szCs w:val="16"/>
          <w:i w:val="1"/>
          <w:iCs w:val="1"/>
          <w:color w:val="00ACD2"/>
        </w:rPr>
        <w:t xml:space="preserve"> </w:t>
      </w:r>
      <w:r>
        <w:rPr>
          <w:rFonts w:ascii="Arial" w:cs="Arial" w:eastAsia="Arial" w:hAnsi="Arial"/>
          <w:sz w:val="16"/>
          <w:szCs w:val="16"/>
          <w:color w:val="000000"/>
        </w:rPr>
        <w:t>in the event that our financial statements become subject to restatement and the Audit Committee determines (i) that fraud caused or significantly contributed to the need for the restatement, regardless of whether the executive officer engaged in such conduct, (ii) that the compensation was based on the achievement of financial results that were the subject of the restatement and would have been lower had the financial results been properly reported and (iii) that it is in the best interests of us and our stockholders for the executive officer to repay or forfeit the compensation. The Clawback Policy applies to annual or short-term incentive compensation, performance-based restricted stock, and other performance-based compensation, in each case granted or awarded during the three fiscal years preceding the restatement, and any other compensation as the Audit Committee of our Board of Directors may designate as subject to the Clawback Policy. We will periodically review our clawback policy and amend it as necessary to comply with any future mandates from the SEC.</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00ACD2"/>
        </w:rPr>
        <w:t>Risk Considerations in our Overall Compensation Program</w:t>
      </w:r>
    </w:p>
    <w:p>
      <w:pPr>
        <w:spacing w:after="0" w:line="198" w:lineRule="exact"/>
        <w:rPr>
          <w:sz w:val="20"/>
          <w:szCs w:val="20"/>
          <w:color w:val="auto"/>
        </w:rPr>
      </w:pPr>
    </w:p>
    <w:p>
      <w:pPr>
        <w:ind w:firstLine="621"/>
        <w:spacing w:after="0" w:line="245" w:lineRule="auto"/>
        <w:rPr>
          <w:sz w:val="20"/>
          <w:szCs w:val="20"/>
          <w:color w:val="auto"/>
        </w:rPr>
      </w:pPr>
      <w:r>
        <w:rPr>
          <w:rFonts w:ascii="Arial" w:cs="Arial" w:eastAsia="Arial" w:hAnsi="Arial"/>
          <w:sz w:val="16"/>
          <w:szCs w:val="16"/>
          <w:color w:val="auto"/>
        </w:rPr>
        <w:t>The Compensation Committee has assessed the risks that could arise from our compensation policies for all employees, including employees who are not officers, and has concluded that such policies are not reasonably likely to have a material adverse effect on us. To the extent that our compensation programs create a potential misalignment of risk incentives, the Compensation Committee believes that it has adequate compensating controls to mitigate against the potential impact of any such misalignment. These compensating controls include robust stock ownership guidelines,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right="480"/>
        <w:spacing w:after="0" w:line="253" w:lineRule="auto"/>
        <w:rPr>
          <w:sz w:val="20"/>
          <w:szCs w:val="20"/>
          <w:color w:val="auto"/>
        </w:rPr>
      </w:pPr>
      <w:r>
        <w:rPr>
          <w:rFonts w:ascii="Arial" w:cs="Arial" w:eastAsia="Arial" w:hAnsi="Arial"/>
          <w:sz w:val="16"/>
          <w:szCs w:val="16"/>
          <w:color w:val="auto"/>
        </w:rPr>
        <w:t>the Clawback Policy, capped incentive award opportunities, a three-year vesting cycle for equity-based compensation and oversight by the Compensation Committee.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00ACD2"/>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5868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15" w:lineRule="exact"/>
        <w:rPr>
          <w:sz w:val="20"/>
          <w:szCs w:val="20"/>
          <w:color w:val="auto"/>
        </w:rPr>
      </w:pPr>
    </w:p>
    <w:p>
      <w:pPr>
        <w:ind w:right="180" w:firstLine="624"/>
        <w:spacing w:after="0" w:line="245" w:lineRule="auto"/>
        <w:rPr>
          <w:sz w:val="20"/>
          <w:szCs w:val="20"/>
          <w:color w:val="auto"/>
        </w:rPr>
      </w:pPr>
      <w:r>
        <w:rPr>
          <w:rFonts w:ascii="Arial" w:cs="Arial" w:eastAsia="Arial" w:hAnsi="Arial"/>
          <w:sz w:val="16"/>
          <w:szCs w:val="16"/>
          <w:color w:val="auto"/>
        </w:rPr>
        <w:t>We believe that share ownership by our directors and senior officers helps to align their interests with our stockholders' interests. We have adopted minimum stock ownership guidelines applicable to our directors and executive officers. Directors who are not executive officers are expected to maintain beneficial ownership of shares of our common stock valued at $500,000. Our executive officers are expected to maintain beneficial ownership of shares of our common stock with a value equal to the following:</w:t>
      </w:r>
    </w:p>
    <w:p>
      <w:pPr>
        <w:spacing w:after="0" w:line="166" w:lineRule="exact"/>
        <w:rPr>
          <w:sz w:val="20"/>
          <w:szCs w:val="20"/>
          <w:color w:val="auto"/>
        </w:rPr>
      </w:pPr>
    </w:p>
    <w:tbl>
      <w:tblPr>
        <w:tblLayout w:type="fixed"/>
        <w:tblInd w:w="1940" w:type="dxa"/>
        <w:tblCellMar>
          <w:top w:w="0" w:type="dxa"/>
          <w:left w:w="0" w:type="dxa"/>
          <w:bottom w:w="0" w:type="dxa"/>
          <w:right w:w="0" w:type="dxa"/>
        </w:tblCellMar>
      </w:tblPr>
      <w:tr>
        <w:trPr>
          <w:trHeight w:val="202"/>
        </w:trPr>
        <w:tc>
          <w:tcPr>
            <w:tcW w:w="3580" w:type="dxa"/>
            <w:vAlign w:val="bottom"/>
            <w:gridSpan w:val="2"/>
          </w:tcPr>
          <w:p>
            <w:pPr>
              <w:spacing w:after="0"/>
              <w:rPr>
                <w:sz w:val="20"/>
                <w:szCs w:val="20"/>
                <w:color w:val="auto"/>
              </w:rPr>
            </w:pPr>
            <w:r>
              <w:rPr>
                <w:rFonts w:ascii="Arial" w:cs="Arial" w:eastAsia="Arial" w:hAnsi="Arial"/>
                <w:sz w:val="16"/>
                <w:szCs w:val="16"/>
                <w:b w:val="1"/>
                <w:bCs w:val="1"/>
                <w:color w:val="auto"/>
              </w:rPr>
              <w:t>Officer</w:t>
            </w:r>
          </w:p>
        </w:tc>
        <w:tc>
          <w:tcPr>
            <w:tcW w:w="1960" w:type="dxa"/>
            <w:vAlign w:val="bottom"/>
          </w:tcPr>
          <w:p>
            <w:pPr>
              <w:spacing w:after="0"/>
              <w:rPr>
                <w:sz w:val="17"/>
                <w:szCs w:val="17"/>
                <w:color w:val="auto"/>
              </w:rPr>
            </w:pPr>
          </w:p>
        </w:tc>
        <w:tc>
          <w:tcPr>
            <w:tcW w:w="1900" w:type="dxa"/>
            <w:vAlign w:val="bottom"/>
          </w:tcPr>
          <w:p>
            <w:pPr>
              <w:ind w:left="300"/>
              <w:spacing w:after="0"/>
              <w:rPr>
                <w:sz w:val="20"/>
                <w:szCs w:val="20"/>
                <w:color w:val="auto"/>
              </w:rPr>
            </w:pPr>
            <w:r>
              <w:rPr>
                <w:rFonts w:ascii="Arial" w:cs="Arial" w:eastAsia="Arial" w:hAnsi="Arial"/>
                <w:sz w:val="16"/>
                <w:szCs w:val="16"/>
                <w:b w:val="1"/>
                <w:bCs w:val="1"/>
                <w:color w:val="auto"/>
              </w:rPr>
              <w:t>Ownership Level</w:t>
            </w:r>
          </w:p>
        </w:tc>
      </w:tr>
      <w:tr>
        <w:trPr>
          <w:trHeight w:val="20"/>
        </w:trPr>
        <w:tc>
          <w:tcPr>
            <w:tcW w:w="52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r>
      <w:tr>
        <w:trPr>
          <w:trHeight w:val="180"/>
        </w:trPr>
        <w:tc>
          <w:tcPr>
            <w:tcW w:w="3580" w:type="dxa"/>
            <w:vAlign w:val="bottom"/>
            <w:gridSpan w:val="2"/>
          </w:tcPr>
          <w:p>
            <w:pPr>
              <w:spacing w:after="0" w:line="181" w:lineRule="exact"/>
              <w:rPr>
                <w:sz w:val="20"/>
                <w:szCs w:val="20"/>
                <w:color w:val="auto"/>
              </w:rPr>
            </w:pPr>
            <w:r>
              <w:rPr>
                <w:rFonts w:ascii="Arial" w:cs="Arial" w:eastAsia="Arial" w:hAnsi="Arial"/>
                <w:sz w:val="16"/>
                <w:szCs w:val="16"/>
                <w:color w:val="auto"/>
              </w:rPr>
              <w:t>Chief Executive Officer</w:t>
            </w:r>
          </w:p>
        </w:tc>
        <w:tc>
          <w:tcPr>
            <w:tcW w:w="3860" w:type="dxa"/>
            <w:vAlign w:val="bottom"/>
            <w:gridSpan w:val="2"/>
          </w:tcPr>
          <w:p>
            <w:pPr>
              <w:ind w:left="1940"/>
              <w:spacing w:after="0" w:line="181" w:lineRule="exact"/>
              <w:rPr>
                <w:sz w:val="20"/>
                <w:szCs w:val="20"/>
                <w:color w:val="auto"/>
              </w:rPr>
            </w:pPr>
            <w:r>
              <w:rPr>
                <w:rFonts w:ascii="Arial" w:cs="Arial" w:eastAsia="Arial" w:hAnsi="Arial"/>
                <w:sz w:val="16"/>
                <w:szCs w:val="16"/>
                <w:color w:val="auto"/>
              </w:rPr>
              <w:t>five times base salary</w:t>
            </w:r>
          </w:p>
        </w:tc>
      </w:tr>
      <w:tr>
        <w:trPr>
          <w:trHeight w:val="193"/>
        </w:trPr>
        <w:tc>
          <w:tcPr>
            <w:tcW w:w="3580" w:type="dxa"/>
            <w:vAlign w:val="bottom"/>
            <w:gridSpan w:val="2"/>
          </w:tcPr>
          <w:p>
            <w:pPr>
              <w:spacing w:after="0"/>
              <w:rPr>
                <w:sz w:val="20"/>
                <w:szCs w:val="20"/>
                <w:color w:val="auto"/>
              </w:rPr>
            </w:pPr>
            <w:r>
              <w:rPr>
                <w:rFonts w:ascii="Arial" w:cs="Arial" w:eastAsia="Arial" w:hAnsi="Arial"/>
                <w:sz w:val="16"/>
                <w:szCs w:val="16"/>
                <w:color w:val="auto"/>
              </w:rPr>
              <w:t>Other Officers</w:t>
            </w:r>
          </w:p>
        </w:tc>
        <w:tc>
          <w:tcPr>
            <w:tcW w:w="3860" w:type="dxa"/>
            <w:vAlign w:val="bottom"/>
            <w:gridSpan w:val="2"/>
          </w:tcPr>
          <w:p>
            <w:pPr>
              <w:ind w:left="1940"/>
              <w:spacing w:after="0"/>
              <w:rPr>
                <w:sz w:val="20"/>
                <w:szCs w:val="20"/>
                <w:color w:val="auto"/>
              </w:rPr>
            </w:pPr>
            <w:r>
              <w:rPr>
                <w:rFonts w:ascii="Arial" w:cs="Arial" w:eastAsia="Arial" w:hAnsi="Arial"/>
                <w:sz w:val="16"/>
                <w:szCs w:val="16"/>
                <w:color w:val="auto"/>
              </w:rPr>
              <w:t>three times base salary</w:t>
            </w:r>
          </w:p>
        </w:tc>
      </w:tr>
    </w:tbl>
    <w:p>
      <w:pPr>
        <w:spacing w:after="0" w:line="189" w:lineRule="exact"/>
        <w:rPr>
          <w:sz w:val="20"/>
          <w:szCs w:val="20"/>
          <w:color w:val="auto"/>
        </w:rPr>
      </w:pPr>
    </w:p>
    <w:p>
      <w:pPr>
        <w:ind w:firstLine="624"/>
        <w:spacing w:after="0" w:line="242" w:lineRule="auto"/>
        <w:rPr>
          <w:sz w:val="20"/>
          <w:szCs w:val="20"/>
          <w:color w:val="auto"/>
        </w:rPr>
      </w:pPr>
      <w:r>
        <w:rPr>
          <w:rFonts w:ascii="Arial" w:cs="Arial" w:eastAsia="Arial" w:hAnsi="Arial"/>
          <w:sz w:val="16"/>
          <w:szCs w:val="16"/>
          <w:color w:val="auto"/>
        </w:rPr>
        <w:t>Directors and executive officers have a transition period of five and four years, respectively, from their initial election (or from the first annual meeting of stockholders following their election) to meet the applicable ownership guidelines and, thereafter, one year (measured from the date of each annual meeting) to meet any increased ownership requirements resulting from changes in stock price, annual retainer, annual base salary, or applicable ownership levels occurring since the initial deadline. During the transition period and until the director or officer satisfies the specified ownership levels, the guidelines require that each officer and director retain 100% of the shares received, net of tax payment obligations, upon the vesting of any stock or equity awards granted to such director or officer. For the purposes of the guidelines, (i) shares of common stock owned by a stockholder of the Company having contractual director nomination rights will be included in the calculation of shares beneficially owned by any director that is designated for election by such stockholder and (ii) stock options and unvested shares or units of restricted stock are not considered to be owned.</w:t>
      </w:r>
    </w:p>
    <w:p>
      <w:pPr>
        <w:spacing w:after="0" w:line="193" w:lineRule="exact"/>
        <w:rPr>
          <w:sz w:val="20"/>
          <w:szCs w:val="20"/>
          <w:color w:val="auto"/>
        </w:rPr>
      </w:pPr>
    </w:p>
    <w:p>
      <w:pPr>
        <w:ind w:right="460" w:firstLine="621"/>
        <w:spacing w:after="0" w:line="253" w:lineRule="auto"/>
        <w:rPr>
          <w:sz w:val="20"/>
          <w:szCs w:val="20"/>
          <w:color w:val="auto"/>
        </w:rPr>
      </w:pPr>
      <w:r>
        <w:rPr>
          <w:rFonts w:ascii="Arial" w:cs="Arial" w:eastAsia="Arial" w:hAnsi="Arial"/>
          <w:sz w:val="16"/>
          <w:szCs w:val="16"/>
          <w:color w:val="auto"/>
        </w:rPr>
        <w:t>The table below sets forth the applicable ownership guideline amount for each of our directors and executive officers and the number of shares of common stock that each such officer or director is deemed to own under the guidelines as of March 1, 2018.</w:t>
      </w:r>
    </w:p>
    <w:p>
      <w:pPr>
        <w:spacing w:after="0" w:line="159"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Guideline</w:t>
            </w: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2"/>
        </w:trPr>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6"/>
              </w:rPr>
              <w:t>Name</w:t>
            </w:r>
          </w:p>
        </w:tc>
        <w:tc>
          <w:tcPr>
            <w:tcW w:w="48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 Amount</w:t>
            </w:r>
          </w:p>
        </w:tc>
        <w:tc>
          <w:tcPr>
            <w:tcW w:w="140" w:type="dxa"/>
            <w:vAlign w:val="bottom"/>
          </w:tcPr>
          <w:p>
            <w:pPr>
              <w:spacing w:after="0"/>
              <w:rPr>
                <w:sz w:val="17"/>
                <w:szCs w:val="17"/>
                <w:color w:val="auto"/>
              </w:rPr>
            </w:pPr>
          </w:p>
        </w:tc>
        <w:tc>
          <w:tcPr>
            <w:tcW w:w="154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Shares Owned</w:t>
            </w:r>
          </w:p>
        </w:tc>
        <w:tc>
          <w:tcPr>
            <w:tcW w:w="20" w:type="dxa"/>
            <w:vAlign w:val="bottom"/>
          </w:tcPr>
          <w:p>
            <w:pPr>
              <w:spacing w:after="0"/>
              <w:rPr>
                <w:sz w:val="17"/>
                <w:szCs w:val="17"/>
                <w:color w:val="auto"/>
              </w:rPr>
            </w:pPr>
          </w:p>
        </w:tc>
      </w:tr>
      <w:tr>
        <w:trPr>
          <w:trHeight w:val="180"/>
        </w:trPr>
        <w:tc>
          <w:tcPr>
            <w:tcW w:w="526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Jennifer S. Banner</w:t>
            </w:r>
          </w:p>
        </w:tc>
        <w:tc>
          <w:tcPr>
            <w:tcW w:w="1620" w:type="dxa"/>
            <w:vAlign w:val="bottom"/>
            <w:gridSpan w:val="2"/>
          </w:tcPr>
          <w:p>
            <w:pPr>
              <w:jc w:val="right"/>
              <w:ind w:right="140"/>
              <w:spacing w:after="0" w:line="181" w:lineRule="exact"/>
              <w:rPr>
                <w:sz w:val="20"/>
                <w:szCs w:val="20"/>
                <w:color w:val="auto"/>
              </w:rPr>
            </w:pPr>
            <w:r>
              <w:rPr>
                <w:rFonts w:ascii="Arial" w:cs="Arial" w:eastAsia="Arial" w:hAnsi="Arial"/>
                <w:sz w:val="16"/>
                <w:szCs w:val="16"/>
                <w:color w:val="auto"/>
              </w:rPr>
              <w:t>20,947</w:t>
            </w:r>
          </w:p>
        </w:tc>
        <w:tc>
          <w:tcPr>
            <w:tcW w:w="156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17,323</w:t>
            </w:r>
          </w:p>
        </w:tc>
      </w:tr>
      <w:tr>
        <w:trPr>
          <w:trHeight w:val="185"/>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Scott G. Bruce</w:t>
            </w:r>
          </w:p>
        </w:tc>
        <w:tc>
          <w:tcPr>
            <w:tcW w:w="1620" w:type="dxa"/>
            <w:vAlign w:val="bottom"/>
            <w:gridSpan w:val="2"/>
          </w:tcPr>
          <w:p>
            <w:pPr>
              <w:jc w:val="right"/>
              <w:ind w:right="140"/>
              <w:spacing w:after="0"/>
              <w:rPr>
                <w:sz w:val="20"/>
                <w:szCs w:val="20"/>
                <w:color w:val="auto"/>
              </w:rPr>
            </w:pPr>
            <w:r>
              <w:rPr>
                <w:rFonts w:ascii="Arial" w:cs="Arial" w:eastAsia="Arial" w:hAnsi="Arial"/>
                <w:sz w:val="16"/>
                <w:szCs w:val="16"/>
                <w:color w:val="auto"/>
              </w:rPr>
              <w:t>20,687</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7,514</w:t>
            </w:r>
          </w:p>
        </w:tc>
      </w:tr>
      <w:tr>
        <w:trPr>
          <w:trHeight w:val="185"/>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Francis X. ("Skip") Frantz</w:t>
            </w:r>
          </w:p>
        </w:tc>
        <w:tc>
          <w:tcPr>
            <w:tcW w:w="1620" w:type="dxa"/>
            <w:vAlign w:val="bottom"/>
            <w:gridSpan w:val="2"/>
          </w:tcPr>
          <w:p>
            <w:pPr>
              <w:jc w:val="right"/>
              <w:ind w:right="140"/>
              <w:spacing w:after="0"/>
              <w:rPr>
                <w:sz w:val="20"/>
                <w:szCs w:val="20"/>
                <w:color w:val="auto"/>
              </w:rPr>
            </w:pPr>
            <w:r>
              <w:rPr>
                <w:rFonts w:ascii="Arial" w:cs="Arial" w:eastAsia="Arial" w:hAnsi="Arial"/>
                <w:sz w:val="16"/>
                <w:szCs w:val="16"/>
                <w:color w:val="auto"/>
              </w:rPr>
              <w:t>20,947</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155,426</w:t>
            </w:r>
          </w:p>
        </w:tc>
      </w:tr>
      <w:tr>
        <w:trPr>
          <w:trHeight w:val="185"/>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Andrew Frey</w:t>
            </w:r>
          </w:p>
        </w:tc>
        <w:tc>
          <w:tcPr>
            <w:tcW w:w="1620" w:type="dxa"/>
            <w:vAlign w:val="bottom"/>
            <w:gridSpan w:val="2"/>
          </w:tcPr>
          <w:p>
            <w:pPr>
              <w:jc w:val="right"/>
              <w:ind w:right="140"/>
              <w:spacing w:after="0"/>
              <w:rPr>
                <w:sz w:val="20"/>
                <w:szCs w:val="20"/>
                <w:color w:val="auto"/>
              </w:rPr>
            </w:pPr>
            <w:r>
              <w:rPr>
                <w:rFonts w:ascii="Arial" w:cs="Arial" w:eastAsia="Arial" w:hAnsi="Arial"/>
                <w:sz w:val="16"/>
                <w:szCs w:val="16"/>
                <w:color w:val="auto"/>
              </w:rPr>
              <w:t>20,687</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10,006,615</w:t>
            </w:r>
          </w:p>
        </w:tc>
      </w:tr>
      <w:tr>
        <w:trPr>
          <w:trHeight w:val="185"/>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Kenneth A. Gunderman</w:t>
            </w:r>
          </w:p>
        </w:tc>
        <w:tc>
          <w:tcPr>
            <w:tcW w:w="1620" w:type="dxa"/>
            <w:vAlign w:val="bottom"/>
            <w:gridSpan w:val="2"/>
          </w:tcPr>
          <w:p>
            <w:pPr>
              <w:jc w:val="right"/>
              <w:ind w:right="140"/>
              <w:spacing w:after="0"/>
              <w:rPr>
                <w:sz w:val="20"/>
                <w:szCs w:val="20"/>
                <w:color w:val="auto"/>
              </w:rPr>
            </w:pPr>
            <w:r>
              <w:rPr>
                <w:rFonts w:ascii="Arial" w:cs="Arial" w:eastAsia="Arial" w:hAnsi="Arial"/>
                <w:sz w:val="16"/>
                <w:szCs w:val="16"/>
                <w:color w:val="auto"/>
              </w:rPr>
              <w:t>146,628</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88,401</w:t>
            </w:r>
          </w:p>
        </w:tc>
      </w:tr>
      <w:tr>
        <w:trPr>
          <w:trHeight w:val="185"/>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Daniel L. Heard</w:t>
            </w:r>
          </w:p>
        </w:tc>
        <w:tc>
          <w:tcPr>
            <w:tcW w:w="1620" w:type="dxa"/>
            <w:vAlign w:val="bottom"/>
            <w:gridSpan w:val="2"/>
          </w:tcPr>
          <w:p>
            <w:pPr>
              <w:jc w:val="right"/>
              <w:ind w:right="140"/>
              <w:spacing w:after="0"/>
              <w:rPr>
                <w:sz w:val="20"/>
                <w:szCs w:val="20"/>
                <w:color w:val="auto"/>
              </w:rPr>
            </w:pPr>
            <w:r>
              <w:rPr>
                <w:rFonts w:ascii="Arial" w:cs="Arial" w:eastAsia="Arial" w:hAnsi="Arial"/>
                <w:sz w:val="16"/>
                <w:szCs w:val="16"/>
                <w:color w:val="auto"/>
              </w:rPr>
              <w:t>43,988</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14,404</w:t>
            </w:r>
          </w:p>
        </w:tc>
      </w:tr>
      <w:tr>
        <w:trPr>
          <w:trHeight w:val="185"/>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David L. Solomon</w:t>
            </w:r>
          </w:p>
        </w:tc>
        <w:tc>
          <w:tcPr>
            <w:tcW w:w="1620" w:type="dxa"/>
            <w:vAlign w:val="bottom"/>
            <w:gridSpan w:val="2"/>
          </w:tcPr>
          <w:p>
            <w:pPr>
              <w:jc w:val="right"/>
              <w:ind w:right="140"/>
              <w:spacing w:after="0"/>
              <w:rPr>
                <w:sz w:val="20"/>
                <w:szCs w:val="20"/>
                <w:color w:val="auto"/>
              </w:rPr>
            </w:pPr>
            <w:r>
              <w:rPr>
                <w:rFonts w:ascii="Arial" w:cs="Arial" w:eastAsia="Arial" w:hAnsi="Arial"/>
                <w:sz w:val="16"/>
                <w:szCs w:val="16"/>
                <w:color w:val="auto"/>
              </w:rPr>
              <w:t>20,947</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18,330</w:t>
            </w:r>
          </w:p>
        </w:tc>
      </w:tr>
      <w:tr>
        <w:trPr>
          <w:trHeight w:val="193"/>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Mark A. Wallace</w:t>
            </w:r>
          </w:p>
        </w:tc>
        <w:tc>
          <w:tcPr>
            <w:tcW w:w="1620" w:type="dxa"/>
            <w:vAlign w:val="bottom"/>
            <w:gridSpan w:val="2"/>
          </w:tcPr>
          <w:p>
            <w:pPr>
              <w:jc w:val="right"/>
              <w:ind w:right="140"/>
              <w:spacing w:after="0"/>
              <w:rPr>
                <w:sz w:val="20"/>
                <w:szCs w:val="20"/>
                <w:color w:val="auto"/>
              </w:rPr>
            </w:pPr>
            <w:r>
              <w:rPr>
                <w:rFonts w:ascii="Arial" w:cs="Arial" w:eastAsia="Arial" w:hAnsi="Arial"/>
                <w:sz w:val="16"/>
                <w:szCs w:val="16"/>
                <w:color w:val="auto"/>
              </w:rPr>
              <w:t>53,414</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14,439</w:t>
            </w:r>
          </w:p>
        </w:tc>
      </w:tr>
    </w:tbl>
    <w:p>
      <w:pPr>
        <w:spacing w:after="0" w:line="189" w:lineRule="exact"/>
        <w:rPr>
          <w:sz w:val="20"/>
          <w:szCs w:val="20"/>
          <w:color w:val="auto"/>
        </w:rPr>
      </w:pPr>
    </w:p>
    <w:p>
      <w:pPr>
        <w:jc w:val="both"/>
        <w:ind w:right="80" w:firstLine="621"/>
        <w:spacing w:after="0" w:line="247" w:lineRule="auto"/>
        <w:rPr>
          <w:sz w:val="20"/>
          <w:szCs w:val="20"/>
          <w:color w:val="auto"/>
        </w:rPr>
      </w:pPr>
      <w:r>
        <w:rPr>
          <w:rFonts w:ascii="Arial" w:cs="Arial" w:eastAsia="Arial" w:hAnsi="Arial"/>
          <w:sz w:val="16"/>
          <w:szCs w:val="16"/>
          <w:color w:val="auto"/>
        </w:rPr>
        <w:t>The applicable ownership guideline amount reflected in the table above for Ms. Banner and Messrs. Frantz, Gunderman, Heard, Solomon and Wallace are calculated in accordance with the stock ownership guidelines based upon the closing price on the date of the 2016 annual meeting of stockholders, $23.87. Ms. Banner and Mr. Solomon have until the 2021 annual meeting of stockholders, and Messrs. Gunderman, Heard and</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Wallace have until the 2020 annual meeting of stockholders, to meet the applicable ownership guidelines. The applicable ownership guideline amount reflected in the table above for Messrs. Bruce and Frey are calculated in accordance with the stock ownership guidelines based upon the closing price on the date of the 2017 annual meeting of stockholders, $24.17. Mr. Bruce will have until the 2022 annual meetings of stockholders to meet the applicable ownership guidelines.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350"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00ACD2"/>
        </w:rPr>
        <w:t>Compensation Committee Report</w:t>
      </w:r>
    </w:p>
    <w:p>
      <w:pPr>
        <w:spacing w:after="0" w:line="16"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00ACD2"/>
        </w:rPr>
        <w:t>on Executive Compensation</w:t>
      </w:r>
    </w:p>
    <w:p>
      <w:pPr>
        <w:spacing w:after="0" w:line="198" w:lineRule="exact"/>
        <w:rPr>
          <w:sz w:val="20"/>
          <w:szCs w:val="20"/>
          <w:color w:val="auto"/>
        </w:rPr>
      </w:pPr>
    </w:p>
    <w:p>
      <w:pPr>
        <w:ind w:firstLine="621"/>
        <w:spacing w:after="0" w:line="244" w:lineRule="auto"/>
        <w:rPr>
          <w:sz w:val="20"/>
          <w:szCs w:val="20"/>
          <w:color w:val="auto"/>
        </w:rPr>
      </w:pPr>
      <w:r>
        <w:rPr>
          <w:rFonts w:ascii="Arial" w:cs="Arial" w:eastAsia="Arial" w:hAnsi="Arial"/>
          <w:sz w:val="16"/>
          <w:szCs w:val="16"/>
          <w:color w:val="auto"/>
        </w:rPr>
        <w:t>The Compensation Committee has reviewed the disclosures under the caption "Compensation Discussion &amp; Analysis" contained in this Proxy Statement for the 2018 Annual Meeting of Stockholders and has discussed such disclosures with the management of Uniti. Based on such review and discussion, the Compensation Committee recommended to the Uniti Board of Directors that the "Compensation Discussion &amp; Analysis" be included in Uniti's Annual Report on Form 10-K for the fiscal year ended December 31, 2017 and Proxy Statement on Schedule 14A for the 2018 Annual Meeting of Stockholders for filing with the SEC.</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undersigned members of the Compensation Committee have submitted this Report to the Board of Directors.</w:t>
      </w:r>
    </w:p>
    <w:p>
      <w:pPr>
        <w:spacing w:after="0" w:line="178"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00ACD2"/>
        </w:rPr>
        <w:t>COMPENSATION COMMITTEE:</w:t>
      </w:r>
    </w:p>
    <w:p>
      <w:pPr>
        <w:spacing w:after="0" w:line="227"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 xml:space="preserve">David L. Solomon, </w:t>
      </w:r>
      <w:r>
        <w:rPr>
          <w:rFonts w:ascii="Arial" w:cs="Arial" w:eastAsia="Arial" w:hAnsi="Arial"/>
          <w:sz w:val="16"/>
          <w:szCs w:val="16"/>
          <w:i w:val="1"/>
          <w:iCs w:val="1"/>
          <w:color w:val="auto"/>
        </w:rPr>
        <w:t>Chair</w:t>
      </w:r>
    </w:p>
    <w:p>
      <w:pPr>
        <w:spacing w:after="0" w:line="17"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Jennifer S. Banner</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Francis X. ("Skip") Frantz</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0ACD2"/>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5868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shows the compensation awarded to, earned by or paid to Uniti's NEOs in fiscal year 2017.</w:t>
      </w:r>
    </w:p>
    <w:p>
      <w:pPr>
        <w:spacing w:after="0" w:line="182"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Change in</w:t>
            </w: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rPr>
              <w:t>Pension</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rPr>
              <w:t>Value and</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rPr>
              <w:t>Non-Equity</w:t>
            </w:r>
          </w:p>
        </w:tc>
        <w:tc>
          <w:tcPr>
            <w:tcW w:w="106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rPr>
              <w:t>Nonqualified</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9"/>
              </w:rPr>
              <w:t>Incentive</w:t>
            </w:r>
          </w:p>
        </w:tc>
        <w:tc>
          <w:tcPr>
            <w:tcW w:w="106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rPr>
              <w:t>Deferred</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rPr>
              <w:t>Stock</w:t>
            </w:r>
          </w:p>
        </w:tc>
        <w:tc>
          <w:tcPr>
            <w:tcW w:w="66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rPr>
              <w:t>Option</w:t>
            </w:r>
          </w:p>
        </w:tc>
        <w:tc>
          <w:tcPr>
            <w:tcW w:w="108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rPr>
              <w:t>Plan</w:t>
            </w:r>
          </w:p>
        </w:tc>
        <w:tc>
          <w:tcPr>
            <w:tcW w:w="106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rPr>
              <w:t>Compensation</w:t>
            </w:r>
          </w:p>
        </w:tc>
        <w:tc>
          <w:tcPr>
            <w:tcW w:w="108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rPr>
              <w:t>All Other</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gridSpan w:val="2"/>
          </w:tcPr>
          <w:p>
            <w:pPr>
              <w:ind w:left="20"/>
              <w:spacing w:after="0" w:line="148" w:lineRule="exact"/>
              <w:rPr>
                <w:sz w:val="20"/>
                <w:szCs w:val="20"/>
                <w:color w:val="auto"/>
              </w:rPr>
            </w:pPr>
            <w:r>
              <w:rPr>
                <w:rFonts w:ascii="Arial" w:cs="Arial" w:eastAsia="Arial" w:hAnsi="Arial"/>
                <w:sz w:val="13"/>
                <w:szCs w:val="13"/>
                <w:b w:val="1"/>
                <w:bCs w:val="1"/>
                <w:color w:val="auto"/>
              </w:rPr>
              <w:t>Name and Principal</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ind w:left="80"/>
              <w:spacing w:after="0" w:line="148" w:lineRule="exact"/>
              <w:rPr>
                <w:sz w:val="20"/>
                <w:szCs w:val="20"/>
                <w:color w:val="auto"/>
              </w:rPr>
            </w:pPr>
            <w:r>
              <w:rPr>
                <w:rFonts w:ascii="Arial" w:cs="Arial" w:eastAsia="Arial" w:hAnsi="Arial"/>
                <w:sz w:val="13"/>
                <w:szCs w:val="13"/>
                <w:b w:val="1"/>
                <w:bCs w:val="1"/>
                <w:color w:val="auto"/>
              </w:rPr>
              <w:t>Salary</w:t>
            </w:r>
          </w:p>
        </w:tc>
        <w:tc>
          <w:tcPr>
            <w:tcW w:w="620" w:type="dxa"/>
            <w:vAlign w:val="bottom"/>
            <w:gridSpan w:val="2"/>
          </w:tcPr>
          <w:p>
            <w:pPr>
              <w:ind w:left="40"/>
              <w:spacing w:after="0" w:line="148" w:lineRule="exact"/>
              <w:rPr>
                <w:sz w:val="20"/>
                <w:szCs w:val="20"/>
                <w:color w:val="auto"/>
              </w:rPr>
            </w:pPr>
            <w:r>
              <w:rPr>
                <w:rFonts w:ascii="Arial" w:cs="Arial" w:eastAsia="Arial" w:hAnsi="Arial"/>
                <w:sz w:val="13"/>
                <w:szCs w:val="13"/>
                <w:b w:val="1"/>
                <w:bCs w:val="1"/>
                <w:color w:val="auto"/>
              </w:rPr>
              <w:t>Bonus</w:t>
            </w:r>
          </w:p>
        </w:tc>
        <w:tc>
          <w:tcPr>
            <w:tcW w:w="78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7"/>
              </w:rPr>
              <w:t>Awards</w:t>
            </w:r>
          </w:p>
        </w:tc>
        <w:tc>
          <w:tcPr>
            <w:tcW w:w="66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rPr>
              <w:t>Awards</w:t>
            </w:r>
          </w:p>
        </w:tc>
        <w:tc>
          <w:tcPr>
            <w:tcW w:w="108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rPr>
              <w:t>Compensation</w:t>
            </w:r>
          </w:p>
        </w:tc>
        <w:tc>
          <w:tcPr>
            <w:tcW w:w="1060" w:type="dxa"/>
            <w:vAlign w:val="bottom"/>
            <w:gridSpan w:val="2"/>
          </w:tcPr>
          <w:p>
            <w:pPr>
              <w:jc w:val="center"/>
              <w:ind w:right="140"/>
              <w:spacing w:after="0" w:line="148" w:lineRule="exact"/>
              <w:rPr>
                <w:sz w:val="20"/>
                <w:szCs w:val="20"/>
                <w:color w:val="auto"/>
              </w:rPr>
            </w:pPr>
            <w:r>
              <w:rPr>
                <w:rFonts w:ascii="Arial" w:cs="Arial" w:eastAsia="Arial" w:hAnsi="Arial"/>
                <w:sz w:val="13"/>
                <w:szCs w:val="13"/>
                <w:b w:val="1"/>
                <w:bCs w:val="1"/>
                <w:color w:val="auto"/>
              </w:rPr>
              <w:t>Earnings</w:t>
            </w:r>
          </w:p>
        </w:tc>
        <w:tc>
          <w:tcPr>
            <w:tcW w:w="108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rPr>
              <w:t>Compensation</w:t>
            </w:r>
          </w:p>
        </w:tc>
        <w:tc>
          <w:tcPr>
            <w:tcW w:w="660" w:type="dxa"/>
            <w:vAlign w:val="bottom"/>
          </w:tcPr>
          <w:p>
            <w:pPr>
              <w:jc w:val="right"/>
              <w:ind w:right="114"/>
              <w:spacing w:after="0" w:line="148"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0"/>
        </w:trPr>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Position</w:t>
            </w:r>
          </w:p>
        </w:tc>
        <w:tc>
          <w:tcPr>
            <w:tcW w:w="100" w:type="dxa"/>
            <w:vAlign w:val="bottom"/>
          </w:tcPr>
          <w:p>
            <w:pPr>
              <w:spacing w:after="0"/>
              <w:rPr>
                <w:sz w:val="13"/>
                <w:szCs w:val="13"/>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Year</w:t>
            </w:r>
          </w:p>
        </w:tc>
        <w:tc>
          <w:tcPr>
            <w:tcW w:w="120" w:type="dxa"/>
            <w:vAlign w:val="bottom"/>
          </w:tcPr>
          <w:p>
            <w:pPr>
              <w:spacing w:after="0"/>
              <w:rPr>
                <w:sz w:val="13"/>
                <w:szCs w:val="13"/>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12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14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($)(3)</w:t>
            </w:r>
          </w:p>
        </w:tc>
        <w:tc>
          <w:tcPr>
            <w:tcW w:w="140" w:type="dxa"/>
            <w:vAlign w:val="bottom"/>
          </w:tcPr>
          <w:p>
            <w:pPr>
              <w:spacing w:after="0"/>
              <w:rPr>
                <w:sz w:val="13"/>
                <w:szCs w:val="13"/>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5"/>
        </w:trPr>
        <w:tc>
          <w:tcPr>
            <w:tcW w:w="1320" w:type="dxa"/>
            <w:vAlign w:val="bottom"/>
            <w:gridSpan w:val="2"/>
          </w:tcPr>
          <w:p>
            <w:pPr>
              <w:ind w:left="20"/>
              <w:spacing w:after="0" w:line="145" w:lineRule="exact"/>
              <w:rPr>
                <w:sz w:val="20"/>
                <w:szCs w:val="20"/>
                <w:color w:val="auto"/>
              </w:rPr>
            </w:pPr>
            <w:r>
              <w:rPr>
                <w:rFonts w:ascii="Arial" w:cs="Arial" w:eastAsia="Arial" w:hAnsi="Arial"/>
                <w:sz w:val="13"/>
                <w:szCs w:val="13"/>
                <w:color w:val="auto"/>
              </w:rPr>
              <w:t>Kenneth A.</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2017</w:t>
            </w:r>
          </w:p>
        </w:tc>
        <w:tc>
          <w:tcPr>
            <w:tcW w:w="680" w:type="dxa"/>
            <w:vAlign w:val="bottom"/>
            <w:gridSpan w:val="3"/>
          </w:tcPr>
          <w:p>
            <w:pPr>
              <w:ind w:left="80"/>
              <w:spacing w:after="0" w:line="145" w:lineRule="exact"/>
              <w:rPr>
                <w:sz w:val="20"/>
                <w:szCs w:val="20"/>
                <w:color w:val="auto"/>
              </w:rPr>
            </w:pPr>
            <w:r>
              <w:rPr>
                <w:rFonts w:ascii="Arial" w:cs="Arial" w:eastAsia="Arial" w:hAnsi="Arial"/>
                <w:sz w:val="13"/>
                <w:szCs w:val="13"/>
                <w:color w:val="auto"/>
              </w:rPr>
              <w:t>721,635</w:t>
            </w:r>
          </w:p>
        </w:tc>
        <w:tc>
          <w:tcPr>
            <w:tcW w:w="62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3,192,182</w:t>
            </w:r>
          </w:p>
        </w:tc>
        <w:tc>
          <w:tcPr>
            <w:tcW w:w="660" w:type="dxa"/>
            <w:vAlign w:val="bottom"/>
            <w:gridSpan w:val="2"/>
          </w:tcPr>
          <w:p>
            <w:pPr>
              <w:ind w:left="420"/>
              <w:spacing w:after="0" w:line="14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20"/>
              <w:spacing w:after="0" w:line="145" w:lineRule="exact"/>
              <w:rPr>
                <w:sz w:val="20"/>
                <w:szCs w:val="20"/>
                <w:color w:val="auto"/>
              </w:rPr>
            </w:pPr>
            <w:r>
              <w:rPr>
                <w:rFonts w:ascii="Arial" w:cs="Arial" w:eastAsia="Arial" w:hAnsi="Arial"/>
                <w:sz w:val="13"/>
                <w:szCs w:val="13"/>
                <w:color w:val="auto"/>
              </w:rPr>
              <w:t>1,495,313</w:t>
            </w:r>
          </w:p>
        </w:tc>
        <w:tc>
          <w:tcPr>
            <w:tcW w:w="1060" w:type="dxa"/>
            <w:vAlign w:val="bottom"/>
            <w:gridSpan w:val="2"/>
          </w:tcPr>
          <w:p>
            <w:pPr>
              <w:ind w:left="800"/>
              <w:spacing w:after="0" w:line="14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16,172</w:t>
            </w: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5,425,302</w:t>
            </w:r>
          </w:p>
        </w:tc>
        <w:tc>
          <w:tcPr>
            <w:tcW w:w="0" w:type="dxa"/>
            <w:vAlign w:val="bottom"/>
          </w:tcPr>
          <w:p>
            <w:pPr>
              <w:spacing w:after="0"/>
              <w:rPr>
                <w:sz w:val="1"/>
                <w:szCs w:val="1"/>
                <w:color w:val="auto"/>
              </w:rPr>
            </w:pPr>
          </w:p>
        </w:tc>
      </w:tr>
      <w:tr>
        <w:trPr>
          <w:trHeight w:val="148"/>
        </w:trPr>
        <w:tc>
          <w:tcPr>
            <w:tcW w:w="13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Gunderman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President and</w:t>
            </w:r>
          </w:p>
        </w:tc>
        <w:tc>
          <w:tcPr>
            <w:tcW w:w="5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2016</w:t>
            </w:r>
          </w:p>
        </w:tc>
        <w:tc>
          <w:tcPr>
            <w:tcW w:w="680" w:type="dxa"/>
            <w:vAlign w:val="bottom"/>
            <w:gridSpan w:val="3"/>
          </w:tcPr>
          <w:p>
            <w:pPr>
              <w:ind w:left="80"/>
              <w:spacing w:after="0" w:line="148" w:lineRule="exact"/>
              <w:rPr>
                <w:sz w:val="20"/>
                <w:szCs w:val="20"/>
                <w:color w:val="auto"/>
              </w:rPr>
            </w:pPr>
            <w:r>
              <w:rPr>
                <w:rFonts w:ascii="Arial" w:cs="Arial" w:eastAsia="Arial" w:hAnsi="Arial"/>
                <w:sz w:val="13"/>
                <w:szCs w:val="13"/>
                <w:color w:val="auto"/>
              </w:rPr>
              <w:t>700,000</w:t>
            </w:r>
          </w:p>
        </w:tc>
        <w:tc>
          <w:tcPr>
            <w:tcW w:w="6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3,011,149</w:t>
            </w:r>
          </w:p>
        </w:tc>
        <w:tc>
          <w:tcPr>
            <w:tcW w:w="66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1,400,264</w:t>
            </w:r>
          </w:p>
        </w:tc>
        <w:tc>
          <w:tcPr>
            <w:tcW w:w="1060" w:type="dxa"/>
            <w:vAlign w:val="bottom"/>
            <w:gridSpan w:val="2"/>
          </w:tcPr>
          <w:p>
            <w:pPr>
              <w:ind w:left="800"/>
              <w:spacing w:after="0" w:line="148"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15,170</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5,126,583</w:t>
            </w:r>
          </w:p>
        </w:tc>
        <w:tc>
          <w:tcPr>
            <w:tcW w:w="0" w:type="dxa"/>
            <w:vAlign w:val="bottom"/>
          </w:tcPr>
          <w:p>
            <w:pPr>
              <w:spacing w:after="0"/>
              <w:rPr>
                <w:sz w:val="1"/>
                <w:szCs w:val="1"/>
                <w:color w:val="auto"/>
              </w:rPr>
            </w:pPr>
          </w:p>
        </w:tc>
      </w:tr>
      <w:tr>
        <w:trPr>
          <w:trHeight w:val="157"/>
        </w:trPr>
        <w:tc>
          <w:tcPr>
            <w:tcW w:w="1320" w:type="dxa"/>
            <w:vAlign w:val="bottom"/>
            <w:gridSpan w:val="2"/>
          </w:tcPr>
          <w:p>
            <w:pPr>
              <w:ind w:left="120"/>
              <w:spacing w:after="0"/>
              <w:rPr>
                <w:sz w:val="20"/>
                <w:szCs w:val="20"/>
                <w:color w:val="auto"/>
              </w:rPr>
            </w:pPr>
            <w:r>
              <w:rPr>
                <w:rFonts w:ascii="Arial" w:cs="Arial" w:eastAsia="Arial" w:hAnsi="Arial"/>
                <w:sz w:val="13"/>
                <w:szCs w:val="13"/>
                <w:color w:val="auto"/>
              </w:rPr>
              <w:t>CEO</w:t>
            </w: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2015</w:t>
            </w:r>
          </w:p>
        </w:tc>
        <w:tc>
          <w:tcPr>
            <w:tcW w:w="680" w:type="dxa"/>
            <w:vAlign w:val="bottom"/>
            <w:gridSpan w:val="3"/>
            <w:vMerge w:val="restart"/>
          </w:tcPr>
          <w:p>
            <w:pPr>
              <w:ind w:left="80"/>
              <w:spacing w:after="0"/>
              <w:rPr>
                <w:sz w:val="20"/>
                <w:szCs w:val="20"/>
                <w:color w:val="auto"/>
              </w:rPr>
            </w:pPr>
            <w:r>
              <w:rPr>
                <w:rFonts w:ascii="Arial" w:cs="Arial" w:eastAsia="Arial" w:hAnsi="Arial"/>
                <w:sz w:val="13"/>
                <w:szCs w:val="13"/>
                <w:color w:val="auto"/>
              </w:rPr>
              <w:t>578,872</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4,740,420</w:t>
            </w:r>
          </w:p>
        </w:tc>
        <w:tc>
          <w:tcPr>
            <w:tcW w:w="660" w:type="dxa"/>
            <w:vAlign w:val="bottom"/>
            <w:gridSpan w:val="2"/>
            <w:vMerge w:val="restart"/>
          </w:tcPr>
          <w:p>
            <w:pPr>
              <w:ind w:left="42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1,050,000</w:t>
            </w:r>
          </w:p>
        </w:tc>
        <w:tc>
          <w:tcPr>
            <w:tcW w:w="1060" w:type="dxa"/>
            <w:vAlign w:val="bottom"/>
            <w:gridSpan w:val="2"/>
            <w:vMerge w:val="restart"/>
          </w:tcPr>
          <w:p>
            <w:pPr>
              <w:ind w:left="80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1,571</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6,370,863</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620" w:type="dxa"/>
            <w:vAlign w:val="bottom"/>
            <w:gridSpan w:val="2"/>
          </w:tcPr>
          <w:p>
            <w:pPr>
              <w:spacing w:after="0"/>
              <w:rPr>
                <w:sz w:val="3"/>
                <w:szCs w:val="3"/>
                <w:color w:val="auto"/>
              </w:rPr>
            </w:pPr>
          </w:p>
        </w:tc>
        <w:tc>
          <w:tcPr>
            <w:tcW w:w="780" w:type="dxa"/>
            <w:vAlign w:val="bottom"/>
            <w:gridSpan w:val="2"/>
          </w:tcPr>
          <w:p>
            <w:pPr>
              <w:spacing w:after="0"/>
              <w:rPr>
                <w:sz w:val="3"/>
                <w:szCs w:val="3"/>
                <w:color w:val="auto"/>
              </w:rPr>
            </w:pPr>
          </w:p>
        </w:tc>
        <w:tc>
          <w:tcPr>
            <w:tcW w:w="660" w:type="dxa"/>
            <w:vAlign w:val="bottom"/>
            <w:gridSpan w:val="2"/>
          </w:tcPr>
          <w:p>
            <w:pPr>
              <w:spacing w:after="0"/>
              <w:rPr>
                <w:sz w:val="3"/>
                <w:szCs w:val="3"/>
                <w:color w:val="auto"/>
              </w:rPr>
            </w:pPr>
          </w:p>
        </w:tc>
        <w:tc>
          <w:tcPr>
            <w:tcW w:w="1080" w:type="dxa"/>
            <w:vAlign w:val="bottom"/>
            <w:gridSpan w:val="2"/>
          </w:tcPr>
          <w:p>
            <w:pPr>
              <w:spacing w:after="0"/>
              <w:rPr>
                <w:sz w:val="3"/>
                <w:szCs w:val="3"/>
                <w:color w:val="auto"/>
              </w:rPr>
            </w:pPr>
          </w:p>
        </w:tc>
        <w:tc>
          <w:tcPr>
            <w:tcW w:w="1060" w:type="dxa"/>
            <w:vAlign w:val="bottom"/>
            <w:gridSpan w:val="2"/>
          </w:tcPr>
          <w:p>
            <w:pPr>
              <w:spacing w:after="0"/>
              <w:rPr>
                <w:sz w:val="3"/>
                <w:szCs w:val="3"/>
                <w:color w:val="auto"/>
              </w:rPr>
            </w:pPr>
          </w:p>
        </w:tc>
        <w:tc>
          <w:tcPr>
            <w:tcW w:w="108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220" w:type="dxa"/>
            <w:vAlign w:val="bottom"/>
            <w:shd w:val="clear" w:color="auto" w:fill="BFBFBF"/>
          </w:tcPr>
          <w:p>
            <w:pPr>
              <w:ind w:left="20"/>
              <w:spacing w:after="0" w:line="148" w:lineRule="exact"/>
              <w:rPr>
                <w:sz w:val="20"/>
                <w:szCs w:val="20"/>
                <w:color w:val="auto"/>
              </w:rPr>
            </w:pPr>
            <w:r>
              <w:rPr>
                <w:rFonts w:ascii="Arial" w:cs="Arial" w:eastAsia="Arial" w:hAnsi="Arial"/>
                <w:sz w:val="13"/>
                <w:szCs w:val="13"/>
                <w:color w:val="auto"/>
              </w:rPr>
              <w:t>Mark A. Wallace</w:t>
            </w:r>
          </w:p>
        </w:tc>
        <w:tc>
          <w:tcPr>
            <w:tcW w:w="100" w:type="dxa"/>
            <w:vAlign w:val="bottom"/>
            <w:shd w:val="clear" w:color="auto" w:fill="BFBFBF"/>
          </w:tcPr>
          <w:p>
            <w:pPr>
              <w:spacing w:after="0"/>
              <w:rPr>
                <w:sz w:val="12"/>
                <w:szCs w:val="12"/>
                <w:color w:val="auto"/>
              </w:rPr>
            </w:pPr>
          </w:p>
        </w:tc>
        <w:tc>
          <w:tcPr>
            <w:tcW w:w="500" w:type="dxa"/>
            <w:vAlign w:val="bottom"/>
            <w:gridSpan w:val="2"/>
            <w:shd w:val="clear" w:color="auto" w:fill="BFBFBF"/>
          </w:tcPr>
          <w:p>
            <w:pPr>
              <w:jc w:val="right"/>
              <w:ind w:right="100"/>
              <w:spacing w:after="0" w:line="148" w:lineRule="exact"/>
              <w:rPr>
                <w:sz w:val="20"/>
                <w:szCs w:val="20"/>
                <w:color w:val="auto"/>
              </w:rPr>
            </w:pPr>
            <w:r>
              <w:rPr>
                <w:rFonts w:ascii="Arial" w:cs="Arial" w:eastAsia="Arial" w:hAnsi="Arial"/>
                <w:sz w:val="13"/>
                <w:szCs w:val="13"/>
                <w:color w:val="auto"/>
              </w:rPr>
              <w:t>2017</w:t>
            </w:r>
          </w:p>
        </w:tc>
        <w:tc>
          <w:tcPr>
            <w:tcW w:w="680" w:type="dxa"/>
            <w:vAlign w:val="bottom"/>
            <w:gridSpan w:val="3"/>
            <w:shd w:val="clear" w:color="auto" w:fill="BFBFBF"/>
          </w:tcPr>
          <w:p>
            <w:pPr>
              <w:ind w:left="80"/>
              <w:spacing w:after="0" w:line="148" w:lineRule="exact"/>
              <w:rPr>
                <w:sz w:val="20"/>
                <w:szCs w:val="20"/>
                <w:color w:val="auto"/>
              </w:rPr>
            </w:pPr>
            <w:r>
              <w:rPr>
                <w:rFonts w:ascii="Arial" w:cs="Arial" w:eastAsia="Arial" w:hAnsi="Arial"/>
                <w:sz w:val="13"/>
                <w:szCs w:val="13"/>
                <w:color w:val="auto"/>
              </w:rPr>
              <w:t>446,635</w:t>
            </w:r>
          </w:p>
        </w:tc>
        <w:tc>
          <w:tcPr>
            <w:tcW w:w="620" w:type="dxa"/>
            <w:vAlign w:val="bottom"/>
            <w:gridSpan w:val="2"/>
            <w:shd w:val="clear" w:color="auto" w:fill="BFBFB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BFBFBF"/>
          </w:tcPr>
          <w:p>
            <w:pPr>
              <w:jc w:val="right"/>
              <w:ind w:right="120"/>
              <w:spacing w:after="0" w:line="148" w:lineRule="exact"/>
              <w:rPr>
                <w:sz w:val="20"/>
                <w:szCs w:val="20"/>
                <w:color w:val="auto"/>
              </w:rPr>
            </w:pPr>
            <w:r>
              <w:rPr>
                <w:rFonts w:ascii="Arial" w:cs="Arial" w:eastAsia="Arial" w:hAnsi="Arial"/>
                <w:sz w:val="13"/>
                <w:szCs w:val="13"/>
                <w:color w:val="auto"/>
              </w:rPr>
              <w:t>924,597</w:t>
            </w:r>
          </w:p>
        </w:tc>
        <w:tc>
          <w:tcPr>
            <w:tcW w:w="660" w:type="dxa"/>
            <w:vAlign w:val="bottom"/>
            <w:gridSpan w:val="2"/>
            <w:shd w:val="clear" w:color="auto" w:fill="BFBFBF"/>
          </w:tcPr>
          <w:p>
            <w:pPr>
              <w:ind w:left="420"/>
              <w:spacing w:after="0" w:line="148"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BFBFBF"/>
          </w:tcPr>
          <w:p>
            <w:pPr>
              <w:jc w:val="right"/>
              <w:ind w:right="120"/>
              <w:spacing w:after="0" w:line="148" w:lineRule="exact"/>
              <w:rPr>
                <w:sz w:val="20"/>
                <w:szCs w:val="20"/>
                <w:color w:val="auto"/>
              </w:rPr>
            </w:pPr>
            <w:r>
              <w:rPr>
                <w:rFonts w:ascii="Arial" w:cs="Arial" w:eastAsia="Arial" w:hAnsi="Arial"/>
                <w:sz w:val="13"/>
                <w:szCs w:val="13"/>
                <w:color w:val="auto"/>
              </w:rPr>
              <w:t>618,750</w:t>
            </w:r>
          </w:p>
        </w:tc>
        <w:tc>
          <w:tcPr>
            <w:tcW w:w="1060" w:type="dxa"/>
            <w:vAlign w:val="bottom"/>
            <w:gridSpan w:val="2"/>
            <w:shd w:val="clear" w:color="auto" w:fill="BFBFBF"/>
          </w:tcPr>
          <w:p>
            <w:pPr>
              <w:ind w:left="800"/>
              <w:spacing w:after="0" w:line="148"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BFBFBF"/>
          </w:tcPr>
          <w:p>
            <w:pPr>
              <w:jc w:val="right"/>
              <w:ind w:right="140"/>
              <w:spacing w:after="0" w:line="148" w:lineRule="exact"/>
              <w:rPr>
                <w:sz w:val="20"/>
                <w:szCs w:val="20"/>
                <w:color w:val="auto"/>
              </w:rPr>
            </w:pPr>
            <w:r>
              <w:rPr>
                <w:rFonts w:ascii="Arial" w:cs="Arial" w:eastAsia="Arial" w:hAnsi="Arial"/>
                <w:sz w:val="13"/>
                <w:szCs w:val="13"/>
                <w:color w:val="auto"/>
              </w:rPr>
              <w:t>22,426</w:t>
            </w:r>
          </w:p>
        </w:tc>
        <w:tc>
          <w:tcPr>
            <w:tcW w:w="660" w:type="dxa"/>
            <w:vAlign w:val="bottom"/>
            <w:shd w:val="clear" w:color="auto" w:fill="BFBFBF"/>
          </w:tcPr>
          <w:p>
            <w:pPr>
              <w:jc w:val="right"/>
              <w:spacing w:after="0" w:line="148" w:lineRule="exact"/>
              <w:rPr>
                <w:sz w:val="20"/>
                <w:szCs w:val="20"/>
                <w:color w:val="auto"/>
              </w:rPr>
            </w:pPr>
            <w:r>
              <w:rPr>
                <w:rFonts w:ascii="Arial" w:cs="Arial" w:eastAsia="Arial" w:hAnsi="Arial"/>
                <w:sz w:val="13"/>
                <w:szCs w:val="13"/>
                <w:color w:val="auto"/>
              </w:rPr>
              <w:t>2,012,408</w:t>
            </w:r>
          </w:p>
        </w:tc>
        <w:tc>
          <w:tcPr>
            <w:tcW w:w="0" w:type="dxa"/>
            <w:vAlign w:val="bottom"/>
          </w:tcPr>
          <w:p>
            <w:pPr>
              <w:spacing w:after="0"/>
              <w:rPr>
                <w:sz w:val="1"/>
                <w:szCs w:val="1"/>
                <w:color w:val="auto"/>
              </w:rPr>
            </w:pPr>
          </w:p>
        </w:tc>
      </w:tr>
      <w:tr>
        <w:trPr>
          <w:trHeight w:val="148"/>
        </w:trPr>
        <w:tc>
          <w:tcPr>
            <w:tcW w:w="1220" w:type="dxa"/>
            <w:vAlign w:val="bottom"/>
            <w:shd w:val="clear" w:color="auto" w:fill="BFBFBF"/>
          </w:tcPr>
          <w:p>
            <w:pPr>
              <w:ind w:left="120"/>
              <w:spacing w:after="0" w:line="148" w:lineRule="exact"/>
              <w:rPr>
                <w:sz w:val="20"/>
                <w:szCs w:val="20"/>
                <w:color w:val="auto"/>
              </w:rPr>
            </w:pPr>
            <w:r>
              <w:rPr>
                <w:rFonts w:ascii="Arial" w:cs="Arial" w:eastAsia="Arial" w:hAnsi="Arial"/>
                <w:sz w:val="13"/>
                <w:szCs w:val="13"/>
                <w:color w:val="auto"/>
              </w:rPr>
              <w:t>Executive Vice</w:t>
            </w:r>
          </w:p>
        </w:tc>
        <w:tc>
          <w:tcPr>
            <w:tcW w:w="100" w:type="dxa"/>
            <w:vAlign w:val="bottom"/>
            <w:shd w:val="clear" w:color="auto" w:fill="BFBFBF"/>
          </w:tcPr>
          <w:p>
            <w:pPr>
              <w:spacing w:after="0"/>
              <w:rPr>
                <w:sz w:val="12"/>
                <w:szCs w:val="12"/>
                <w:color w:val="auto"/>
              </w:rPr>
            </w:pPr>
          </w:p>
        </w:tc>
        <w:tc>
          <w:tcPr>
            <w:tcW w:w="500" w:type="dxa"/>
            <w:vAlign w:val="bottom"/>
            <w:gridSpan w:val="2"/>
            <w:shd w:val="clear" w:color="auto" w:fill="BFBFBF"/>
          </w:tcPr>
          <w:p>
            <w:pPr>
              <w:jc w:val="right"/>
              <w:ind w:right="100"/>
              <w:spacing w:after="0" w:line="148" w:lineRule="exact"/>
              <w:rPr>
                <w:sz w:val="20"/>
                <w:szCs w:val="20"/>
                <w:color w:val="auto"/>
              </w:rPr>
            </w:pPr>
            <w:r>
              <w:rPr>
                <w:rFonts w:ascii="Arial" w:cs="Arial" w:eastAsia="Arial" w:hAnsi="Arial"/>
                <w:sz w:val="13"/>
                <w:szCs w:val="13"/>
                <w:color w:val="auto"/>
              </w:rPr>
              <w:t>2016</w:t>
            </w:r>
          </w:p>
        </w:tc>
        <w:tc>
          <w:tcPr>
            <w:tcW w:w="680" w:type="dxa"/>
            <w:vAlign w:val="bottom"/>
            <w:gridSpan w:val="3"/>
            <w:shd w:val="clear" w:color="auto" w:fill="BFBFBF"/>
          </w:tcPr>
          <w:p>
            <w:pPr>
              <w:ind w:left="80"/>
              <w:spacing w:after="0" w:line="148" w:lineRule="exact"/>
              <w:rPr>
                <w:sz w:val="20"/>
                <w:szCs w:val="20"/>
                <w:color w:val="auto"/>
              </w:rPr>
            </w:pPr>
            <w:r>
              <w:rPr>
                <w:rFonts w:ascii="Arial" w:cs="Arial" w:eastAsia="Arial" w:hAnsi="Arial"/>
                <w:sz w:val="13"/>
                <w:szCs w:val="13"/>
                <w:color w:val="auto"/>
              </w:rPr>
              <w:t>421,154</w:t>
            </w:r>
          </w:p>
        </w:tc>
        <w:tc>
          <w:tcPr>
            <w:tcW w:w="620" w:type="dxa"/>
            <w:vAlign w:val="bottom"/>
            <w:gridSpan w:val="2"/>
            <w:shd w:val="clear" w:color="auto" w:fill="BFBFB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BFBFBF"/>
          </w:tcPr>
          <w:p>
            <w:pPr>
              <w:jc w:val="right"/>
              <w:ind w:right="120"/>
              <w:spacing w:after="0" w:line="148" w:lineRule="exact"/>
              <w:rPr>
                <w:sz w:val="20"/>
                <w:szCs w:val="20"/>
                <w:color w:val="auto"/>
              </w:rPr>
            </w:pPr>
            <w:r>
              <w:rPr>
                <w:rFonts w:ascii="Arial" w:cs="Arial" w:eastAsia="Arial" w:hAnsi="Arial"/>
                <w:sz w:val="13"/>
                <w:szCs w:val="13"/>
                <w:color w:val="auto"/>
              </w:rPr>
              <w:t>609,184</w:t>
            </w:r>
          </w:p>
        </w:tc>
        <w:tc>
          <w:tcPr>
            <w:tcW w:w="660" w:type="dxa"/>
            <w:vAlign w:val="bottom"/>
            <w:gridSpan w:val="2"/>
            <w:shd w:val="clear" w:color="auto" w:fill="BFBFBF"/>
          </w:tcPr>
          <w:p>
            <w:pPr>
              <w:ind w:left="420"/>
              <w:spacing w:after="0" w:line="148"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BFBFBF"/>
          </w:tcPr>
          <w:p>
            <w:pPr>
              <w:jc w:val="right"/>
              <w:ind w:right="120"/>
              <w:spacing w:after="0" w:line="148" w:lineRule="exact"/>
              <w:rPr>
                <w:sz w:val="20"/>
                <w:szCs w:val="20"/>
                <w:color w:val="auto"/>
              </w:rPr>
            </w:pPr>
            <w:r>
              <w:rPr>
                <w:rFonts w:ascii="Arial" w:cs="Arial" w:eastAsia="Arial" w:hAnsi="Arial"/>
                <w:sz w:val="13"/>
                <w:szCs w:val="13"/>
                <w:color w:val="auto"/>
              </w:rPr>
              <w:t>566,773</w:t>
            </w:r>
          </w:p>
        </w:tc>
        <w:tc>
          <w:tcPr>
            <w:tcW w:w="1060" w:type="dxa"/>
            <w:vAlign w:val="bottom"/>
            <w:gridSpan w:val="2"/>
            <w:shd w:val="clear" w:color="auto" w:fill="BFBFBF"/>
          </w:tcPr>
          <w:p>
            <w:pPr>
              <w:ind w:left="800"/>
              <w:spacing w:after="0" w:line="148"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BFBFBF"/>
          </w:tcPr>
          <w:p>
            <w:pPr>
              <w:jc w:val="right"/>
              <w:ind w:right="140"/>
              <w:spacing w:after="0" w:line="148" w:lineRule="exact"/>
              <w:rPr>
                <w:sz w:val="20"/>
                <w:szCs w:val="20"/>
                <w:color w:val="auto"/>
              </w:rPr>
            </w:pPr>
            <w:r>
              <w:rPr>
                <w:rFonts w:ascii="Arial" w:cs="Arial" w:eastAsia="Arial" w:hAnsi="Arial"/>
                <w:sz w:val="13"/>
                <w:szCs w:val="13"/>
                <w:color w:val="auto"/>
              </w:rPr>
              <w:t>20,358</w:t>
            </w:r>
          </w:p>
        </w:tc>
        <w:tc>
          <w:tcPr>
            <w:tcW w:w="660" w:type="dxa"/>
            <w:vAlign w:val="bottom"/>
            <w:shd w:val="clear" w:color="auto" w:fill="BFBFBF"/>
          </w:tcPr>
          <w:p>
            <w:pPr>
              <w:jc w:val="right"/>
              <w:spacing w:after="0" w:line="148" w:lineRule="exact"/>
              <w:rPr>
                <w:sz w:val="20"/>
                <w:szCs w:val="20"/>
                <w:color w:val="auto"/>
              </w:rPr>
            </w:pPr>
            <w:r>
              <w:rPr>
                <w:rFonts w:ascii="Arial" w:cs="Arial" w:eastAsia="Arial" w:hAnsi="Arial"/>
                <w:sz w:val="13"/>
                <w:szCs w:val="13"/>
                <w:color w:val="auto"/>
              </w:rPr>
              <w:t>1,617,469</w:t>
            </w:r>
          </w:p>
        </w:tc>
        <w:tc>
          <w:tcPr>
            <w:tcW w:w="0" w:type="dxa"/>
            <w:vAlign w:val="bottom"/>
          </w:tcPr>
          <w:p>
            <w:pPr>
              <w:spacing w:after="0"/>
              <w:rPr>
                <w:sz w:val="1"/>
                <w:szCs w:val="1"/>
                <w:color w:val="auto"/>
              </w:rPr>
            </w:pPr>
          </w:p>
        </w:tc>
      </w:tr>
      <w:tr>
        <w:trPr>
          <w:trHeight w:val="152"/>
        </w:trPr>
        <w:tc>
          <w:tcPr>
            <w:tcW w:w="1220" w:type="dxa"/>
            <w:vAlign w:val="bottom"/>
            <w:shd w:val="clear" w:color="auto" w:fill="BFBFBF"/>
          </w:tcPr>
          <w:p>
            <w:pPr>
              <w:ind w:left="120"/>
              <w:spacing w:after="0"/>
              <w:rPr>
                <w:sz w:val="20"/>
                <w:szCs w:val="20"/>
                <w:color w:val="auto"/>
              </w:rPr>
            </w:pPr>
            <w:r>
              <w:rPr>
                <w:rFonts w:ascii="Arial" w:cs="Arial" w:eastAsia="Arial" w:hAnsi="Arial"/>
                <w:sz w:val="13"/>
                <w:szCs w:val="13"/>
                <w:color w:val="auto"/>
              </w:rPr>
              <w:t>President—CFO</w:t>
            </w:r>
          </w:p>
        </w:tc>
        <w:tc>
          <w:tcPr>
            <w:tcW w:w="100" w:type="dxa"/>
            <w:vAlign w:val="bottom"/>
            <w:shd w:val="clear" w:color="auto" w:fill="BFBFBF"/>
          </w:tcPr>
          <w:p>
            <w:pPr>
              <w:spacing w:after="0"/>
              <w:rPr>
                <w:sz w:val="13"/>
                <w:szCs w:val="13"/>
                <w:color w:val="auto"/>
              </w:rPr>
            </w:pPr>
          </w:p>
        </w:tc>
        <w:tc>
          <w:tcPr>
            <w:tcW w:w="500" w:type="dxa"/>
            <w:vAlign w:val="bottom"/>
            <w:gridSpan w:val="2"/>
            <w:shd w:val="clear" w:color="auto" w:fill="BFBFBF"/>
          </w:tcPr>
          <w:p>
            <w:pPr>
              <w:jc w:val="right"/>
              <w:ind w:right="100"/>
              <w:spacing w:after="0"/>
              <w:rPr>
                <w:sz w:val="20"/>
                <w:szCs w:val="20"/>
                <w:color w:val="auto"/>
              </w:rPr>
            </w:pPr>
            <w:r>
              <w:rPr>
                <w:rFonts w:ascii="Arial" w:cs="Arial" w:eastAsia="Arial" w:hAnsi="Arial"/>
                <w:sz w:val="13"/>
                <w:szCs w:val="13"/>
                <w:color w:val="auto"/>
              </w:rPr>
              <w:t>2015</w:t>
            </w:r>
          </w:p>
        </w:tc>
        <w:tc>
          <w:tcPr>
            <w:tcW w:w="680" w:type="dxa"/>
            <w:vAlign w:val="bottom"/>
            <w:gridSpan w:val="3"/>
            <w:shd w:val="clear" w:color="auto" w:fill="BFBFBF"/>
          </w:tcPr>
          <w:p>
            <w:pPr>
              <w:ind w:left="80"/>
              <w:spacing w:after="0"/>
              <w:rPr>
                <w:sz w:val="20"/>
                <w:szCs w:val="20"/>
                <w:color w:val="auto"/>
              </w:rPr>
            </w:pPr>
            <w:r>
              <w:rPr>
                <w:rFonts w:ascii="Arial" w:cs="Arial" w:eastAsia="Arial" w:hAnsi="Arial"/>
                <w:sz w:val="13"/>
                <w:szCs w:val="13"/>
                <w:color w:val="auto"/>
              </w:rPr>
              <w:t>296,952</w:t>
            </w:r>
          </w:p>
        </w:tc>
        <w:tc>
          <w:tcPr>
            <w:tcW w:w="620" w:type="dxa"/>
            <w:vAlign w:val="bottom"/>
            <w:gridSpan w:val="2"/>
            <w:shd w:val="clear" w:color="auto" w:fill="BFBFB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BFBFBF"/>
          </w:tcPr>
          <w:p>
            <w:pPr>
              <w:jc w:val="right"/>
              <w:ind w:right="120"/>
              <w:spacing w:after="0"/>
              <w:rPr>
                <w:sz w:val="20"/>
                <w:szCs w:val="20"/>
                <w:color w:val="auto"/>
              </w:rPr>
            </w:pPr>
            <w:r>
              <w:rPr>
                <w:rFonts w:ascii="Arial" w:cs="Arial" w:eastAsia="Arial" w:hAnsi="Arial"/>
                <w:sz w:val="13"/>
                <w:szCs w:val="13"/>
                <w:color w:val="auto"/>
              </w:rPr>
              <w:t>816,475</w:t>
            </w:r>
          </w:p>
        </w:tc>
        <w:tc>
          <w:tcPr>
            <w:tcW w:w="660" w:type="dxa"/>
            <w:vAlign w:val="bottom"/>
            <w:gridSpan w:val="2"/>
            <w:shd w:val="clear" w:color="auto" w:fill="BFBFBF"/>
          </w:tcPr>
          <w:p>
            <w:pPr>
              <w:ind w:left="4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BFBFBF"/>
          </w:tcPr>
          <w:p>
            <w:pPr>
              <w:jc w:val="right"/>
              <w:ind w:right="120"/>
              <w:spacing w:after="0"/>
              <w:rPr>
                <w:sz w:val="20"/>
                <w:szCs w:val="20"/>
                <w:color w:val="auto"/>
              </w:rPr>
            </w:pPr>
            <w:r>
              <w:rPr>
                <w:rFonts w:ascii="Arial" w:cs="Arial" w:eastAsia="Arial" w:hAnsi="Arial"/>
                <w:sz w:val="13"/>
                <w:szCs w:val="13"/>
                <w:color w:val="auto"/>
              </w:rPr>
              <w:t>400,000</w:t>
            </w:r>
          </w:p>
        </w:tc>
        <w:tc>
          <w:tcPr>
            <w:tcW w:w="1060" w:type="dxa"/>
            <w:vAlign w:val="bottom"/>
            <w:gridSpan w:val="2"/>
            <w:shd w:val="clear" w:color="auto" w:fill="BFBFBF"/>
          </w:tcPr>
          <w:p>
            <w:pPr>
              <w:ind w:left="8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BFBFBF"/>
          </w:tcPr>
          <w:p>
            <w:pPr>
              <w:jc w:val="right"/>
              <w:ind w:right="140"/>
              <w:spacing w:after="0"/>
              <w:rPr>
                <w:sz w:val="20"/>
                <w:szCs w:val="20"/>
                <w:color w:val="auto"/>
              </w:rPr>
            </w:pPr>
            <w:r>
              <w:rPr>
                <w:rFonts w:ascii="Arial" w:cs="Arial" w:eastAsia="Arial" w:hAnsi="Arial"/>
                <w:sz w:val="13"/>
                <w:szCs w:val="13"/>
                <w:color w:val="auto"/>
              </w:rPr>
              <w:t>52,971</w:t>
            </w:r>
          </w:p>
        </w:tc>
        <w:tc>
          <w:tcPr>
            <w:tcW w:w="660" w:type="dxa"/>
            <w:vAlign w:val="bottom"/>
            <w:shd w:val="clear" w:color="auto" w:fill="BFBFBF"/>
          </w:tcPr>
          <w:p>
            <w:pPr>
              <w:jc w:val="right"/>
              <w:spacing w:after="0"/>
              <w:rPr>
                <w:sz w:val="20"/>
                <w:szCs w:val="20"/>
                <w:color w:val="auto"/>
              </w:rPr>
            </w:pPr>
            <w:r>
              <w:rPr>
                <w:rFonts w:ascii="Arial" w:cs="Arial" w:eastAsia="Arial" w:hAnsi="Arial"/>
                <w:sz w:val="13"/>
                <w:szCs w:val="13"/>
                <w:color w:val="auto"/>
              </w:rPr>
              <w:t>1,566,398</w:t>
            </w:r>
          </w:p>
        </w:tc>
        <w:tc>
          <w:tcPr>
            <w:tcW w:w="0" w:type="dxa"/>
            <w:vAlign w:val="bottom"/>
          </w:tcPr>
          <w:p>
            <w:pPr>
              <w:spacing w:after="0"/>
              <w:rPr>
                <w:sz w:val="1"/>
                <w:szCs w:val="1"/>
                <w:color w:val="auto"/>
              </w:rPr>
            </w:pPr>
          </w:p>
        </w:tc>
      </w:tr>
      <w:tr>
        <w:trPr>
          <w:trHeight w:val="144"/>
        </w:trPr>
        <w:tc>
          <w:tcPr>
            <w:tcW w:w="1220" w:type="dxa"/>
            <w:vAlign w:val="bottom"/>
            <w:shd w:val="clear" w:color="auto" w:fill="BFBFBF"/>
          </w:tcPr>
          <w:p>
            <w:pPr>
              <w:ind w:left="120"/>
              <w:spacing w:after="0" w:line="144" w:lineRule="exact"/>
              <w:rPr>
                <w:sz w:val="20"/>
                <w:szCs w:val="20"/>
                <w:color w:val="auto"/>
              </w:rPr>
            </w:pPr>
            <w:r>
              <w:rPr>
                <w:rFonts w:ascii="Arial" w:cs="Arial" w:eastAsia="Arial" w:hAnsi="Arial"/>
                <w:sz w:val="13"/>
                <w:szCs w:val="13"/>
                <w:color w:val="auto"/>
              </w:rPr>
              <w:t>and Treasurer</w:t>
            </w:r>
          </w:p>
        </w:tc>
        <w:tc>
          <w:tcPr>
            <w:tcW w:w="100" w:type="dxa"/>
            <w:vAlign w:val="bottom"/>
            <w:shd w:val="clear" w:color="auto" w:fill="BFBFBF"/>
          </w:tcPr>
          <w:p>
            <w:pPr>
              <w:spacing w:after="0"/>
              <w:rPr>
                <w:sz w:val="12"/>
                <w:szCs w:val="12"/>
                <w:color w:val="auto"/>
              </w:rPr>
            </w:pPr>
          </w:p>
        </w:tc>
        <w:tc>
          <w:tcPr>
            <w:tcW w:w="380" w:type="dxa"/>
            <w:vAlign w:val="bottom"/>
            <w:shd w:val="clear" w:color="auto" w:fill="BFBFBF"/>
          </w:tcPr>
          <w:p>
            <w:pPr>
              <w:spacing w:after="0"/>
              <w:rPr>
                <w:sz w:val="12"/>
                <w:szCs w:val="12"/>
                <w:color w:val="auto"/>
              </w:rPr>
            </w:pPr>
          </w:p>
        </w:tc>
        <w:tc>
          <w:tcPr>
            <w:tcW w:w="120" w:type="dxa"/>
            <w:vAlign w:val="bottom"/>
            <w:shd w:val="clear" w:color="auto" w:fill="BFBFBF"/>
          </w:tcPr>
          <w:p>
            <w:pPr>
              <w:spacing w:after="0"/>
              <w:rPr>
                <w:sz w:val="12"/>
                <w:szCs w:val="12"/>
                <w:color w:val="auto"/>
              </w:rPr>
            </w:pPr>
          </w:p>
        </w:tc>
        <w:tc>
          <w:tcPr>
            <w:tcW w:w="440" w:type="dxa"/>
            <w:vAlign w:val="bottom"/>
            <w:shd w:val="clear" w:color="auto" w:fill="BFBFBF"/>
          </w:tcPr>
          <w:p>
            <w:pPr>
              <w:spacing w:after="0"/>
              <w:rPr>
                <w:sz w:val="12"/>
                <w:szCs w:val="12"/>
                <w:color w:val="auto"/>
              </w:rPr>
            </w:pPr>
          </w:p>
        </w:tc>
        <w:tc>
          <w:tcPr>
            <w:tcW w:w="120" w:type="dxa"/>
            <w:vAlign w:val="bottom"/>
            <w:shd w:val="clear" w:color="auto" w:fill="BFBFBF"/>
          </w:tcPr>
          <w:p>
            <w:pPr>
              <w:spacing w:after="0"/>
              <w:rPr>
                <w:sz w:val="12"/>
                <w:szCs w:val="12"/>
                <w:color w:val="auto"/>
              </w:rPr>
            </w:pPr>
          </w:p>
        </w:tc>
        <w:tc>
          <w:tcPr>
            <w:tcW w:w="120" w:type="dxa"/>
            <w:vAlign w:val="bottom"/>
            <w:shd w:val="clear" w:color="auto" w:fill="BFBFBF"/>
          </w:tcPr>
          <w:p>
            <w:pPr>
              <w:spacing w:after="0"/>
              <w:rPr>
                <w:sz w:val="12"/>
                <w:szCs w:val="12"/>
                <w:color w:val="auto"/>
              </w:rPr>
            </w:pPr>
          </w:p>
        </w:tc>
        <w:tc>
          <w:tcPr>
            <w:tcW w:w="500" w:type="dxa"/>
            <w:vAlign w:val="bottom"/>
            <w:shd w:val="clear" w:color="auto" w:fill="BFBFBF"/>
          </w:tcPr>
          <w:p>
            <w:pPr>
              <w:spacing w:after="0"/>
              <w:rPr>
                <w:sz w:val="12"/>
                <w:szCs w:val="12"/>
                <w:color w:val="auto"/>
              </w:rPr>
            </w:pPr>
          </w:p>
        </w:tc>
        <w:tc>
          <w:tcPr>
            <w:tcW w:w="120" w:type="dxa"/>
            <w:vAlign w:val="bottom"/>
            <w:shd w:val="clear" w:color="auto" w:fill="BFBFBF"/>
          </w:tcPr>
          <w:p>
            <w:pPr>
              <w:spacing w:after="0"/>
              <w:rPr>
                <w:sz w:val="12"/>
                <w:szCs w:val="12"/>
                <w:color w:val="auto"/>
              </w:rPr>
            </w:pPr>
          </w:p>
        </w:tc>
        <w:tc>
          <w:tcPr>
            <w:tcW w:w="660" w:type="dxa"/>
            <w:vAlign w:val="bottom"/>
            <w:shd w:val="clear" w:color="auto" w:fill="BFBFBF"/>
          </w:tcPr>
          <w:p>
            <w:pPr>
              <w:spacing w:after="0"/>
              <w:rPr>
                <w:sz w:val="12"/>
                <w:szCs w:val="12"/>
                <w:color w:val="auto"/>
              </w:rPr>
            </w:pPr>
          </w:p>
        </w:tc>
        <w:tc>
          <w:tcPr>
            <w:tcW w:w="120" w:type="dxa"/>
            <w:vAlign w:val="bottom"/>
            <w:shd w:val="clear" w:color="auto" w:fill="BFBFBF"/>
          </w:tcPr>
          <w:p>
            <w:pPr>
              <w:spacing w:after="0"/>
              <w:rPr>
                <w:sz w:val="12"/>
                <w:szCs w:val="12"/>
                <w:color w:val="auto"/>
              </w:rPr>
            </w:pPr>
          </w:p>
        </w:tc>
        <w:tc>
          <w:tcPr>
            <w:tcW w:w="540" w:type="dxa"/>
            <w:vAlign w:val="bottom"/>
            <w:shd w:val="clear" w:color="auto" w:fill="BFBFBF"/>
          </w:tcPr>
          <w:p>
            <w:pPr>
              <w:spacing w:after="0"/>
              <w:rPr>
                <w:sz w:val="12"/>
                <w:szCs w:val="12"/>
                <w:color w:val="auto"/>
              </w:rPr>
            </w:pPr>
          </w:p>
        </w:tc>
        <w:tc>
          <w:tcPr>
            <w:tcW w:w="120" w:type="dxa"/>
            <w:vAlign w:val="bottom"/>
            <w:shd w:val="clear" w:color="auto" w:fill="BFBFBF"/>
          </w:tcPr>
          <w:p>
            <w:pPr>
              <w:spacing w:after="0"/>
              <w:rPr>
                <w:sz w:val="12"/>
                <w:szCs w:val="12"/>
                <w:color w:val="auto"/>
              </w:rPr>
            </w:pPr>
          </w:p>
        </w:tc>
        <w:tc>
          <w:tcPr>
            <w:tcW w:w="94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92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94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660" w:type="dxa"/>
            <w:vAlign w:val="bottom"/>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320" w:type="dxa"/>
            <w:vAlign w:val="bottom"/>
            <w:gridSpan w:val="2"/>
          </w:tcPr>
          <w:p>
            <w:pPr>
              <w:ind w:left="20"/>
              <w:spacing w:after="0"/>
              <w:rPr>
                <w:sz w:val="20"/>
                <w:szCs w:val="20"/>
                <w:color w:val="auto"/>
              </w:rPr>
            </w:pPr>
            <w:r>
              <w:rPr>
                <w:rFonts w:ascii="Arial" w:cs="Arial" w:eastAsia="Arial" w:hAnsi="Arial"/>
                <w:sz w:val="13"/>
                <w:szCs w:val="13"/>
                <w:color w:val="auto"/>
              </w:rPr>
              <w:t>Daniel L. Heard</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2017</w:t>
            </w:r>
          </w:p>
        </w:tc>
        <w:tc>
          <w:tcPr>
            <w:tcW w:w="680" w:type="dxa"/>
            <w:vAlign w:val="bottom"/>
            <w:gridSpan w:val="3"/>
          </w:tcPr>
          <w:p>
            <w:pPr>
              <w:ind w:left="80"/>
              <w:spacing w:after="0"/>
              <w:rPr>
                <w:sz w:val="20"/>
                <w:szCs w:val="20"/>
                <w:color w:val="auto"/>
              </w:rPr>
            </w:pPr>
            <w:r>
              <w:rPr>
                <w:rFonts w:ascii="Arial" w:cs="Arial" w:eastAsia="Arial" w:hAnsi="Arial"/>
                <w:sz w:val="13"/>
                <w:szCs w:val="13"/>
                <w:color w:val="auto"/>
              </w:rPr>
              <w:t>369,711</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550,350</w:t>
            </w:r>
          </w:p>
        </w:tc>
        <w:tc>
          <w:tcPr>
            <w:tcW w:w="66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515,625</w:t>
            </w:r>
          </w:p>
        </w:tc>
        <w:tc>
          <w:tcPr>
            <w:tcW w:w="106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15,555</w:t>
            </w:r>
          </w:p>
        </w:tc>
        <w:tc>
          <w:tcPr>
            <w:tcW w:w="660" w:type="dxa"/>
            <w:vAlign w:val="bottom"/>
          </w:tcPr>
          <w:p>
            <w:pPr>
              <w:jc w:val="right"/>
              <w:spacing w:after="0"/>
              <w:rPr>
                <w:sz w:val="20"/>
                <w:szCs w:val="20"/>
                <w:color w:val="auto"/>
              </w:rPr>
            </w:pPr>
            <w:r>
              <w:rPr>
                <w:rFonts w:ascii="Arial" w:cs="Arial" w:eastAsia="Arial" w:hAnsi="Arial"/>
                <w:sz w:val="13"/>
                <w:szCs w:val="13"/>
                <w:color w:val="auto"/>
              </w:rPr>
              <w:t>1,451,241</w:t>
            </w:r>
          </w:p>
        </w:tc>
        <w:tc>
          <w:tcPr>
            <w:tcW w:w="0" w:type="dxa"/>
            <w:vAlign w:val="bottom"/>
          </w:tcPr>
          <w:p>
            <w:pPr>
              <w:spacing w:after="0"/>
              <w:rPr>
                <w:sz w:val="1"/>
                <w:szCs w:val="1"/>
                <w:color w:val="auto"/>
              </w:rPr>
            </w:pPr>
          </w:p>
        </w:tc>
      </w:tr>
      <w:tr>
        <w:trPr>
          <w:trHeight w:val="148"/>
        </w:trPr>
        <w:tc>
          <w:tcPr>
            <w:tcW w:w="13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Executive Vice</w:t>
            </w:r>
          </w:p>
        </w:tc>
        <w:tc>
          <w:tcPr>
            <w:tcW w:w="5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2016</w:t>
            </w:r>
          </w:p>
        </w:tc>
        <w:tc>
          <w:tcPr>
            <w:tcW w:w="680" w:type="dxa"/>
            <w:vAlign w:val="bottom"/>
            <w:gridSpan w:val="3"/>
          </w:tcPr>
          <w:p>
            <w:pPr>
              <w:ind w:left="80"/>
              <w:spacing w:after="0" w:line="148" w:lineRule="exact"/>
              <w:rPr>
                <w:sz w:val="20"/>
                <w:szCs w:val="20"/>
                <w:color w:val="auto"/>
              </w:rPr>
            </w:pPr>
            <w:r>
              <w:rPr>
                <w:rFonts w:ascii="Arial" w:cs="Arial" w:eastAsia="Arial" w:hAnsi="Arial"/>
                <w:sz w:val="13"/>
                <w:szCs w:val="13"/>
                <w:color w:val="auto"/>
              </w:rPr>
              <w:t>350,000</w:t>
            </w:r>
          </w:p>
        </w:tc>
        <w:tc>
          <w:tcPr>
            <w:tcW w:w="6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401,336</w:t>
            </w:r>
          </w:p>
        </w:tc>
        <w:tc>
          <w:tcPr>
            <w:tcW w:w="66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466,755</w:t>
            </w:r>
          </w:p>
        </w:tc>
        <w:tc>
          <w:tcPr>
            <w:tcW w:w="1060" w:type="dxa"/>
            <w:vAlign w:val="bottom"/>
            <w:gridSpan w:val="2"/>
          </w:tcPr>
          <w:p>
            <w:pPr>
              <w:ind w:left="800"/>
              <w:spacing w:after="0" w:line="148"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10,278</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1,228,369</w:t>
            </w:r>
          </w:p>
        </w:tc>
        <w:tc>
          <w:tcPr>
            <w:tcW w:w="0" w:type="dxa"/>
            <w:vAlign w:val="bottom"/>
          </w:tcPr>
          <w:p>
            <w:pPr>
              <w:spacing w:after="0"/>
              <w:rPr>
                <w:sz w:val="1"/>
                <w:szCs w:val="1"/>
                <w:color w:val="auto"/>
              </w:rPr>
            </w:pPr>
          </w:p>
        </w:tc>
      </w:tr>
      <w:tr>
        <w:trPr>
          <w:trHeight w:val="148"/>
        </w:trPr>
        <w:tc>
          <w:tcPr>
            <w:tcW w:w="13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President—</w:t>
            </w:r>
          </w:p>
        </w:tc>
        <w:tc>
          <w:tcPr>
            <w:tcW w:w="5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2015</w:t>
            </w:r>
          </w:p>
        </w:tc>
        <w:tc>
          <w:tcPr>
            <w:tcW w:w="680" w:type="dxa"/>
            <w:vAlign w:val="bottom"/>
            <w:gridSpan w:val="3"/>
          </w:tcPr>
          <w:p>
            <w:pPr>
              <w:ind w:left="80"/>
              <w:spacing w:after="0" w:line="148" w:lineRule="exact"/>
              <w:rPr>
                <w:sz w:val="20"/>
                <w:szCs w:val="20"/>
                <w:color w:val="auto"/>
              </w:rPr>
            </w:pPr>
            <w:r>
              <w:rPr>
                <w:rFonts w:ascii="Arial" w:cs="Arial" w:eastAsia="Arial" w:hAnsi="Arial"/>
                <w:sz w:val="13"/>
                <w:szCs w:val="13"/>
                <w:color w:val="auto"/>
              </w:rPr>
              <w:t>259,814</w:t>
            </w:r>
          </w:p>
        </w:tc>
        <w:tc>
          <w:tcPr>
            <w:tcW w:w="6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632,106</w:t>
            </w:r>
          </w:p>
        </w:tc>
        <w:tc>
          <w:tcPr>
            <w:tcW w:w="66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350,000</w:t>
            </w:r>
          </w:p>
        </w:tc>
        <w:tc>
          <w:tcPr>
            <w:tcW w:w="1060" w:type="dxa"/>
            <w:vAlign w:val="bottom"/>
            <w:gridSpan w:val="2"/>
          </w:tcPr>
          <w:p>
            <w:pPr>
              <w:ind w:left="800"/>
              <w:spacing w:after="0" w:line="148"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8,860</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1,250,780</w:t>
            </w:r>
          </w:p>
        </w:tc>
        <w:tc>
          <w:tcPr>
            <w:tcW w:w="0" w:type="dxa"/>
            <w:vAlign w:val="bottom"/>
          </w:tcPr>
          <w:p>
            <w:pPr>
              <w:spacing w:after="0"/>
              <w:rPr>
                <w:sz w:val="1"/>
                <w:szCs w:val="1"/>
                <w:color w:val="auto"/>
              </w:rPr>
            </w:pPr>
          </w:p>
        </w:tc>
      </w:tr>
      <w:tr>
        <w:trPr>
          <w:trHeight w:val="148"/>
        </w:trPr>
        <w:tc>
          <w:tcPr>
            <w:tcW w:w="132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General Counsel</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20" w:type="dxa"/>
            <w:vAlign w:val="bottom"/>
            <w:gridSpan w:val="2"/>
          </w:tcPr>
          <w:p>
            <w:pPr>
              <w:ind w:left="120"/>
              <w:spacing w:after="0" w:line="144" w:lineRule="exact"/>
              <w:rPr>
                <w:sz w:val="20"/>
                <w:szCs w:val="20"/>
                <w:color w:val="auto"/>
              </w:rPr>
            </w:pPr>
            <w:r>
              <w:rPr>
                <w:rFonts w:ascii="Arial" w:cs="Arial" w:eastAsia="Arial" w:hAnsi="Arial"/>
                <w:sz w:val="13"/>
                <w:szCs w:val="13"/>
                <w:color w:val="auto"/>
              </w:rPr>
              <w:t>and Secretary</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shd w:val="clear" w:color="auto" w:fill="BFBFBF"/>
          </w:tcPr>
          <w:p>
            <w:pPr>
              <w:ind w:left="20"/>
              <w:spacing w:after="0" w:line="148" w:lineRule="exact"/>
              <w:rPr>
                <w:sz w:val="20"/>
                <w:szCs w:val="20"/>
                <w:color w:val="auto"/>
              </w:rPr>
            </w:pPr>
            <w:r>
              <w:rPr>
                <w:rFonts w:ascii="Arial" w:cs="Arial" w:eastAsia="Arial" w:hAnsi="Arial"/>
                <w:sz w:val="13"/>
                <w:szCs w:val="13"/>
                <w:color w:val="auto"/>
              </w:rPr>
              <w:t>Ronald J. Mudry</w:t>
            </w:r>
          </w:p>
        </w:tc>
        <w:tc>
          <w:tcPr>
            <w:tcW w:w="100" w:type="dxa"/>
            <w:vAlign w:val="bottom"/>
            <w:shd w:val="clear" w:color="auto" w:fill="BFBFBF"/>
          </w:tcPr>
          <w:p>
            <w:pPr>
              <w:spacing w:after="0"/>
              <w:rPr>
                <w:sz w:val="12"/>
                <w:szCs w:val="12"/>
                <w:color w:val="auto"/>
              </w:rPr>
            </w:pPr>
          </w:p>
        </w:tc>
        <w:tc>
          <w:tcPr>
            <w:tcW w:w="500" w:type="dxa"/>
            <w:vAlign w:val="bottom"/>
            <w:gridSpan w:val="2"/>
            <w:shd w:val="clear" w:color="auto" w:fill="BFBFBF"/>
          </w:tcPr>
          <w:p>
            <w:pPr>
              <w:jc w:val="right"/>
              <w:ind w:right="100"/>
              <w:spacing w:after="0" w:line="148" w:lineRule="exact"/>
              <w:rPr>
                <w:sz w:val="20"/>
                <w:szCs w:val="20"/>
                <w:color w:val="auto"/>
              </w:rPr>
            </w:pPr>
            <w:r>
              <w:rPr>
                <w:rFonts w:ascii="Arial" w:cs="Arial" w:eastAsia="Arial" w:hAnsi="Arial"/>
                <w:sz w:val="13"/>
                <w:szCs w:val="13"/>
                <w:color w:val="auto"/>
              </w:rPr>
              <w:t>2017</w:t>
            </w:r>
          </w:p>
        </w:tc>
        <w:tc>
          <w:tcPr>
            <w:tcW w:w="680" w:type="dxa"/>
            <w:vAlign w:val="bottom"/>
            <w:gridSpan w:val="3"/>
            <w:shd w:val="clear" w:color="auto" w:fill="BFBFBF"/>
          </w:tcPr>
          <w:p>
            <w:pPr>
              <w:ind w:left="80"/>
              <w:spacing w:after="0" w:line="148" w:lineRule="exact"/>
              <w:rPr>
                <w:sz w:val="20"/>
                <w:szCs w:val="20"/>
                <w:color w:val="auto"/>
              </w:rPr>
            </w:pPr>
            <w:r>
              <w:rPr>
                <w:rFonts w:ascii="Arial" w:cs="Arial" w:eastAsia="Arial" w:hAnsi="Arial"/>
                <w:sz w:val="13"/>
                <w:szCs w:val="13"/>
                <w:color w:val="auto"/>
              </w:rPr>
              <w:t>350,000</w:t>
            </w:r>
          </w:p>
        </w:tc>
        <w:tc>
          <w:tcPr>
            <w:tcW w:w="620" w:type="dxa"/>
            <w:vAlign w:val="bottom"/>
            <w:gridSpan w:val="2"/>
            <w:shd w:val="clear" w:color="auto" w:fill="BFBFBF"/>
          </w:tcPr>
          <w:p>
            <w:pPr>
              <w:jc w:val="right"/>
              <w:ind w:right="120"/>
              <w:spacing w:after="0" w:line="148" w:lineRule="exact"/>
              <w:rPr>
                <w:sz w:val="20"/>
                <w:szCs w:val="20"/>
                <w:color w:val="auto"/>
              </w:rPr>
            </w:pPr>
            <w:r>
              <w:rPr>
                <w:rFonts w:ascii="Arial" w:cs="Arial" w:eastAsia="Arial" w:hAnsi="Arial"/>
                <w:sz w:val="13"/>
                <w:szCs w:val="13"/>
                <w:color w:val="auto"/>
              </w:rPr>
              <w:t>50,000</w:t>
            </w:r>
          </w:p>
        </w:tc>
        <w:tc>
          <w:tcPr>
            <w:tcW w:w="780" w:type="dxa"/>
            <w:vAlign w:val="bottom"/>
            <w:gridSpan w:val="2"/>
            <w:shd w:val="clear" w:color="auto" w:fill="BFBFBF"/>
          </w:tcPr>
          <w:p>
            <w:pPr>
              <w:jc w:val="right"/>
              <w:ind w:right="120"/>
              <w:spacing w:after="0" w:line="148" w:lineRule="exact"/>
              <w:rPr>
                <w:sz w:val="20"/>
                <w:szCs w:val="20"/>
                <w:color w:val="auto"/>
              </w:rPr>
            </w:pPr>
            <w:r>
              <w:rPr>
                <w:rFonts w:ascii="Arial" w:cs="Arial" w:eastAsia="Arial" w:hAnsi="Arial"/>
                <w:sz w:val="13"/>
                <w:szCs w:val="13"/>
                <w:color w:val="auto"/>
              </w:rPr>
              <w:t>360,497</w:t>
            </w:r>
          </w:p>
        </w:tc>
        <w:tc>
          <w:tcPr>
            <w:tcW w:w="660" w:type="dxa"/>
            <w:vAlign w:val="bottom"/>
            <w:gridSpan w:val="2"/>
            <w:shd w:val="clear" w:color="auto" w:fill="BFBFBF"/>
          </w:tcPr>
          <w:p>
            <w:pPr>
              <w:ind w:left="420"/>
              <w:spacing w:after="0" w:line="148"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BFBFBF"/>
          </w:tcPr>
          <w:p>
            <w:pPr>
              <w:jc w:val="right"/>
              <w:ind w:right="120"/>
              <w:spacing w:after="0" w:line="148" w:lineRule="exact"/>
              <w:rPr>
                <w:sz w:val="20"/>
                <w:szCs w:val="20"/>
                <w:color w:val="auto"/>
              </w:rPr>
            </w:pPr>
            <w:r>
              <w:rPr>
                <w:rFonts w:ascii="Arial" w:cs="Arial" w:eastAsia="Arial" w:hAnsi="Arial"/>
                <w:sz w:val="13"/>
                <w:szCs w:val="13"/>
                <w:color w:val="auto"/>
              </w:rPr>
              <w:t>214,235</w:t>
            </w:r>
          </w:p>
        </w:tc>
        <w:tc>
          <w:tcPr>
            <w:tcW w:w="1060" w:type="dxa"/>
            <w:vAlign w:val="bottom"/>
            <w:gridSpan w:val="2"/>
            <w:shd w:val="clear" w:color="auto" w:fill="BFBFBF"/>
          </w:tcPr>
          <w:p>
            <w:pPr>
              <w:ind w:left="800"/>
              <w:spacing w:after="0" w:line="148"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BFBFBF"/>
          </w:tcPr>
          <w:p>
            <w:pPr>
              <w:jc w:val="right"/>
              <w:ind w:right="140"/>
              <w:spacing w:after="0" w:line="148" w:lineRule="exact"/>
              <w:rPr>
                <w:sz w:val="20"/>
                <w:szCs w:val="20"/>
                <w:color w:val="auto"/>
              </w:rPr>
            </w:pPr>
            <w:r>
              <w:rPr>
                <w:rFonts w:ascii="Arial" w:cs="Arial" w:eastAsia="Arial" w:hAnsi="Arial"/>
                <w:sz w:val="13"/>
                <w:szCs w:val="13"/>
                <w:color w:val="auto"/>
              </w:rPr>
              <w:t>11,980</w:t>
            </w:r>
          </w:p>
        </w:tc>
        <w:tc>
          <w:tcPr>
            <w:tcW w:w="660" w:type="dxa"/>
            <w:vAlign w:val="bottom"/>
            <w:shd w:val="clear" w:color="auto" w:fill="BFBFBF"/>
          </w:tcPr>
          <w:p>
            <w:pPr>
              <w:jc w:val="right"/>
              <w:spacing w:after="0" w:line="148" w:lineRule="exact"/>
              <w:rPr>
                <w:sz w:val="20"/>
                <w:szCs w:val="20"/>
                <w:color w:val="auto"/>
              </w:rPr>
            </w:pPr>
            <w:r>
              <w:rPr>
                <w:rFonts w:ascii="Arial" w:cs="Arial" w:eastAsia="Arial" w:hAnsi="Arial"/>
                <w:sz w:val="13"/>
                <w:szCs w:val="13"/>
                <w:color w:val="auto"/>
              </w:rPr>
              <w:t>986,712</w:t>
            </w:r>
          </w:p>
        </w:tc>
        <w:tc>
          <w:tcPr>
            <w:tcW w:w="0" w:type="dxa"/>
            <w:vAlign w:val="bottom"/>
          </w:tcPr>
          <w:p>
            <w:pPr>
              <w:spacing w:after="0"/>
              <w:rPr>
                <w:sz w:val="1"/>
                <w:szCs w:val="1"/>
                <w:color w:val="auto"/>
              </w:rPr>
            </w:pPr>
          </w:p>
        </w:tc>
      </w:tr>
      <w:tr>
        <w:trPr>
          <w:trHeight w:val="152"/>
        </w:trPr>
        <w:tc>
          <w:tcPr>
            <w:tcW w:w="1220" w:type="dxa"/>
            <w:vAlign w:val="bottom"/>
            <w:shd w:val="clear" w:color="auto" w:fill="BFBFBF"/>
          </w:tcPr>
          <w:p>
            <w:pPr>
              <w:ind w:left="120"/>
              <w:spacing w:after="0"/>
              <w:rPr>
                <w:sz w:val="20"/>
                <w:szCs w:val="20"/>
                <w:color w:val="auto"/>
              </w:rPr>
            </w:pPr>
            <w:r>
              <w:rPr>
                <w:rFonts w:ascii="Arial" w:cs="Arial" w:eastAsia="Arial" w:hAnsi="Arial"/>
                <w:sz w:val="13"/>
                <w:szCs w:val="13"/>
                <w:color w:val="auto"/>
              </w:rPr>
              <w:t>President of Sales</w:t>
            </w:r>
          </w:p>
        </w:tc>
        <w:tc>
          <w:tcPr>
            <w:tcW w:w="100" w:type="dxa"/>
            <w:vAlign w:val="bottom"/>
            <w:shd w:val="clear" w:color="auto" w:fill="BFBFBF"/>
          </w:tcPr>
          <w:p>
            <w:pPr>
              <w:spacing w:after="0"/>
              <w:rPr>
                <w:sz w:val="13"/>
                <w:szCs w:val="13"/>
                <w:color w:val="auto"/>
              </w:rPr>
            </w:pPr>
          </w:p>
        </w:tc>
        <w:tc>
          <w:tcPr>
            <w:tcW w:w="500" w:type="dxa"/>
            <w:vAlign w:val="bottom"/>
            <w:gridSpan w:val="2"/>
            <w:shd w:val="clear" w:color="auto" w:fill="BFBFBF"/>
          </w:tcPr>
          <w:p>
            <w:pPr>
              <w:jc w:val="right"/>
              <w:ind w:right="100"/>
              <w:spacing w:after="0"/>
              <w:rPr>
                <w:sz w:val="20"/>
                <w:szCs w:val="20"/>
                <w:color w:val="auto"/>
              </w:rPr>
            </w:pPr>
            <w:r>
              <w:rPr>
                <w:rFonts w:ascii="Arial" w:cs="Arial" w:eastAsia="Arial" w:hAnsi="Arial"/>
                <w:sz w:val="13"/>
                <w:szCs w:val="13"/>
                <w:color w:val="auto"/>
              </w:rPr>
              <w:t>2016</w:t>
            </w:r>
          </w:p>
        </w:tc>
        <w:tc>
          <w:tcPr>
            <w:tcW w:w="680" w:type="dxa"/>
            <w:vAlign w:val="bottom"/>
            <w:gridSpan w:val="3"/>
            <w:shd w:val="clear" w:color="auto" w:fill="BFBFBF"/>
          </w:tcPr>
          <w:p>
            <w:pPr>
              <w:ind w:left="80"/>
              <w:spacing w:after="0"/>
              <w:rPr>
                <w:sz w:val="20"/>
                <w:szCs w:val="20"/>
                <w:color w:val="auto"/>
              </w:rPr>
            </w:pPr>
            <w:r>
              <w:rPr>
                <w:rFonts w:ascii="Arial" w:cs="Arial" w:eastAsia="Arial" w:hAnsi="Arial"/>
                <w:sz w:val="13"/>
                <w:szCs w:val="13"/>
                <w:color w:val="auto"/>
              </w:rPr>
              <w:t>135,731</w:t>
            </w:r>
          </w:p>
        </w:tc>
        <w:tc>
          <w:tcPr>
            <w:tcW w:w="620" w:type="dxa"/>
            <w:vAlign w:val="bottom"/>
            <w:gridSpan w:val="2"/>
            <w:shd w:val="clear" w:color="auto" w:fill="BFBFBF"/>
          </w:tcPr>
          <w:p>
            <w:pPr>
              <w:jc w:val="right"/>
              <w:ind w:right="120"/>
              <w:spacing w:after="0"/>
              <w:rPr>
                <w:sz w:val="20"/>
                <w:szCs w:val="20"/>
                <w:color w:val="auto"/>
              </w:rPr>
            </w:pPr>
            <w:r>
              <w:rPr>
                <w:rFonts w:ascii="Arial" w:cs="Arial" w:eastAsia="Arial" w:hAnsi="Arial"/>
                <w:sz w:val="13"/>
                <w:szCs w:val="13"/>
                <w:color w:val="auto"/>
              </w:rPr>
              <w:t>17,828</w:t>
            </w:r>
          </w:p>
        </w:tc>
        <w:tc>
          <w:tcPr>
            <w:tcW w:w="780" w:type="dxa"/>
            <w:vAlign w:val="bottom"/>
            <w:gridSpan w:val="2"/>
            <w:shd w:val="clear" w:color="auto" w:fill="BFBFBF"/>
          </w:tcPr>
          <w:p>
            <w:pPr>
              <w:jc w:val="right"/>
              <w:ind w:right="120"/>
              <w:spacing w:after="0"/>
              <w:rPr>
                <w:sz w:val="20"/>
                <w:szCs w:val="20"/>
                <w:color w:val="auto"/>
              </w:rPr>
            </w:pPr>
            <w:r>
              <w:rPr>
                <w:rFonts w:ascii="Arial" w:cs="Arial" w:eastAsia="Arial" w:hAnsi="Arial"/>
                <w:sz w:val="13"/>
                <w:szCs w:val="13"/>
                <w:color w:val="auto"/>
              </w:rPr>
              <w:t>518,107</w:t>
            </w:r>
          </w:p>
        </w:tc>
        <w:tc>
          <w:tcPr>
            <w:tcW w:w="660" w:type="dxa"/>
            <w:vAlign w:val="bottom"/>
            <w:gridSpan w:val="2"/>
            <w:shd w:val="clear" w:color="auto" w:fill="BFBFBF"/>
          </w:tcPr>
          <w:p>
            <w:pPr>
              <w:ind w:left="4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BFBFBF"/>
          </w:tcPr>
          <w:p>
            <w:pPr>
              <w:jc w:val="right"/>
              <w:ind w:right="120"/>
              <w:spacing w:after="0"/>
              <w:rPr>
                <w:sz w:val="20"/>
                <w:szCs w:val="20"/>
                <w:color w:val="auto"/>
              </w:rPr>
            </w:pPr>
            <w:r>
              <w:rPr>
                <w:rFonts w:ascii="Arial" w:cs="Arial" w:eastAsia="Arial" w:hAnsi="Arial"/>
                <w:sz w:val="13"/>
                <w:szCs w:val="13"/>
                <w:color w:val="auto"/>
              </w:rPr>
              <w:t>32,172</w:t>
            </w:r>
          </w:p>
        </w:tc>
        <w:tc>
          <w:tcPr>
            <w:tcW w:w="1060" w:type="dxa"/>
            <w:vAlign w:val="bottom"/>
            <w:gridSpan w:val="2"/>
            <w:shd w:val="clear" w:color="auto" w:fill="BFBFBF"/>
          </w:tcPr>
          <w:p>
            <w:pPr>
              <w:ind w:left="8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BFBFBF"/>
          </w:tcPr>
          <w:p>
            <w:pPr>
              <w:jc w:val="right"/>
              <w:ind w:right="140"/>
              <w:spacing w:after="0"/>
              <w:rPr>
                <w:sz w:val="20"/>
                <w:szCs w:val="20"/>
                <w:color w:val="auto"/>
              </w:rPr>
            </w:pPr>
            <w:r>
              <w:rPr>
                <w:rFonts w:ascii="Arial" w:cs="Arial" w:eastAsia="Arial" w:hAnsi="Arial"/>
                <w:sz w:val="13"/>
                <w:szCs w:val="13"/>
                <w:color w:val="auto"/>
              </w:rPr>
              <w:t>4,091</w:t>
            </w:r>
          </w:p>
        </w:tc>
        <w:tc>
          <w:tcPr>
            <w:tcW w:w="660" w:type="dxa"/>
            <w:vAlign w:val="bottom"/>
            <w:shd w:val="clear" w:color="auto" w:fill="BFBFBF"/>
          </w:tcPr>
          <w:p>
            <w:pPr>
              <w:jc w:val="right"/>
              <w:spacing w:after="0"/>
              <w:rPr>
                <w:sz w:val="20"/>
                <w:szCs w:val="20"/>
                <w:color w:val="auto"/>
              </w:rPr>
            </w:pPr>
            <w:r>
              <w:rPr>
                <w:rFonts w:ascii="Arial" w:cs="Arial" w:eastAsia="Arial" w:hAnsi="Arial"/>
                <w:sz w:val="13"/>
                <w:szCs w:val="13"/>
                <w:color w:val="auto"/>
              </w:rPr>
              <w:t>707,929</w:t>
            </w:r>
          </w:p>
        </w:tc>
        <w:tc>
          <w:tcPr>
            <w:tcW w:w="0" w:type="dxa"/>
            <w:vAlign w:val="bottom"/>
          </w:tcPr>
          <w:p>
            <w:pPr>
              <w:spacing w:after="0"/>
              <w:rPr>
                <w:sz w:val="1"/>
                <w:szCs w:val="1"/>
                <w:color w:val="auto"/>
              </w:rPr>
            </w:pPr>
          </w:p>
        </w:tc>
      </w:tr>
      <w:tr>
        <w:trPr>
          <w:trHeight w:val="148"/>
        </w:trPr>
        <w:tc>
          <w:tcPr>
            <w:tcW w:w="1220" w:type="dxa"/>
            <w:vAlign w:val="bottom"/>
            <w:shd w:val="clear" w:color="auto" w:fill="BFBFBF"/>
          </w:tcPr>
          <w:p>
            <w:pPr>
              <w:ind w:left="120"/>
              <w:spacing w:after="0" w:line="148" w:lineRule="exact"/>
              <w:rPr>
                <w:sz w:val="20"/>
                <w:szCs w:val="20"/>
                <w:color w:val="auto"/>
              </w:rPr>
            </w:pPr>
            <w:r>
              <w:rPr>
                <w:rFonts w:ascii="Arial" w:cs="Arial" w:eastAsia="Arial" w:hAnsi="Arial"/>
                <w:sz w:val="13"/>
                <w:szCs w:val="13"/>
                <w:color w:val="auto"/>
              </w:rPr>
              <w:t>and Business</w:t>
            </w:r>
          </w:p>
        </w:tc>
        <w:tc>
          <w:tcPr>
            <w:tcW w:w="100" w:type="dxa"/>
            <w:vAlign w:val="bottom"/>
            <w:shd w:val="clear" w:color="auto" w:fill="BFBFBF"/>
          </w:tcPr>
          <w:p>
            <w:pPr>
              <w:spacing w:after="0"/>
              <w:rPr>
                <w:sz w:val="12"/>
                <w:szCs w:val="12"/>
                <w:color w:val="auto"/>
              </w:rPr>
            </w:pPr>
          </w:p>
        </w:tc>
        <w:tc>
          <w:tcPr>
            <w:tcW w:w="380" w:type="dxa"/>
            <w:vAlign w:val="bottom"/>
            <w:shd w:val="clear" w:color="auto" w:fill="BFBFBF"/>
          </w:tcPr>
          <w:p>
            <w:pPr>
              <w:spacing w:after="0"/>
              <w:rPr>
                <w:sz w:val="12"/>
                <w:szCs w:val="12"/>
                <w:color w:val="auto"/>
              </w:rPr>
            </w:pPr>
          </w:p>
        </w:tc>
        <w:tc>
          <w:tcPr>
            <w:tcW w:w="120" w:type="dxa"/>
            <w:vAlign w:val="bottom"/>
            <w:shd w:val="clear" w:color="auto" w:fill="BFBFBF"/>
          </w:tcPr>
          <w:p>
            <w:pPr>
              <w:spacing w:after="0"/>
              <w:rPr>
                <w:sz w:val="12"/>
                <w:szCs w:val="12"/>
                <w:color w:val="auto"/>
              </w:rPr>
            </w:pPr>
          </w:p>
        </w:tc>
        <w:tc>
          <w:tcPr>
            <w:tcW w:w="440" w:type="dxa"/>
            <w:vAlign w:val="bottom"/>
            <w:shd w:val="clear" w:color="auto" w:fill="BFBFBF"/>
          </w:tcPr>
          <w:p>
            <w:pPr>
              <w:spacing w:after="0"/>
              <w:rPr>
                <w:sz w:val="12"/>
                <w:szCs w:val="12"/>
                <w:color w:val="auto"/>
              </w:rPr>
            </w:pPr>
          </w:p>
        </w:tc>
        <w:tc>
          <w:tcPr>
            <w:tcW w:w="120" w:type="dxa"/>
            <w:vAlign w:val="bottom"/>
            <w:shd w:val="clear" w:color="auto" w:fill="BFBFBF"/>
          </w:tcPr>
          <w:p>
            <w:pPr>
              <w:spacing w:after="0"/>
              <w:rPr>
                <w:sz w:val="12"/>
                <w:szCs w:val="12"/>
                <w:color w:val="auto"/>
              </w:rPr>
            </w:pPr>
          </w:p>
        </w:tc>
        <w:tc>
          <w:tcPr>
            <w:tcW w:w="120" w:type="dxa"/>
            <w:vAlign w:val="bottom"/>
            <w:shd w:val="clear" w:color="auto" w:fill="BFBFBF"/>
          </w:tcPr>
          <w:p>
            <w:pPr>
              <w:spacing w:after="0"/>
              <w:rPr>
                <w:sz w:val="12"/>
                <w:szCs w:val="12"/>
                <w:color w:val="auto"/>
              </w:rPr>
            </w:pPr>
          </w:p>
        </w:tc>
        <w:tc>
          <w:tcPr>
            <w:tcW w:w="500" w:type="dxa"/>
            <w:vAlign w:val="bottom"/>
            <w:shd w:val="clear" w:color="auto" w:fill="BFBFBF"/>
          </w:tcPr>
          <w:p>
            <w:pPr>
              <w:spacing w:after="0"/>
              <w:rPr>
                <w:sz w:val="12"/>
                <w:szCs w:val="12"/>
                <w:color w:val="auto"/>
              </w:rPr>
            </w:pPr>
          </w:p>
        </w:tc>
        <w:tc>
          <w:tcPr>
            <w:tcW w:w="120" w:type="dxa"/>
            <w:vAlign w:val="bottom"/>
            <w:shd w:val="clear" w:color="auto" w:fill="BFBFBF"/>
          </w:tcPr>
          <w:p>
            <w:pPr>
              <w:spacing w:after="0"/>
              <w:rPr>
                <w:sz w:val="12"/>
                <w:szCs w:val="12"/>
                <w:color w:val="auto"/>
              </w:rPr>
            </w:pPr>
          </w:p>
        </w:tc>
        <w:tc>
          <w:tcPr>
            <w:tcW w:w="660" w:type="dxa"/>
            <w:vAlign w:val="bottom"/>
            <w:shd w:val="clear" w:color="auto" w:fill="BFBFBF"/>
          </w:tcPr>
          <w:p>
            <w:pPr>
              <w:spacing w:after="0"/>
              <w:rPr>
                <w:sz w:val="12"/>
                <w:szCs w:val="12"/>
                <w:color w:val="auto"/>
              </w:rPr>
            </w:pPr>
          </w:p>
        </w:tc>
        <w:tc>
          <w:tcPr>
            <w:tcW w:w="120" w:type="dxa"/>
            <w:vAlign w:val="bottom"/>
            <w:shd w:val="clear" w:color="auto" w:fill="BFBFBF"/>
          </w:tcPr>
          <w:p>
            <w:pPr>
              <w:spacing w:after="0"/>
              <w:rPr>
                <w:sz w:val="12"/>
                <w:szCs w:val="12"/>
                <w:color w:val="auto"/>
              </w:rPr>
            </w:pPr>
          </w:p>
        </w:tc>
        <w:tc>
          <w:tcPr>
            <w:tcW w:w="540" w:type="dxa"/>
            <w:vAlign w:val="bottom"/>
            <w:shd w:val="clear" w:color="auto" w:fill="BFBFBF"/>
          </w:tcPr>
          <w:p>
            <w:pPr>
              <w:spacing w:after="0"/>
              <w:rPr>
                <w:sz w:val="12"/>
                <w:szCs w:val="12"/>
                <w:color w:val="auto"/>
              </w:rPr>
            </w:pPr>
          </w:p>
        </w:tc>
        <w:tc>
          <w:tcPr>
            <w:tcW w:w="120" w:type="dxa"/>
            <w:vAlign w:val="bottom"/>
            <w:shd w:val="clear" w:color="auto" w:fill="BFBFBF"/>
          </w:tcPr>
          <w:p>
            <w:pPr>
              <w:spacing w:after="0"/>
              <w:rPr>
                <w:sz w:val="12"/>
                <w:szCs w:val="12"/>
                <w:color w:val="auto"/>
              </w:rPr>
            </w:pPr>
          </w:p>
        </w:tc>
        <w:tc>
          <w:tcPr>
            <w:tcW w:w="94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92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94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660" w:type="dxa"/>
            <w:vAlign w:val="bottom"/>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shd w:val="clear" w:color="auto" w:fill="BFBFBF"/>
          </w:tcPr>
          <w:p>
            <w:pPr>
              <w:ind w:left="120"/>
              <w:spacing w:after="0" w:line="148" w:lineRule="exact"/>
              <w:rPr>
                <w:sz w:val="20"/>
                <w:szCs w:val="20"/>
                <w:color w:val="auto"/>
              </w:rPr>
            </w:pPr>
            <w:r>
              <w:rPr>
                <w:rFonts w:ascii="Arial" w:cs="Arial" w:eastAsia="Arial" w:hAnsi="Arial"/>
                <w:sz w:val="13"/>
                <w:szCs w:val="13"/>
                <w:color w:val="auto"/>
              </w:rPr>
              <w:t>Development of</w:t>
            </w:r>
          </w:p>
        </w:tc>
        <w:tc>
          <w:tcPr>
            <w:tcW w:w="100" w:type="dxa"/>
            <w:vAlign w:val="bottom"/>
            <w:shd w:val="clear" w:color="auto" w:fill="BFBFBF"/>
          </w:tcPr>
          <w:p>
            <w:pPr>
              <w:spacing w:after="0"/>
              <w:rPr>
                <w:sz w:val="12"/>
                <w:szCs w:val="12"/>
                <w:color w:val="auto"/>
              </w:rPr>
            </w:pPr>
          </w:p>
        </w:tc>
        <w:tc>
          <w:tcPr>
            <w:tcW w:w="380" w:type="dxa"/>
            <w:vAlign w:val="bottom"/>
            <w:shd w:val="clear" w:color="auto" w:fill="BFBFBF"/>
          </w:tcPr>
          <w:p>
            <w:pPr>
              <w:spacing w:after="0"/>
              <w:rPr>
                <w:sz w:val="12"/>
                <w:szCs w:val="12"/>
                <w:color w:val="auto"/>
              </w:rPr>
            </w:pPr>
          </w:p>
        </w:tc>
        <w:tc>
          <w:tcPr>
            <w:tcW w:w="120" w:type="dxa"/>
            <w:vAlign w:val="bottom"/>
            <w:shd w:val="clear" w:color="auto" w:fill="BFBFBF"/>
          </w:tcPr>
          <w:p>
            <w:pPr>
              <w:spacing w:after="0"/>
              <w:rPr>
                <w:sz w:val="12"/>
                <w:szCs w:val="12"/>
                <w:color w:val="auto"/>
              </w:rPr>
            </w:pPr>
          </w:p>
        </w:tc>
        <w:tc>
          <w:tcPr>
            <w:tcW w:w="440" w:type="dxa"/>
            <w:vAlign w:val="bottom"/>
            <w:shd w:val="clear" w:color="auto" w:fill="BFBFBF"/>
          </w:tcPr>
          <w:p>
            <w:pPr>
              <w:spacing w:after="0"/>
              <w:rPr>
                <w:sz w:val="12"/>
                <w:szCs w:val="12"/>
                <w:color w:val="auto"/>
              </w:rPr>
            </w:pPr>
          </w:p>
        </w:tc>
        <w:tc>
          <w:tcPr>
            <w:tcW w:w="120" w:type="dxa"/>
            <w:vAlign w:val="bottom"/>
            <w:shd w:val="clear" w:color="auto" w:fill="BFBFBF"/>
          </w:tcPr>
          <w:p>
            <w:pPr>
              <w:spacing w:after="0"/>
              <w:rPr>
                <w:sz w:val="12"/>
                <w:szCs w:val="12"/>
                <w:color w:val="auto"/>
              </w:rPr>
            </w:pPr>
          </w:p>
        </w:tc>
        <w:tc>
          <w:tcPr>
            <w:tcW w:w="120" w:type="dxa"/>
            <w:vAlign w:val="bottom"/>
            <w:shd w:val="clear" w:color="auto" w:fill="BFBFBF"/>
          </w:tcPr>
          <w:p>
            <w:pPr>
              <w:spacing w:after="0"/>
              <w:rPr>
                <w:sz w:val="12"/>
                <w:szCs w:val="12"/>
                <w:color w:val="auto"/>
              </w:rPr>
            </w:pPr>
          </w:p>
        </w:tc>
        <w:tc>
          <w:tcPr>
            <w:tcW w:w="500" w:type="dxa"/>
            <w:vAlign w:val="bottom"/>
            <w:shd w:val="clear" w:color="auto" w:fill="BFBFBF"/>
          </w:tcPr>
          <w:p>
            <w:pPr>
              <w:spacing w:after="0"/>
              <w:rPr>
                <w:sz w:val="12"/>
                <w:szCs w:val="12"/>
                <w:color w:val="auto"/>
              </w:rPr>
            </w:pPr>
          </w:p>
        </w:tc>
        <w:tc>
          <w:tcPr>
            <w:tcW w:w="120" w:type="dxa"/>
            <w:vAlign w:val="bottom"/>
            <w:shd w:val="clear" w:color="auto" w:fill="BFBFBF"/>
          </w:tcPr>
          <w:p>
            <w:pPr>
              <w:spacing w:after="0"/>
              <w:rPr>
                <w:sz w:val="12"/>
                <w:szCs w:val="12"/>
                <w:color w:val="auto"/>
              </w:rPr>
            </w:pPr>
          </w:p>
        </w:tc>
        <w:tc>
          <w:tcPr>
            <w:tcW w:w="660" w:type="dxa"/>
            <w:vAlign w:val="bottom"/>
            <w:shd w:val="clear" w:color="auto" w:fill="BFBFBF"/>
          </w:tcPr>
          <w:p>
            <w:pPr>
              <w:spacing w:after="0"/>
              <w:rPr>
                <w:sz w:val="12"/>
                <w:szCs w:val="12"/>
                <w:color w:val="auto"/>
              </w:rPr>
            </w:pPr>
          </w:p>
        </w:tc>
        <w:tc>
          <w:tcPr>
            <w:tcW w:w="120" w:type="dxa"/>
            <w:vAlign w:val="bottom"/>
            <w:shd w:val="clear" w:color="auto" w:fill="BFBFBF"/>
          </w:tcPr>
          <w:p>
            <w:pPr>
              <w:spacing w:after="0"/>
              <w:rPr>
                <w:sz w:val="12"/>
                <w:szCs w:val="12"/>
                <w:color w:val="auto"/>
              </w:rPr>
            </w:pPr>
          </w:p>
        </w:tc>
        <w:tc>
          <w:tcPr>
            <w:tcW w:w="540" w:type="dxa"/>
            <w:vAlign w:val="bottom"/>
            <w:shd w:val="clear" w:color="auto" w:fill="BFBFBF"/>
          </w:tcPr>
          <w:p>
            <w:pPr>
              <w:spacing w:after="0"/>
              <w:rPr>
                <w:sz w:val="12"/>
                <w:szCs w:val="12"/>
                <w:color w:val="auto"/>
              </w:rPr>
            </w:pPr>
          </w:p>
        </w:tc>
        <w:tc>
          <w:tcPr>
            <w:tcW w:w="120" w:type="dxa"/>
            <w:vAlign w:val="bottom"/>
            <w:shd w:val="clear" w:color="auto" w:fill="BFBFBF"/>
          </w:tcPr>
          <w:p>
            <w:pPr>
              <w:spacing w:after="0"/>
              <w:rPr>
                <w:sz w:val="12"/>
                <w:szCs w:val="12"/>
                <w:color w:val="auto"/>
              </w:rPr>
            </w:pPr>
          </w:p>
        </w:tc>
        <w:tc>
          <w:tcPr>
            <w:tcW w:w="94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92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94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660" w:type="dxa"/>
            <w:vAlign w:val="bottom"/>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20" w:type="dxa"/>
            <w:vAlign w:val="bottom"/>
            <w:shd w:val="clear" w:color="auto" w:fill="BFBFBF"/>
          </w:tcPr>
          <w:p>
            <w:pPr>
              <w:ind w:left="120"/>
              <w:spacing w:after="0" w:line="144" w:lineRule="exact"/>
              <w:rPr>
                <w:sz w:val="20"/>
                <w:szCs w:val="20"/>
                <w:color w:val="auto"/>
              </w:rPr>
            </w:pPr>
            <w:r>
              <w:rPr>
                <w:rFonts w:ascii="Arial" w:cs="Arial" w:eastAsia="Arial" w:hAnsi="Arial"/>
                <w:sz w:val="13"/>
                <w:szCs w:val="13"/>
                <w:color w:val="auto"/>
              </w:rPr>
              <w:t>Uniti Fiber</w:t>
            </w:r>
          </w:p>
        </w:tc>
        <w:tc>
          <w:tcPr>
            <w:tcW w:w="100" w:type="dxa"/>
            <w:vAlign w:val="bottom"/>
            <w:shd w:val="clear" w:color="auto" w:fill="BFBFBF"/>
          </w:tcPr>
          <w:p>
            <w:pPr>
              <w:spacing w:after="0"/>
              <w:rPr>
                <w:sz w:val="12"/>
                <w:szCs w:val="12"/>
                <w:color w:val="auto"/>
              </w:rPr>
            </w:pPr>
          </w:p>
        </w:tc>
        <w:tc>
          <w:tcPr>
            <w:tcW w:w="380" w:type="dxa"/>
            <w:vAlign w:val="bottom"/>
            <w:shd w:val="clear" w:color="auto" w:fill="BFBFBF"/>
          </w:tcPr>
          <w:p>
            <w:pPr>
              <w:spacing w:after="0"/>
              <w:rPr>
                <w:sz w:val="12"/>
                <w:szCs w:val="12"/>
                <w:color w:val="auto"/>
              </w:rPr>
            </w:pPr>
          </w:p>
        </w:tc>
        <w:tc>
          <w:tcPr>
            <w:tcW w:w="120" w:type="dxa"/>
            <w:vAlign w:val="bottom"/>
            <w:shd w:val="clear" w:color="auto" w:fill="BFBFBF"/>
          </w:tcPr>
          <w:p>
            <w:pPr>
              <w:spacing w:after="0"/>
              <w:rPr>
                <w:sz w:val="12"/>
                <w:szCs w:val="12"/>
                <w:color w:val="auto"/>
              </w:rPr>
            </w:pPr>
          </w:p>
        </w:tc>
        <w:tc>
          <w:tcPr>
            <w:tcW w:w="440" w:type="dxa"/>
            <w:vAlign w:val="bottom"/>
            <w:shd w:val="clear" w:color="auto" w:fill="BFBFBF"/>
          </w:tcPr>
          <w:p>
            <w:pPr>
              <w:spacing w:after="0"/>
              <w:rPr>
                <w:sz w:val="12"/>
                <w:szCs w:val="12"/>
                <w:color w:val="auto"/>
              </w:rPr>
            </w:pPr>
          </w:p>
        </w:tc>
        <w:tc>
          <w:tcPr>
            <w:tcW w:w="120" w:type="dxa"/>
            <w:vAlign w:val="bottom"/>
            <w:shd w:val="clear" w:color="auto" w:fill="BFBFBF"/>
          </w:tcPr>
          <w:p>
            <w:pPr>
              <w:spacing w:after="0"/>
              <w:rPr>
                <w:sz w:val="12"/>
                <w:szCs w:val="12"/>
                <w:color w:val="auto"/>
              </w:rPr>
            </w:pPr>
          </w:p>
        </w:tc>
        <w:tc>
          <w:tcPr>
            <w:tcW w:w="120" w:type="dxa"/>
            <w:vAlign w:val="bottom"/>
            <w:shd w:val="clear" w:color="auto" w:fill="BFBFBF"/>
          </w:tcPr>
          <w:p>
            <w:pPr>
              <w:spacing w:after="0"/>
              <w:rPr>
                <w:sz w:val="12"/>
                <w:szCs w:val="12"/>
                <w:color w:val="auto"/>
              </w:rPr>
            </w:pPr>
          </w:p>
        </w:tc>
        <w:tc>
          <w:tcPr>
            <w:tcW w:w="500" w:type="dxa"/>
            <w:vAlign w:val="bottom"/>
            <w:shd w:val="clear" w:color="auto" w:fill="BFBFBF"/>
          </w:tcPr>
          <w:p>
            <w:pPr>
              <w:spacing w:after="0"/>
              <w:rPr>
                <w:sz w:val="12"/>
                <w:szCs w:val="12"/>
                <w:color w:val="auto"/>
              </w:rPr>
            </w:pPr>
          </w:p>
        </w:tc>
        <w:tc>
          <w:tcPr>
            <w:tcW w:w="120" w:type="dxa"/>
            <w:vAlign w:val="bottom"/>
            <w:shd w:val="clear" w:color="auto" w:fill="BFBFBF"/>
          </w:tcPr>
          <w:p>
            <w:pPr>
              <w:spacing w:after="0"/>
              <w:rPr>
                <w:sz w:val="12"/>
                <w:szCs w:val="12"/>
                <w:color w:val="auto"/>
              </w:rPr>
            </w:pPr>
          </w:p>
        </w:tc>
        <w:tc>
          <w:tcPr>
            <w:tcW w:w="660" w:type="dxa"/>
            <w:vAlign w:val="bottom"/>
            <w:shd w:val="clear" w:color="auto" w:fill="BFBFBF"/>
          </w:tcPr>
          <w:p>
            <w:pPr>
              <w:spacing w:after="0"/>
              <w:rPr>
                <w:sz w:val="12"/>
                <w:szCs w:val="12"/>
                <w:color w:val="auto"/>
              </w:rPr>
            </w:pPr>
          </w:p>
        </w:tc>
        <w:tc>
          <w:tcPr>
            <w:tcW w:w="120" w:type="dxa"/>
            <w:vAlign w:val="bottom"/>
            <w:shd w:val="clear" w:color="auto" w:fill="BFBFBF"/>
          </w:tcPr>
          <w:p>
            <w:pPr>
              <w:spacing w:after="0"/>
              <w:rPr>
                <w:sz w:val="12"/>
                <w:szCs w:val="12"/>
                <w:color w:val="auto"/>
              </w:rPr>
            </w:pPr>
          </w:p>
        </w:tc>
        <w:tc>
          <w:tcPr>
            <w:tcW w:w="540" w:type="dxa"/>
            <w:vAlign w:val="bottom"/>
            <w:shd w:val="clear" w:color="auto" w:fill="BFBFBF"/>
          </w:tcPr>
          <w:p>
            <w:pPr>
              <w:spacing w:after="0"/>
              <w:rPr>
                <w:sz w:val="12"/>
                <w:szCs w:val="12"/>
                <w:color w:val="auto"/>
              </w:rPr>
            </w:pPr>
          </w:p>
        </w:tc>
        <w:tc>
          <w:tcPr>
            <w:tcW w:w="120" w:type="dxa"/>
            <w:vAlign w:val="bottom"/>
            <w:shd w:val="clear" w:color="auto" w:fill="BFBFBF"/>
          </w:tcPr>
          <w:p>
            <w:pPr>
              <w:spacing w:after="0"/>
              <w:rPr>
                <w:sz w:val="12"/>
                <w:szCs w:val="12"/>
                <w:color w:val="auto"/>
              </w:rPr>
            </w:pPr>
          </w:p>
        </w:tc>
        <w:tc>
          <w:tcPr>
            <w:tcW w:w="94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92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94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660" w:type="dxa"/>
            <w:vAlign w:val="bottom"/>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860" w:right="20" w:hanging="490"/>
        <w:spacing w:after="0" w:line="243" w:lineRule="auto"/>
        <w:tabs>
          <w:tab w:leader="none" w:pos="18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amounts included in this column reflect the aggregate grant date fair value calculated in accordance with FASB ASC Topic 718 for restricted stock and performance-based restricted stock unit awards granted during 2017. The fair values in this column reflect the expected future cash flows of dividends and therefore dividends on unvested shares are not separately disclosed. The assumptions used in the calculation of the amounts shown are included in Note 10 to our audited consolidated financial statements, which are included in our Annual Report on Form 10-K for the fiscal year ended December 31, 2017. Additional information regarding the Long-Term Incentive Plan is discussed in further detail in the Compensation Discussion &amp; Analysis under the heading "Elements of 2017 Compensation—Equity-Based Compensation."</w:t>
      </w:r>
    </w:p>
    <w:p>
      <w:pPr>
        <w:spacing w:after="0" w:line="188" w:lineRule="exact"/>
        <w:rPr>
          <w:rFonts w:ascii="Arial" w:cs="Arial" w:eastAsia="Arial" w:hAnsi="Arial"/>
          <w:sz w:val="16"/>
          <w:szCs w:val="16"/>
          <w:color w:val="auto"/>
        </w:rPr>
      </w:pPr>
    </w:p>
    <w:p>
      <w:pPr>
        <w:ind w:left="1860"/>
        <w:spacing w:after="0" w:line="243" w:lineRule="auto"/>
        <w:rPr>
          <w:rFonts w:ascii="Arial" w:cs="Arial" w:eastAsia="Arial" w:hAnsi="Arial"/>
          <w:sz w:val="16"/>
          <w:szCs w:val="16"/>
          <w:color w:val="auto"/>
        </w:rPr>
      </w:pPr>
      <w:r>
        <w:rPr>
          <w:rFonts w:ascii="Arial" w:cs="Arial" w:eastAsia="Arial" w:hAnsi="Arial"/>
          <w:sz w:val="16"/>
          <w:szCs w:val="16"/>
          <w:color w:val="auto"/>
        </w:rPr>
        <w:t>The grant date fair values of performance-based restricted stock units (or PSUs) are based upon the probable levels of achievement of the performance goals related to those awards. The resulting number of PSUs that vest, if any, depends on whether we achieve the specified level of performance with respect to the performance measures tied to these awards. The grant date fair values of PSUs are reported in the table above at target payout, representing the probable outcome of performance conditions as calculated at the time of grant, which is less than the maximum possible payout. The table below shows the grant date fair values of the PSUs granted to each NEO during fiscal year 2017 at the probable payout and the maximum payout that would result if the highest levels of performance goals are achieved.</w:t>
      </w:r>
    </w:p>
    <w:p>
      <w:pPr>
        <w:spacing w:after="0" w:line="172"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3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5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Grant Date Fair Value of PSUs</w:t>
            </w:r>
          </w:p>
        </w:tc>
        <w:tc>
          <w:tcPr>
            <w:tcW w:w="20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Grant Date Value of PSUs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58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rPr>
              <w:t>(Probable Payout)</w:t>
            </w:r>
          </w:p>
        </w:tc>
        <w:tc>
          <w:tcPr>
            <w:tcW w:w="206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rPr>
              <w:t>(Maximum Payout)</w:t>
            </w:r>
          </w:p>
        </w:tc>
        <w:tc>
          <w:tcPr>
            <w:tcW w:w="0" w:type="dxa"/>
            <w:vAlign w:val="bottom"/>
          </w:tcPr>
          <w:p>
            <w:pPr>
              <w:spacing w:after="0"/>
              <w:rPr>
                <w:sz w:val="1"/>
                <w:szCs w:val="1"/>
                <w:color w:val="auto"/>
              </w:rPr>
            </w:pPr>
          </w:p>
        </w:tc>
      </w:tr>
      <w:tr>
        <w:trPr>
          <w:trHeight w:val="160"/>
        </w:trPr>
        <w:tc>
          <w:tcPr>
            <w:tcW w:w="380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80" w:type="dxa"/>
            <w:vAlign w:val="bottom"/>
            <w:gridSpan w:val="2"/>
            <w:vMerge w:val="restart"/>
          </w:tcPr>
          <w:p>
            <w:pPr>
              <w:jc w:val="right"/>
              <w:ind w:right="200"/>
              <w:spacing w:after="0" w:line="141" w:lineRule="exact"/>
              <w:rPr>
                <w:sz w:val="20"/>
                <w:szCs w:val="20"/>
                <w:color w:val="auto"/>
              </w:rPr>
            </w:pPr>
            <w:r>
              <w:rPr>
                <w:rFonts w:ascii="Arial" w:cs="Arial" w:eastAsia="Arial" w:hAnsi="Arial"/>
                <w:sz w:val="13"/>
                <w:szCs w:val="13"/>
                <w:color w:val="auto"/>
              </w:rPr>
              <w:t>1,811,137</w:t>
            </w:r>
          </w:p>
        </w:tc>
        <w:tc>
          <w:tcPr>
            <w:tcW w:w="2060" w:type="dxa"/>
            <w:vAlign w:val="bottom"/>
            <w:gridSpan w:val="2"/>
            <w:vMerge w:val="restart"/>
          </w:tcPr>
          <w:p>
            <w:pPr>
              <w:jc w:val="right"/>
              <w:spacing w:after="0" w:line="141" w:lineRule="exact"/>
              <w:rPr>
                <w:sz w:val="20"/>
                <w:szCs w:val="20"/>
                <w:color w:val="auto"/>
              </w:rPr>
            </w:pPr>
            <w:r>
              <w:rPr>
                <w:rFonts w:ascii="Arial" w:cs="Arial" w:eastAsia="Arial" w:hAnsi="Arial"/>
                <w:sz w:val="13"/>
                <w:szCs w:val="13"/>
                <w:color w:val="auto"/>
              </w:rPr>
              <w:t>2,762,089</w:t>
            </w:r>
          </w:p>
        </w:tc>
        <w:tc>
          <w:tcPr>
            <w:tcW w:w="0" w:type="dxa"/>
            <w:vAlign w:val="bottom"/>
          </w:tcPr>
          <w:p>
            <w:pPr>
              <w:spacing w:after="0" w:line="20" w:lineRule="exact"/>
              <w:rPr>
                <w:sz w:val="1"/>
                <w:szCs w:val="1"/>
                <w:color w:val="auto"/>
              </w:rPr>
            </w:pPr>
          </w:p>
        </w:tc>
      </w:tr>
      <w:tr>
        <w:trPr>
          <w:trHeight w:val="120"/>
        </w:trPr>
        <w:tc>
          <w:tcPr>
            <w:tcW w:w="3800" w:type="dxa"/>
            <w:vAlign w:val="bottom"/>
            <w:gridSpan w:val="2"/>
          </w:tcPr>
          <w:p>
            <w:pPr>
              <w:ind w:left="20"/>
              <w:spacing w:after="0" w:line="121" w:lineRule="exact"/>
              <w:rPr>
                <w:sz w:val="20"/>
                <w:szCs w:val="20"/>
                <w:color w:val="auto"/>
              </w:rPr>
            </w:pPr>
            <w:r>
              <w:rPr>
                <w:rFonts w:ascii="Arial" w:cs="Arial" w:eastAsia="Arial" w:hAnsi="Arial"/>
                <w:sz w:val="13"/>
                <w:szCs w:val="13"/>
                <w:color w:val="auto"/>
              </w:rPr>
              <w:t>Kenneth A. Gunderman</w:t>
            </w:r>
          </w:p>
        </w:tc>
        <w:tc>
          <w:tcPr>
            <w:tcW w:w="2580" w:type="dxa"/>
            <w:vAlign w:val="bottom"/>
            <w:gridSpan w:val="2"/>
            <w:vMerge w:val="continue"/>
          </w:tcPr>
          <w:p>
            <w:pPr>
              <w:spacing w:after="0"/>
              <w:rPr>
                <w:sz w:val="10"/>
                <w:szCs w:val="10"/>
                <w:color w:val="auto"/>
              </w:rPr>
            </w:pPr>
          </w:p>
        </w:tc>
        <w:tc>
          <w:tcPr>
            <w:tcW w:w="2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BFBFBF"/>
          </w:tcPr>
          <w:p>
            <w:pPr>
              <w:ind w:left="20"/>
              <w:spacing w:after="0" w:line="148" w:lineRule="exact"/>
              <w:rPr>
                <w:sz w:val="20"/>
                <w:szCs w:val="20"/>
                <w:color w:val="auto"/>
              </w:rPr>
            </w:pPr>
            <w:r>
              <w:rPr>
                <w:rFonts w:ascii="Arial" w:cs="Arial" w:eastAsia="Arial" w:hAnsi="Arial"/>
                <w:sz w:val="13"/>
                <w:szCs w:val="13"/>
                <w:color w:val="auto"/>
              </w:rPr>
              <w:t>Mark A. Wallace</w:t>
            </w:r>
          </w:p>
        </w:tc>
        <w:tc>
          <w:tcPr>
            <w:tcW w:w="2580" w:type="dxa"/>
            <w:vAlign w:val="bottom"/>
            <w:gridSpan w:val="2"/>
            <w:shd w:val="clear" w:color="auto" w:fill="BFBFBF"/>
          </w:tcPr>
          <w:p>
            <w:pPr>
              <w:jc w:val="right"/>
              <w:ind w:right="200"/>
              <w:spacing w:after="0" w:line="148" w:lineRule="exact"/>
              <w:rPr>
                <w:sz w:val="20"/>
                <w:szCs w:val="20"/>
                <w:color w:val="auto"/>
              </w:rPr>
            </w:pPr>
            <w:r>
              <w:rPr>
                <w:rFonts w:ascii="Arial" w:cs="Arial" w:eastAsia="Arial" w:hAnsi="Arial"/>
                <w:sz w:val="13"/>
                <w:szCs w:val="13"/>
                <w:color w:val="auto"/>
              </w:rPr>
              <w:t>524,584</w:t>
            </w:r>
          </w:p>
        </w:tc>
        <w:tc>
          <w:tcPr>
            <w:tcW w:w="2040" w:type="dxa"/>
            <w:vAlign w:val="bottom"/>
            <w:shd w:val="clear" w:color="auto" w:fill="BFBFBF"/>
          </w:tcPr>
          <w:p>
            <w:pPr>
              <w:ind w:left="1580"/>
              <w:spacing w:after="0" w:line="148" w:lineRule="exact"/>
              <w:rPr>
                <w:sz w:val="20"/>
                <w:szCs w:val="20"/>
                <w:color w:val="auto"/>
              </w:rPr>
            </w:pPr>
            <w:r>
              <w:rPr>
                <w:rFonts w:ascii="Arial" w:cs="Arial" w:eastAsia="Arial" w:hAnsi="Arial"/>
                <w:sz w:val="13"/>
                <w:szCs w:val="13"/>
                <w:color w:val="auto"/>
                <w:w w:val="93"/>
              </w:rPr>
              <w:t>800,026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Daniel L. Heard</w:t>
            </w:r>
          </w:p>
        </w:tc>
        <w:tc>
          <w:tcPr>
            <w:tcW w:w="25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312,249</w:t>
            </w:r>
          </w:p>
        </w:tc>
        <w:tc>
          <w:tcPr>
            <w:tcW w:w="2060" w:type="dxa"/>
            <w:vAlign w:val="bottom"/>
            <w:gridSpan w:val="2"/>
          </w:tcPr>
          <w:p>
            <w:pPr>
              <w:ind w:left="1580"/>
              <w:spacing w:after="0" w:line="148" w:lineRule="exact"/>
              <w:rPr>
                <w:sz w:val="20"/>
                <w:szCs w:val="20"/>
                <w:color w:val="auto"/>
              </w:rPr>
            </w:pPr>
            <w:r>
              <w:rPr>
                <w:rFonts w:ascii="Arial" w:cs="Arial" w:eastAsia="Arial" w:hAnsi="Arial"/>
                <w:sz w:val="13"/>
                <w:szCs w:val="13"/>
                <w:color w:val="auto"/>
                <w:w w:val="97"/>
              </w:rPr>
              <w:t>476,202</w:t>
            </w: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BFBFBF"/>
          </w:tcPr>
          <w:p>
            <w:pPr>
              <w:ind w:left="20"/>
              <w:spacing w:after="0" w:line="148" w:lineRule="exact"/>
              <w:rPr>
                <w:sz w:val="20"/>
                <w:szCs w:val="20"/>
                <w:color w:val="auto"/>
              </w:rPr>
            </w:pPr>
            <w:r>
              <w:rPr>
                <w:rFonts w:ascii="Arial" w:cs="Arial" w:eastAsia="Arial" w:hAnsi="Arial"/>
                <w:sz w:val="13"/>
                <w:szCs w:val="13"/>
                <w:color w:val="auto"/>
              </w:rPr>
              <w:t>Ronald J. Mudry</w:t>
            </w:r>
          </w:p>
        </w:tc>
        <w:tc>
          <w:tcPr>
            <w:tcW w:w="2580" w:type="dxa"/>
            <w:vAlign w:val="bottom"/>
            <w:gridSpan w:val="2"/>
            <w:shd w:val="clear" w:color="auto" w:fill="BFBFBF"/>
          </w:tcPr>
          <w:p>
            <w:pPr>
              <w:jc w:val="right"/>
              <w:ind w:right="200"/>
              <w:spacing w:after="0" w:line="148" w:lineRule="exact"/>
              <w:rPr>
                <w:sz w:val="20"/>
                <w:szCs w:val="20"/>
                <w:color w:val="auto"/>
              </w:rPr>
            </w:pPr>
            <w:r>
              <w:rPr>
                <w:rFonts w:ascii="Arial" w:cs="Arial" w:eastAsia="Arial" w:hAnsi="Arial"/>
                <w:sz w:val="13"/>
                <w:szCs w:val="13"/>
                <w:color w:val="auto"/>
              </w:rPr>
              <w:t>182,705</w:t>
            </w:r>
          </w:p>
        </w:tc>
        <w:tc>
          <w:tcPr>
            <w:tcW w:w="2040" w:type="dxa"/>
            <w:vAlign w:val="bottom"/>
            <w:shd w:val="clear" w:color="auto" w:fill="BFBFBF"/>
          </w:tcPr>
          <w:p>
            <w:pPr>
              <w:ind w:left="1580"/>
              <w:spacing w:after="0" w:line="148" w:lineRule="exact"/>
              <w:rPr>
                <w:sz w:val="20"/>
                <w:szCs w:val="20"/>
                <w:color w:val="auto"/>
              </w:rPr>
            </w:pPr>
            <w:r>
              <w:rPr>
                <w:rFonts w:ascii="Arial" w:cs="Arial" w:eastAsia="Arial" w:hAnsi="Arial"/>
                <w:sz w:val="13"/>
                <w:szCs w:val="13"/>
                <w:color w:val="auto"/>
                <w:w w:val="93"/>
              </w:rPr>
              <w:t>266,622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44" w:name="page45"/>
    <w:bookmarkEnd w:id="44"/>
    <w:p>
      <w:pPr>
        <w:ind w:left="1"/>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jc w:val="both"/>
        <w:ind w:left="1861" w:right="260" w:hanging="490"/>
        <w:spacing w:after="0" w:line="247" w:lineRule="auto"/>
        <w:tabs>
          <w:tab w:leader="none" w:pos="1861"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amounts reflect cash payments for 2017 pursuant to the Short-Term Incentive Plan. Additional information regarding the Short-Term Incentive Plan is discussed in further detail in the Compensation Discussion &amp; Analysis under the heading "Elements of 2017 Compensation—Short-Term Incentives."</w:t>
      </w:r>
    </w:p>
    <w:p>
      <w:pPr>
        <w:spacing w:after="0" w:line="184" w:lineRule="exact"/>
        <w:rPr>
          <w:rFonts w:ascii="Arial" w:cs="Arial" w:eastAsia="Arial" w:hAnsi="Arial"/>
          <w:sz w:val="16"/>
          <w:szCs w:val="16"/>
          <w:color w:val="auto"/>
        </w:rPr>
      </w:pPr>
    </w:p>
    <w:p>
      <w:pPr>
        <w:ind w:left="1861" w:hanging="490"/>
        <w:spacing w:after="0"/>
        <w:tabs>
          <w:tab w:leader="none" w:pos="1861"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amounts reflected in this column represent the sum of all other compensation received by the NEOs and are comprised of</w:t>
      </w:r>
    </w:p>
    <w:p>
      <w:pPr>
        <w:jc w:val="both"/>
        <w:ind w:left="1861"/>
        <w:spacing w:after="0" w:line="247" w:lineRule="auto"/>
        <w:rPr>
          <w:rFonts w:ascii="Arial" w:cs="Arial" w:eastAsia="Arial" w:hAnsi="Arial"/>
          <w:sz w:val="16"/>
          <w:szCs w:val="16"/>
          <w:color w:val="auto"/>
        </w:rPr>
      </w:pPr>
      <w:r>
        <w:rPr>
          <w:rFonts w:ascii="Arial" w:cs="Arial" w:eastAsia="Arial" w:hAnsi="Arial"/>
          <w:sz w:val="16"/>
          <w:szCs w:val="16"/>
          <w:color w:val="auto"/>
        </w:rPr>
        <w:t>(i) company matching contributions under Uniti's 401(k) plan for Messrs. Gunderman, Wallace, Heard and Mudry of $14,462, $18,357, $14,265 and $10,432, respectively, (ii) imputed income for value over $50,000 of life insurance coverage provided by Uniti, and (iii) cell phone allowances.</w:t>
      </w:r>
    </w:p>
    <w:p>
      <w:pPr>
        <w:spacing w:after="0" w:line="353" w:lineRule="exact"/>
        <w:rPr>
          <w:sz w:val="20"/>
          <w:szCs w:val="20"/>
          <w:color w:val="auto"/>
        </w:rPr>
      </w:pPr>
    </w:p>
    <w:p>
      <w:pPr>
        <w:ind w:left="1" w:right="480" w:firstLine="624"/>
        <w:spacing w:after="0" w:line="251" w:lineRule="auto"/>
        <w:rPr>
          <w:sz w:val="20"/>
          <w:szCs w:val="20"/>
          <w:color w:val="auto"/>
        </w:rPr>
      </w:pPr>
      <w:r>
        <w:rPr>
          <w:rFonts w:ascii="Arial" w:cs="Arial" w:eastAsia="Arial" w:hAnsi="Arial"/>
          <w:sz w:val="16"/>
          <w:szCs w:val="16"/>
          <w:i w:val="1"/>
          <w:iCs w:val="1"/>
          <w:color w:val="00ACD2"/>
        </w:rPr>
        <w:t xml:space="preserve">Pay Ratio Disclosure. </w:t>
      </w:r>
      <w:r>
        <w:rPr>
          <w:rFonts w:ascii="Arial" w:cs="Arial" w:eastAsia="Arial" w:hAnsi="Arial"/>
          <w:sz w:val="16"/>
          <w:szCs w:val="16"/>
          <w:color w:val="000000"/>
        </w:rPr>
        <w:t>In 2017, the SEC adopted rules (as required by the Dodd-Frank Act) requiring disclosure of the (i) the annual total</w:t>
      </w:r>
      <w:r>
        <w:rPr>
          <w:rFonts w:ascii="Arial" w:cs="Arial" w:eastAsia="Arial" w:hAnsi="Arial"/>
          <w:sz w:val="16"/>
          <w:szCs w:val="16"/>
          <w:i w:val="1"/>
          <w:iCs w:val="1"/>
          <w:color w:val="00ACD2"/>
        </w:rPr>
        <w:t xml:space="preserve"> </w:t>
      </w:r>
      <w:r>
        <w:rPr>
          <w:rFonts w:ascii="Arial" w:cs="Arial" w:eastAsia="Arial" w:hAnsi="Arial"/>
          <w:sz w:val="16"/>
          <w:szCs w:val="16"/>
          <w:color w:val="000000"/>
        </w:rPr>
        <w:t>compensation of our median employee (excluding our President and Chief Executive Officer (or CEO)), (ii) the annual total compensation of our CEO, and</w:t>
      </w:r>
    </w:p>
    <w:p>
      <w:pPr>
        <w:spacing w:after="0" w:line="1" w:lineRule="exact"/>
        <w:rPr>
          <w:sz w:val="20"/>
          <w:szCs w:val="20"/>
          <w:color w:val="auto"/>
        </w:rPr>
      </w:pPr>
    </w:p>
    <w:p>
      <w:pPr>
        <w:ind w:left="1" w:right="60" w:hanging="1"/>
        <w:spacing w:after="0" w:line="247" w:lineRule="auto"/>
        <w:tabs>
          <w:tab w:leader="none" w:pos="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ratio of the annual total compensation of our median employee to the annual total compensation of our CEO. In 2017, the total compensation of our CEO was $5,425,302 (as reported in the Summary Compensation Table), and the total compensation of our median employee was $75,448. The total compensation of our CEO was approximately 72 times that of the median employee.</w:t>
      </w:r>
    </w:p>
    <w:p>
      <w:pPr>
        <w:spacing w:after="0" w:line="184" w:lineRule="exact"/>
        <w:rPr>
          <w:sz w:val="20"/>
          <w:szCs w:val="20"/>
          <w:color w:val="auto"/>
        </w:rPr>
      </w:pPr>
    </w:p>
    <w:p>
      <w:pPr>
        <w:ind w:left="1" w:right="100" w:firstLine="624"/>
        <w:spacing w:after="0" w:line="243" w:lineRule="auto"/>
        <w:rPr>
          <w:sz w:val="20"/>
          <w:szCs w:val="20"/>
          <w:color w:val="auto"/>
        </w:rPr>
      </w:pPr>
      <w:r>
        <w:rPr>
          <w:rFonts w:ascii="Arial" w:cs="Arial" w:eastAsia="Arial" w:hAnsi="Arial"/>
          <w:sz w:val="16"/>
          <w:szCs w:val="16"/>
          <w:color w:val="auto"/>
        </w:rPr>
        <w:t>We identified the median employee using actual W-2 compensation of all employees who were employed as of December 31, 2017, including full-time, part-time, seasonal and temporary employees (other than our CEO). Our total number of employees as of December 31, 2017 was 654. For purposes of determining our pay ratio, we excluded 21 non-U.S. employees, including 16 employees located in Mexico and 5 employees located in Colombia, and 356 employees that became employees as a result of the acquisitions of Hunt Telecommunications, LLC and Southern Light, LLC in 2017. The 21 non-U.S. employees as a percentage of the total 654 U.S. and non-U.S. employees was 3.2%. After identifying the median employee, we calculated the annual total compensation for the median employee using the same methodology we used for calculating our CEO's compensation as reported in the Summary Compensation Table.</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63130" cy="20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1"/>
          </w:cols>
          <w:pgMar w:left="239" w:top="142" w:right="25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0ACD2"/>
        </w:rPr>
        <w:t>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5868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5" w:lineRule="exact"/>
        <w:rPr>
          <w:sz w:val="20"/>
          <w:szCs w:val="20"/>
          <w:color w:val="auto"/>
        </w:rPr>
      </w:pPr>
    </w:p>
    <w:p>
      <w:pPr>
        <w:ind w:right="360" w:firstLine="621"/>
        <w:spacing w:after="0" w:line="253" w:lineRule="auto"/>
        <w:rPr>
          <w:sz w:val="20"/>
          <w:szCs w:val="20"/>
          <w:color w:val="auto"/>
        </w:rPr>
      </w:pPr>
      <w:r>
        <w:rPr>
          <w:rFonts w:ascii="Arial" w:cs="Arial" w:eastAsia="Arial" w:hAnsi="Arial"/>
          <w:sz w:val="16"/>
          <w:szCs w:val="16"/>
          <w:color w:val="auto"/>
        </w:rPr>
        <w:t>The following table shows information regarding grants of plan-based awards, including equity and non-equity incentive plans, made by Uniti during 2017 to the individuals named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All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7"/>
              </w:rPr>
              <w:t>Awards: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00" w:type="dxa"/>
            <w:vAlign w:val="bottom"/>
            <w:gridSpan w:val="5"/>
          </w:tcPr>
          <w:p>
            <w:pPr>
              <w:jc w:val="center"/>
              <w:spacing w:after="0" w:line="148" w:lineRule="exact"/>
              <w:rPr>
                <w:sz w:val="20"/>
                <w:szCs w:val="20"/>
                <w:color w:val="auto"/>
              </w:rPr>
            </w:pPr>
            <w:r>
              <w:rPr>
                <w:rFonts w:ascii="Arial" w:cs="Arial" w:eastAsia="Arial" w:hAnsi="Arial"/>
                <w:sz w:val="13"/>
                <w:szCs w:val="13"/>
                <w:b w:val="1"/>
                <w:bCs w:val="1"/>
                <w:color w:val="auto"/>
              </w:rPr>
              <w:t>Estimated Future Payouts Under</w:t>
            </w:r>
          </w:p>
        </w:tc>
        <w:tc>
          <w:tcPr>
            <w:tcW w:w="160" w:type="dxa"/>
            <w:vAlign w:val="bottom"/>
          </w:tcPr>
          <w:p>
            <w:pPr>
              <w:spacing w:after="0"/>
              <w:rPr>
                <w:sz w:val="12"/>
                <w:szCs w:val="12"/>
                <w:color w:val="auto"/>
              </w:rPr>
            </w:pPr>
          </w:p>
        </w:tc>
        <w:tc>
          <w:tcPr>
            <w:tcW w:w="2860" w:type="dxa"/>
            <w:vAlign w:val="bottom"/>
            <w:gridSpan w:val="6"/>
          </w:tcPr>
          <w:p>
            <w:pPr>
              <w:jc w:val="center"/>
              <w:ind w:right="160"/>
              <w:spacing w:after="0" w:line="148" w:lineRule="exact"/>
              <w:rPr>
                <w:sz w:val="20"/>
                <w:szCs w:val="20"/>
                <w:color w:val="auto"/>
              </w:rPr>
            </w:pPr>
            <w:r>
              <w:rPr>
                <w:rFonts w:ascii="Arial" w:cs="Arial" w:eastAsia="Arial" w:hAnsi="Arial"/>
                <w:sz w:val="13"/>
                <w:szCs w:val="13"/>
                <w:b w:val="1"/>
                <w:bCs w:val="1"/>
                <w:color w:val="auto"/>
              </w:rPr>
              <w:t>Estimated Future Payouts Under</w:t>
            </w:r>
          </w:p>
        </w:tc>
        <w:tc>
          <w:tcPr>
            <w:tcW w:w="6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Number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4"/>
              <w:spacing w:after="0" w:line="148" w:lineRule="exact"/>
              <w:rPr>
                <w:sz w:val="20"/>
                <w:szCs w:val="20"/>
                <w:color w:val="auto"/>
              </w:rPr>
            </w:pPr>
            <w:r>
              <w:rPr>
                <w:rFonts w:ascii="Arial" w:cs="Arial" w:eastAsia="Arial" w:hAnsi="Arial"/>
                <w:sz w:val="13"/>
                <w:szCs w:val="13"/>
                <w:b w:val="1"/>
                <w:bCs w:val="1"/>
                <w:color w:val="auto"/>
              </w:rPr>
              <w:t>Grant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00" w:type="dxa"/>
            <w:vAlign w:val="bottom"/>
            <w:gridSpan w:val="5"/>
          </w:tcPr>
          <w:p>
            <w:pPr>
              <w:jc w:val="center"/>
              <w:spacing w:after="0" w:line="148" w:lineRule="exact"/>
              <w:rPr>
                <w:sz w:val="20"/>
                <w:szCs w:val="20"/>
                <w:color w:val="auto"/>
              </w:rPr>
            </w:pPr>
            <w:r>
              <w:rPr>
                <w:rFonts w:ascii="Arial" w:cs="Arial" w:eastAsia="Arial" w:hAnsi="Arial"/>
                <w:sz w:val="13"/>
                <w:szCs w:val="13"/>
                <w:b w:val="1"/>
                <w:bCs w:val="1"/>
                <w:color w:val="auto"/>
              </w:rPr>
              <w:t>Non-Equity Incentive Plan Awards ($)(1)</w:t>
            </w:r>
          </w:p>
        </w:tc>
        <w:tc>
          <w:tcPr>
            <w:tcW w:w="160" w:type="dxa"/>
            <w:vAlign w:val="bottom"/>
          </w:tcPr>
          <w:p>
            <w:pPr>
              <w:spacing w:after="0"/>
              <w:rPr>
                <w:sz w:val="12"/>
                <w:szCs w:val="12"/>
                <w:color w:val="auto"/>
              </w:rPr>
            </w:pPr>
          </w:p>
        </w:tc>
        <w:tc>
          <w:tcPr>
            <w:tcW w:w="2860" w:type="dxa"/>
            <w:vAlign w:val="bottom"/>
            <w:gridSpan w:val="6"/>
          </w:tcPr>
          <w:p>
            <w:pPr>
              <w:jc w:val="center"/>
              <w:ind w:right="160"/>
              <w:spacing w:after="0" w:line="148" w:lineRule="exact"/>
              <w:rPr>
                <w:sz w:val="20"/>
                <w:szCs w:val="20"/>
                <w:color w:val="auto"/>
              </w:rPr>
            </w:pPr>
            <w:r>
              <w:rPr>
                <w:rFonts w:ascii="Arial" w:cs="Arial" w:eastAsia="Arial" w:hAnsi="Arial"/>
                <w:sz w:val="13"/>
                <w:szCs w:val="13"/>
                <w:b w:val="1"/>
                <w:bCs w:val="1"/>
                <w:color w:val="auto"/>
              </w:rPr>
              <w:t>Equity Incentive Plan Awards (#)(2)</w:t>
            </w:r>
          </w:p>
        </w:tc>
        <w:tc>
          <w:tcPr>
            <w:tcW w:w="6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of</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4"/>
              <w:spacing w:after="0" w:line="148" w:lineRule="exact"/>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24"/>
        </w:trPr>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vMerge w:val="restart"/>
          </w:tcPr>
          <w:p>
            <w:pPr>
              <w:jc w:val="center"/>
              <w:spacing w:after="0" w:line="148" w:lineRule="exact"/>
              <w:rPr>
                <w:sz w:val="20"/>
                <w:szCs w:val="20"/>
                <w:color w:val="auto"/>
              </w:rPr>
            </w:pPr>
            <w:r>
              <w:rPr>
                <w:rFonts w:ascii="Arial" w:cs="Arial" w:eastAsia="Arial" w:hAnsi="Arial"/>
                <w:sz w:val="13"/>
                <w:szCs w:val="13"/>
                <w:b w:val="1"/>
                <w:bCs w:val="1"/>
                <w:color w:val="auto"/>
                <w:w w:val="96"/>
              </w:rPr>
              <w:t>Shares</w:t>
            </w: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restart"/>
          </w:tcPr>
          <w:p>
            <w:pPr>
              <w:jc w:val="center"/>
              <w:ind w:right="14"/>
              <w:spacing w:after="0" w:line="148"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04"/>
        </w:trPr>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of</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34"/>
              <w:spacing w:after="0" w:line="148" w:lineRule="exact"/>
              <w:rPr>
                <w:sz w:val="20"/>
                <w:szCs w:val="20"/>
                <w:color w:val="auto"/>
              </w:rPr>
            </w:pPr>
            <w:r>
              <w:rPr>
                <w:rFonts w:ascii="Arial" w:cs="Arial" w:eastAsia="Arial" w:hAnsi="Arial"/>
                <w:sz w:val="13"/>
                <w:szCs w:val="13"/>
                <w:b w:val="1"/>
                <w:bCs w:val="1"/>
                <w:color w:val="auto"/>
                <w:w w:val="98"/>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Stock or</w:t>
            </w:r>
          </w:p>
        </w:tc>
        <w:tc>
          <w:tcPr>
            <w:tcW w:w="140" w:type="dxa"/>
            <w:vAlign w:val="bottom"/>
          </w:tcPr>
          <w:p>
            <w:pPr>
              <w:spacing w:after="0"/>
              <w:rPr>
                <w:sz w:val="12"/>
                <w:szCs w:val="12"/>
                <w:color w:val="auto"/>
              </w:rPr>
            </w:pPr>
          </w:p>
        </w:tc>
        <w:tc>
          <w:tcPr>
            <w:tcW w:w="72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rPr>
              <w:t>Stock and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gridSpan w:val="3"/>
          </w:tcPr>
          <w:p>
            <w:pPr>
              <w:ind w:left="100"/>
              <w:spacing w:after="0" w:line="148" w:lineRule="exact"/>
              <w:rPr>
                <w:sz w:val="20"/>
                <w:szCs w:val="20"/>
                <w:color w:val="auto"/>
              </w:rPr>
            </w:pPr>
            <w:r>
              <w:rPr>
                <w:rFonts w:ascii="Arial" w:cs="Arial" w:eastAsia="Arial" w:hAnsi="Arial"/>
                <w:sz w:val="13"/>
                <w:szCs w:val="13"/>
                <w:b w:val="1"/>
                <w:bCs w:val="1"/>
                <w:color w:val="auto"/>
              </w:rPr>
              <w:t>Grant</w:t>
            </w:r>
          </w:p>
        </w:tc>
        <w:tc>
          <w:tcPr>
            <w:tcW w:w="880" w:type="dxa"/>
            <w:vAlign w:val="bottom"/>
          </w:tcPr>
          <w:p>
            <w:pPr>
              <w:jc w:val="right"/>
              <w:ind w:right="74"/>
              <w:spacing w:after="0" w:line="148" w:lineRule="exact"/>
              <w:rPr>
                <w:sz w:val="20"/>
                <w:szCs w:val="20"/>
                <w:color w:val="auto"/>
              </w:rPr>
            </w:pPr>
            <w:r>
              <w:rPr>
                <w:rFonts w:ascii="Arial" w:cs="Arial" w:eastAsia="Arial" w:hAnsi="Arial"/>
                <w:sz w:val="13"/>
                <w:szCs w:val="13"/>
                <w:b w:val="1"/>
                <w:bCs w:val="1"/>
                <w:color w:val="auto"/>
              </w:rPr>
              <w:t>Threshold</w:t>
            </w:r>
          </w:p>
        </w:tc>
        <w:tc>
          <w:tcPr>
            <w:tcW w:w="140" w:type="dxa"/>
            <w:vAlign w:val="bottom"/>
          </w:tcPr>
          <w:p>
            <w:pPr>
              <w:spacing w:after="0"/>
              <w:rPr>
                <w:sz w:val="12"/>
                <w:szCs w:val="12"/>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Target</w:t>
            </w:r>
          </w:p>
        </w:tc>
        <w:tc>
          <w:tcPr>
            <w:tcW w:w="140" w:type="dxa"/>
            <w:vAlign w:val="bottom"/>
          </w:tcPr>
          <w:p>
            <w:pPr>
              <w:spacing w:after="0"/>
              <w:rPr>
                <w:sz w:val="12"/>
                <w:szCs w:val="12"/>
                <w:color w:val="auto"/>
              </w:rPr>
            </w:pPr>
          </w:p>
        </w:tc>
        <w:tc>
          <w:tcPr>
            <w:tcW w:w="860" w:type="dxa"/>
            <w:vAlign w:val="bottom"/>
          </w:tcPr>
          <w:p>
            <w:pPr>
              <w:jc w:val="right"/>
              <w:ind w:right="54"/>
              <w:spacing w:after="0" w:line="148" w:lineRule="exact"/>
              <w:rPr>
                <w:sz w:val="20"/>
                <w:szCs w:val="20"/>
                <w:color w:val="auto"/>
              </w:rPr>
            </w:pPr>
            <w:r>
              <w:rPr>
                <w:rFonts w:ascii="Arial" w:cs="Arial" w:eastAsia="Arial" w:hAnsi="Arial"/>
                <w:sz w:val="13"/>
                <w:szCs w:val="13"/>
                <w:b w:val="1"/>
                <w:bCs w:val="1"/>
                <w:color w:val="auto"/>
              </w:rPr>
              <w:t>Maximum</w:t>
            </w:r>
          </w:p>
        </w:tc>
        <w:tc>
          <w:tcPr>
            <w:tcW w:w="160" w:type="dxa"/>
            <w:vAlign w:val="bottom"/>
          </w:tcPr>
          <w:p>
            <w:pPr>
              <w:spacing w:after="0"/>
              <w:rPr>
                <w:sz w:val="12"/>
                <w:szCs w:val="12"/>
                <w:color w:val="auto"/>
              </w:rPr>
            </w:pPr>
          </w:p>
        </w:tc>
        <w:tc>
          <w:tcPr>
            <w:tcW w:w="880" w:type="dxa"/>
            <w:vAlign w:val="bottom"/>
          </w:tcPr>
          <w:p>
            <w:pPr>
              <w:jc w:val="right"/>
              <w:ind w:right="74"/>
              <w:spacing w:after="0" w:line="148" w:lineRule="exact"/>
              <w:rPr>
                <w:sz w:val="20"/>
                <w:szCs w:val="20"/>
                <w:color w:val="auto"/>
              </w:rPr>
            </w:pPr>
            <w:r>
              <w:rPr>
                <w:rFonts w:ascii="Arial" w:cs="Arial" w:eastAsia="Arial" w:hAnsi="Arial"/>
                <w:sz w:val="13"/>
                <w:szCs w:val="13"/>
                <w:b w:val="1"/>
                <w:bCs w:val="1"/>
                <w:color w:val="auto"/>
              </w:rPr>
              <w:t>Threshold</w:t>
            </w:r>
          </w:p>
        </w:tc>
        <w:tc>
          <w:tcPr>
            <w:tcW w:w="140" w:type="dxa"/>
            <w:vAlign w:val="bottom"/>
          </w:tcPr>
          <w:p>
            <w:pPr>
              <w:spacing w:after="0"/>
              <w:rPr>
                <w:sz w:val="12"/>
                <w:szCs w:val="12"/>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Target</w:t>
            </w:r>
          </w:p>
        </w:tc>
        <w:tc>
          <w:tcPr>
            <w:tcW w:w="140" w:type="dxa"/>
            <w:vAlign w:val="bottom"/>
          </w:tcPr>
          <w:p>
            <w:pPr>
              <w:spacing w:after="0"/>
              <w:rPr>
                <w:sz w:val="12"/>
                <w:szCs w:val="12"/>
                <w:color w:val="auto"/>
              </w:rPr>
            </w:pPr>
          </w:p>
        </w:tc>
        <w:tc>
          <w:tcPr>
            <w:tcW w:w="1020" w:type="dxa"/>
            <w:vAlign w:val="bottom"/>
            <w:gridSpan w:val="2"/>
          </w:tcPr>
          <w:p>
            <w:pPr>
              <w:ind w:left="140"/>
              <w:spacing w:after="0" w:line="148" w:lineRule="exact"/>
              <w:rPr>
                <w:sz w:val="20"/>
                <w:szCs w:val="20"/>
                <w:color w:val="auto"/>
              </w:rPr>
            </w:pPr>
            <w:r>
              <w:rPr>
                <w:rFonts w:ascii="Arial" w:cs="Arial" w:eastAsia="Arial" w:hAnsi="Arial"/>
                <w:sz w:val="13"/>
                <w:szCs w:val="13"/>
                <w:b w:val="1"/>
                <w:bCs w:val="1"/>
                <w:color w:val="auto"/>
              </w:rPr>
              <w:t>Maximum</w:t>
            </w:r>
          </w:p>
        </w:tc>
        <w:tc>
          <w:tcPr>
            <w:tcW w:w="6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Units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34"/>
              <w:spacing w:after="0" w:line="148" w:lineRule="exact"/>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60"/>
        </w:trPr>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Name</w:t>
            </w:r>
          </w:p>
        </w:tc>
        <w:tc>
          <w:tcPr>
            <w:tcW w:w="860" w:type="dxa"/>
            <w:vAlign w:val="bottom"/>
          </w:tcPr>
          <w:p>
            <w:pPr>
              <w:spacing w:after="0"/>
              <w:rPr>
                <w:sz w:val="13"/>
                <w:szCs w:val="13"/>
                <w:color w:val="auto"/>
              </w:rPr>
            </w:pPr>
          </w:p>
        </w:tc>
        <w:tc>
          <w:tcPr>
            <w:tcW w:w="54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Date</w:t>
            </w:r>
          </w:p>
        </w:tc>
        <w:tc>
          <w:tcPr>
            <w:tcW w:w="160" w:type="dxa"/>
            <w:vAlign w:val="bottom"/>
          </w:tcPr>
          <w:p>
            <w:pPr>
              <w:spacing w:after="0"/>
              <w:rPr>
                <w:sz w:val="13"/>
                <w:szCs w:val="13"/>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(#)(3)</w:t>
            </w:r>
          </w:p>
        </w:tc>
        <w:tc>
          <w:tcPr>
            <w:tcW w:w="140" w:type="dxa"/>
            <w:vAlign w:val="bottom"/>
          </w:tcPr>
          <w:p>
            <w:pPr>
              <w:spacing w:after="0"/>
              <w:rPr>
                <w:sz w:val="13"/>
                <w:szCs w:val="13"/>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Awards(4)</w:t>
            </w:r>
          </w:p>
        </w:tc>
        <w:tc>
          <w:tcPr>
            <w:tcW w:w="0" w:type="dxa"/>
            <w:vAlign w:val="bottom"/>
          </w:tcPr>
          <w:p>
            <w:pPr>
              <w:spacing w:after="0"/>
              <w:rPr>
                <w:sz w:val="1"/>
                <w:szCs w:val="1"/>
                <w:color w:val="auto"/>
              </w:rPr>
            </w:pPr>
          </w:p>
        </w:tc>
      </w:tr>
      <w:tr>
        <w:trPr>
          <w:trHeight w:val="145"/>
        </w:trPr>
        <w:tc>
          <w:tcPr>
            <w:tcW w:w="1220" w:type="dxa"/>
            <w:vAlign w:val="bottom"/>
            <w:gridSpan w:val="2"/>
          </w:tcPr>
          <w:p>
            <w:pPr>
              <w:spacing w:after="0" w:line="145" w:lineRule="exact"/>
              <w:rPr>
                <w:sz w:val="20"/>
                <w:szCs w:val="20"/>
                <w:color w:val="auto"/>
              </w:rPr>
            </w:pPr>
            <w:r>
              <w:rPr>
                <w:rFonts w:ascii="Arial" w:cs="Arial" w:eastAsia="Arial" w:hAnsi="Arial"/>
                <w:sz w:val="13"/>
                <w:szCs w:val="13"/>
                <w:color w:val="auto"/>
              </w:rPr>
              <w:t>Kenneth A.</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220" w:type="dxa"/>
            <w:vAlign w:val="bottom"/>
            <w:gridSpan w:val="2"/>
          </w:tcPr>
          <w:p>
            <w:pPr>
              <w:spacing w:after="0"/>
              <w:rPr>
                <w:sz w:val="20"/>
                <w:szCs w:val="20"/>
                <w:color w:val="auto"/>
              </w:rPr>
            </w:pPr>
            <w:r>
              <w:rPr>
                <w:rFonts w:ascii="Arial" w:cs="Arial" w:eastAsia="Arial" w:hAnsi="Arial"/>
                <w:sz w:val="13"/>
                <w:szCs w:val="13"/>
                <w:color w:val="auto"/>
              </w:rPr>
              <w:t>Gunderman</w:t>
            </w:r>
          </w:p>
        </w:tc>
        <w:tc>
          <w:tcPr>
            <w:tcW w:w="540" w:type="dxa"/>
            <w:vAlign w:val="bottom"/>
            <w:gridSpan w:val="2"/>
          </w:tcPr>
          <w:p>
            <w:pPr>
              <w:ind w:left="100"/>
              <w:spacing w:after="0"/>
              <w:rPr>
                <w:sz w:val="20"/>
                <w:szCs w:val="20"/>
                <w:color w:val="auto"/>
              </w:rPr>
            </w:pPr>
            <w:r>
              <w:rPr>
                <w:rFonts w:ascii="Arial" w:cs="Arial" w:eastAsia="Arial" w:hAnsi="Arial"/>
                <w:sz w:val="13"/>
                <w:szCs w:val="13"/>
                <w:color w:val="auto"/>
                <w:w w:val="96"/>
              </w:rPr>
              <w:t>2/13/17</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543,750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1,087,500</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1,631,250</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gridSpan w:val="2"/>
          </w:tcPr>
          <w:p>
            <w:pPr>
              <w:ind w:left="100"/>
              <w:spacing w:after="0"/>
              <w:rPr>
                <w:sz w:val="20"/>
                <w:szCs w:val="20"/>
                <w:color w:val="auto"/>
              </w:rPr>
            </w:pPr>
            <w:r>
              <w:rPr>
                <w:rFonts w:ascii="Arial" w:cs="Arial" w:eastAsia="Arial" w:hAnsi="Arial"/>
                <w:sz w:val="13"/>
                <w:szCs w:val="13"/>
                <w:color w:val="auto"/>
                <w:w w:val="96"/>
              </w:rPr>
              <w:t>2/13/17</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51,570</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1,381,045</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gridSpan w:val="2"/>
          </w:tcPr>
          <w:p>
            <w:pPr>
              <w:ind w:left="100"/>
              <w:spacing w:after="0"/>
              <w:rPr>
                <w:sz w:val="20"/>
                <w:szCs w:val="20"/>
                <w:color w:val="auto"/>
              </w:rPr>
            </w:pPr>
            <w:r>
              <w:rPr>
                <w:rFonts w:ascii="Arial" w:cs="Arial" w:eastAsia="Arial" w:hAnsi="Arial"/>
                <w:sz w:val="13"/>
                <w:szCs w:val="13"/>
                <w:color w:val="auto"/>
                <w:w w:val="96"/>
              </w:rPr>
              <w:t>2/13/17</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25,785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51,570</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103,140</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1,811,137</w:t>
            </w:r>
          </w:p>
        </w:tc>
        <w:tc>
          <w:tcPr>
            <w:tcW w:w="0" w:type="dxa"/>
            <w:vAlign w:val="bottom"/>
          </w:tcPr>
          <w:p>
            <w:pPr>
              <w:spacing w:after="0"/>
              <w:rPr>
                <w:sz w:val="1"/>
                <w:szCs w:val="1"/>
                <w:color w:val="auto"/>
              </w:rPr>
            </w:pPr>
          </w:p>
        </w:tc>
      </w:tr>
      <w:tr>
        <w:trPr>
          <w:trHeight w:val="148"/>
        </w:trPr>
        <w:tc>
          <w:tcPr>
            <w:tcW w:w="1220" w:type="dxa"/>
            <w:vAlign w:val="bottom"/>
            <w:gridSpan w:val="2"/>
            <w:shd w:val="clear" w:color="auto" w:fill="BFBFBF"/>
          </w:tcPr>
          <w:p>
            <w:pPr>
              <w:spacing w:after="0" w:line="148" w:lineRule="exact"/>
              <w:rPr>
                <w:sz w:val="20"/>
                <w:szCs w:val="20"/>
                <w:color w:val="auto"/>
              </w:rPr>
            </w:pPr>
            <w:r>
              <w:rPr>
                <w:rFonts w:ascii="Arial" w:cs="Arial" w:eastAsia="Arial" w:hAnsi="Arial"/>
                <w:sz w:val="13"/>
                <w:szCs w:val="13"/>
                <w:color w:val="auto"/>
              </w:rPr>
              <w:t>Mark A.</w:t>
            </w:r>
          </w:p>
        </w:tc>
        <w:tc>
          <w:tcPr>
            <w:tcW w:w="420" w:type="dxa"/>
            <w:vAlign w:val="bottom"/>
            <w:shd w:val="clear" w:color="auto" w:fill="BFBFBF"/>
          </w:tcPr>
          <w:p>
            <w:pPr>
              <w:spacing w:after="0"/>
              <w:rPr>
                <w:sz w:val="12"/>
                <w:szCs w:val="12"/>
                <w:color w:val="auto"/>
              </w:rPr>
            </w:pPr>
          </w:p>
        </w:tc>
        <w:tc>
          <w:tcPr>
            <w:tcW w:w="120" w:type="dxa"/>
            <w:vAlign w:val="bottom"/>
            <w:shd w:val="clear" w:color="auto" w:fill="BFBFBF"/>
          </w:tcPr>
          <w:p>
            <w:pPr>
              <w:spacing w:after="0"/>
              <w:rPr>
                <w:sz w:val="12"/>
                <w:szCs w:val="12"/>
                <w:color w:val="auto"/>
              </w:rPr>
            </w:pPr>
          </w:p>
        </w:tc>
        <w:tc>
          <w:tcPr>
            <w:tcW w:w="160" w:type="dxa"/>
            <w:vAlign w:val="bottom"/>
            <w:shd w:val="clear" w:color="auto" w:fill="BFBFBF"/>
          </w:tcPr>
          <w:p>
            <w:pPr>
              <w:spacing w:after="0"/>
              <w:rPr>
                <w:sz w:val="12"/>
                <w:szCs w:val="12"/>
                <w:color w:val="auto"/>
              </w:rPr>
            </w:pPr>
          </w:p>
        </w:tc>
        <w:tc>
          <w:tcPr>
            <w:tcW w:w="8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6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860" w:type="dxa"/>
            <w:vAlign w:val="bottom"/>
            <w:shd w:val="clear" w:color="auto" w:fill="BFBFBF"/>
          </w:tcPr>
          <w:p>
            <w:pPr>
              <w:spacing w:after="0"/>
              <w:rPr>
                <w:sz w:val="12"/>
                <w:szCs w:val="12"/>
                <w:color w:val="auto"/>
              </w:rPr>
            </w:pPr>
          </w:p>
        </w:tc>
        <w:tc>
          <w:tcPr>
            <w:tcW w:w="160" w:type="dxa"/>
            <w:vAlign w:val="bottom"/>
            <w:shd w:val="clear" w:color="auto" w:fill="BFBFBF"/>
          </w:tcPr>
          <w:p>
            <w:pPr>
              <w:spacing w:after="0"/>
              <w:rPr>
                <w:sz w:val="12"/>
                <w:szCs w:val="12"/>
                <w:color w:val="auto"/>
              </w:rPr>
            </w:pPr>
          </w:p>
        </w:tc>
        <w:tc>
          <w:tcPr>
            <w:tcW w:w="8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6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8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60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80" w:type="dxa"/>
            <w:vAlign w:val="bottom"/>
            <w:shd w:val="clear" w:color="auto" w:fill="BFBFBF"/>
          </w:tcPr>
          <w:p>
            <w:pPr>
              <w:spacing w:after="0"/>
              <w:rPr>
                <w:sz w:val="12"/>
                <w:szCs w:val="12"/>
                <w:color w:val="auto"/>
              </w:rPr>
            </w:pPr>
          </w:p>
        </w:tc>
        <w:tc>
          <w:tcPr>
            <w:tcW w:w="640" w:type="dxa"/>
            <w:vAlign w:val="bottom"/>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gridSpan w:val="2"/>
            <w:shd w:val="clear" w:color="auto" w:fill="BFBFBF"/>
          </w:tcPr>
          <w:p>
            <w:pPr>
              <w:spacing w:after="0" w:line="148" w:lineRule="exact"/>
              <w:rPr>
                <w:sz w:val="20"/>
                <w:szCs w:val="20"/>
                <w:color w:val="auto"/>
              </w:rPr>
            </w:pPr>
            <w:r>
              <w:rPr>
                <w:rFonts w:ascii="Arial" w:cs="Arial" w:eastAsia="Arial" w:hAnsi="Arial"/>
                <w:sz w:val="13"/>
                <w:szCs w:val="13"/>
                <w:color w:val="auto"/>
              </w:rPr>
              <w:t>Wallace</w:t>
            </w:r>
          </w:p>
        </w:tc>
        <w:tc>
          <w:tcPr>
            <w:tcW w:w="540" w:type="dxa"/>
            <w:vAlign w:val="bottom"/>
            <w:gridSpan w:val="2"/>
            <w:shd w:val="clear" w:color="auto" w:fill="BFBFBF"/>
          </w:tcPr>
          <w:p>
            <w:pPr>
              <w:ind w:left="100"/>
              <w:spacing w:after="0" w:line="148" w:lineRule="exact"/>
              <w:rPr>
                <w:sz w:val="20"/>
                <w:szCs w:val="20"/>
                <w:color w:val="auto"/>
              </w:rPr>
            </w:pPr>
            <w:r>
              <w:rPr>
                <w:rFonts w:ascii="Arial" w:cs="Arial" w:eastAsia="Arial" w:hAnsi="Arial"/>
                <w:sz w:val="13"/>
                <w:szCs w:val="13"/>
                <w:color w:val="auto"/>
                <w:w w:val="96"/>
              </w:rPr>
              <w:t>2/13/17</w:t>
            </w:r>
          </w:p>
        </w:tc>
        <w:tc>
          <w:tcPr>
            <w:tcW w:w="160" w:type="dxa"/>
            <w:vAlign w:val="bottom"/>
            <w:shd w:val="clear" w:color="auto" w:fill="BFBFBF"/>
          </w:tcPr>
          <w:p>
            <w:pPr>
              <w:spacing w:after="0"/>
              <w:rPr>
                <w:sz w:val="12"/>
                <w:szCs w:val="12"/>
                <w:color w:val="auto"/>
              </w:rPr>
            </w:pPr>
          </w:p>
        </w:tc>
        <w:tc>
          <w:tcPr>
            <w:tcW w:w="880" w:type="dxa"/>
            <w:vAlign w:val="bottom"/>
            <w:shd w:val="clear" w:color="auto" w:fill="BFBFBF"/>
          </w:tcPr>
          <w:p>
            <w:pPr>
              <w:jc w:val="right"/>
              <w:spacing w:after="0" w:line="148" w:lineRule="exact"/>
              <w:rPr>
                <w:sz w:val="20"/>
                <w:szCs w:val="20"/>
                <w:color w:val="auto"/>
              </w:rPr>
            </w:pPr>
            <w:r>
              <w:rPr>
                <w:rFonts w:ascii="Arial" w:cs="Arial" w:eastAsia="Arial" w:hAnsi="Arial"/>
                <w:sz w:val="13"/>
                <w:szCs w:val="13"/>
                <w:color w:val="auto"/>
              </w:rPr>
              <w:t>225,000</w:t>
            </w:r>
          </w:p>
        </w:tc>
        <w:tc>
          <w:tcPr>
            <w:tcW w:w="820" w:type="dxa"/>
            <w:vAlign w:val="bottom"/>
            <w:gridSpan w:val="2"/>
            <w:shd w:val="clear" w:color="auto" w:fill="BFBFBF"/>
          </w:tcPr>
          <w:p>
            <w:pPr>
              <w:jc w:val="right"/>
              <w:spacing w:after="0" w:line="148" w:lineRule="exact"/>
              <w:rPr>
                <w:sz w:val="20"/>
                <w:szCs w:val="20"/>
                <w:color w:val="auto"/>
              </w:rPr>
            </w:pPr>
            <w:r>
              <w:rPr>
                <w:rFonts w:ascii="Arial" w:cs="Arial" w:eastAsia="Arial" w:hAnsi="Arial"/>
                <w:sz w:val="13"/>
                <w:szCs w:val="13"/>
                <w:color w:val="auto"/>
              </w:rPr>
              <w:t>450,000</w:t>
            </w:r>
          </w:p>
        </w:tc>
        <w:tc>
          <w:tcPr>
            <w:tcW w:w="1000" w:type="dxa"/>
            <w:vAlign w:val="bottom"/>
            <w:gridSpan w:val="2"/>
            <w:shd w:val="clear" w:color="auto" w:fill="BFBFBF"/>
          </w:tcPr>
          <w:p>
            <w:pPr>
              <w:jc w:val="right"/>
              <w:spacing w:after="0" w:line="148" w:lineRule="exact"/>
              <w:rPr>
                <w:sz w:val="20"/>
                <w:szCs w:val="20"/>
                <w:color w:val="auto"/>
              </w:rPr>
            </w:pPr>
            <w:r>
              <w:rPr>
                <w:rFonts w:ascii="Arial" w:cs="Arial" w:eastAsia="Arial" w:hAnsi="Arial"/>
                <w:sz w:val="13"/>
                <w:szCs w:val="13"/>
                <w:color w:val="auto"/>
              </w:rPr>
              <w:t>675,000</w:t>
            </w:r>
          </w:p>
        </w:tc>
        <w:tc>
          <w:tcPr>
            <w:tcW w:w="160" w:type="dxa"/>
            <w:vAlign w:val="bottom"/>
            <w:shd w:val="clear" w:color="auto" w:fill="BFBFBF"/>
          </w:tcPr>
          <w:p>
            <w:pPr>
              <w:spacing w:after="0"/>
              <w:rPr>
                <w:sz w:val="12"/>
                <w:szCs w:val="12"/>
                <w:color w:val="auto"/>
              </w:rPr>
            </w:pPr>
          </w:p>
        </w:tc>
        <w:tc>
          <w:tcPr>
            <w:tcW w:w="8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6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8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60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80" w:type="dxa"/>
            <w:vAlign w:val="bottom"/>
            <w:shd w:val="clear" w:color="auto" w:fill="BFBFBF"/>
          </w:tcPr>
          <w:p>
            <w:pPr>
              <w:spacing w:after="0"/>
              <w:rPr>
                <w:sz w:val="12"/>
                <w:szCs w:val="12"/>
                <w:color w:val="auto"/>
              </w:rPr>
            </w:pPr>
          </w:p>
        </w:tc>
        <w:tc>
          <w:tcPr>
            <w:tcW w:w="640" w:type="dxa"/>
            <w:vAlign w:val="bottom"/>
            <w:shd w:val="clear" w:color="auto" w:fill="BFBFBF"/>
          </w:tcPr>
          <w:p>
            <w:pPr>
              <w:jc w:val="right"/>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BFBFBF"/>
          </w:tcPr>
          <w:p>
            <w:pPr>
              <w:spacing w:after="0"/>
              <w:rPr>
                <w:sz w:val="12"/>
                <w:szCs w:val="12"/>
                <w:color w:val="auto"/>
              </w:rPr>
            </w:pPr>
          </w:p>
        </w:tc>
        <w:tc>
          <w:tcPr>
            <w:tcW w:w="860" w:type="dxa"/>
            <w:vAlign w:val="bottom"/>
            <w:shd w:val="clear" w:color="auto" w:fill="BFBFBF"/>
          </w:tcPr>
          <w:p>
            <w:pPr>
              <w:spacing w:after="0"/>
              <w:rPr>
                <w:sz w:val="12"/>
                <w:szCs w:val="12"/>
                <w:color w:val="auto"/>
              </w:rPr>
            </w:pPr>
          </w:p>
        </w:tc>
        <w:tc>
          <w:tcPr>
            <w:tcW w:w="540" w:type="dxa"/>
            <w:vAlign w:val="bottom"/>
            <w:gridSpan w:val="2"/>
            <w:shd w:val="clear" w:color="auto" w:fill="BFBFBF"/>
          </w:tcPr>
          <w:p>
            <w:pPr>
              <w:ind w:left="100"/>
              <w:spacing w:after="0" w:line="148" w:lineRule="exact"/>
              <w:rPr>
                <w:sz w:val="20"/>
                <w:szCs w:val="20"/>
                <w:color w:val="auto"/>
              </w:rPr>
            </w:pPr>
            <w:r>
              <w:rPr>
                <w:rFonts w:ascii="Arial" w:cs="Arial" w:eastAsia="Arial" w:hAnsi="Arial"/>
                <w:sz w:val="13"/>
                <w:szCs w:val="13"/>
                <w:color w:val="auto"/>
                <w:w w:val="96"/>
              </w:rPr>
              <w:t>2/13/17</w:t>
            </w:r>
          </w:p>
        </w:tc>
        <w:tc>
          <w:tcPr>
            <w:tcW w:w="160" w:type="dxa"/>
            <w:vAlign w:val="bottom"/>
            <w:shd w:val="clear" w:color="auto" w:fill="BFBFBF"/>
          </w:tcPr>
          <w:p>
            <w:pPr>
              <w:spacing w:after="0"/>
              <w:rPr>
                <w:sz w:val="12"/>
                <w:szCs w:val="12"/>
                <w:color w:val="auto"/>
              </w:rPr>
            </w:pPr>
          </w:p>
        </w:tc>
        <w:tc>
          <w:tcPr>
            <w:tcW w:w="8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6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860" w:type="dxa"/>
            <w:vAlign w:val="bottom"/>
            <w:shd w:val="clear" w:color="auto" w:fill="BFBFBF"/>
          </w:tcPr>
          <w:p>
            <w:pPr>
              <w:spacing w:after="0"/>
              <w:rPr>
                <w:sz w:val="12"/>
                <w:szCs w:val="12"/>
                <w:color w:val="auto"/>
              </w:rPr>
            </w:pPr>
          </w:p>
        </w:tc>
        <w:tc>
          <w:tcPr>
            <w:tcW w:w="160" w:type="dxa"/>
            <w:vAlign w:val="bottom"/>
            <w:shd w:val="clear" w:color="auto" w:fill="BFBFBF"/>
          </w:tcPr>
          <w:p>
            <w:pPr>
              <w:spacing w:after="0"/>
              <w:rPr>
                <w:sz w:val="12"/>
                <w:szCs w:val="12"/>
                <w:color w:val="auto"/>
              </w:rPr>
            </w:pPr>
          </w:p>
        </w:tc>
        <w:tc>
          <w:tcPr>
            <w:tcW w:w="8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6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8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600" w:type="dxa"/>
            <w:vAlign w:val="bottom"/>
            <w:shd w:val="clear" w:color="auto" w:fill="BFBFBF"/>
          </w:tcPr>
          <w:p>
            <w:pPr>
              <w:jc w:val="right"/>
              <w:spacing w:after="0" w:line="148" w:lineRule="exact"/>
              <w:rPr>
                <w:sz w:val="20"/>
                <w:szCs w:val="20"/>
                <w:color w:val="auto"/>
              </w:rPr>
            </w:pPr>
            <w:r>
              <w:rPr>
                <w:rFonts w:ascii="Arial" w:cs="Arial" w:eastAsia="Arial" w:hAnsi="Arial"/>
                <w:sz w:val="13"/>
                <w:szCs w:val="13"/>
                <w:color w:val="auto"/>
              </w:rPr>
              <w:t>14,937</w:t>
            </w:r>
          </w:p>
        </w:tc>
        <w:tc>
          <w:tcPr>
            <w:tcW w:w="220" w:type="dxa"/>
            <w:vAlign w:val="bottom"/>
            <w:gridSpan w:val="2"/>
            <w:shd w:val="clear" w:color="auto" w:fill="BFBFBF"/>
          </w:tcPr>
          <w:p>
            <w:pPr>
              <w:jc w:val="right"/>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BFBFBF"/>
          </w:tcPr>
          <w:p>
            <w:pPr>
              <w:jc w:val="right"/>
              <w:spacing w:after="0" w:line="148" w:lineRule="exact"/>
              <w:rPr>
                <w:sz w:val="20"/>
                <w:szCs w:val="20"/>
                <w:color w:val="auto"/>
              </w:rPr>
            </w:pPr>
            <w:r>
              <w:rPr>
                <w:rFonts w:ascii="Arial" w:cs="Arial" w:eastAsia="Arial" w:hAnsi="Arial"/>
                <w:sz w:val="13"/>
                <w:szCs w:val="13"/>
                <w:color w:val="auto"/>
              </w:rPr>
              <w:t>400,013</w:t>
            </w:r>
          </w:p>
        </w:tc>
        <w:tc>
          <w:tcPr>
            <w:tcW w:w="0" w:type="dxa"/>
            <w:vAlign w:val="bottom"/>
          </w:tcPr>
          <w:p>
            <w:pPr>
              <w:spacing w:after="0"/>
              <w:rPr>
                <w:sz w:val="1"/>
                <w:szCs w:val="1"/>
                <w:color w:val="auto"/>
              </w:rPr>
            </w:pPr>
          </w:p>
        </w:tc>
      </w:tr>
      <w:tr>
        <w:trPr>
          <w:trHeight w:val="148"/>
        </w:trPr>
        <w:tc>
          <w:tcPr>
            <w:tcW w:w="360" w:type="dxa"/>
            <w:vAlign w:val="bottom"/>
            <w:shd w:val="clear" w:color="auto" w:fill="BFBFBF"/>
          </w:tcPr>
          <w:p>
            <w:pPr>
              <w:spacing w:after="0"/>
              <w:rPr>
                <w:sz w:val="12"/>
                <w:szCs w:val="12"/>
                <w:color w:val="auto"/>
              </w:rPr>
            </w:pPr>
          </w:p>
        </w:tc>
        <w:tc>
          <w:tcPr>
            <w:tcW w:w="860" w:type="dxa"/>
            <w:vAlign w:val="bottom"/>
            <w:shd w:val="clear" w:color="auto" w:fill="BFBFBF"/>
          </w:tcPr>
          <w:p>
            <w:pPr>
              <w:spacing w:after="0"/>
              <w:rPr>
                <w:sz w:val="12"/>
                <w:szCs w:val="12"/>
                <w:color w:val="auto"/>
              </w:rPr>
            </w:pPr>
          </w:p>
        </w:tc>
        <w:tc>
          <w:tcPr>
            <w:tcW w:w="540" w:type="dxa"/>
            <w:vAlign w:val="bottom"/>
            <w:gridSpan w:val="2"/>
            <w:shd w:val="clear" w:color="auto" w:fill="BFBFBF"/>
          </w:tcPr>
          <w:p>
            <w:pPr>
              <w:ind w:left="100"/>
              <w:spacing w:after="0" w:line="148" w:lineRule="exact"/>
              <w:rPr>
                <w:sz w:val="20"/>
                <w:szCs w:val="20"/>
                <w:color w:val="auto"/>
              </w:rPr>
            </w:pPr>
            <w:r>
              <w:rPr>
                <w:rFonts w:ascii="Arial" w:cs="Arial" w:eastAsia="Arial" w:hAnsi="Arial"/>
                <w:sz w:val="13"/>
                <w:szCs w:val="13"/>
                <w:color w:val="auto"/>
                <w:w w:val="96"/>
              </w:rPr>
              <w:t>2/13/17</w:t>
            </w:r>
          </w:p>
        </w:tc>
        <w:tc>
          <w:tcPr>
            <w:tcW w:w="160" w:type="dxa"/>
            <w:vAlign w:val="bottom"/>
            <w:shd w:val="clear" w:color="auto" w:fill="BFBFBF"/>
          </w:tcPr>
          <w:p>
            <w:pPr>
              <w:spacing w:after="0"/>
              <w:rPr>
                <w:sz w:val="12"/>
                <w:szCs w:val="12"/>
                <w:color w:val="auto"/>
              </w:rPr>
            </w:pPr>
          </w:p>
        </w:tc>
        <w:tc>
          <w:tcPr>
            <w:tcW w:w="8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6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860" w:type="dxa"/>
            <w:vAlign w:val="bottom"/>
            <w:shd w:val="clear" w:color="auto" w:fill="BFBFBF"/>
          </w:tcPr>
          <w:p>
            <w:pPr>
              <w:spacing w:after="0"/>
              <w:rPr>
                <w:sz w:val="12"/>
                <w:szCs w:val="12"/>
                <w:color w:val="auto"/>
              </w:rPr>
            </w:pPr>
          </w:p>
        </w:tc>
        <w:tc>
          <w:tcPr>
            <w:tcW w:w="1040" w:type="dxa"/>
            <w:vAlign w:val="bottom"/>
            <w:gridSpan w:val="2"/>
            <w:shd w:val="clear" w:color="auto" w:fill="BFBFBF"/>
          </w:tcPr>
          <w:p>
            <w:pPr>
              <w:jc w:val="right"/>
              <w:spacing w:after="0" w:line="148" w:lineRule="exact"/>
              <w:rPr>
                <w:sz w:val="20"/>
                <w:szCs w:val="20"/>
                <w:color w:val="auto"/>
              </w:rPr>
            </w:pPr>
            <w:r>
              <w:rPr>
                <w:rFonts w:ascii="Arial" w:cs="Arial" w:eastAsia="Arial" w:hAnsi="Arial"/>
                <w:sz w:val="13"/>
                <w:szCs w:val="13"/>
                <w:color w:val="auto"/>
              </w:rPr>
              <w:t>7,469</w:t>
            </w:r>
          </w:p>
        </w:tc>
        <w:tc>
          <w:tcPr>
            <w:tcW w:w="820" w:type="dxa"/>
            <w:vAlign w:val="bottom"/>
            <w:gridSpan w:val="2"/>
            <w:shd w:val="clear" w:color="auto" w:fill="BFBFBF"/>
          </w:tcPr>
          <w:p>
            <w:pPr>
              <w:jc w:val="right"/>
              <w:spacing w:after="0" w:line="148" w:lineRule="exact"/>
              <w:rPr>
                <w:sz w:val="20"/>
                <w:szCs w:val="20"/>
                <w:color w:val="auto"/>
              </w:rPr>
            </w:pPr>
            <w:r>
              <w:rPr>
                <w:rFonts w:ascii="Arial" w:cs="Arial" w:eastAsia="Arial" w:hAnsi="Arial"/>
                <w:sz w:val="13"/>
                <w:szCs w:val="13"/>
                <w:color w:val="auto"/>
              </w:rPr>
              <w:t>14,937</w:t>
            </w:r>
          </w:p>
        </w:tc>
        <w:tc>
          <w:tcPr>
            <w:tcW w:w="1020" w:type="dxa"/>
            <w:vAlign w:val="bottom"/>
            <w:gridSpan w:val="2"/>
            <w:shd w:val="clear" w:color="auto" w:fill="BFBFBF"/>
          </w:tcPr>
          <w:p>
            <w:pPr>
              <w:jc w:val="right"/>
              <w:spacing w:after="0" w:line="148" w:lineRule="exact"/>
              <w:rPr>
                <w:sz w:val="20"/>
                <w:szCs w:val="20"/>
                <w:color w:val="auto"/>
              </w:rPr>
            </w:pPr>
            <w:r>
              <w:rPr>
                <w:rFonts w:ascii="Arial" w:cs="Arial" w:eastAsia="Arial" w:hAnsi="Arial"/>
                <w:sz w:val="13"/>
                <w:szCs w:val="13"/>
                <w:color w:val="auto"/>
              </w:rPr>
              <w:t>29,874</w:t>
            </w:r>
          </w:p>
        </w:tc>
        <w:tc>
          <w:tcPr>
            <w:tcW w:w="140" w:type="dxa"/>
            <w:vAlign w:val="bottom"/>
            <w:shd w:val="clear" w:color="auto" w:fill="BFBFBF"/>
          </w:tcPr>
          <w:p>
            <w:pPr>
              <w:spacing w:after="0"/>
              <w:rPr>
                <w:sz w:val="12"/>
                <w:szCs w:val="12"/>
                <w:color w:val="auto"/>
              </w:rPr>
            </w:pPr>
          </w:p>
        </w:tc>
        <w:tc>
          <w:tcPr>
            <w:tcW w:w="600" w:type="dxa"/>
            <w:vAlign w:val="bottom"/>
            <w:shd w:val="clear" w:color="auto" w:fill="BFBFBF"/>
          </w:tcPr>
          <w:p>
            <w:pPr>
              <w:spacing w:after="0"/>
              <w:rPr>
                <w:sz w:val="12"/>
                <w:szCs w:val="12"/>
                <w:color w:val="auto"/>
              </w:rPr>
            </w:pPr>
          </w:p>
        </w:tc>
        <w:tc>
          <w:tcPr>
            <w:tcW w:w="220" w:type="dxa"/>
            <w:vAlign w:val="bottom"/>
            <w:gridSpan w:val="2"/>
            <w:shd w:val="clear" w:color="auto" w:fill="BFBFBF"/>
          </w:tcPr>
          <w:p>
            <w:pPr>
              <w:jc w:val="right"/>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BFBFBF"/>
          </w:tcPr>
          <w:p>
            <w:pPr>
              <w:jc w:val="right"/>
              <w:spacing w:after="0" w:line="148" w:lineRule="exact"/>
              <w:rPr>
                <w:sz w:val="20"/>
                <w:szCs w:val="20"/>
                <w:color w:val="auto"/>
              </w:rPr>
            </w:pPr>
            <w:r>
              <w:rPr>
                <w:rFonts w:ascii="Arial" w:cs="Arial" w:eastAsia="Arial" w:hAnsi="Arial"/>
                <w:sz w:val="13"/>
                <w:szCs w:val="13"/>
                <w:color w:val="auto"/>
              </w:rPr>
              <w:t>524,584</w:t>
            </w:r>
          </w:p>
        </w:tc>
        <w:tc>
          <w:tcPr>
            <w:tcW w:w="0" w:type="dxa"/>
            <w:vAlign w:val="bottom"/>
          </w:tcPr>
          <w:p>
            <w:pPr>
              <w:spacing w:after="0"/>
              <w:rPr>
                <w:sz w:val="1"/>
                <w:szCs w:val="1"/>
                <w:color w:val="auto"/>
              </w:rPr>
            </w:pPr>
          </w:p>
        </w:tc>
      </w:tr>
      <w:tr>
        <w:trPr>
          <w:trHeight w:val="152"/>
        </w:trPr>
        <w:tc>
          <w:tcPr>
            <w:tcW w:w="1220" w:type="dxa"/>
            <w:vAlign w:val="bottom"/>
            <w:gridSpan w:val="2"/>
          </w:tcPr>
          <w:p>
            <w:pPr>
              <w:spacing w:after="0"/>
              <w:rPr>
                <w:sz w:val="20"/>
                <w:szCs w:val="20"/>
                <w:color w:val="auto"/>
              </w:rPr>
            </w:pPr>
            <w:r>
              <w:rPr>
                <w:rFonts w:ascii="Arial" w:cs="Arial" w:eastAsia="Arial" w:hAnsi="Arial"/>
                <w:sz w:val="13"/>
                <w:szCs w:val="13"/>
                <w:color w:val="auto"/>
              </w:rPr>
              <w:t>Daniel L.</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220" w:type="dxa"/>
            <w:vAlign w:val="bottom"/>
            <w:gridSpan w:val="2"/>
          </w:tcPr>
          <w:p>
            <w:pPr>
              <w:spacing w:after="0"/>
              <w:rPr>
                <w:sz w:val="20"/>
                <w:szCs w:val="20"/>
                <w:color w:val="auto"/>
              </w:rPr>
            </w:pPr>
            <w:r>
              <w:rPr>
                <w:rFonts w:ascii="Arial" w:cs="Arial" w:eastAsia="Arial" w:hAnsi="Arial"/>
                <w:sz w:val="13"/>
                <w:szCs w:val="13"/>
                <w:color w:val="auto"/>
              </w:rPr>
              <w:t>Heard</w:t>
            </w:r>
          </w:p>
        </w:tc>
        <w:tc>
          <w:tcPr>
            <w:tcW w:w="540" w:type="dxa"/>
            <w:vAlign w:val="bottom"/>
            <w:gridSpan w:val="2"/>
          </w:tcPr>
          <w:p>
            <w:pPr>
              <w:ind w:left="100"/>
              <w:spacing w:after="0"/>
              <w:rPr>
                <w:sz w:val="20"/>
                <w:szCs w:val="20"/>
                <w:color w:val="auto"/>
              </w:rPr>
            </w:pPr>
            <w:r>
              <w:rPr>
                <w:rFonts w:ascii="Arial" w:cs="Arial" w:eastAsia="Arial" w:hAnsi="Arial"/>
                <w:sz w:val="13"/>
                <w:szCs w:val="13"/>
                <w:color w:val="auto"/>
                <w:w w:val="96"/>
              </w:rPr>
              <w:t>2/13/17</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187,500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375,000</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562,500</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gridSpan w:val="2"/>
          </w:tcPr>
          <w:p>
            <w:pPr>
              <w:ind w:left="100"/>
              <w:spacing w:after="0"/>
              <w:rPr>
                <w:sz w:val="20"/>
                <w:szCs w:val="20"/>
                <w:color w:val="auto"/>
              </w:rPr>
            </w:pPr>
            <w:r>
              <w:rPr>
                <w:rFonts w:ascii="Arial" w:cs="Arial" w:eastAsia="Arial" w:hAnsi="Arial"/>
                <w:sz w:val="13"/>
                <w:szCs w:val="13"/>
                <w:color w:val="auto"/>
                <w:w w:val="96"/>
              </w:rPr>
              <w:t>2/13/17</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8,891</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238,101</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gridSpan w:val="2"/>
          </w:tcPr>
          <w:p>
            <w:pPr>
              <w:ind w:left="100"/>
              <w:spacing w:after="0"/>
              <w:rPr>
                <w:sz w:val="20"/>
                <w:szCs w:val="20"/>
                <w:color w:val="auto"/>
              </w:rPr>
            </w:pPr>
            <w:r>
              <w:rPr>
                <w:rFonts w:ascii="Arial" w:cs="Arial" w:eastAsia="Arial" w:hAnsi="Arial"/>
                <w:sz w:val="13"/>
                <w:szCs w:val="13"/>
                <w:color w:val="auto"/>
                <w:w w:val="96"/>
              </w:rPr>
              <w:t>2/13/17</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4,446</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8,891</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17,782</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312,249</w:t>
            </w:r>
          </w:p>
        </w:tc>
        <w:tc>
          <w:tcPr>
            <w:tcW w:w="0" w:type="dxa"/>
            <w:vAlign w:val="bottom"/>
          </w:tcPr>
          <w:p>
            <w:pPr>
              <w:spacing w:after="0"/>
              <w:rPr>
                <w:sz w:val="1"/>
                <w:szCs w:val="1"/>
                <w:color w:val="auto"/>
              </w:rPr>
            </w:pPr>
          </w:p>
        </w:tc>
      </w:tr>
      <w:tr>
        <w:trPr>
          <w:trHeight w:val="148"/>
        </w:trPr>
        <w:tc>
          <w:tcPr>
            <w:tcW w:w="1220" w:type="dxa"/>
            <w:vAlign w:val="bottom"/>
            <w:gridSpan w:val="2"/>
            <w:shd w:val="clear" w:color="auto" w:fill="BFBFBF"/>
          </w:tcPr>
          <w:p>
            <w:pPr>
              <w:spacing w:after="0" w:line="148" w:lineRule="exact"/>
              <w:rPr>
                <w:sz w:val="20"/>
                <w:szCs w:val="20"/>
                <w:color w:val="auto"/>
              </w:rPr>
            </w:pPr>
            <w:r>
              <w:rPr>
                <w:rFonts w:ascii="Arial" w:cs="Arial" w:eastAsia="Arial" w:hAnsi="Arial"/>
                <w:sz w:val="13"/>
                <w:szCs w:val="13"/>
                <w:color w:val="auto"/>
              </w:rPr>
              <w:t>Ronald J.</w:t>
            </w:r>
          </w:p>
        </w:tc>
        <w:tc>
          <w:tcPr>
            <w:tcW w:w="420" w:type="dxa"/>
            <w:vAlign w:val="bottom"/>
            <w:shd w:val="clear" w:color="auto" w:fill="BFBFBF"/>
          </w:tcPr>
          <w:p>
            <w:pPr>
              <w:spacing w:after="0"/>
              <w:rPr>
                <w:sz w:val="12"/>
                <w:szCs w:val="12"/>
                <w:color w:val="auto"/>
              </w:rPr>
            </w:pPr>
          </w:p>
        </w:tc>
        <w:tc>
          <w:tcPr>
            <w:tcW w:w="120" w:type="dxa"/>
            <w:vAlign w:val="bottom"/>
            <w:shd w:val="clear" w:color="auto" w:fill="BFBFBF"/>
          </w:tcPr>
          <w:p>
            <w:pPr>
              <w:spacing w:after="0"/>
              <w:rPr>
                <w:sz w:val="12"/>
                <w:szCs w:val="12"/>
                <w:color w:val="auto"/>
              </w:rPr>
            </w:pPr>
          </w:p>
        </w:tc>
        <w:tc>
          <w:tcPr>
            <w:tcW w:w="160" w:type="dxa"/>
            <w:vAlign w:val="bottom"/>
            <w:shd w:val="clear" w:color="auto" w:fill="BFBFBF"/>
          </w:tcPr>
          <w:p>
            <w:pPr>
              <w:spacing w:after="0"/>
              <w:rPr>
                <w:sz w:val="12"/>
                <w:szCs w:val="12"/>
                <w:color w:val="auto"/>
              </w:rPr>
            </w:pPr>
          </w:p>
        </w:tc>
        <w:tc>
          <w:tcPr>
            <w:tcW w:w="8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6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860" w:type="dxa"/>
            <w:vAlign w:val="bottom"/>
            <w:shd w:val="clear" w:color="auto" w:fill="BFBFBF"/>
          </w:tcPr>
          <w:p>
            <w:pPr>
              <w:spacing w:after="0"/>
              <w:rPr>
                <w:sz w:val="12"/>
                <w:szCs w:val="12"/>
                <w:color w:val="auto"/>
              </w:rPr>
            </w:pPr>
          </w:p>
        </w:tc>
        <w:tc>
          <w:tcPr>
            <w:tcW w:w="160" w:type="dxa"/>
            <w:vAlign w:val="bottom"/>
            <w:shd w:val="clear" w:color="auto" w:fill="BFBFBF"/>
          </w:tcPr>
          <w:p>
            <w:pPr>
              <w:spacing w:after="0"/>
              <w:rPr>
                <w:sz w:val="12"/>
                <w:szCs w:val="12"/>
                <w:color w:val="auto"/>
              </w:rPr>
            </w:pPr>
          </w:p>
        </w:tc>
        <w:tc>
          <w:tcPr>
            <w:tcW w:w="8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6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8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60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80" w:type="dxa"/>
            <w:vAlign w:val="bottom"/>
            <w:shd w:val="clear" w:color="auto" w:fill="BFBFBF"/>
          </w:tcPr>
          <w:p>
            <w:pPr>
              <w:spacing w:after="0"/>
              <w:rPr>
                <w:sz w:val="12"/>
                <w:szCs w:val="12"/>
                <w:color w:val="auto"/>
              </w:rPr>
            </w:pPr>
          </w:p>
        </w:tc>
        <w:tc>
          <w:tcPr>
            <w:tcW w:w="640" w:type="dxa"/>
            <w:vAlign w:val="bottom"/>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gridSpan w:val="2"/>
            <w:shd w:val="clear" w:color="auto" w:fill="BFBFBF"/>
          </w:tcPr>
          <w:p>
            <w:pPr>
              <w:spacing w:after="0" w:line="148" w:lineRule="exact"/>
              <w:rPr>
                <w:sz w:val="20"/>
                <w:szCs w:val="20"/>
                <w:color w:val="auto"/>
              </w:rPr>
            </w:pPr>
            <w:r>
              <w:rPr>
                <w:rFonts w:ascii="Arial" w:cs="Arial" w:eastAsia="Arial" w:hAnsi="Arial"/>
                <w:sz w:val="13"/>
                <w:szCs w:val="13"/>
                <w:color w:val="auto"/>
              </w:rPr>
              <w:t>Mudry</w:t>
            </w:r>
          </w:p>
        </w:tc>
        <w:tc>
          <w:tcPr>
            <w:tcW w:w="540" w:type="dxa"/>
            <w:vAlign w:val="bottom"/>
            <w:gridSpan w:val="2"/>
            <w:shd w:val="clear" w:color="auto" w:fill="BFBFBF"/>
          </w:tcPr>
          <w:p>
            <w:pPr>
              <w:ind w:left="100"/>
              <w:spacing w:after="0" w:line="148" w:lineRule="exact"/>
              <w:rPr>
                <w:sz w:val="20"/>
                <w:szCs w:val="20"/>
                <w:color w:val="auto"/>
              </w:rPr>
            </w:pPr>
            <w:r>
              <w:rPr>
                <w:rFonts w:ascii="Arial" w:cs="Arial" w:eastAsia="Arial" w:hAnsi="Arial"/>
                <w:sz w:val="13"/>
                <w:szCs w:val="13"/>
                <w:color w:val="auto"/>
                <w:w w:val="96"/>
              </w:rPr>
              <w:t>2/13/17</w:t>
            </w:r>
          </w:p>
        </w:tc>
        <w:tc>
          <w:tcPr>
            <w:tcW w:w="160" w:type="dxa"/>
            <w:vAlign w:val="bottom"/>
            <w:shd w:val="clear" w:color="auto" w:fill="BFBFBF"/>
          </w:tcPr>
          <w:p>
            <w:pPr>
              <w:spacing w:after="0"/>
              <w:rPr>
                <w:sz w:val="12"/>
                <w:szCs w:val="12"/>
                <w:color w:val="auto"/>
              </w:rPr>
            </w:pPr>
          </w:p>
        </w:tc>
        <w:tc>
          <w:tcPr>
            <w:tcW w:w="880" w:type="dxa"/>
            <w:vAlign w:val="bottom"/>
            <w:shd w:val="clear" w:color="auto" w:fill="BFBFBF"/>
          </w:tcPr>
          <w:p>
            <w:pPr>
              <w:jc w:val="right"/>
              <w:spacing w:after="0" w:line="148" w:lineRule="exact"/>
              <w:rPr>
                <w:sz w:val="20"/>
                <w:szCs w:val="20"/>
                <w:color w:val="auto"/>
              </w:rPr>
            </w:pPr>
            <w:r>
              <w:rPr>
                <w:rFonts w:ascii="Arial" w:cs="Arial" w:eastAsia="Arial" w:hAnsi="Arial"/>
                <w:sz w:val="13"/>
                <w:szCs w:val="13"/>
                <w:color w:val="auto"/>
              </w:rPr>
              <w:t>175,000</w:t>
            </w:r>
          </w:p>
        </w:tc>
        <w:tc>
          <w:tcPr>
            <w:tcW w:w="820" w:type="dxa"/>
            <w:vAlign w:val="bottom"/>
            <w:gridSpan w:val="2"/>
            <w:shd w:val="clear" w:color="auto" w:fill="BFBFBF"/>
          </w:tcPr>
          <w:p>
            <w:pPr>
              <w:jc w:val="right"/>
              <w:spacing w:after="0" w:line="148" w:lineRule="exact"/>
              <w:rPr>
                <w:sz w:val="20"/>
                <w:szCs w:val="20"/>
                <w:color w:val="auto"/>
              </w:rPr>
            </w:pPr>
            <w:r>
              <w:rPr>
                <w:rFonts w:ascii="Arial" w:cs="Arial" w:eastAsia="Arial" w:hAnsi="Arial"/>
                <w:sz w:val="13"/>
                <w:szCs w:val="13"/>
                <w:color w:val="auto"/>
              </w:rPr>
              <w:t>350,000</w:t>
            </w:r>
          </w:p>
        </w:tc>
        <w:tc>
          <w:tcPr>
            <w:tcW w:w="1000" w:type="dxa"/>
            <w:vAlign w:val="bottom"/>
            <w:gridSpan w:val="2"/>
            <w:shd w:val="clear" w:color="auto" w:fill="BFBFBF"/>
          </w:tcPr>
          <w:p>
            <w:pPr>
              <w:jc w:val="right"/>
              <w:spacing w:after="0" w:line="148" w:lineRule="exact"/>
              <w:rPr>
                <w:sz w:val="20"/>
                <w:szCs w:val="20"/>
                <w:color w:val="auto"/>
              </w:rPr>
            </w:pPr>
            <w:r>
              <w:rPr>
                <w:rFonts w:ascii="Arial" w:cs="Arial" w:eastAsia="Arial" w:hAnsi="Arial"/>
                <w:sz w:val="13"/>
                <w:szCs w:val="13"/>
                <w:color w:val="auto"/>
              </w:rPr>
              <w:t>525,000</w:t>
            </w:r>
          </w:p>
        </w:tc>
        <w:tc>
          <w:tcPr>
            <w:tcW w:w="160" w:type="dxa"/>
            <w:vAlign w:val="bottom"/>
            <w:shd w:val="clear" w:color="auto" w:fill="BFBFBF"/>
          </w:tcPr>
          <w:p>
            <w:pPr>
              <w:spacing w:after="0"/>
              <w:rPr>
                <w:sz w:val="12"/>
                <w:szCs w:val="12"/>
                <w:color w:val="auto"/>
              </w:rPr>
            </w:pPr>
          </w:p>
        </w:tc>
        <w:tc>
          <w:tcPr>
            <w:tcW w:w="8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6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8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600" w:type="dxa"/>
            <w:vAlign w:val="bottom"/>
            <w:vMerge w:val="restart"/>
            <w:shd w:val="clear" w:color="auto" w:fill="BFBFBF"/>
          </w:tcPr>
          <w:p>
            <w:pPr>
              <w:jc w:val="right"/>
              <w:spacing w:after="0"/>
              <w:rPr>
                <w:sz w:val="20"/>
                <w:szCs w:val="20"/>
                <w:color w:val="auto"/>
              </w:rPr>
            </w:pPr>
            <w:r>
              <w:rPr>
                <w:rFonts w:ascii="Arial" w:cs="Arial" w:eastAsia="Arial" w:hAnsi="Arial"/>
                <w:sz w:val="13"/>
                <w:szCs w:val="13"/>
                <w:color w:val="auto"/>
              </w:rPr>
              <w:t>6,639</w:t>
            </w:r>
          </w:p>
        </w:tc>
        <w:tc>
          <w:tcPr>
            <w:tcW w:w="220" w:type="dxa"/>
            <w:vAlign w:val="bottom"/>
            <w:gridSpan w:val="2"/>
            <w:vMerge w:val="restart"/>
            <w:shd w:val="clear" w:color="auto" w:fill="BFBFBF"/>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BFBFBF"/>
          </w:tcPr>
          <w:p>
            <w:pPr>
              <w:jc w:val="right"/>
              <w:spacing w:after="0"/>
              <w:rPr>
                <w:sz w:val="20"/>
                <w:szCs w:val="20"/>
                <w:color w:val="auto"/>
              </w:rPr>
            </w:pPr>
            <w:r>
              <w:rPr>
                <w:rFonts w:ascii="Arial" w:cs="Arial" w:eastAsia="Arial" w:hAnsi="Arial"/>
                <w:sz w:val="13"/>
                <w:szCs w:val="13"/>
                <w:color w:val="auto"/>
              </w:rPr>
              <w:t>177,792</w:t>
            </w:r>
          </w:p>
        </w:tc>
        <w:tc>
          <w:tcPr>
            <w:tcW w:w="0" w:type="dxa"/>
            <w:vAlign w:val="bottom"/>
          </w:tcPr>
          <w:p>
            <w:pPr>
              <w:spacing w:after="0"/>
              <w:rPr>
                <w:sz w:val="1"/>
                <w:szCs w:val="1"/>
                <w:color w:val="auto"/>
              </w:rPr>
            </w:pPr>
          </w:p>
        </w:tc>
      </w:tr>
      <w:tr>
        <w:trPr>
          <w:trHeight w:val="148"/>
        </w:trPr>
        <w:tc>
          <w:tcPr>
            <w:tcW w:w="360" w:type="dxa"/>
            <w:vAlign w:val="bottom"/>
            <w:shd w:val="clear" w:color="auto" w:fill="BFBFBF"/>
          </w:tcPr>
          <w:p>
            <w:pPr>
              <w:spacing w:after="0"/>
              <w:rPr>
                <w:sz w:val="12"/>
                <w:szCs w:val="12"/>
                <w:color w:val="auto"/>
              </w:rPr>
            </w:pPr>
          </w:p>
        </w:tc>
        <w:tc>
          <w:tcPr>
            <w:tcW w:w="860" w:type="dxa"/>
            <w:vAlign w:val="bottom"/>
            <w:shd w:val="clear" w:color="auto" w:fill="BFBFBF"/>
          </w:tcPr>
          <w:p>
            <w:pPr>
              <w:spacing w:after="0"/>
              <w:rPr>
                <w:sz w:val="12"/>
                <w:szCs w:val="12"/>
                <w:color w:val="auto"/>
              </w:rPr>
            </w:pPr>
          </w:p>
        </w:tc>
        <w:tc>
          <w:tcPr>
            <w:tcW w:w="540" w:type="dxa"/>
            <w:vAlign w:val="bottom"/>
            <w:gridSpan w:val="2"/>
            <w:shd w:val="clear" w:color="auto" w:fill="BFBFBF"/>
          </w:tcPr>
          <w:p>
            <w:pPr>
              <w:ind w:left="100"/>
              <w:spacing w:after="0" w:line="148" w:lineRule="exact"/>
              <w:rPr>
                <w:sz w:val="20"/>
                <w:szCs w:val="20"/>
                <w:color w:val="auto"/>
              </w:rPr>
            </w:pPr>
            <w:r>
              <w:rPr>
                <w:rFonts w:ascii="Arial" w:cs="Arial" w:eastAsia="Arial" w:hAnsi="Arial"/>
                <w:sz w:val="13"/>
                <w:szCs w:val="13"/>
                <w:color w:val="auto"/>
                <w:w w:val="96"/>
              </w:rPr>
              <w:t>2/13/17</w:t>
            </w:r>
          </w:p>
        </w:tc>
        <w:tc>
          <w:tcPr>
            <w:tcW w:w="160" w:type="dxa"/>
            <w:vAlign w:val="bottom"/>
            <w:shd w:val="clear" w:color="auto" w:fill="BFBFBF"/>
          </w:tcPr>
          <w:p>
            <w:pPr>
              <w:spacing w:after="0"/>
              <w:rPr>
                <w:sz w:val="12"/>
                <w:szCs w:val="12"/>
                <w:color w:val="auto"/>
              </w:rPr>
            </w:pPr>
          </w:p>
        </w:tc>
        <w:tc>
          <w:tcPr>
            <w:tcW w:w="8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6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860" w:type="dxa"/>
            <w:vAlign w:val="bottom"/>
            <w:shd w:val="clear" w:color="auto" w:fill="BFBFBF"/>
          </w:tcPr>
          <w:p>
            <w:pPr>
              <w:spacing w:after="0"/>
              <w:rPr>
                <w:sz w:val="12"/>
                <w:szCs w:val="12"/>
                <w:color w:val="auto"/>
              </w:rPr>
            </w:pPr>
          </w:p>
        </w:tc>
        <w:tc>
          <w:tcPr>
            <w:tcW w:w="160" w:type="dxa"/>
            <w:vAlign w:val="bottom"/>
            <w:shd w:val="clear" w:color="auto" w:fill="BFBFBF"/>
          </w:tcPr>
          <w:p>
            <w:pPr>
              <w:spacing w:after="0"/>
              <w:rPr>
                <w:sz w:val="12"/>
                <w:szCs w:val="12"/>
                <w:color w:val="auto"/>
              </w:rPr>
            </w:pPr>
          </w:p>
        </w:tc>
        <w:tc>
          <w:tcPr>
            <w:tcW w:w="8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6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8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600" w:type="dxa"/>
            <w:vAlign w:val="bottom"/>
            <w:vMerge w:val="continue"/>
            <w:shd w:val="clear" w:color="auto" w:fill="BFBFBF"/>
          </w:tcPr>
          <w:p>
            <w:pPr>
              <w:spacing w:after="0"/>
              <w:rPr>
                <w:sz w:val="12"/>
                <w:szCs w:val="12"/>
                <w:color w:val="auto"/>
              </w:rPr>
            </w:pPr>
          </w:p>
        </w:tc>
        <w:tc>
          <w:tcPr>
            <w:tcW w:w="220" w:type="dxa"/>
            <w:vAlign w:val="bottom"/>
            <w:gridSpan w:val="2"/>
            <w:vMerge w:val="continue"/>
            <w:shd w:val="clear" w:color="auto" w:fill="BFBFBF"/>
          </w:tcPr>
          <w:p>
            <w:pPr>
              <w:spacing w:after="0"/>
              <w:rPr>
                <w:sz w:val="12"/>
                <w:szCs w:val="12"/>
                <w:color w:val="auto"/>
              </w:rPr>
            </w:pPr>
          </w:p>
        </w:tc>
        <w:tc>
          <w:tcPr>
            <w:tcW w:w="640" w:type="dxa"/>
            <w:vAlign w:val="bottom"/>
            <w:vMerge w:val="continue"/>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BFBFBF"/>
          </w:tcPr>
          <w:p>
            <w:pPr>
              <w:spacing w:after="0"/>
              <w:rPr>
                <w:sz w:val="12"/>
                <w:szCs w:val="12"/>
                <w:color w:val="auto"/>
              </w:rPr>
            </w:pPr>
          </w:p>
        </w:tc>
        <w:tc>
          <w:tcPr>
            <w:tcW w:w="860" w:type="dxa"/>
            <w:vAlign w:val="bottom"/>
            <w:shd w:val="clear" w:color="auto" w:fill="BFBFBF"/>
          </w:tcPr>
          <w:p>
            <w:pPr>
              <w:spacing w:after="0"/>
              <w:rPr>
                <w:sz w:val="12"/>
                <w:szCs w:val="12"/>
                <w:color w:val="auto"/>
              </w:rPr>
            </w:pPr>
          </w:p>
        </w:tc>
        <w:tc>
          <w:tcPr>
            <w:tcW w:w="540" w:type="dxa"/>
            <w:vAlign w:val="bottom"/>
            <w:gridSpan w:val="2"/>
            <w:shd w:val="clear" w:color="auto" w:fill="BFBFBF"/>
          </w:tcPr>
          <w:p>
            <w:pPr>
              <w:ind w:left="100"/>
              <w:spacing w:after="0" w:line="148" w:lineRule="exact"/>
              <w:rPr>
                <w:sz w:val="20"/>
                <w:szCs w:val="20"/>
                <w:color w:val="auto"/>
              </w:rPr>
            </w:pPr>
            <w:r>
              <w:rPr>
                <w:rFonts w:ascii="Arial" w:cs="Arial" w:eastAsia="Arial" w:hAnsi="Arial"/>
                <w:sz w:val="13"/>
                <w:szCs w:val="13"/>
                <w:color w:val="auto"/>
                <w:w w:val="96"/>
              </w:rPr>
              <w:t>2/13/17</w:t>
            </w:r>
          </w:p>
        </w:tc>
        <w:tc>
          <w:tcPr>
            <w:tcW w:w="160" w:type="dxa"/>
            <w:vAlign w:val="bottom"/>
            <w:shd w:val="clear" w:color="auto" w:fill="BFBFBF"/>
          </w:tcPr>
          <w:p>
            <w:pPr>
              <w:spacing w:after="0"/>
              <w:rPr>
                <w:sz w:val="12"/>
                <w:szCs w:val="12"/>
                <w:color w:val="auto"/>
              </w:rPr>
            </w:pPr>
          </w:p>
        </w:tc>
        <w:tc>
          <w:tcPr>
            <w:tcW w:w="8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68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860" w:type="dxa"/>
            <w:vAlign w:val="bottom"/>
            <w:shd w:val="clear" w:color="auto" w:fill="BFBFBF"/>
          </w:tcPr>
          <w:p>
            <w:pPr>
              <w:spacing w:after="0"/>
              <w:rPr>
                <w:sz w:val="12"/>
                <w:szCs w:val="12"/>
                <w:color w:val="auto"/>
              </w:rPr>
            </w:pPr>
          </w:p>
        </w:tc>
        <w:tc>
          <w:tcPr>
            <w:tcW w:w="1040" w:type="dxa"/>
            <w:vAlign w:val="bottom"/>
            <w:gridSpan w:val="2"/>
            <w:shd w:val="clear" w:color="auto" w:fill="BFBFBF"/>
          </w:tcPr>
          <w:p>
            <w:pPr>
              <w:jc w:val="right"/>
              <w:spacing w:after="0" w:line="148" w:lineRule="exact"/>
              <w:rPr>
                <w:sz w:val="20"/>
                <w:szCs w:val="20"/>
                <w:color w:val="auto"/>
              </w:rPr>
            </w:pPr>
            <w:r>
              <w:rPr>
                <w:rFonts w:ascii="Arial" w:cs="Arial" w:eastAsia="Arial" w:hAnsi="Arial"/>
                <w:sz w:val="13"/>
                <w:szCs w:val="13"/>
                <w:color w:val="auto"/>
              </w:rPr>
              <w:t>3,320</w:t>
            </w:r>
          </w:p>
        </w:tc>
        <w:tc>
          <w:tcPr>
            <w:tcW w:w="820" w:type="dxa"/>
            <w:vAlign w:val="bottom"/>
            <w:gridSpan w:val="2"/>
            <w:shd w:val="clear" w:color="auto" w:fill="BFBFBF"/>
          </w:tcPr>
          <w:p>
            <w:pPr>
              <w:jc w:val="right"/>
              <w:spacing w:after="0" w:line="148" w:lineRule="exact"/>
              <w:rPr>
                <w:sz w:val="20"/>
                <w:szCs w:val="20"/>
                <w:color w:val="auto"/>
              </w:rPr>
            </w:pPr>
            <w:r>
              <w:rPr>
                <w:rFonts w:ascii="Arial" w:cs="Arial" w:eastAsia="Arial" w:hAnsi="Arial"/>
                <w:sz w:val="13"/>
                <w:szCs w:val="13"/>
                <w:color w:val="auto"/>
              </w:rPr>
              <w:t>6,639</w:t>
            </w:r>
          </w:p>
        </w:tc>
        <w:tc>
          <w:tcPr>
            <w:tcW w:w="1020" w:type="dxa"/>
            <w:vAlign w:val="bottom"/>
            <w:gridSpan w:val="2"/>
            <w:shd w:val="clear" w:color="auto" w:fill="BFBFBF"/>
          </w:tcPr>
          <w:p>
            <w:pPr>
              <w:jc w:val="right"/>
              <w:spacing w:after="0" w:line="148" w:lineRule="exact"/>
              <w:rPr>
                <w:sz w:val="20"/>
                <w:szCs w:val="20"/>
                <w:color w:val="auto"/>
              </w:rPr>
            </w:pPr>
            <w:r>
              <w:rPr>
                <w:rFonts w:ascii="Arial" w:cs="Arial" w:eastAsia="Arial" w:hAnsi="Arial"/>
                <w:sz w:val="13"/>
                <w:szCs w:val="13"/>
                <w:color w:val="auto"/>
              </w:rPr>
              <w:t>9,959</w:t>
            </w:r>
          </w:p>
        </w:tc>
        <w:tc>
          <w:tcPr>
            <w:tcW w:w="140" w:type="dxa"/>
            <w:vAlign w:val="bottom"/>
            <w:shd w:val="clear" w:color="auto" w:fill="BFBFBF"/>
          </w:tcPr>
          <w:p>
            <w:pPr>
              <w:spacing w:after="0"/>
              <w:rPr>
                <w:sz w:val="12"/>
                <w:szCs w:val="12"/>
                <w:color w:val="auto"/>
              </w:rPr>
            </w:pPr>
          </w:p>
        </w:tc>
        <w:tc>
          <w:tcPr>
            <w:tcW w:w="600" w:type="dxa"/>
            <w:vAlign w:val="bottom"/>
            <w:shd w:val="clear" w:color="auto" w:fill="BFBFBF"/>
          </w:tcPr>
          <w:p>
            <w:pPr>
              <w:spacing w:after="0"/>
              <w:rPr>
                <w:sz w:val="12"/>
                <w:szCs w:val="12"/>
                <w:color w:val="auto"/>
              </w:rPr>
            </w:pPr>
          </w:p>
        </w:tc>
        <w:tc>
          <w:tcPr>
            <w:tcW w:w="220" w:type="dxa"/>
            <w:vAlign w:val="bottom"/>
            <w:gridSpan w:val="2"/>
            <w:shd w:val="clear" w:color="auto" w:fill="BFBFBF"/>
          </w:tcPr>
          <w:p>
            <w:pPr>
              <w:jc w:val="right"/>
              <w:spacing w:after="0" w:line="148" w:lineRule="exact"/>
              <w:rPr>
                <w:sz w:val="20"/>
                <w:szCs w:val="20"/>
                <w:color w:val="auto"/>
              </w:rPr>
            </w:pPr>
            <w:r>
              <w:rPr>
                <w:rFonts w:ascii="Arial" w:cs="Arial" w:eastAsia="Arial" w:hAnsi="Arial"/>
                <w:sz w:val="13"/>
                <w:szCs w:val="13"/>
                <w:color w:val="auto"/>
              </w:rPr>
              <w:t>$</w:t>
            </w:r>
          </w:p>
        </w:tc>
        <w:tc>
          <w:tcPr>
            <w:tcW w:w="640" w:type="dxa"/>
            <w:vAlign w:val="bottom"/>
            <w:shd w:val="clear" w:color="auto" w:fill="BFBFBF"/>
          </w:tcPr>
          <w:p>
            <w:pPr>
              <w:jc w:val="right"/>
              <w:spacing w:after="0" w:line="148" w:lineRule="exact"/>
              <w:rPr>
                <w:sz w:val="20"/>
                <w:szCs w:val="20"/>
                <w:color w:val="auto"/>
              </w:rPr>
            </w:pPr>
            <w:r>
              <w:rPr>
                <w:rFonts w:ascii="Arial" w:cs="Arial" w:eastAsia="Arial" w:hAnsi="Arial"/>
                <w:sz w:val="13"/>
                <w:szCs w:val="13"/>
                <w:color w:val="auto"/>
              </w:rPr>
              <w:t>182,705</w:t>
            </w:r>
          </w:p>
        </w:tc>
        <w:tc>
          <w:tcPr>
            <w:tcW w:w="0" w:type="dxa"/>
            <w:vAlign w:val="bottom"/>
          </w:tcPr>
          <w:p>
            <w:pPr>
              <w:spacing w:after="0"/>
              <w:rPr>
                <w:sz w:val="1"/>
                <w:szCs w:val="1"/>
                <w:color w:val="auto"/>
              </w:rPr>
            </w:pPr>
          </w:p>
        </w:tc>
      </w:tr>
      <w:tr>
        <w:trPr>
          <w:trHeight w:val="99"/>
        </w:trPr>
        <w:tc>
          <w:tcPr>
            <w:tcW w:w="3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640" w:hanging="498"/>
        <w:spacing w:after="0" w:line="243" w:lineRule="auto"/>
        <w:tabs>
          <w:tab w:leader="none" w:pos="1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amounts reported in these columns represent potential performance-based cash bonuses that each NEO could have earned based upon the Company's achievement of certain quantitative performance criteria set forth in the Short-Term Incentive Plan. For further discussion regarding these quantitative metrics, see the information regarding the Short-Term Incentive Plan under the heading "Elements of 2017 Compensation—Short-Term Incentives." Based on the Company's 2017 performance, the Compensation Committee awarded payouts under the Short-Term Incentive Plan to Messrs. Gunderman, Wallace and Heard at 138% and to Mr. Mudry at 61% of their target cash payout levels, which amounts are included in the "Non-Equity Incentive Plan Compensation" of the Summary Compensation Table above.</w:t>
      </w:r>
    </w:p>
    <w:p>
      <w:pPr>
        <w:spacing w:after="0" w:line="188" w:lineRule="exact"/>
        <w:rPr>
          <w:rFonts w:ascii="Arial" w:cs="Arial" w:eastAsia="Arial" w:hAnsi="Arial"/>
          <w:sz w:val="16"/>
          <w:szCs w:val="16"/>
          <w:color w:val="auto"/>
        </w:rPr>
      </w:pPr>
    </w:p>
    <w:p>
      <w:pPr>
        <w:ind w:left="1640" w:right="40" w:hanging="498"/>
        <w:spacing w:after="0" w:line="244" w:lineRule="auto"/>
        <w:tabs>
          <w:tab w:leader="none" w:pos="1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amounts reported in these columns represent potential share payouts with respect to PSU awards that were made in connection with the 2017 annual equity grant program under the Long-Term Incentive Plan. PSU awards will vest, if at all, at the end of the three-year performance period based on the Company's achievement of metrics related to relative TSR over a three-year period ending March 1, 2020. Threshold, target or maximum performance will result in the NEOs earning 50%, 100% or 150% of the target number of the PSUs, respectively.</w:t>
      </w:r>
    </w:p>
    <w:p>
      <w:pPr>
        <w:spacing w:after="0" w:line="174" w:lineRule="exact"/>
        <w:rPr>
          <w:rFonts w:ascii="Arial" w:cs="Arial" w:eastAsia="Arial" w:hAnsi="Arial"/>
          <w:sz w:val="16"/>
          <w:szCs w:val="16"/>
          <w:color w:val="auto"/>
        </w:rPr>
      </w:pPr>
    </w:p>
    <w:p>
      <w:pPr>
        <w:ind w:left="1640" w:right="580" w:hanging="498"/>
        <w:spacing w:after="0" w:line="247" w:lineRule="auto"/>
        <w:tabs>
          <w:tab w:leader="none" w:pos="1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amounts reported in this column represent time-based restricted stock awards under the Long-Term Incentive Plan made in connection with the 2017 annual equity grant program. The reported restricted stock grants will vest in three equal installments on March 1 of each year, beginning on March 1, 2018, subject to continued employment at each vesting date.</w:t>
      </w:r>
    </w:p>
    <w:p>
      <w:pPr>
        <w:spacing w:after="0" w:line="171" w:lineRule="exact"/>
        <w:rPr>
          <w:rFonts w:ascii="Arial" w:cs="Arial" w:eastAsia="Arial" w:hAnsi="Arial"/>
          <w:sz w:val="16"/>
          <w:szCs w:val="16"/>
          <w:color w:val="auto"/>
        </w:rPr>
      </w:pPr>
    </w:p>
    <w:p>
      <w:pPr>
        <w:ind w:left="1640" w:right="260" w:hanging="498"/>
        <w:spacing w:after="0" w:line="253" w:lineRule="auto"/>
        <w:tabs>
          <w:tab w:leader="none" w:pos="1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amounts reported in this column reflect the aggregate grant date fair value calculated in accordance with FASB ASC Topic 718 for restricted stock and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640"/>
        <w:spacing w:after="0" w:line="243" w:lineRule="auto"/>
        <w:rPr>
          <w:sz w:val="20"/>
          <w:szCs w:val="20"/>
          <w:color w:val="auto"/>
        </w:rPr>
      </w:pPr>
      <w:r>
        <w:rPr>
          <w:rFonts w:ascii="Arial" w:cs="Arial" w:eastAsia="Arial" w:hAnsi="Arial"/>
          <w:sz w:val="16"/>
          <w:szCs w:val="16"/>
          <w:color w:val="auto"/>
        </w:rPr>
        <w:t>performance-based restricted stock unit awards granted during 2017 pursuant to the Long-Term Incentive Plan. The fair values in this column reflect the expected future cash flows of dividends and therefore dividends on unvested shares are not separately disclosed. The assumptions used in the calculation of the amounts shown are included in Note 10 to our audited consolidated financial statements, which are included in our Annual Report on Form 10-K for the fiscal year ended December 31, 2017. Additional information regarding the Long-Term Incentive Plan is discussed in further detail in the Compensation Discussion &amp; Analysis under the heading "Elements of 2017 Compensation—Equity-Based Compensation."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00ACD2"/>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5868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5" w:lineRule="exact"/>
        <w:rPr>
          <w:sz w:val="20"/>
          <w:szCs w:val="20"/>
          <w:color w:val="auto"/>
        </w:rPr>
      </w:pPr>
    </w:p>
    <w:p>
      <w:pPr>
        <w:ind w:right="660" w:firstLine="621"/>
        <w:spacing w:after="0" w:line="253" w:lineRule="auto"/>
        <w:rPr>
          <w:sz w:val="20"/>
          <w:szCs w:val="20"/>
          <w:color w:val="auto"/>
        </w:rPr>
      </w:pPr>
      <w:r>
        <w:rPr>
          <w:rFonts w:ascii="Arial" w:cs="Arial" w:eastAsia="Arial" w:hAnsi="Arial"/>
          <w:sz w:val="16"/>
          <w:szCs w:val="16"/>
          <w:color w:val="auto"/>
        </w:rPr>
        <w:t>The following table shows information regarding outstanding awards held by the individuals named below as of December 31, 2017. All awards represent grants of restricted stock or units pursuant to the Long-Term Incentive Plan.</w:t>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160"/>
        </w:trPr>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4"/>
          </w:tcPr>
          <w:p>
            <w:pPr>
              <w:jc w:val="right"/>
              <w:ind w:right="1140"/>
              <w:spacing w:after="0"/>
              <w:rPr>
                <w:sz w:val="20"/>
                <w:szCs w:val="20"/>
                <w:color w:val="auto"/>
              </w:rPr>
            </w:pPr>
            <w:r>
              <w:rPr>
                <w:rFonts w:ascii="Arial" w:cs="Arial" w:eastAsia="Arial" w:hAnsi="Arial"/>
                <w:sz w:val="13"/>
                <w:szCs w:val="13"/>
                <w:b w:val="1"/>
                <w:bCs w:val="1"/>
                <w:color w:val="auto"/>
              </w:rPr>
              <w:t>Stock Awards(1)</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29"/>
        </w:trPr>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center"/>
              <w:ind w:right="14"/>
              <w:spacing w:after="0" w:line="129" w:lineRule="exact"/>
              <w:rPr>
                <w:sz w:val="20"/>
                <w:szCs w:val="20"/>
                <w:color w:val="auto"/>
              </w:rPr>
            </w:pPr>
            <w:r>
              <w:rPr>
                <w:rFonts w:ascii="Arial" w:cs="Arial" w:eastAsia="Arial" w:hAnsi="Arial"/>
                <w:sz w:val="13"/>
                <w:szCs w:val="13"/>
                <w:b w:val="1"/>
                <w:bCs w:val="1"/>
                <w:color w:val="auto"/>
              </w:rPr>
              <w:t>Equity</w:t>
            </w:r>
          </w:p>
        </w:tc>
      </w:tr>
      <w:tr>
        <w:trPr>
          <w:trHeight w:val="148"/>
        </w:trPr>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14"/>
              <w:spacing w:after="0" w:line="148" w:lineRule="exact"/>
              <w:rPr>
                <w:sz w:val="20"/>
                <w:szCs w:val="20"/>
                <w:color w:val="auto"/>
              </w:rPr>
            </w:pPr>
            <w:r>
              <w:rPr>
                <w:rFonts w:ascii="Arial" w:cs="Arial" w:eastAsia="Arial" w:hAnsi="Arial"/>
                <w:sz w:val="13"/>
                <w:szCs w:val="13"/>
                <w:b w:val="1"/>
                <w:bCs w:val="1"/>
                <w:color w:val="auto"/>
                <w:w w:val="99"/>
              </w:rPr>
              <w:t>Incentive</w:t>
            </w:r>
          </w:p>
        </w:tc>
      </w:tr>
      <w:tr>
        <w:trPr>
          <w:trHeight w:val="148"/>
        </w:trPr>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14"/>
              <w:spacing w:after="0" w:line="148" w:lineRule="exact"/>
              <w:rPr>
                <w:sz w:val="20"/>
                <w:szCs w:val="20"/>
                <w:color w:val="auto"/>
              </w:rPr>
            </w:pPr>
            <w:r>
              <w:rPr>
                <w:rFonts w:ascii="Arial" w:cs="Arial" w:eastAsia="Arial" w:hAnsi="Arial"/>
                <w:sz w:val="13"/>
                <w:szCs w:val="13"/>
                <w:b w:val="1"/>
                <w:bCs w:val="1"/>
                <w:color w:val="auto"/>
              </w:rPr>
              <w:t>Plan Awards:</w:t>
            </w:r>
          </w:p>
        </w:tc>
      </w:tr>
      <w:tr>
        <w:trPr>
          <w:trHeight w:val="148"/>
        </w:trPr>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rPr>
              <w:t>Equity Incentive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14"/>
              <w:spacing w:after="0" w:line="148" w:lineRule="exact"/>
              <w:rPr>
                <w:sz w:val="20"/>
                <w:szCs w:val="20"/>
                <w:color w:val="auto"/>
              </w:rPr>
            </w:pPr>
            <w:r>
              <w:rPr>
                <w:rFonts w:ascii="Arial" w:cs="Arial" w:eastAsia="Arial" w:hAnsi="Arial"/>
                <w:sz w:val="13"/>
                <w:szCs w:val="13"/>
                <w:b w:val="1"/>
                <w:bCs w:val="1"/>
                <w:color w:val="auto"/>
              </w:rPr>
              <w:t>Market or</w:t>
            </w:r>
          </w:p>
        </w:tc>
      </w:tr>
      <w:tr>
        <w:trPr>
          <w:trHeight w:val="148"/>
        </w:trPr>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rPr>
              <w:t>Plan Awards: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Payout Value of</w:t>
            </w:r>
          </w:p>
        </w:tc>
      </w:tr>
      <w:tr>
        <w:trPr>
          <w:trHeight w:val="148"/>
        </w:trPr>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14"/>
              <w:spacing w:after="0" w:line="148" w:lineRule="exact"/>
              <w:rPr>
                <w:sz w:val="20"/>
                <w:szCs w:val="20"/>
                <w:color w:val="auto"/>
              </w:rPr>
            </w:pPr>
            <w:r>
              <w:rPr>
                <w:rFonts w:ascii="Arial" w:cs="Arial" w:eastAsia="Arial" w:hAnsi="Arial"/>
                <w:sz w:val="13"/>
                <w:szCs w:val="13"/>
                <w:b w:val="1"/>
                <w:bCs w:val="1"/>
                <w:color w:val="auto"/>
                <w:w w:val="99"/>
              </w:rPr>
              <w:t>Unearned</w:t>
            </w:r>
          </w:p>
        </w:tc>
      </w:tr>
      <w:tr>
        <w:trPr>
          <w:trHeight w:val="148"/>
        </w:trPr>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99"/>
              </w:rPr>
              <w:t>Unearned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14"/>
              <w:spacing w:after="0" w:line="148" w:lineRule="exact"/>
              <w:rPr>
                <w:sz w:val="20"/>
                <w:szCs w:val="20"/>
                <w:color w:val="auto"/>
              </w:rPr>
            </w:pPr>
            <w:r>
              <w:rPr>
                <w:rFonts w:ascii="Arial" w:cs="Arial" w:eastAsia="Arial" w:hAnsi="Arial"/>
                <w:sz w:val="13"/>
                <w:szCs w:val="13"/>
                <w:b w:val="1"/>
                <w:bCs w:val="1"/>
                <w:color w:val="auto"/>
              </w:rPr>
              <w:t>Shares, Units</w:t>
            </w:r>
          </w:p>
        </w:tc>
      </w:tr>
      <w:tr>
        <w:trPr>
          <w:trHeight w:val="148"/>
        </w:trPr>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rPr>
              <w:t>Shares, Units 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14"/>
              <w:spacing w:after="0" w:line="148" w:lineRule="exact"/>
              <w:rPr>
                <w:sz w:val="20"/>
                <w:szCs w:val="20"/>
                <w:color w:val="auto"/>
              </w:rPr>
            </w:pPr>
            <w:r>
              <w:rPr>
                <w:rFonts w:ascii="Arial" w:cs="Arial" w:eastAsia="Arial" w:hAnsi="Arial"/>
                <w:sz w:val="13"/>
                <w:szCs w:val="13"/>
                <w:b w:val="1"/>
                <w:bCs w:val="1"/>
                <w:color w:val="auto"/>
                <w:w w:val="91"/>
              </w:rPr>
              <w:t>or</w:t>
            </w:r>
          </w:p>
        </w:tc>
      </w:tr>
      <w:tr>
        <w:trPr>
          <w:trHeight w:val="148"/>
        </w:trPr>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Number of Shares or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34"/>
              <w:spacing w:after="0" w:line="148" w:lineRule="exact"/>
              <w:rPr>
                <w:sz w:val="20"/>
                <w:szCs w:val="20"/>
                <w:color w:val="auto"/>
              </w:rPr>
            </w:pPr>
            <w:r>
              <w:rPr>
                <w:rFonts w:ascii="Arial" w:cs="Arial" w:eastAsia="Arial" w:hAnsi="Arial"/>
                <w:sz w:val="13"/>
                <w:szCs w:val="13"/>
                <w:b w:val="1"/>
                <w:bCs w:val="1"/>
                <w:color w:val="auto"/>
              </w:rPr>
              <w:t>Market Value of</w:t>
            </w: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rPr>
              <w:t>Other Rights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14"/>
              <w:spacing w:after="0" w:line="148" w:lineRule="exact"/>
              <w:rPr>
                <w:sz w:val="20"/>
                <w:szCs w:val="20"/>
                <w:color w:val="auto"/>
              </w:rPr>
            </w:pPr>
            <w:r>
              <w:rPr>
                <w:rFonts w:ascii="Arial" w:cs="Arial" w:eastAsia="Arial" w:hAnsi="Arial"/>
                <w:sz w:val="13"/>
                <w:szCs w:val="13"/>
                <w:b w:val="1"/>
                <w:bCs w:val="1"/>
                <w:color w:val="auto"/>
              </w:rPr>
              <w:t>Other Rights</w:t>
            </w:r>
          </w:p>
        </w:tc>
      </w:tr>
      <w:tr>
        <w:trPr>
          <w:trHeight w:val="148"/>
        </w:trPr>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Units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34"/>
              <w:spacing w:after="0" w:line="148" w:lineRule="exact"/>
              <w:rPr>
                <w:sz w:val="20"/>
                <w:szCs w:val="20"/>
                <w:color w:val="auto"/>
              </w:rPr>
            </w:pPr>
            <w:r>
              <w:rPr>
                <w:rFonts w:ascii="Arial" w:cs="Arial" w:eastAsia="Arial" w:hAnsi="Arial"/>
                <w:sz w:val="13"/>
                <w:szCs w:val="13"/>
                <w:b w:val="1"/>
                <w:bCs w:val="1"/>
                <w:color w:val="auto"/>
              </w:rPr>
              <w:t>Shares or Units of</w:t>
            </w: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rPr>
              <w:t>That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14"/>
              <w:spacing w:after="0" w:line="148" w:lineRule="exact"/>
              <w:rPr>
                <w:sz w:val="20"/>
                <w:szCs w:val="20"/>
                <w:color w:val="auto"/>
              </w:rPr>
            </w:pPr>
            <w:r>
              <w:rPr>
                <w:rFonts w:ascii="Arial" w:cs="Arial" w:eastAsia="Arial" w:hAnsi="Arial"/>
                <w:sz w:val="13"/>
                <w:szCs w:val="13"/>
                <w:b w:val="1"/>
                <w:bCs w:val="1"/>
                <w:color w:val="auto"/>
              </w:rPr>
              <w:t>That</w:t>
            </w:r>
          </w:p>
        </w:tc>
      </w:tr>
      <w:tr>
        <w:trPr>
          <w:trHeight w:val="148"/>
        </w:trPr>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5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Stock That Have Not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34"/>
              <w:spacing w:after="0" w:line="148" w:lineRule="exact"/>
              <w:rPr>
                <w:sz w:val="20"/>
                <w:szCs w:val="20"/>
                <w:color w:val="auto"/>
              </w:rPr>
            </w:pPr>
            <w:r>
              <w:rPr>
                <w:rFonts w:ascii="Arial" w:cs="Arial" w:eastAsia="Arial" w:hAnsi="Arial"/>
                <w:sz w:val="13"/>
                <w:szCs w:val="13"/>
                <w:b w:val="1"/>
                <w:bCs w:val="1"/>
                <w:color w:val="auto"/>
              </w:rPr>
              <w:t>Stock That Have</w:t>
            </w: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8" w:lineRule="exact"/>
              <w:rPr>
                <w:sz w:val="20"/>
                <w:szCs w:val="20"/>
                <w:color w:val="auto"/>
              </w:rPr>
            </w:pPr>
            <w:r>
              <w:rPr>
                <w:rFonts w:ascii="Arial" w:cs="Arial" w:eastAsia="Arial" w:hAnsi="Arial"/>
                <w:sz w:val="13"/>
                <w:szCs w:val="13"/>
                <w:b w:val="1"/>
                <w:bCs w:val="1"/>
                <w:color w:val="auto"/>
                <w:w w:val="99"/>
              </w:rPr>
              <w:t>Have Not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14"/>
              <w:spacing w:after="0" w:line="148" w:lineRule="exact"/>
              <w:rPr>
                <w:sz w:val="20"/>
                <w:szCs w:val="20"/>
                <w:color w:val="auto"/>
              </w:rPr>
            </w:pPr>
            <w:r>
              <w:rPr>
                <w:rFonts w:ascii="Arial" w:cs="Arial" w:eastAsia="Arial" w:hAnsi="Arial"/>
                <w:sz w:val="13"/>
                <w:szCs w:val="13"/>
                <w:b w:val="1"/>
                <w:bCs w:val="1"/>
                <w:color w:val="auto"/>
                <w:w w:val="99"/>
              </w:rPr>
              <w:t>Have Not</w:t>
            </w:r>
          </w:p>
        </w:tc>
      </w:tr>
      <w:tr>
        <w:trPr>
          <w:trHeight w:val="160"/>
        </w:trPr>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Name</w:t>
            </w:r>
          </w:p>
        </w:tc>
        <w:tc>
          <w:tcPr>
            <w:tcW w:w="2860" w:type="dxa"/>
            <w:vAlign w:val="bottom"/>
            <w:gridSpan w:val="2"/>
          </w:tcPr>
          <w:p>
            <w:pPr>
              <w:spacing w:after="0"/>
              <w:rPr>
                <w:sz w:val="13"/>
                <w:szCs w:val="13"/>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Vested (#)(2)</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8"/>
              </w:rPr>
              <w:t>Not Vested ($)(3)</w:t>
            </w:r>
          </w:p>
        </w:tc>
        <w:tc>
          <w:tcPr>
            <w:tcW w:w="140" w:type="dxa"/>
            <w:vAlign w:val="bottom"/>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Vested (#)</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Vested ($)(3)</w:t>
            </w:r>
          </w:p>
        </w:tc>
      </w:tr>
      <w:tr>
        <w:trPr>
          <w:trHeight w:val="154"/>
        </w:trPr>
        <w:tc>
          <w:tcPr>
            <w:tcW w:w="3220" w:type="dxa"/>
            <w:vAlign w:val="bottom"/>
            <w:gridSpan w:val="3"/>
          </w:tcPr>
          <w:p>
            <w:pPr>
              <w:spacing w:after="0"/>
              <w:rPr>
                <w:sz w:val="20"/>
                <w:szCs w:val="20"/>
                <w:color w:val="auto"/>
              </w:rPr>
            </w:pPr>
            <w:r>
              <w:rPr>
                <w:rFonts w:ascii="Arial" w:cs="Arial" w:eastAsia="Arial" w:hAnsi="Arial"/>
                <w:sz w:val="13"/>
                <w:szCs w:val="13"/>
                <w:color w:val="auto"/>
              </w:rPr>
              <w:t>Kenneth A. Gunderman</w:t>
            </w:r>
          </w:p>
        </w:tc>
        <w:tc>
          <w:tcPr>
            <w:tcW w:w="1520" w:type="dxa"/>
            <w:vAlign w:val="bottom"/>
          </w:tcPr>
          <w:p>
            <w:pPr>
              <w:jc w:val="right"/>
              <w:spacing w:after="0"/>
              <w:rPr>
                <w:sz w:val="20"/>
                <w:szCs w:val="20"/>
                <w:color w:val="auto"/>
              </w:rPr>
            </w:pPr>
            <w:r>
              <w:rPr>
                <w:rFonts w:ascii="Arial" w:cs="Arial" w:eastAsia="Arial" w:hAnsi="Arial"/>
                <w:sz w:val="13"/>
                <w:szCs w:val="13"/>
                <w:color w:val="auto"/>
              </w:rPr>
              <w:t>212,956</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3,788,487</w:t>
            </w:r>
          </w:p>
        </w:tc>
        <w:tc>
          <w:tcPr>
            <w:tcW w:w="1600" w:type="dxa"/>
            <w:vAlign w:val="bottom"/>
            <w:gridSpan w:val="3"/>
          </w:tcPr>
          <w:p>
            <w:pPr>
              <w:jc w:val="right"/>
              <w:ind w:right="120"/>
              <w:spacing w:after="0"/>
              <w:rPr>
                <w:sz w:val="20"/>
                <w:szCs w:val="20"/>
                <w:color w:val="auto"/>
              </w:rPr>
            </w:pPr>
            <w:r>
              <w:rPr>
                <w:rFonts w:ascii="Arial" w:cs="Arial" w:eastAsia="Arial" w:hAnsi="Arial"/>
                <w:sz w:val="13"/>
                <w:szCs w:val="13"/>
                <w:color w:val="auto"/>
              </w:rPr>
              <w:t>23,710(4)</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421,801</w:t>
            </w:r>
          </w:p>
        </w:tc>
      </w:tr>
      <w:tr>
        <w:trPr>
          <w:trHeight w:val="197"/>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gridSpan w:val="3"/>
          </w:tcPr>
          <w:p>
            <w:pPr>
              <w:jc w:val="right"/>
              <w:ind w:right="120"/>
              <w:spacing w:after="0"/>
              <w:rPr>
                <w:sz w:val="20"/>
                <w:szCs w:val="20"/>
                <w:color w:val="auto"/>
              </w:rPr>
            </w:pPr>
            <w:r>
              <w:rPr>
                <w:rFonts w:ascii="Arial" w:cs="Arial" w:eastAsia="Arial" w:hAnsi="Arial"/>
                <w:sz w:val="13"/>
                <w:szCs w:val="13"/>
                <w:color w:val="auto"/>
              </w:rPr>
              <w:t>76,116(5)</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1,354,104</w:t>
            </w:r>
          </w:p>
        </w:tc>
      </w:tr>
      <w:tr>
        <w:trPr>
          <w:trHeight w:val="184"/>
        </w:trPr>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0" w:type="dxa"/>
            <w:vAlign w:val="bottom"/>
            <w:gridSpan w:val="3"/>
          </w:tcPr>
          <w:p>
            <w:pPr>
              <w:jc w:val="right"/>
              <w:ind w:right="120"/>
              <w:spacing w:after="0"/>
              <w:rPr>
                <w:sz w:val="20"/>
                <w:szCs w:val="20"/>
                <w:color w:val="auto"/>
              </w:rPr>
            </w:pPr>
            <w:r>
              <w:rPr>
                <w:rFonts w:ascii="Arial" w:cs="Arial" w:eastAsia="Arial" w:hAnsi="Arial"/>
                <w:sz w:val="13"/>
                <w:szCs w:val="13"/>
                <w:color w:val="auto"/>
              </w:rPr>
              <w:t>25,785(6)</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458,715</w:t>
            </w:r>
          </w:p>
        </w:tc>
      </w:tr>
      <w:tr>
        <w:trPr>
          <w:trHeight w:val="148"/>
        </w:trPr>
        <w:tc>
          <w:tcPr>
            <w:tcW w:w="3220" w:type="dxa"/>
            <w:vAlign w:val="bottom"/>
            <w:gridSpan w:val="3"/>
            <w:shd w:val="clear" w:color="auto" w:fill="BFBFBF"/>
          </w:tcPr>
          <w:p>
            <w:pPr>
              <w:spacing w:after="0" w:line="148" w:lineRule="exact"/>
              <w:rPr>
                <w:sz w:val="20"/>
                <w:szCs w:val="20"/>
                <w:color w:val="auto"/>
              </w:rPr>
            </w:pPr>
            <w:r>
              <w:rPr>
                <w:rFonts w:ascii="Arial" w:cs="Arial" w:eastAsia="Arial" w:hAnsi="Arial"/>
                <w:sz w:val="13"/>
                <w:szCs w:val="13"/>
                <w:color w:val="auto"/>
              </w:rPr>
              <w:t>Mark A. Wallace</w:t>
            </w:r>
          </w:p>
        </w:tc>
        <w:tc>
          <w:tcPr>
            <w:tcW w:w="1520" w:type="dxa"/>
            <w:vAlign w:val="bottom"/>
            <w:shd w:val="clear" w:color="auto" w:fill="BFBFBF"/>
          </w:tcPr>
          <w:p>
            <w:pPr>
              <w:jc w:val="right"/>
              <w:spacing w:after="0" w:line="148" w:lineRule="exact"/>
              <w:rPr>
                <w:sz w:val="20"/>
                <w:szCs w:val="20"/>
                <w:color w:val="auto"/>
              </w:rPr>
            </w:pPr>
            <w:r>
              <w:rPr>
                <w:rFonts w:ascii="Arial" w:cs="Arial" w:eastAsia="Arial" w:hAnsi="Arial"/>
                <w:sz w:val="13"/>
                <w:szCs w:val="13"/>
                <w:color w:val="auto"/>
              </w:rPr>
              <w:t>45,676</w:t>
            </w:r>
          </w:p>
        </w:tc>
        <w:tc>
          <w:tcPr>
            <w:tcW w:w="240" w:type="dxa"/>
            <w:vAlign w:val="bottom"/>
            <w:gridSpan w:val="2"/>
            <w:shd w:val="clear" w:color="auto" w:fill="BFBFBF"/>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1240" w:type="dxa"/>
            <w:vAlign w:val="bottom"/>
            <w:shd w:val="clear" w:color="auto" w:fill="BFBFBF"/>
          </w:tcPr>
          <w:p>
            <w:pPr>
              <w:jc w:val="right"/>
              <w:spacing w:after="0" w:line="148" w:lineRule="exact"/>
              <w:rPr>
                <w:sz w:val="20"/>
                <w:szCs w:val="20"/>
                <w:color w:val="auto"/>
              </w:rPr>
            </w:pPr>
            <w:r>
              <w:rPr>
                <w:rFonts w:ascii="Arial" w:cs="Arial" w:eastAsia="Arial" w:hAnsi="Arial"/>
                <w:sz w:val="13"/>
                <w:szCs w:val="13"/>
                <w:color w:val="auto"/>
              </w:rPr>
              <w:t>812,576</w:t>
            </w:r>
          </w:p>
        </w:tc>
        <w:tc>
          <w:tcPr>
            <w:tcW w:w="1600" w:type="dxa"/>
            <w:vAlign w:val="bottom"/>
            <w:gridSpan w:val="3"/>
            <w:shd w:val="clear" w:color="auto" w:fill="BFBFBF"/>
          </w:tcPr>
          <w:p>
            <w:pPr>
              <w:jc w:val="right"/>
              <w:ind w:right="120"/>
              <w:spacing w:after="0" w:line="148" w:lineRule="exact"/>
              <w:rPr>
                <w:sz w:val="20"/>
                <w:szCs w:val="20"/>
                <w:color w:val="auto"/>
              </w:rPr>
            </w:pPr>
            <w:r>
              <w:rPr>
                <w:rFonts w:ascii="Arial" w:cs="Arial" w:eastAsia="Arial" w:hAnsi="Arial"/>
                <w:sz w:val="13"/>
                <w:szCs w:val="13"/>
                <w:color w:val="auto"/>
              </w:rPr>
              <w:t>3,613(4)</w:t>
            </w:r>
          </w:p>
        </w:tc>
        <w:tc>
          <w:tcPr>
            <w:tcW w:w="200" w:type="dxa"/>
            <w:vAlign w:val="bottom"/>
            <w:gridSpan w:val="2"/>
            <w:shd w:val="clear" w:color="auto" w:fill="BFBFBF"/>
          </w:tcPr>
          <w:p>
            <w:pPr>
              <w:jc w:val="right"/>
              <w:spacing w:after="0" w:line="148" w:lineRule="exact"/>
              <w:rPr>
                <w:sz w:val="20"/>
                <w:szCs w:val="20"/>
                <w:color w:val="auto"/>
              </w:rPr>
            </w:pPr>
            <w:r>
              <w:rPr>
                <w:rFonts w:ascii="Arial" w:cs="Arial" w:eastAsia="Arial" w:hAnsi="Arial"/>
                <w:sz w:val="13"/>
                <w:szCs w:val="13"/>
                <w:color w:val="auto"/>
              </w:rPr>
              <w:t>$</w:t>
            </w:r>
          </w:p>
        </w:tc>
        <w:tc>
          <w:tcPr>
            <w:tcW w:w="1080" w:type="dxa"/>
            <w:vAlign w:val="bottom"/>
            <w:shd w:val="clear" w:color="auto" w:fill="BFBFBF"/>
          </w:tcPr>
          <w:p>
            <w:pPr>
              <w:jc w:val="right"/>
              <w:spacing w:after="0" w:line="148" w:lineRule="exact"/>
              <w:rPr>
                <w:sz w:val="20"/>
                <w:szCs w:val="20"/>
                <w:color w:val="auto"/>
              </w:rPr>
            </w:pPr>
            <w:r>
              <w:rPr>
                <w:rFonts w:ascii="Arial" w:cs="Arial" w:eastAsia="Arial" w:hAnsi="Arial"/>
                <w:sz w:val="13"/>
                <w:szCs w:val="13"/>
                <w:color w:val="auto"/>
              </w:rPr>
              <w:t>64,275</w:t>
            </w:r>
          </w:p>
        </w:tc>
      </w:tr>
      <w:tr>
        <w:trPr>
          <w:trHeight w:val="148"/>
        </w:trPr>
        <w:tc>
          <w:tcPr>
            <w:tcW w:w="360" w:type="dxa"/>
            <w:vAlign w:val="bottom"/>
            <w:shd w:val="clear" w:color="auto" w:fill="BFBFBF"/>
          </w:tcPr>
          <w:p>
            <w:pPr>
              <w:spacing w:after="0"/>
              <w:rPr>
                <w:sz w:val="12"/>
                <w:szCs w:val="12"/>
                <w:color w:val="auto"/>
              </w:rPr>
            </w:pPr>
          </w:p>
        </w:tc>
        <w:tc>
          <w:tcPr>
            <w:tcW w:w="1280" w:type="dxa"/>
            <w:vAlign w:val="bottom"/>
            <w:shd w:val="clear" w:color="auto" w:fill="BFBFBF"/>
          </w:tcPr>
          <w:p>
            <w:pPr>
              <w:spacing w:after="0"/>
              <w:rPr>
                <w:sz w:val="12"/>
                <w:szCs w:val="12"/>
                <w:color w:val="auto"/>
              </w:rPr>
            </w:pPr>
          </w:p>
        </w:tc>
        <w:tc>
          <w:tcPr>
            <w:tcW w:w="1580" w:type="dxa"/>
            <w:vAlign w:val="bottom"/>
            <w:shd w:val="clear" w:color="auto" w:fill="BFBFBF"/>
          </w:tcPr>
          <w:p>
            <w:pPr>
              <w:spacing w:after="0"/>
              <w:rPr>
                <w:sz w:val="12"/>
                <w:szCs w:val="12"/>
                <w:color w:val="auto"/>
              </w:rPr>
            </w:pPr>
          </w:p>
        </w:tc>
        <w:tc>
          <w:tcPr>
            <w:tcW w:w="152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1240" w:type="dxa"/>
            <w:vAlign w:val="bottom"/>
            <w:shd w:val="clear" w:color="auto" w:fill="BFBFBF"/>
          </w:tcPr>
          <w:p>
            <w:pPr>
              <w:spacing w:after="0"/>
              <w:rPr>
                <w:sz w:val="12"/>
                <w:szCs w:val="12"/>
                <w:color w:val="auto"/>
              </w:rPr>
            </w:pPr>
          </w:p>
        </w:tc>
        <w:tc>
          <w:tcPr>
            <w:tcW w:w="1600" w:type="dxa"/>
            <w:vAlign w:val="bottom"/>
            <w:gridSpan w:val="3"/>
            <w:shd w:val="clear" w:color="auto" w:fill="BFBFBF"/>
          </w:tcPr>
          <w:p>
            <w:pPr>
              <w:jc w:val="right"/>
              <w:ind w:right="120"/>
              <w:spacing w:after="0" w:line="148" w:lineRule="exact"/>
              <w:rPr>
                <w:sz w:val="20"/>
                <w:szCs w:val="20"/>
                <w:color w:val="auto"/>
              </w:rPr>
            </w:pPr>
            <w:r>
              <w:rPr>
                <w:rFonts w:ascii="Arial" w:cs="Arial" w:eastAsia="Arial" w:hAnsi="Arial"/>
                <w:sz w:val="13"/>
                <w:szCs w:val="13"/>
                <w:color w:val="auto"/>
              </w:rPr>
              <w:t>15,399(5)</w:t>
            </w:r>
          </w:p>
        </w:tc>
        <w:tc>
          <w:tcPr>
            <w:tcW w:w="200" w:type="dxa"/>
            <w:vAlign w:val="bottom"/>
            <w:gridSpan w:val="2"/>
            <w:shd w:val="clear" w:color="auto" w:fill="BFBFBF"/>
          </w:tcPr>
          <w:p>
            <w:pPr>
              <w:jc w:val="right"/>
              <w:spacing w:after="0" w:line="148" w:lineRule="exact"/>
              <w:rPr>
                <w:sz w:val="20"/>
                <w:szCs w:val="20"/>
                <w:color w:val="auto"/>
              </w:rPr>
            </w:pPr>
            <w:r>
              <w:rPr>
                <w:rFonts w:ascii="Arial" w:cs="Arial" w:eastAsia="Arial" w:hAnsi="Arial"/>
                <w:sz w:val="13"/>
                <w:szCs w:val="13"/>
                <w:color w:val="auto"/>
              </w:rPr>
              <w:t>$</w:t>
            </w:r>
          </w:p>
        </w:tc>
        <w:tc>
          <w:tcPr>
            <w:tcW w:w="1080" w:type="dxa"/>
            <w:vAlign w:val="bottom"/>
            <w:shd w:val="clear" w:color="auto" w:fill="BFBFBF"/>
          </w:tcPr>
          <w:p>
            <w:pPr>
              <w:jc w:val="right"/>
              <w:spacing w:after="0" w:line="148" w:lineRule="exact"/>
              <w:rPr>
                <w:sz w:val="20"/>
                <w:szCs w:val="20"/>
                <w:color w:val="auto"/>
              </w:rPr>
            </w:pPr>
            <w:r>
              <w:rPr>
                <w:rFonts w:ascii="Arial" w:cs="Arial" w:eastAsia="Arial" w:hAnsi="Arial"/>
                <w:sz w:val="13"/>
                <w:szCs w:val="13"/>
                <w:color w:val="auto"/>
              </w:rPr>
              <w:t>273,948</w:t>
            </w:r>
          </w:p>
        </w:tc>
      </w:tr>
      <w:tr>
        <w:trPr>
          <w:trHeight w:val="148"/>
        </w:trPr>
        <w:tc>
          <w:tcPr>
            <w:tcW w:w="360" w:type="dxa"/>
            <w:vAlign w:val="bottom"/>
            <w:shd w:val="clear" w:color="auto" w:fill="BFBFBF"/>
          </w:tcPr>
          <w:p>
            <w:pPr>
              <w:spacing w:after="0"/>
              <w:rPr>
                <w:sz w:val="12"/>
                <w:szCs w:val="12"/>
                <w:color w:val="auto"/>
              </w:rPr>
            </w:pPr>
          </w:p>
        </w:tc>
        <w:tc>
          <w:tcPr>
            <w:tcW w:w="1280" w:type="dxa"/>
            <w:vAlign w:val="bottom"/>
            <w:shd w:val="clear" w:color="auto" w:fill="BFBFBF"/>
          </w:tcPr>
          <w:p>
            <w:pPr>
              <w:spacing w:after="0"/>
              <w:rPr>
                <w:sz w:val="12"/>
                <w:szCs w:val="12"/>
                <w:color w:val="auto"/>
              </w:rPr>
            </w:pPr>
          </w:p>
        </w:tc>
        <w:tc>
          <w:tcPr>
            <w:tcW w:w="1580" w:type="dxa"/>
            <w:vAlign w:val="bottom"/>
            <w:shd w:val="clear" w:color="auto" w:fill="BFBFBF"/>
          </w:tcPr>
          <w:p>
            <w:pPr>
              <w:spacing w:after="0"/>
              <w:rPr>
                <w:sz w:val="12"/>
                <w:szCs w:val="12"/>
                <w:color w:val="auto"/>
              </w:rPr>
            </w:pPr>
          </w:p>
        </w:tc>
        <w:tc>
          <w:tcPr>
            <w:tcW w:w="1520" w:type="dxa"/>
            <w:vAlign w:val="bottom"/>
            <w:shd w:val="clear" w:color="auto" w:fill="BFBFBF"/>
          </w:tcPr>
          <w:p>
            <w:pPr>
              <w:spacing w:after="0"/>
              <w:rPr>
                <w:sz w:val="12"/>
                <w:szCs w:val="12"/>
                <w:color w:val="auto"/>
              </w:rPr>
            </w:pPr>
          </w:p>
        </w:tc>
        <w:tc>
          <w:tcPr>
            <w:tcW w:w="140" w:type="dxa"/>
            <w:vAlign w:val="bottom"/>
            <w:shd w:val="clear" w:color="auto" w:fill="BFBFBF"/>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1240" w:type="dxa"/>
            <w:vAlign w:val="bottom"/>
            <w:shd w:val="clear" w:color="auto" w:fill="BFBFBF"/>
          </w:tcPr>
          <w:p>
            <w:pPr>
              <w:spacing w:after="0"/>
              <w:rPr>
                <w:sz w:val="12"/>
                <w:szCs w:val="12"/>
                <w:color w:val="auto"/>
              </w:rPr>
            </w:pPr>
          </w:p>
        </w:tc>
        <w:tc>
          <w:tcPr>
            <w:tcW w:w="1600" w:type="dxa"/>
            <w:vAlign w:val="bottom"/>
            <w:gridSpan w:val="3"/>
            <w:shd w:val="clear" w:color="auto" w:fill="BFBFBF"/>
          </w:tcPr>
          <w:p>
            <w:pPr>
              <w:jc w:val="right"/>
              <w:ind w:right="120"/>
              <w:spacing w:after="0" w:line="148" w:lineRule="exact"/>
              <w:rPr>
                <w:sz w:val="20"/>
                <w:szCs w:val="20"/>
                <w:color w:val="auto"/>
              </w:rPr>
            </w:pPr>
            <w:r>
              <w:rPr>
                <w:rFonts w:ascii="Arial" w:cs="Arial" w:eastAsia="Arial" w:hAnsi="Arial"/>
                <w:sz w:val="13"/>
                <w:szCs w:val="13"/>
                <w:color w:val="auto"/>
              </w:rPr>
              <w:t>7,469(6)</w:t>
            </w:r>
          </w:p>
        </w:tc>
        <w:tc>
          <w:tcPr>
            <w:tcW w:w="200" w:type="dxa"/>
            <w:vAlign w:val="bottom"/>
            <w:gridSpan w:val="2"/>
            <w:shd w:val="clear" w:color="auto" w:fill="BFBFBF"/>
          </w:tcPr>
          <w:p>
            <w:pPr>
              <w:jc w:val="right"/>
              <w:spacing w:after="0" w:line="148" w:lineRule="exact"/>
              <w:rPr>
                <w:sz w:val="20"/>
                <w:szCs w:val="20"/>
                <w:color w:val="auto"/>
              </w:rPr>
            </w:pPr>
            <w:r>
              <w:rPr>
                <w:rFonts w:ascii="Arial" w:cs="Arial" w:eastAsia="Arial" w:hAnsi="Arial"/>
                <w:sz w:val="13"/>
                <w:szCs w:val="13"/>
                <w:color w:val="auto"/>
              </w:rPr>
              <w:t>$</w:t>
            </w:r>
          </w:p>
        </w:tc>
        <w:tc>
          <w:tcPr>
            <w:tcW w:w="1080" w:type="dxa"/>
            <w:vAlign w:val="bottom"/>
            <w:shd w:val="clear" w:color="auto" w:fill="BFBFBF"/>
          </w:tcPr>
          <w:p>
            <w:pPr>
              <w:jc w:val="right"/>
              <w:spacing w:after="0" w:line="148" w:lineRule="exact"/>
              <w:rPr>
                <w:sz w:val="20"/>
                <w:szCs w:val="20"/>
                <w:color w:val="auto"/>
              </w:rPr>
            </w:pPr>
            <w:r>
              <w:rPr>
                <w:rFonts w:ascii="Arial" w:cs="Arial" w:eastAsia="Arial" w:hAnsi="Arial"/>
                <w:sz w:val="13"/>
                <w:szCs w:val="13"/>
                <w:color w:val="auto"/>
              </w:rPr>
              <w:t>132,874</w:t>
            </w:r>
          </w:p>
        </w:tc>
      </w:tr>
      <w:tr>
        <w:trPr>
          <w:trHeight w:val="161"/>
        </w:trPr>
        <w:tc>
          <w:tcPr>
            <w:tcW w:w="3220" w:type="dxa"/>
            <w:vAlign w:val="bottom"/>
            <w:gridSpan w:val="3"/>
          </w:tcPr>
          <w:p>
            <w:pPr>
              <w:spacing w:after="0"/>
              <w:rPr>
                <w:sz w:val="20"/>
                <w:szCs w:val="20"/>
                <w:color w:val="auto"/>
              </w:rPr>
            </w:pPr>
            <w:r>
              <w:rPr>
                <w:rFonts w:ascii="Arial" w:cs="Arial" w:eastAsia="Arial" w:hAnsi="Arial"/>
                <w:sz w:val="13"/>
                <w:szCs w:val="13"/>
                <w:color w:val="auto"/>
              </w:rPr>
              <w:t>Daniel L. Heard</w:t>
            </w:r>
          </w:p>
        </w:tc>
        <w:tc>
          <w:tcPr>
            <w:tcW w:w="1520" w:type="dxa"/>
            <w:vAlign w:val="bottom"/>
          </w:tcPr>
          <w:p>
            <w:pPr>
              <w:jc w:val="right"/>
              <w:spacing w:after="0"/>
              <w:rPr>
                <w:sz w:val="20"/>
                <w:szCs w:val="20"/>
                <w:color w:val="auto"/>
              </w:rPr>
            </w:pPr>
            <w:r>
              <w:rPr>
                <w:rFonts w:ascii="Arial" w:cs="Arial" w:eastAsia="Arial" w:hAnsi="Arial"/>
                <w:sz w:val="13"/>
                <w:szCs w:val="13"/>
                <w:color w:val="auto"/>
              </w:rPr>
              <w:t>30,407</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540,941</w:t>
            </w:r>
          </w:p>
        </w:tc>
        <w:tc>
          <w:tcPr>
            <w:tcW w:w="1600" w:type="dxa"/>
            <w:vAlign w:val="bottom"/>
            <w:gridSpan w:val="3"/>
          </w:tcPr>
          <w:p>
            <w:pPr>
              <w:jc w:val="right"/>
              <w:ind w:right="120"/>
              <w:spacing w:after="0"/>
              <w:rPr>
                <w:sz w:val="20"/>
                <w:szCs w:val="20"/>
                <w:color w:val="auto"/>
              </w:rPr>
            </w:pPr>
            <w:r>
              <w:rPr>
                <w:rFonts w:ascii="Arial" w:cs="Arial" w:eastAsia="Arial" w:hAnsi="Arial"/>
                <w:sz w:val="13"/>
                <w:szCs w:val="13"/>
                <w:color w:val="auto"/>
              </w:rPr>
              <w:t>3,162(4)</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56,252</w:t>
            </w:r>
          </w:p>
        </w:tc>
      </w:tr>
      <w:tr>
        <w:trPr>
          <w:trHeight w:val="197"/>
        </w:trPr>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gridSpan w:val="3"/>
          </w:tcPr>
          <w:p>
            <w:pPr>
              <w:jc w:val="right"/>
              <w:ind w:right="120"/>
              <w:spacing w:after="0"/>
              <w:rPr>
                <w:sz w:val="20"/>
                <w:szCs w:val="20"/>
                <w:color w:val="auto"/>
              </w:rPr>
            </w:pPr>
            <w:r>
              <w:rPr>
                <w:rFonts w:ascii="Arial" w:cs="Arial" w:eastAsia="Arial" w:hAnsi="Arial"/>
                <w:sz w:val="13"/>
                <w:szCs w:val="13"/>
                <w:color w:val="auto"/>
              </w:rPr>
              <w:t>10,145(5)</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180,480</w:t>
            </w:r>
          </w:p>
        </w:tc>
      </w:tr>
      <w:tr>
        <w:trPr>
          <w:trHeight w:val="184"/>
        </w:trPr>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0" w:type="dxa"/>
            <w:vAlign w:val="bottom"/>
            <w:gridSpan w:val="3"/>
          </w:tcPr>
          <w:p>
            <w:pPr>
              <w:jc w:val="right"/>
              <w:ind w:right="120"/>
              <w:spacing w:after="0"/>
              <w:rPr>
                <w:sz w:val="20"/>
                <w:szCs w:val="20"/>
                <w:color w:val="auto"/>
              </w:rPr>
            </w:pPr>
            <w:r>
              <w:rPr>
                <w:rFonts w:ascii="Arial" w:cs="Arial" w:eastAsia="Arial" w:hAnsi="Arial"/>
                <w:sz w:val="13"/>
                <w:szCs w:val="13"/>
                <w:color w:val="auto"/>
              </w:rPr>
              <w:t>4,446(6)</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79,094</w:t>
            </w:r>
          </w:p>
        </w:tc>
      </w:tr>
      <w:tr>
        <w:trPr>
          <w:trHeight w:val="148"/>
        </w:trPr>
        <w:tc>
          <w:tcPr>
            <w:tcW w:w="3220" w:type="dxa"/>
            <w:vAlign w:val="bottom"/>
            <w:gridSpan w:val="3"/>
            <w:shd w:val="clear" w:color="auto" w:fill="BFBFBF"/>
          </w:tcPr>
          <w:p>
            <w:pPr>
              <w:spacing w:after="0" w:line="148" w:lineRule="exact"/>
              <w:rPr>
                <w:sz w:val="20"/>
                <w:szCs w:val="20"/>
                <w:color w:val="auto"/>
              </w:rPr>
            </w:pPr>
            <w:r>
              <w:rPr>
                <w:rFonts w:ascii="Arial" w:cs="Arial" w:eastAsia="Arial" w:hAnsi="Arial"/>
                <w:sz w:val="13"/>
                <w:szCs w:val="13"/>
                <w:color w:val="auto"/>
              </w:rPr>
              <w:t>Ronald J. Mudry</w:t>
            </w:r>
          </w:p>
        </w:tc>
        <w:tc>
          <w:tcPr>
            <w:tcW w:w="1520" w:type="dxa"/>
            <w:vAlign w:val="bottom"/>
            <w:shd w:val="clear" w:color="auto" w:fill="BFBFBF"/>
          </w:tcPr>
          <w:p>
            <w:pPr>
              <w:jc w:val="right"/>
              <w:spacing w:after="0" w:line="148" w:lineRule="exact"/>
              <w:rPr>
                <w:sz w:val="20"/>
                <w:szCs w:val="20"/>
                <w:color w:val="auto"/>
              </w:rPr>
            </w:pPr>
            <w:r>
              <w:rPr>
                <w:rFonts w:ascii="Arial" w:cs="Arial" w:eastAsia="Arial" w:hAnsi="Arial"/>
                <w:sz w:val="13"/>
                <w:szCs w:val="13"/>
                <w:color w:val="auto"/>
              </w:rPr>
              <w:t>23,245</w:t>
            </w:r>
          </w:p>
        </w:tc>
        <w:tc>
          <w:tcPr>
            <w:tcW w:w="240" w:type="dxa"/>
            <w:vAlign w:val="bottom"/>
            <w:gridSpan w:val="2"/>
            <w:shd w:val="clear" w:color="auto" w:fill="BFBFBF"/>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1240" w:type="dxa"/>
            <w:vAlign w:val="bottom"/>
            <w:shd w:val="clear" w:color="auto" w:fill="BFBFBF"/>
          </w:tcPr>
          <w:p>
            <w:pPr>
              <w:jc w:val="right"/>
              <w:spacing w:after="0" w:line="148" w:lineRule="exact"/>
              <w:rPr>
                <w:sz w:val="20"/>
                <w:szCs w:val="20"/>
                <w:color w:val="auto"/>
              </w:rPr>
            </w:pPr>
            <w:r>
              <w:rPr>
                <w:rFonts w:ascii="Arial" w:cs="Arial" w:eastAsia="Arial" w:hAnsi="Arial"/>
                <w:sz w:val="13"/>
                <w:szCs w:val="13"/>
                <w:color w:val="auto"/>
              </w:rPr>
              <w:t>413,529</w:t>
            </w:r>
          </w:p>
        </w:tc>
        <w:tc>
          <w:tcPr>
            <w:tcW w:w="1600" w:type="dxa"/>
            <w:vAlign w:val="bottom"/>
            <w:gridSpan w:val="3"/>
            <w:shd w:val="clear" w:color="auto" w:fill="BFBFBF"/>
          </w:tcPr>
          <w:p>
            <w:pPr>
              <w:jc w:val="right"/>
              <w:ind w:right="120"/>
              <w:spacing w:after="0" w:line="148" w:lineRule="exact"/>
              <w:rPr>
                <w:sz w:val="20"/>
                <w:szCs w:val="20"/>
                <w:color w:val="auto"/>
              </w:rPr>
            </w:pPr>
            <w:r>
              <w:rPr>
                <w:rFonts w:ascii="Arial" w:cs="Arial" w:eastAsia="Arial" w:hAnsi="Arial"/>
                <w:sz w:val="13"/>
                <w:szCs w:val="13"/>
                <w:color w:val="auto"/>
              </w:rPr>
              <w:t>3,320(6)</w:t>
            </w:r>
          </w:p>
        </w:tc>
        <w:tc>
          <w:tcPr>
            <w:tcW w:w="200" w:type="dxa"/>
            <w:vAlign w:val="bottom"/>
            <w:gridSpan w:val="2"/>
            <w:shd w:val="clear" w:color="auto" w:fill="BFBFBF"/>
          </w:tcPr>
          <w:p>
            <w:pPr>
              <w:jc w:val="right"/>
              <w:spacing w:after="0" w:line="148" w:lineRule="exact"/>
              <w:rPr>
                <w:sz w:val="20"/>
                <w:szCs w:val="20"/>
                <w:color w:val="auto"/>
              </w:rPr>
            </w:pPr>
            <w:r>
              <w:rPr>
                <w:rFonts w:ascii="Arial" w:cs="Arial" w:eastAsia="Arial" w:hAnsi="Arial"/>
                <w:sz w:val="13"/>
                <w:szCs w:val="13"/>
                <w:color w:val="auto"/>
              </w:rPr>
              <w:t>$</w:t>
            </w:r>
          </w:p>
        </w:tc>
        <w:tc>
          <w:tcPr>
            <w:tcW w:w="1080" w:type="dxa"/>
            <w:vAlign w:val="bottom"/>
            <w:shd w:val="clear" w:color="auto" w:fill="BFBFBF"/>
          </w:tcPr>
          <w:p>
            <w:pPr>
              <w:jc w:val="right"/>
              <w:spacing w:after="0" w:line="148" w:lineRule="exact"/>
              <w:rPr>
                <w:sz w:val="20"/>
                <w:szCs w:val="20"/>
                <w:color w:val="auto"/>
              </w:rPr>
            </w:pPr>
            <w:r>
              <w:rPr>
                <w:rFonts w:ascii="Arial" w:cs="Arial" w:eastAsia="Arial" w:hAnsi="Arial"/>
                <w:sz w:val="13"/>
                <w:szCs w:val="13"/>
                <w:color w:val="auto"/>
              </w:rPr>
              <w:t>59,063</w:t>
            </w:r>
          </w:p>
        </w:tc>
      </w:tr>
      <w:tr>
        <w:trPr>
          <w:trHeight w:val="99"/>
        </w:trPr>
        <w:tc>
          <w:tcPr>
            <w:tcW w:w="3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r>
    </w:tbl>
    <w:p>
      <w:pPr>
        <w:spacing w:after="0" w:line="200" w:lineRule="exact"/>
        <w:rPr>
          <w:sz w:val="20"/>
          <w:szCs w:val="20"/>
          <w:color w:val="auto"/>
        </w:rPr>
      </w:pPr>
    </w:p>
    <w:p>
      <w:pPr>
        <w:ind w:left="1640" w:hanging="498"/>
        <w:spacing w:after="0"/>
        <w:tabs>
          <w:tab w:leader="none" w:pos="1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Uniti has not granted stock options and therefore no options were outstanding at December 31, 2017.</w:t>
      </w:r>
    </w:p>
    <w:p>
      <w:pPr>
        <w:spacing w:after="0" w:line="198" w:lineRule="exact"/>
        <w:rPr>
          <w:rFonts w:ascii="Arial" w:cs="Arial" w:eastAsia="Arial" w:hAnsi="Arial"/>
          <w:sz w:val="16"/>
          <w:szCs w:val="16"/>
          <w:color w:val="auto"/>
        </w:rPr>
      </w:pPr>
    </w:p>
    <w:p>
      <w:pPr>
        <w:ind w:left="1640" w:right="140" w:hanging="498"/>
        <w:spacing w:after="0" w:line="253" w:lineRule="auto"/>
        <w:tabs>
          <w:tab w:leader="none" w:pos="1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following table sets forth the vesting schedule of the shares reported in this column for each NEO, which shares are subject to time-based vesting only and do not require the achievement of any corporate or individual performance targets to vest:</w:t>
      </w:r>
    </w:p>
    <w:p>
      <w:pPr>
        <w:spacing w:after="0" w:line="165" w:lineRule="exact"/>
        <w:rPr>
          <w:sz w:val="20"/>
          <w:szCs w:val="20"/>
          <w:color w:val="auto"/>
        </w:rPr>
      </w:pPr>
    </w:p>
    <w:tbl>
      <w:tblPr>
        <w:tblLayout w:type="fixed"/>
        <w:tblInd w:w="1480" w:type="dxa"/>
        <w:tblCellMar>
          <w:top w:w="0" w:type="dxa"/>
          <w:left w:w="0" w:type="dxa"/>
          <w:bottom w:w="0" w:type="dxa"/>
          <w:right w:w="0" w:type="dxa"/>
        </w:tblCellMar>
      </w:tblPr>
      <w:tr>
        <w:trPr>
          <w:trHeight w:val="160"/>
        </w:trPr>
        <w:tc>
          <w:tcPr>
            <w:tcW w:w="130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Vesting Date</w:t>
            </w:r>
          </w:p>
        </w:tc>
        <w:tc>
          <w:tcPr>
            <w:tcW w:w="100" w:type="dxa"/>
            <w:vAlign w:val="bottom"/>
            <w:vMerge w:val="restart"/>
          </w:tcPr>
          <w:p>
            <w:pPr>
              <w:spacing w:after="0"/>
              <w:rPr>
                <w:sz w:val="13"/>
                <w:szCs w:val="13"/>
                <w:color w:val="auto"/>
              </w:rPr>
            </w:pPr>
          </w:p>
        </w:tc>
        <w:tc>
          <w:tcPr>
            <w:tcW w:w="2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3"/>
          </w:tcPr>
          <w:p>
            <w:pPr>
              <w:ind w:left="540"/>
              <w:spacing w:after="0"/>
              <w:rPr>
                <w:sz w:val="20"/>
                <w:szCs w:val="20"/>
                <w:color w:val="auto"/>
              </w:rPr>
            </w:pPr>
            <w:r>
              <w:rPr>
                <w:rFonts w:ascii="Arial" w:cs="Arial" w:eastAsia="Arial" w:hAnsi="Arial"/>
                <w:sz w:val="13"/>
                <w:szCs w:val="13"/>
                <w:b w:val="1"/>
                <w:bCs w:val="1"/>
                <w:color w:val="auto"/>
              </w:rPr>
              <w:t>Named Executive Officer</w:t>
            </w: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30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340" w:type="dxa"/>
            <w:vAlign w:val="bottom"/>
            <w:tcBorders>
              <w:bottom w:val="single" w:sz="8" w:color="auto"/>
            </w:tcBorders>
          </w:tcPr>
          <w:p>
            <w:pPr>
              <w:ind w:left="440"/>
              <w:spacing w:after="0" w:line="141" w:lineRule="exact"/>
              <w:rPr>
                <w:sz w:val="20"/>
                <w:szCs w:val="20"/>
                <w:color w:val="auto"/>
              </w:rPr>
            </w:pPr>
            <w:r>
              <w:rPr>
                <w:rFonts w:ascii="Arial" w:cs="Arial" w:eastAsia="Arial" w:hAnsi="Arial"/>
                <w:sz w:val="13"/>
                <w:szCs w:val="13"/>
                <w:b w:val="1"/>
                <w:bCs w:val="1"/>
                <w:color w:val="auto"/>
              </w:rPr>
              <w:t>Kenneth A. Gunderman</w:t>
            </w:r>
          </w:p>
        </w:tc>
        <w:tc>
          <w:tcPr>
            <w:tcW w:w="100" w:type="dxa"/>
            <w:vAlign w:val="bottom"/>
          </w:tcPr>
          <w:p>
            <w:pPr>
              <w:spacing w:after="0"/>
              <w:rPr>
                <w:sz w:val="12"/>
                <w:szCs w:val="12"/>
                <w:color w:val="auto"/>
              </w:rPr>
            </w:pPr>
          </w:p>
        </w:tc>
        <w:tc>
          <w:tcPr>
            <w:tcW w:w="1640" w:type="dxa"/>
            <w:vAlign w:val="bottom"/>
            <w:tcBorders>
              <w:bottom w:val="single" w:sz="8" w:color="auto"/>
            </w:tcBorders>
          </w:tcPr>
          <w:p>
            <w:pPr>
              <w:ind w:left="320"/>
              <w:spacing w:after="0" w:line="141" w:lineRule="exact"/>
              <w:rPr>
                <w:sz w:val="20"/>
                <w:szCs w:val="20"/>
                <w:color w:val="auto"/>
              </w:rPr>
            </w:pPr>
            <w:r>
              <w:rPr>
                <w:rFonts w:ascii="Arial" w:cs="Arial" w:eastAsia="Arial" w:hAnsi="Arial"/>
                <w:sz w:val="13"/>
                <w:szCs w:val="13"/>
                <w:b w:val="1"/>
                <w:bCs w:val="1"/>
                <w:color w:val="auto"/>
              </w:rPr>
              <w:t>Mark A. Wallace</w:t>
            </w:r>
          </w:p>
        </w:tc>
        <w:tc>
          <w:tcPr>
            <w:tcW w:w="80" w:type="dxa"/>
            <w:vAlign w:val="bottom"/>
          </w:tcPr>
          <w:p>
            <w:pPr>
              <w:spacing w:after="0"/>
              <w:rPr>
                <w:sz w:val="12"/>
                <w:szCs w:val="12"/>
                <w:color w:val="auto"/>
              </w:rPr>
            </w:pPr>
          </w:p>
        </w:tc>
        <w:tc>
          <w:tcPr>
            <w:tcW w:w="1580" w:type="dxa"/>
            <w:vAlign w:val="bottom"/>
            <w:tcBorders>
              <w:bottom w:val="single" w:sz="8" w:color="auto"/>
            </w:tcBorders>
          </w:tcPr>
          <w:p>
            <w:pPr>
              <w:ind w:left="300"/>
              <w:spacing w:after="0" w:line="141" w:lineRule="exact"/>
              <w:rPr>
                <w:sz w:val="20"/>
                <w:szCs w:val="20"/>
                <w:color w:val="auto"/>
              </w:rPr>
            </w:pPr>
            <w:r>
              <w:rPr>
                <w:rFonts w:ascii="Arial" w:cs="Arial" w:eastAsia="Arial" w:hAnsi="Arial"/>
                <w:sz w:val="13"/>
                <w:szCs w:val="13"/>
                <w:b w:val="1"/>
                <w:bCs w:val="1"/>
                <w:color w:val="auto"/>
              </w:rPr>
              <w:t>Daniel L. Heard</w:t>
            </w:r>
          </w:p>
        </w:tc>
        <w:tc>
          <w:tcPr>
            <w:tcW w:w="80" w:type="dxa"/>
            <w:vAlign w:val="bottom"/>
          </w:tcPr>
          <w:p>
            <w:pPr>
              <w:spacing w:after="0"/>
              <w:rPr>
                <w:sz w:val="12"/>
                <w:szCs w:val="12"/>
                <w:color w:val="auto"/>
              </w:rPr>
            </w:pPr>
          </w:p>
        </w:tc>
        <w:tc>
          <w:tcPr>
            <w:tcW w:w="1700" w:type="dxa"/>
            <w:vAlign w:val="bottom"/>
            <w:tcBorders>
              <w:bottom w:val="single" w:sz="8" w:color="auto"/>
            </w:tcBorders>
          </w:tcPr>
          <w:p>
            <w:pPr>
              <w:ind w:left="340"/>
              <w:spacing w:after="0" w:line="141" w:lineRule="exact"/>
              <w:rPr>
                <w:sz w:val="20"/>
                <w:szCs w:val="20"/>
                <w:color w:val="auto"/>
              </w:rPr>
            </w:pPr>
            <w:r>
              <w:rPr>
                <w:rFonts w:ascii="Arial" w:cs="Arial" w:eastAsia="Arial" w:hAnsi="Arial"/>
                <w:sz w:val="13"/>
                <w:szCs w:val="13"/>
                <w:b w:val="1"/>
                <w:bCs w:val="1"/>
                <w:color w:val="auto"/>
              </w:rPr>
              <w:t>Ronald J. Mudry</w:t>
            </w:r>
          </w:p>
        </w:tc>
        <w:tc>
          <w:tcPr>
            <w:tcW w:w="0" w:type="dxa"/>
            <w:vAlign w:val="bottom"/>
          </w:tcPr>
          <w:p>
            <w:pPr>
              <w:spacing w:after="0"/>
              <w:rPr>
                <w:sz w:val="1"/>
                <w:szCs w:val="1"/>
                <w:color w:val="auto"/>
              </w:rPr>
            </w:pPr>
          </w:p>
        </w:tc>
      </w:tr>
      <w:tr>
        <w:trPr>
          <w:trHeight w:val="140"/>
        </w:trPr>
        <w:tc>
          <w:tcPr>
            <w:tcW w:w="1300" w:type="dxa"/>
            <w:vAlign w:val="bottom"/>
          </w:tcPr>
          <w:p>
            <w:pPr>
              <w:jc w:val="center"/>
              <w:spacing w:after="0" w:line="141" w:lineRule="exact"/>
              <w:rPr>
                <w:sz w:val="20"/>
                <w:szCs w:val="20"/>
                <w:color w:val="auto"/>
              </w:rPr>
            </w:pPr>
            <w:r>
              <w:rPr>
                <w:rFonts w:ascii="Arial" w:cs="Arial" w:eastAsia="Arial" w:hAnsi="Arial"/>
                <w:sz w:val="13"/>
                <w:szCs w:val="13"/>
                <w:color w:val="auto"/>
              </w:rPr>
              <w:t>2/13/2018</w:t>
            </w:r>
          </w:p>
        </w:tc>
        <w:tc>
          <w:tcPr>
            <w:tcW w:w="100" w:type="dxa"/>
            <w:vAlign w:val="bottom"/>
          </w:tcPr>
          <w:p>
            <w:pPr>
              <w:spacing w:after="0"/>
              <w:rPr>
                <w:sz w:val="12"/>
                <w:szCs w:val="12"/>
                <w:color w:val="auto"/>
              </w:rPr>
            </w:pPr>
          </w:p>
        </w:tc>
        <w:tc>
          <w:tcPr>
            <w:tcW w:w="2340" w:type="dxa"/>
            <w:vAlign w:val="bottom"/>
          </w:tcPr>
          <w:p>
            <w:pPr>
              <w:jc w:val="center"/>
              <w:spacing w:after="0" w:line="141" w:lineRule="exact"/>
              <w:rPr>
                <w:sz w:val="20"/>
                <w:szCs w:val="20"/>
                <w:color w:val="auto"/>
              </w:rPr>
            </w:pPr>
            <w:r>
              <w:rPr>
                <w:rFonts w:ascii="Arial" w:cs="Arial" w:eastAsia="Arial" w:hAnsi="Arial"/>
                <w:sz w:val="13"/>
                <w:szCs w:val="13"/>
                <w:color w:val="auto"/>
              </w:rPr>
              <w:t>17,190</w:t>
            </w:r>
          </w:p>
        </w:tc>
        <w:tc>
          <w:tcPr>
            <w:tcW w:w="1740" w:type="dxa"/>
            <w:vAlign w:val="bottom"/>
            <w:gridSpan w:val="2"/>
          </w:tcPr>
          <w:p>
            <w:pPr>
              <w:jc w:val="center"/>
              <w:ind w:left="14"/>
              <w:spacing w:after="0" w:line="141" w:lineRule="exact"/>
              <w:rPr>
                <w:sz w:val="20"/>
                <w:szCs w:val="20"/>
                <w:color w:val="auto"/>
              </w:rPr>
            </w:pPr>
            <w:r>
              <w:rPr>
                <w:rFonts w:ascii="Arial" w:cs="Arial" w:eastAsia="Arial" w:hAnsi="Arial"/>
                <w:sz w:val="13"/>
                <w:szCs w:val="13"/>
                <w:color w:val="auto"/>
              </w:rPr>
              <w:t>4,979</w:t>
            </w:r>
          </w:p>
        </w:tc>
        <w:tc>
          <w:tcPr>
            <w:tcW w:w="1660" w:type="dxa"/>
            <w:vAlign w:val="bottom"/>
            <w:gridSpan w:val="2"/>
          </w:tcPr>
          <w:p>
            <w:pPr>
              <w:jc w:val="center"/>
              <w:spacing w:after="0" w:line="141" w:lineRule="exact"/>
              <w:rPr>
                <w:sz w:val="20"/>
                <w:szCs w:val="20"/>
                <w:color w:val="auto"/>
              </w:rPr>
            </w:pPr>
            <w:r>
              <w:rPr>
                <w:rFonts w:ascii="Arial" w:cs="Arial" w:eastAsia="Arial" w:hAnsi="Arial"/>
                <w:sz w:val="13"/>
                <w:szCs w:val="13"/>
                <w:color w:val="auto"/>
                <w:w w:val="98"/>
              </w:rPr>
              <w:t>2,964</w:t>
            </w:r>
          </w:p>
        </w:tc>
        <w:tc>
          <w:tcPr>
            <w:tcW w:w="1780" w:type="dxa"/>
            <w:vAlign w:val="bottom"/>
            <w:gridSpan w:val="2"/>
          </w:tcPr>
          <w:p>
            <w:pPr>
              <w:jc w:val="center"/>
              <w:spacing w:after="0" w:line="141" w:lineRule="exact"/>
              <w:rPr>
                <w:sz w:val="20"/>
                <w:szCs w:val="20"/>
                <w:color w:val="auto"/>
              </w:rPr>
            </w:pPr>
            <w:r>
              <w:rPr>
                <w:rFonts w:ascii="Arial" w:cs="Arial" w:eastAsia="Arial" w:hAnsi="Arial"/>
                <w:sz w:val="13"/>
                <w:szCs w:val="13"/>
                <w:color w:val="auto"/>
                <w:w w:val="98"/>
              </w:rPr>
              <w:t>2,213</w:t>
            </w:r>
          </w:p>
        </w:tc>
        <w:tc>
          <w:tcPr>
            <w:tcW w:w="0" w:type="dxa"/>
            <w:vAlign w:val="bottom"/>
          </w:tcPr>
          <w:p>
            <w:pPr>
              <w:spacing w:after="0"/>
              <w:rPr>
                <w:sz w:val="1"/>
                <w:szCs w:val="1"/>
                <w:color w:val="auto"/>
              </w:rPr>
            </w:pPr>
          </w:p>
        </w:tc>
      </w:tr>
      <w:tr>
        <w:trPr>
          <w:trHeight w:val="148"/>
        </w:trPr>
        <w:tc>
          <w:tcPr>
            <w:tcW w:w="1300" w:type="dxa"/>
            <w:vAlign w:val="bottom"/>
            <w:shd w:val="clear" w:color="auto" w:fill="BFBFBF"/>
          </w:tcPr>
          <w:p>
            <w:pPr>
              <w:jc w:val="center"/>
              <w:spacing w:after="0" w:line="148" w:lineRule="exact"/>
              <w:rPr>
                <w:sz w:val="20"/>
                <w:szCs w:val="20"/>
                <w:color w:val="auto"/>
              </w:rPr>
            </w:pPr>
            <w:r>
              <w:rPr>
                <w:rFonts w:ascii="Arial" w:cs="Arial" w:eastAsia="Arial" w:hAnsi="Arial"/>
                <w:sz w:val="13"/>
                <w:szCs w:val="13"/>
                <w:color w:val="auto"/>
                <w:w w:val="98"/>
              </w:rPr>
              <w:t>3/1/2018</w:t>
            </w:r>
          </w:p>
        </w:tc>
        <w:tc>
          <w:tcPr>
            <w:tcW w:w="100" w:type="dxa"/>
            <w:vAlign w:val="bottom"/>
            <w:shd w:val="clear" w:color="auto" w:fill="BFBFBF"/>
          </w:tcPr>
          <w:p>
            <w:pPr>
              <w:spacing w:after="0"/>
              <w:rPr>
                <w:sz w:val="12"/>
                <w:szCs w:val="12"/>
                <w:color w:val="auto"/>
              </w:rPr>
            </w:pPr>
          </w:p>
        </w:tc>
        <w:tc>
          <w:tcPr>
            <w:tcW w:w="2340" w:type="dxa"/>
            <w:vAlign w:val="bottom"/>
            <w:shd w:val="clear" w:color="auto" w:fill="BFBFBF"/>
          </w:tcPr>
          <w:p>
            <w:pPr>
              <w:jc w:val="center"/>
              <w:spacing w:after="0" w:line="148" w:lineRule="exact"/>
              <w:rPr>
                <w:sz w:val="20"/>
                <w:szCs w:val="20"/>
                <w:color w:val="auto"/>
              </w:rPr>
            </w:pPr>
            <w:r>
              <w:rPr>
                <w:rFonts w:ascii="Arial" w:cs="Arial" w:eastAsia="Arial" w:hAnsi="Arial"/>
                <w:sz w:val="13"/>
                <w:szCs w:val="13"/>
                <w:color w:val="auto"/>
              </w:rPr>
              <w:t>25,372</w:t>
            </w:r>
          </w:p>
        </w:tc>
        <w:tc>
          <w:tcPr>
            <w:tcW w:w="1740" w:type="dxa"/>
            <w:vAlign w:val="bottom"/>
            <w:gridSpan w:val="2"/>
            <w:shd w:val="clear" w:color="auto" w:fill="BFBFBF"/>
          </w:tcPr>
          <w:p>
            <w:pPr>
              <w:jc w:val="center"/>
              <w:ind w:left="14"/>
              <w:spacing w:after="0" w:line="148" w:lineRule="exact"/>
              <w:rPr>
                <w:sz w:val="20"/>
                <w:szCs w:val="20"/>
                <w:color w:val="auto"/>
              </w:rPr>
            </w:pPr>
            <w:r>
              <w:rPr>
                <w:rFonts w:ascii="Arial" w:cs="Arial" w:eastAsia="Arial" w:hAnsi="Arial"/>
                <w:sz w:val="13"/>
                <w:szCs w:val="13"/>
                <w:color w:val="auto"/>
              </w:rPr>
              <w:t>5,133</w:t>
            </w:r>
          </w:p>
        </w:tc>
        <w:tc>
          <w:tcPr>
            <w:tcW w:w="1660" w:type="dxa"/>
            <w:vAlign w:val="bottom"/>
            <w:gridSpan w:val="2"/>
            <w:shd w:val="clear" w:color="auto" w:fill="BFBFBF"/>
          </w:tcPr>
          <w:p>
            <w:pPr>
              <w:jc w:val="center"/>
              <w:spacing w:after="0" w:line="148" w:lineRule="exact"/>
              <w:rPr>
                <w:sz w:val="20"/>
                <w:szCs w:val="20"/>
                <w:color w:val="auto"/>
              </w:rPr>
            </w:pPr>
            <w:r>
              <w:rPr>
                <w:rFonts w:ascii="Arial" w:cs="Arial" w:eastAsia="Arial" w:hAnsi="Arial"/>
                <w:sz w:val="13"/>
                <w:szCs w:val="13"/>
                <w:color w:val="auto"/>
                <w:w w:val="98"/>
              </w:rPr>
              <w:t>3,382</w:t>
            </w:r>
          </w:p>
        </w:tc>
        <w:tc>
          <w:tcPr>
            <w:tcW w:w="80" w:type="dxa"/>
            <w:vAlign w:val="bottom"/>
            <w:shd w:val="clear" w:color="auto" w:fill="BFBFBF"/>
          </w:tcPr>
          <w:p>
            <w:pPr>
              <w:spacing w:after="0"/>
              <w:rPr>
                <w:sz w:val="12"/>
                <w:szCs w:val="12"/>
                <w:color w:val="auto"/>
              </w:rPr>
            </w:pPr>
          </w:p>
        </w:tc>
        <w:tc>
          <w:tcPr>
            <w:tcW w:w="1700" w:type="dxa"/>
            <w:vAlign w:val="bottom"/>
            <w:shd w:val="clear" w:color="auto" w:fill="BFBFBF"/>
          </w:tcPr>
          <w:p>
            <w:pPr>
              <w:jc w:val="center"/>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300" w:type="dxa"/>
            <w:vAlign w:val="bottom"/>
          </w:tcPr>
          <w:p>
            <w:pPr>
              <w:jc w:val="center"/>
              <w:spacing w:after="0" w:line="148" w:lineRule="exact"/>
              <w:rPr>
                <w:sz w:val="20"/>
                <w:szCs w:val="20"/>
                <w:color w:val="auto"/>
              </w:rPr>
            </w:pPr>
            <w:r>
              <w:rPr>
                <w:rFonts w:ascii="Arial" w:cs="Arial" w:eastAsia="Arial" w:hAnsi="Arial"/>
                <w:sz w:val="13"/>
                <w:szCs w:val="13"/>
                <w:color w:val="auto"/>
              </w:rPr>
              <w:t>3/31/2018</w:t>
            </w:r>
          </w:p>
        </w:tc>
        <w:tc>
          <w:tcPr>
            <w:tcW w:w="100" w:type="dxa"/>
            <w:vAlign w:val="bottom"/>
          </w:tcPr>
          <w:p>
            <w:pPr>
              <w:spacing w:after="0"/>
              <w:rPr>
                <w:sz w:val="12"/>
                <w:szCs w:val="12"/>
                <w:color w:val="auto"/>
              </w:rPr>
            </w:pPr>
          </w:p>
        </w:tc>
        <w:tc>
          <w:tcPr>
            <w:tcW w:w="2340" w:type="dxa"/>
            <w:vAlign w:val="bottom"/>
          </w:tcPr>
          <w:p>
            <w:pPr>
              <w:jc w:val="center"/>
              <w:spacing w:after="0" w:line="148" w:lineRule="exact"/>
              <w:rPr>
                <w:sz w:val="20"/>
                <w:szCs w:val="20"/>
                <w:color w:val="auto"/>
              </w:rPr>
            </w:pPr>
            <w:r>
              <w:rPr>
                <w:rFonts w:ascii="Arial" w:cs="Arial" w:eastAsia="Arial" w:hAnsi="Arial"/>
                <w:sz w:val="13"/>
                <w:szCs w:val="13"/>
                <w:color w:val="auto"/>
              </w:rPr>
              <w:t>15,806</w:t>
            </w:r>
          </w:p>
        </w:tc>
        <w:tc>
          <w:tcPr>
            <w:tcW w:w="1740" w:type="dxa"/>
            <w:vAlign w:val="bottom"/>
            <w:gridSpan w:val="2"/>
          </w:tcPr>
          <w:p>
            <w:pPr>
              <w:jc w:val="center"/>
              <w:ind w:left="14"/>
              <w:spacing w:after="0" w:line="148" w:lineRule="exact"/>
              <w:rPr>
                <w:sz w:val="20"/>
                <w:szCs w:val="20"/>
                <w:color w:val="auto"/>
              </w:rPr>
            </w:pPr>
            <w:r>
              <w:rPr>
                <w:rFonts w:ascii="Arial" w:cs="Arial" w:eastAsia="Arial" w:hAnsi="Arial"/>
                <w:sz w:val="13"/>
                <w:szCs w:val="13"/>
                <w:color w:val="auto"/>
              </w:rPr>
              <w:t>20,473</w:t>
            </w:r>
          </w:p>
        </w:tc>
        <w:tc>
          <w:tcPr>
            <w:tcW w:w="1660" w:type="dxa"/>
            <w:vAlign w:val="bottom"/>
            <w:gridSpan w:val="2"/>
          </w:tcPr>
          <w:p>
            <w:pPr>
              <w:jc w:val="center"/>
              <w:spacing w:after="0" w:line="148" w:lineRule="exact"/>
              <w:rPr>
                <w:sz w:val="20"/>
                <w:szCs w:val="20"/>
                <w:color w:val="auto"/>
              </w:rPr>
            </w:pPr>
            <w:r>
              <w:rPr>
                <w:rFonts w:ascii="Arial" w:cs="Arial" w:eastAsia="Arial" w:hAnsi="Arial"/>
                <w:sz w:val="13"/>
                <w:szCs w:val="13"/>
                <w:color w:val="auto"/>
              </w:rPr>
              <w:t>14,753</w:t>
            </w:r>
          </w:p>
        </w:tc>
        <w:tc>
          <w:tcPr>
            <w:tcW w:w="80" w:type="dxa"/>
            <w:vAlign w:val="bottom"/>
          </w:tcPr>
          <w:p>
            <w:pPr>
              <w:spacing w:after="0"/>
              <w:rPr>
                <w:sz w:val="12"/>
                <w:szCs w:val="12"/>
                <w:color w:val="auto"/>
              </w:rPr>
            </w:pPr>
          </w:p>
        </w:tc>
        <w:tc>
          <w:tcPr>
            <w:tcW w:w="170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300" w:type="dxa"/>
            <w:vAlign w:val="bottom"/>
            <w:shd w:val="clear" w:color="auto" w:fill="BFBFBF"/>
          </w:tcPr>
          <w:p>
            <w:pPr>
              <w:jc w:val="center"/>
              <w:spacing w:after="0" w:line="148" w:lineRule="exact"/>
              <w:rPr>
                <w:sz w:val="20"/>
                <w:szCs w:val="20"/>
                <w:color w:val="auto"/>
              </w:rPr>
            </w:pPr>
            <w:r>
              <w:rPr>
                <w:rFonts w:ascii="Arial" w:cs="Arial" w:eastAsia="Arial" w:hAnsi="Arial"/>
                <w:sz w:val="13"/>
                <w:szCs w:val="13"/>
                <w:color w:val="auto"/>
              </w:rPr>
              <w:t>4/24/2018</w:t>
            </w:r>
          </w:p>
        </w:tc>
        <w:tc>
          <w:tcPr>
            <w:tcW w:w="100" w:type="dxa"/>
            <w:vAlign w:val="bottom"/>
            <w:shd w:val="clear" w:color="auto" w:fill="BFBFBF"/>
          </w:tcPr>
          <w:p>
            <w:pPr>
              <w:spacing w:after="0"/>
              <w:rPr>
                <w:sz w:val="12"/>
                <w:szCs w:val="12"/>
                <w:color w:val="auto"/>
              </w:rPr>
            </w:pPr>
          </w:p>
        </w:tc>
        <w:tc>
          <w:tcPr>
            <w:tcW w:w="2340" w:type="dxa"/>
            <w:vAlign w:val="bottom"/>
            <w:shd w:val="clear" w:color="auto" w:fill="BFBFBF"/>
          </w:tcPr>
          <w:p>
            <w:pPr>
              <w:jc w:val="center"/>
              <w:spacing w:after="0" w:line="148" w:lineRule="exact"/>
              <w:rPr>
                <w:sz w:val="20"/>
                <w:szCs w:val="20"/>
                <w:color w:val="auto"/>
              </w:rPr>
            </w:pPr>
            <w:r>
              <w:rPr>
                <w:rFonts w:ascii="Arial" w:cs="Arial" w:eastAsia="Arial" w:hAnsi="Arial"/>
                <w:sz w:val="13"/>
                <w:szCs w:val="13"/>
                <w:color w:val="auto"/>
              </w:rPr>
              <w:t>94,836</w:t>
            </w:r>
          </w:p>
        </w:tc>
        <w:tc>
          <w:tcPr>
            <w:tcW w:w="100" w:type="dxa"/>
            <w:vAlign w:val="bottom"/>
            <w:shd w:val="clear" w:color="auto" w:fill="BFBFBF"/>
          </w:tcPr>
          <w:p>
            <w:pPr>
              <w:spacing w:after="0"/>
              <w:rPr>
                <w:sz w:val="12"/>
                <w:szCs w:val="12"/>
                <w:color w:val="auto"/>
              </w:rPr>
            </w:pPr>
          </w:p>
        </w:tc>
        <w:tc>
          <w:tcPr>
            <w:tcW w:w="1640" w:type="dxa"/>
            <w:vAlign w:val="bottom"/>
            <w:shd w:val="clear" w:color="auto" w:fill="BFBFBF"/>
          </w:tcPr>
          <w:p>
            <w:pPr>
              <w:jc w:val="center"/>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BFBFBF"/>
          </w:tcPr>
          <w:p>
            <w:pPr>
              <w:spacing w:after="0"/>
              <w:rPr>
                <w:sz w:val="12"/>
                <w:szCs w:val="12"/>
                <w:color w:val="auto"/>
              </w:rPr>
            </w:pPr>
          </w:p>
        </w:tc>
        <w:tc>
          <w:tcPr>
            <w:tcW w:w="1580" w:type="dxa"/>
            <w:vAlign w:val="bottom"/>
            <w:shd w:val="clear" w:color="auto" w:fill="BFBFBF"/>
          </w:tcPr>
          <w:p>
            <w:pPr>
              <w:jc w:val="center"/>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BFBFBF"/>
          </w:tcPr>
          <w:p>
            <w:pPr>
              <w:spacing w:after="0"/>
              <w:rPr>
                <w:sz w:val="12"/>
                <w:szCs w:val="12"/>
                <w:color w:val="auto"/>
              </w:rPr>
            </w:pPr>
          </w:p>
        </w:tc>
        <w:tc>
          <w:tcPr>
            <w:tcW w:w="1700" w:type="dxa"/>
            <w:vAlign w:val="bottom"/>
            <w:shd w:val="clear" w:color="auto" w:fill="BFBFBF"/>
          </w:tcPr>
          <w:p>
            <w:pPr>
              <w:jc w:val="center"/>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300" w:type="dxa"/>
            <w:vAlign w:val="bottom"/>
          </w:tcPr>
          <w:p>
            <w:pPr>
              <w:jc w:val="center"/>
              <w:spacing w:after="0" w:line="148" w:lineRule="exact"/>
              <w:rPr>
                <w:sz w:val="20"/>
                <w:szCs w:val="20"/>
                <w:color w:val="auto"/>
              </w:rPr>
            </w:pPr>
            <w:r>
              <w:rPr>
                <w:rFonts w:ascii="Arial" w:cs="Arial" w:eastAsia="Arial" w:hAnsi="Arial"/>
                <w:sz w:val="13"/>
                <w:szCs w:val="13"/>
                <w:color w:val="auto"/>
              </w:rPr>
              <w:t>2/13/2019</w:t>
            </w:r>
          </w:p>
        </w:tc>
        <w:tc>
          <w:tcPr>
            <w:tcW w:w="100" w:type="dxa"/>
            <w:vAlign w:val="bottom"/>
          </w:tcPr>
          <w:p>
            <w:pPr>
              <w:spacing w:after="0"/>
              <w:rPr>
                <w:sz w:val="12"/>
                <w:szCs w:val="12"/>
                <w:color w:val="auto"/>
              </w:rPr>
            </w:pPr>
          </w:p>
        </w:tc>
        <w:tc>
          <w:tcPr>
            <w:tcW w:w="2340" w:type="dxa"/>
            <w:vAlign w:val="bottom"/>
          </w:tcPr>
          <w:p>
            <w:pPr>
              <w:jc w:val="center"/>
              <w:spacing w:after="0" w:line="148" w:lineRule="exact"/>
              <w:rPr>
                <w:sz w:val="20"/>
                <w:szCs w:val="20"/>
                <w:color w:val="auto"/>
              </w:rPr>
            </w:pPr>
            <w:r>
              <w:rPr>
                <w:rFonts w:ascii="Arial" w:cs="Arial" w:eastAsia="Arial" w:hAnsi="Arial"/>
                <w:sz w:val="13"/>
                <w:szCs w:val="13"/>
                <w:color w:val="auto"/>
              </w:rPr>
              <w:t>17,190</w:t>
            </w:r>
          </w:p>
        </w:tc>
        <w:tc>
          <w:tcPr>
            <w:tcW w:w="1740" w:type="dxa"/>
            <w:vAlign w:val="bottom"/>
            <w:gridSpan w:val="2"/>
          </w:tcPr>
          <w:p>
            <w:pPr>
              <w:jc w:val="center"/>
              <w:ind w:left="14"/>
              <w:spacing w:after="0" w:line="148" w:lineRule="exact"/>
              <w:rPr>
                <w:sz w:val="20"/>
                <w:szCs w:val="20"/>
                <w:color w:val="auto"/>
              </w:rPr>
            </w:pPr>
            <w:r>
              <w:rPr>
                <w:rFonts w:ascii="Arial" w:cs="Arial" w:eastAsia="Arial" w:hAnsi="Arial"/>
                <w:sz w:val="13"/>
                <w:szCs w:val="13"/>
                <w:color w:val="auto"/>
              </w:rPr>
              <w:t>4,979</w:t>
            </w:r>
          </w:p>
        </w:tc>
        <w:tc>
          <w:tcPr>
            <w:tcW w:w="1660" w:type="dxa"/>
            <w:vAlign w:val="bottom"/>
            <w:gridSpan w:val="2"/>
          </w:tcPr>
          <w:p>
            <w:pPr>
              <w:jc w:val="center"/>
              <w:spacing w:after="0" w:line="148" w:lineRule="exact"/>
              <w:rPr>
                <w:sz w:val="20"/>
                <w:szCs w:val="20"/>
                <w:color w:val="auto"/>
              </w:rPr>
            </w:pPr>
            <w:r>
              <w:rPr>
                <w:rFonts w:ascii="Arial" w:cs="Arial" w:eastAsia="Arial" w:hAnsi="Arial"/>
                <w:sz w:val="13"/>
                <w:szCs w:val="13"/>
                <w:color w:val="auto"/>
                <w:w w:val="98"/>
              </w:rPr>
              <w:t>2,964</w:t>
            </w:r>
          </w:p>
        </w:tc>
        <w:tc>
          <w:tcPr>
            <w:tcW w:w="1780" w:type="dxa"/>
            <w:vAlign w:val="bottom"/>
            <w:gridSpan w:val="2"/>
          </w:tcPr>
          <w:p>
            <w:pPr>
              <w:jc w:val="center"/>
              <w:spacing w:after="0" w:line="148" w:lineRule="exact"/>
              <w:rPr>
                <w:sz w:val="20"/>
                <w:szCs w:val="20"/>
                <w:color w:val="auto"/>
              </w:rPr>
            </w:pPr>
            <w:r>
              <w:rPr>
                <w:rFonts w:ascii="Arial" w:cs="Arial" w:eastAsia="Arial" w:hAnsi="Arial"/>
                <w:sz w:val="13"/>
                <w:szCs w:val="13"/>
                <w:color w:val="auto"/>
                <w:w w:val="98"/>
              </w:rPr>
              <w:t>2,213</w:t>
            </w:r>
          </w:p>
        </w:tc>
        <w:tc>
          <w:tcPr>
            <w:tcW w:w="0" w:type="dxa"/>
            <w:vAlign w:val="bottom"/>
          </w:tcPr>
          <w:p>
            <w:pPr>
              <w:spacing w:after="0"/>
              <w:rPr>
                <w:sz w:val="1"/>
                <w:szCs w:val="1"/>
                <w:color w:val="auto"/>
              </w:rPr>
            </w:pPr>
          </w:p>
        </w:tc>
      </w:tr>
      <w:tr>
        <w:trPr>
          <w:trHeight w:val="148"/>
        </w:trPr>
        <w:tc>
          <w:tcPr>
            <w:tcW w:w="1300" w:type="dxa"/>
            <w:vAlign w:val="bottom"/>
            <w:shd w:val="clear" w:color="auto" w:fill="BFBFBF"/>
          </w:tcPr>
          <w:p>
            <w:pPr>
              <w:jc w:val="center"/>
              <w:spacing w:after="0" w:line="148" w:lineRule="exact"/>
              <w:rPr>
                <w:sz w:val="20"/>
                <w:szCs w:val="20"/>
                <w:color w:val="auto"/>
              </w:rPr>
            </w:pPr>
            <w:r>
              <w:rPr>
                <w:rFonts w:ascii="Arial" w:cs="Arial" w:eastAsia="Arial" w:hAnsi="Arial"/>
                <w:sz w:val="13"/>
                <w:szCs w:val="13"/>
                <w:color w:val="auto"/>
                <w:w w:val="98"/>
              </w:rPr>
              <w:t>3/1/2019</w:t>
            </w:r>
          </w:p>
        </w:tc>
        <w:tc>
          <w:tcPr>
            <w:tcW w:w="100" w:type="dxa"/>
            <w:vAlign w:val="bottom"/>
            <w:shd w:val="clear" w:color="auto" w:fill="BFBFBF"/>
          </w:tcPr>
          <w:p>
            <w:pPr>
              <w:spacing w:after="0"/>
              <w:rPr>
                <w:sz w:val="12"/>
                <w:szCs w:val="12"/>
                <w:color w:val="auto"/>
              </w:rPr>
            </w:pPr>
          </w:p>
        </w:tc>
        <w:tc>
          <w:tcPr>
            <w:tcW w:w="2340" w:type="dxa"/>
            <w:vAlign w:val="bottom"/>
            <w:shd w:val="clear" w:color="auto" w:fill="BFBFBF"/>
          </w:tcPr>
          <w:p>
            <w:pPr>
              <w:jc w:val="center"/>
              <w:spacing w:after="0" w:line="148" w:lineRule="exact"/>
              <w:rPr>
                <w:sz w:val="20"/>
                <w:szCs w:val="20"/>
                <w:color w:val="auto"/>
              </w:rPr>
            </w:pPr>
            <w:r>
              <w:rPr>
                <w:rFonts w:ascii="Arial" w:cs="Arial" w:eastAsia="Arial" w:hAnsi="Arial"/>
                <w:sz w:val="13"/>
                <w:szCs w:val="13"/>
                <w:color w:val="auto"/>
              </w:rPr>
              <w:t>25,372</w:t>
            </w:r>
          </w:p>
        </w:tc>
        <w:tc>
          <w:tcPr>
            <w:tcW w:w="1740" w:type="dxa"/>
            <w:vAlign w:val="bottom"/>
            <w:gridSpan w:val="2"/>
            <w:shd w:val="clear" w:color="auto" w:fill="BFBFBF"/>
          </w:tcPr>
          <w:p>
            <w:pPr>
              <w:jc w:val="center"/>
              <w:ind w:left="14"/>
              <w:spacing w:after="0" w:line="148" w:lineRule="exact"/>
              <w:rPr>
                <w:sz w:val="20"/>
                <w:szCs w:val="20"/>
                <w:color w:val="auto"/>
              </w:rPr>
            </w:pPr>
            <w:r>
              <w:rPr>
                <w:rFonts w:ascii="Arial" w:cs="Arial" w:eastAsia="Arial" w:hAnsi="Arial"/>
                <w:sz w:val="13"/>
                <w:szCs w:val="13"/>
                <w:color w:val="auto"/>
              </w:rPr>
              <w:t>5,133</w:t>
            </w:r>
          </w:p>
        </w:tc>
        <w:tc>
          <w:tcPr>
            <w:tcW w:w="1660" w:type="dxa"/>
            <w:vAlign w:val="bottom"/>
            <w:gridSpan w:val="2"/>
            <w:shd w:val="clear" w:color="auto" w:fill="BFBFBF"/>
          </w:tcPr>
          <w:p>
            <w:pPr>
              <w:jc w:val="center"/>
              <w:spacing w:after="0" w:line="148" w:lineRule="exact"/>
              <w:rPr>
                <w:sz w:val="20"/>
                <w:szCs w:val="20"/>
                <w:color w:val="auto"/>
              </w:rPr>
            </w:pPr>
            <w:r>
              <w:rPr>
                <w:rFonts w:ascii="Arial" w:cs="Arial" w:eastAsia="Arial" w:hAnsi="Arial"/>
                <w:sz w:val="13"/>
                <w:szCs w:val="13"/>
                <w:color w:val="auto"/>
                <w:w w:val="98"/>
              </w:rPr>
              <w:t>3,381</w:t>
            </w:r>
          </w:p>
        </w:tc>
        <w:tc>
          <w:tcPr>
            <w:tcW w:w="80" w:type="dxa"/>
            <w:vAlign w:val="bottom"/>
            <w:shd w:val="clear" w:color="auto" w:fill="BFBFBF"/>
          </w:tcPr>
          <w:p>
            <w:pPr>
              <w:spacing w:after="0"/>
              <w:rPr>
                <w:sz w:val="12"/>
                <w:szCs w:val="12"/>
                <w:color w:val="auto"/>
              </w:rPr>
            </w:pPr>
          </w:p>
        </w:tc>
        <w:tc>
          <w:tcPr>
            <w:tcW w:w="1700" w:type="dxa"/>
            <w:vAlign w:val="bottom"/>
            <w:shd w:val="clear" w:color="auto" w:fill="BFBFBF"/>
          </w:tcPr>
          <w:p>
            <w:pPr>
              <w:jc w:val="center"/>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300" w:type="dxa"/>
            <w:vAlign w:val="bottom"/>
          </w:tcPr>
          <w:p>
            <w:pPr>
              <w:jc w:val="center"/>
              <w:spacing w:after="0" w:line="148" w:lineRule="exact"/>
              <w:rPr>
                <w:sz w:val="20"/>
                <w:szCs w:val="20"/>
                <w:color w:val="auto"/>
              </w:rPr>
            </w:pPr>
            <w:r>
              <w:rPr>
                <w:rFonts w:ascii="Arial" w:cs="Arial" w:eastAsia="Arial" w:hAnsi="Arial"/>
                <w:sz w:val="13"/>
                <w:szCs w:val="13"/>
                <w:color w:val="auto"/>
              </w:rPr>
              <w:t>8/31/2019</w:t>
            </w:r>
          </w:p>
        </w:tc>
        <w:tc>
          <w:tcPr>
            <w:tcW w:w="100" w:type="dxa"/>
            <w:vAlign w:val="bottom"/>
          </w:tcPr>
          <w:p>
            <w:pPr>
              <w:spacing w:after="0"/>
              <w:rPr>
                <w:sz w:val="12"/>
                <w:szCs w:val="12"/>
                <w:color w:val="auto"/>
              </w:rPr>
            </w:pPr>
          </w:p>
        </w:tc>
        <w:tc>
          <w:tcPr>
            <w:tcW w:w="234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4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58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1780" w:type="dxa"/>
            <w:vAlign w:val="bottom"/>
            <w:gridSpan w:val="2"/>
          </w:tcPr>
          <w:p>
            <w:pPr>
              <w:jc w:val="center"/>
              <w:spacing w:after="0" w:line="148" w:lineRule="exact"/>
              <w:rPr>
                <w:sz w:val="20"/>
                <w:szCs w:val="20"/>
                <w:color w:val="auto"/>
              </w:rPr>
            </w:pPr>
            <w:r>
              <w:rPr>
                <w:rFonts w:ascii="Arial" w:cs="Arial" w:eastAsia="Arial" w:hAnsi="Arial"/>
                <w:sz w:val="13"/>
                <w:szCs w:val="13"/>
                <w:color w:val="auto"/>
              </w:rPr>
              <w:t>16,606</w:t>
            </w:r>
          </w:p>
        </w:tc>
        <w:tc>
          <w:tcPr>
            <w:tcW w:w="0" w:type="dxa"/>
            <w:vAlign w:val="bottom"/>
          </w:tcPr>
          <w:p>
            <w:pPr>
              <w:spacing w:after="0"/>
              <w:rPr>
                <w:sz w:val="1"/>
                <w:szCs w:val="1"/>
                <w:color w:val="auto"/>
              </w:rPr>
            </w:pPr>
          </w:p>
        </w:tc>
      </w:tr>
      <w:tr>
        <w:trPr>
          <w:trHeight w:val="148"/>
        </w:trPr>
        <w:tc>
          <w:tcPr>
            <w:tcW w:w="1300" w:type="dxa"/>
            <w:vAlign w:val="bottom"/>
            <w:shd w:val="clear" w:color="auto" w:fill="BFBFBF"/>
          </w:tcPr>
          <w:p>
            <w:pPr>
              <w:jc w:val="center"/>
              <w:spacing w:after="0" w:line="148" w:lineRule="exact"/>
              <w:rPr>
                <w:sz w:val="20"/>
                <w:szCs w:val="20"/>
                <w:color w:val="auto"/>
              </w:rPr>
            </w:pPr>
            <w:r>
              <w:rPr>
                <w:rFonts w:ascii="Arial" w:cs="Arial" w:eastAsia="Arial" w:hAnsi="Arial"/>
                <w:sz w:val="13"/>
                <w:szCs w:val="13"/>
                <w:color w:val="auto"/>
              </w:rPr>
              <w:t>2/13/2020</w:t>
            </w:r>
          </w:p>
        </w:tc>
        <w:tc>
          <w:tcPr>
            <w:tcW w:w="100" w:type="dxa"/>
            <w:vAlign w:val="bottom"/>
            <w:shd w:val="clear" w:color="auto" w:fill="BFBFBF"/>
          </w:tcPr>
          <w:p>
            <w:pPr>
              <w:spacing w:after="0"/>
              <w:rPr>
                <w:sz w:val="12"/>
                <w:szCs w:val="12"/>
                <w:color w:val="auto"/>
              </w:rPr>
            </w:pPr>
          </w:p>
        </w:tc>
        <w:tc>
          <w:tcPr>
            <w:tcW w:w="2340" w:type="dxa"/>
            <w:vAlign w:val="bottom"/>
            <w:shd w:val="clear" w:color="auto" w:fill="BFBFBF"/>
          </w:tcPr>
          <w:p>
            <w:pPr>
              <w:jc w:val="center"/>
              <w:spacing w:after="0" w:line="148" w:lineRule="exact"/>
              <w:rPr>
                <w:sz w:val="20"/>
                <w:szCs w:val="20"/>
                <w:color w:val="auto"/>
              </w:rPr>
            </w:pPr>
            <w:r>
              <w:rPr>
                <w:rFonts w:ascii="Arial" w:cs="Arial" w:eastAsia="Arial" w:hAnsi="Arial"/>
                <w:sz w:val="13"/>
                <w:szCs w:val="13"/>
                <w:color w:val="auto"/>
              </w:rPr>
              <w:t>17,190</w:t>
            </w:r>
          </w:p>
        </w:tc>
        <w:tc>
          <w:tcPr>
            <w:tcW w:w="1740" w:type="dxa"/>
            <w:vAlign w:val="bottom"/>
            <w:gridSpan w:val="2"/>
            <w:shd w:val="clear" w:color="auto" w:fill="BFBFBF"/>
          </w:tcPr>
          <w:p>
            <w:pPr>
              <w:jc w:val="center"/>
              <w:ind w:left="14"/>
              <w:spacing w:after="0" w:line="148" w:lineRule="exact"/>
              <w:rPr>
                <w:sz w:val="20"/>
                <w:szCs w:val="20"/>
                <w:color w:val="auto"/>
              </w:rPr>
            </w:pPr>
            <w:r>
              <w:rPr>
                <w:rFonts w:ascii="Arial" w:cs="Arial" w:eastAsia="Arial" w:hAnsi="Arial"/>
                <w:sz w:val="13"/>
                <w:szCs w:val="13"/>
                <w:color w:val="auto"/>
              </w:rPr>
              <w:t>4,979</w:t>
            </w:r>
          </w:p>
        </w:tc>
        <w:tc>
          <w:tcPr>
            <w:tcW w:w="1660" w:type="dxa"/>
            <w:vAlign w:val="bottom"/>
            <w:gridSpan w:val="2"/>
            <w:shd w:val="clear" w:color="auto" w:fill="BFBFBF"/>
          </w:tcPr>
          <w:p>
            <w:pPr>
              <w:jc w:val="center"/>
              <w:spacing w:after="0" w:line="148" w:lineRule="exact"/>
              <w:rPr>
                <w:sz w:val="20"/>
                <w:szCs w:val="20"/>
                <w:color w:val="auto"/>
              </w:rPr>
            </w:pPr>
            <w:r>
              <w:rPr>
                <w:rFonts w:ascii="Arial" w:cs="Arial" w:eastAsia="Arial" w:hAnsi="Arial"/>
                <w:sz w:val="13"/>
                <w:szCs w:val="13"/>
                <w:color w:val="auto"/>
                <w:w w:val="98"/>
              </w:rPr>
              <w:t>2,963</w:t>
            </w:r>
          </w:p>
        </w:tc>
        <w:tc>
          <w:tcPr>
            <w:tcW w:w="1780" w:type="dxa"/>
            <w:vAlign w:val="bottom"/>
            <w:gridSpan w:val="2"/>
            <w:shd w:val="clear" w:color="auto" w:fill="BFBFBF"/>
          </w:tcPr>
          <w:p>
            <w:pPr>
              <w:jc w:val="center"/>
              <w:spacing w:after="0" w:line="148" w:lineRule="exact"/>
              <w:rPr>
                <w:sz w:val="20"/>
                <w:szCs w:val="20"/>
                <w:color w:val="auto"/>
              </w:rPr>
            </w:pPr>
            <w:r>
              <w:rPr>
                <w:rFonts w:ascii="Arial" w:cs="Arial" w:eastAsia="Arial" w:hAnsi="Arial"/>
                <w:sz w:val="13"/>
                <w:szCs w:val="13"/>
                <w:color w:val="auto"/>
                <w:w w:val="98"/>
              </w:rPr>
              <w:t>2,213</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640" w:hanging="498"/>
        <w:spacing w:after="0" w:line="253" w:lineRule="auto"/>
        <w:tabs>
          <w:tab w:leader="none" w:pos="1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This value was determined by multiplying the number of unvested shares or units by the closing price of our common stock as reported on NASDAQ on December 29, 2017 (the last trading day of 2017), which was $17.79.</w:t>
      </w:r>
    </w:p>
    <w:p>
      <w:pPr>
        <w:spacing w:after="0" w:line="179" w:lineRule="exact"/>
        <w:rPr>
          <w:rFonts w:ascii="Arial" w:cs="Arial" w:eastAsia="Arial" w:hAnsi="Arial"/>
          <w:sz w:val="16"/>
          <w:szCs w:val="16"/>
          <w:color w:val="auto"/>
        </w:rPr>
      </w:pPr>
    </w:p>
    <w:p>
      <w:pPr>
        <w:ind w:left="1640" w:right="40" w:hanging="498"/>
        <w:spacing w:after="0" w:line="244" w:lineRule="auto"/>
        <w:tabs>
          <w:tab w:leader="none" w:pos="1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These amounts represent outstanding and unvested awards of PSUs (at threshold) granted in 2015 scheduled to vest, if at all, based on the Company's achievement of metrics related to relative TSR over a three-year period ending April 27, 2018. In measuring our relative TSR, 50% is weighted to our performance against the MSCI US REIT Index (measured in basis points), and 50% is weighted to our performance against our 2015 peer group (measured by percentile ranking). As a result of actual performance through the mailing date of this Proxy Statement, none of the shares reported are expected to vest.</w:t>
      </w:r>
    </w:p>
    <w:p>
      <w:pPr>
        <w:spacing w:after="0" w:line="174" w:lineRule="exact"/>
        <w:rPr>
          <w:rFonts w:ascii="Arial" w:cs="Arial" w:eastAsia="Arial" w:hAnsi="Arial"/>
          <w:sz w:val="16"/>
          <w:szCs w:val="16"/>
          <w:color w:val="auto"/>
        </w:rPr>
      </w:pPr>
    </w:p>
    <w:p>
      <w:pPr>
        <w:ind w:left="1640" w:right="20" w:hanging="498"/>
        <w:spacing w:after="0" w:line="245" w:lineRule="auto"/>
        <w:tabs>
          <w:tab w:leader="none" w:pos="1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These amounts represent outstanding and unvested awards of PSUs (at target) granted in 2016 scheduled to vest, if at all, based on the Company's achievement of metrics related to relative TSR over a three-year period ending March 1, 2019. In measuring our relative TSR, 50% is weighted to our performance against our 2016 peer group, and 50% is weighted to our performance against our 2016 telecom peer group, in each case measured by percentile ranking.</w:t>
      </w:r>
    </w:p>
    <w:p>
      <w:pPr>
        <w:spacing w:after="0" w:line="173" w:lineRule="exact"/>
        <w:rPr>
          <w:rFonts w:ascii="Arial" w:cs="Arial" w:eastAsia="Arial" w:hAnsi="Arial"/>
          <w:sz w:val="16"/>
          <w:szCs w:val="16"/>
          <w:color w:val="auto"/>
        </w:rPr>
      </w:pPr>
    </w:p>
    <w:p>
      <w:pPr>
        <w:ind w:left="1640" w:right="60" w:hanging="498"/>
        <w:spacing w:after="0" w:line="244" w:lineRule="auto"/>
        <w:tabs>
          <w:tab w:leader="none" w:pos="1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These amounts represent outstanding and unvested awards of PSUs (at threshold) granted in 2017 scheduled to vest, if at all, based on the Company's achievement of metrics related to relative TSR over a three-year period ending March 1, 2020. In measuring our relative TSR, 50% is weighted to our performance against the Peer Group, and 50% is weighted to our performance against the Telecom Peer Group, in each case measured by percentile ranking, as further discussed in the Compensation Discussion &amp; Analysis under the heading "Elements of 2017 Compensation—Equity-Based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ACD2"/>
        </w:rPr>
        <w:t>Options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5868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sets forth certain information regarding the vesting of equity awards held by the individuals named below during 2017.</w:t>
      </w:r>
    </w:p>
    <w:p>
      <w:pPr>
        <w:spacing w:after="0" w:line="184" w:lineRule="exact"/>
        <w:rPr>
          <w:sz w:val="20"/>
          <w:szCs w:val="20"/>
          <w:color w:val="auto"/>
        </w:rPr>
      </w:pPr>
    </w:p>
    <w:tbl>
      <w:tblPr>
        <w:tblLayout w:type="fixed"/>
        <w:tblInd w:w="2280" w:type="dxa"/>
        <w:tblCellMar>
          <w:top w:w="0" w:type="dxa"/>
          <w:left w:w="0" w:type="dxa"/>
          <w:bottom w:w="0" w:type="dxa"/>
          <w:right w:w="0" w:type="dxa"/>
        </w:tblCellMar>
      </w:tblPr>
      <w:tr>
        <w:trPr>
          <w:trHeight w:val="160"/>
        </w:trPr>
        <w:tc>
          <w:tcPr>
            <w:tcW w:w="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280" w:type="dxa"/>
            <w:vAlign w:val="bottom"/>
            <w:gridSpan w:val="5"/>
          </w:tcPr>
          <w:p>
            <w:pPr>
              <w:jc w:val="right"/>
              <w:ind w:right="620"/>
              <w:spacing w:after="0"/>
              <w:rPr>
                <w:sz w:val="20"/>
                <w:szCs w:val="20"/>
                <w:color w:val="auto"/>
              </w:rPr>
            </w:pPr>
            <w:r>
              <w:rPr>
                <w:rFonts w:ascii="Arial" w:cs="Arial" w:eastAsia="Arial" w:hAnsi="Arial"/>
                <w:sz w:val="13"/>
                <w:szCs w:val="13"/>
                <w:b w:val="1"/>
                <w:bCs w:val="1"/>
                <w:color w:val="auto"/>
              </w:rPr>
              <w:t>Stock Awards(1)</w:t>
            </w:r>
          </w:p>
        </w:tc>
        <w:tc>
          <w:tcPr>
            <w:tcW w:w="0" w:type="dxa"/>
            <w:vAlign w:val="bottom"/>
          </w:tcPr>
          <w:p>
            <w:pPr>
              <w:spacing w:after="0"/>
              <w:rPr>
                <w:sz w:val="1"/>
                <w:szCs w:val="1"/>
                <w:color w:val="auto"/>
              </w:rPr>
            </w:pPr>
          </w:p>
        </w:tc>
      </w:tr>
      <w:tr>
        <w:trPr>
          <w:trHeight w:val="129"/>
        </w:trPr>
        <w:tc>
          <w:tcPr>
            <w:tcW w:w="3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380" w:type="dxa"/>
            <w:vAlign w:val="bottom"/>
            <w:tcBorders>
              <w:top w:val="single" w:sz="8" w:color="auto"/>
            </w:tcBorders>
            <w:gridSpan w:val="2"/>
          </w:tcPr>
          <w:p>
            <w:pPr>
              <w:jc w:val="center"/>
              <w:ind w:right="520"/>
              <w:spacing w:after="0" w:line="12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380" w:type="dxa"/>
            <w:vAlign w:val="bottom"/>
            <w:gridSpan w:val="2"/>
          </w:tcPr>
          <w:p>
            <w:pPr>
              <w:jc w:val="center"/>
              <w:ind w:right="540"/>
              <w:spacing w:after="0" w:line="148"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2"/>
                <w:szCs w:val="12"/>
                <w:color w:val="auto"/>
              </w:rPr>
            </w:pPr>
          </w:p>
        </w:tc>
        <w:tc>
          <w:tcPr>
            <w:tcW w:w="82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380" w:type="dxa"/>
            <w:vAlign w:val="bottom"/>
            <w:gridSpan w:val="2"/>
          </w:tcPr>
          <w:p>
            <w:pPr>
              <w:jc w:val="center"/>
              <w:ind w:right="540"/>
              <w:spacing w:after="0" w:line="148" w:lineRule="exact"/>
              <w:rPr>
                <w:sz w:val="20"/>
                <w:szCs w:val="20"/>
                <w:color w:val="auto"/>
              </w:rPr>
            </w:pPr>
            <w:r>
              <w:rPr>
                <w:rFonts w:ascii="Arial" w:cs="Arial" w:eastAsia="Arial" w:hAnsi="Arial"/>
                <w:sz w:val="13"/>
                <w:szCs w:val="13"/>
                <w:b w:val="1"/>
                <w:bCs w:val="1"/>
                <w:color w:val="auto"/>
                <w:w w:val="99"/>
              </w:rPr>
              <w:t>Acquired</w:t>
            </w:r>
          </w:p>
        </w:tc>
        <w:tc>
          <w:tcPr>
            <w:tcW w:w="80" w:type="dxa"/>
            <w:vAlign w:val="bottom"/>
          </w:tcPr>
          <w:p>
            <w:pPr>
              <w:spacing w:after="0"/>
              <w:rPr>
                <w:sz w:val="12"/>
                <w:szCs w:val="12"/>
                <w:color w:val="auto"/>
              </w:rPr>
            </w:pPr>
          </w:p>
        </w:tc>
        <w:tc>
          <w:tcPr>
            <w:tcW w:w="82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rPr>
              <w:t>Realized 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380" w:type="dxa"/>
            <w:vAlign w:val="bottom"/>
            <w:gridSpan w:val="2"/>
          </w:tcPr>
          <w:p>
            <w:pPr>
              <w:jc w:val="center"/>
              <w:ind w:right="540"/>
              <w:spacing w:after="0" w:line="148" w:lineRule="exact"/>
              <w:rPr>
                <w:sz w:val="20"/>
                <w:szCs w:val="20"/>
                <w:color w:val="auto"/>
              </w:rPr>
            </w:pPr>
            <w:r>
              <w:rPr>
                <w:rFonts w:ascii="Arial" w:cs="Arial" w:eastAsia="Arial" w:hAnsi="Arial"/>
                <w:sz w:val="13"/>
                <w:szCs w:val="13"/>
                <w:b w:val="1"/>
                <w:bCs w:val="1"/>
                <w:color w:val="auto"/>
              </w:rPr>
              <w:t>on</w:t>
            </w:r>
          </w:p>
        </w:tc>
        <w:tc>
          <w:tcPr>
            <w:tcW w:w="80" w:type="dxa"/>
            <w:vAlign w:val="bottom"/>
          </w:tcPr>
          <w:p>
            <w:pPr>
              <w:spacing w:after="0"/>
              <w:rPr>
                <w:sz w:val="12"/>
                <w:szCs w:val="12"/>
                <w:color w:val="auto"/>
              </w:rPr>
            </w:pPr>
          </w:p>
        </w:tc>
        <w:tc>
          <w:tcPr>
            <w:tcW w:w="820" w:type="dxa"/>
            <w:vAlign w:val="bottom"/>
            <w:gridSpan w:val="2"/>
          </w:tcPr>
          <w:p>
            <w:pPr>
              <w:jc w:val="center"/>
              <w:ind w:right="80"/>
              <w:spacing w:after="0" w:line="148" w:lineRule="exact"/>
              <w:rPr>
                <w:sz w:val="20"/>
                <w:szCs w:val="20"/>
                <w:color w:val="auto"/>
              </w:rPr>
            </w:pPr>
            <w:r>
              <w:rPr>
                <w:rFonts w:ascii="Arial" w:cs="Arial" w:eastAsia="Arial" w:hAnsi="Arial"/>
                <w:sz w:val="13"/>
                <w:szCs w:val="13"/>
                <w:b w:val="1"/>
                <w:bCs w:val="1"/>
                <w:color w:val="auto"/>
                <w:w w:val="97"/>
              </w:rPr>
              <w:t>Vesting</w:t>
            </w:r>
          </w:p>
        </w:tc>
        <w:tc>
          <w:tcPr>
            <w:tcW w:w="0" w:type="dxa"/>
            <w:vAlign w:val="bottom"/>
          </w:tcPr>
          <w:p>
            <w:pPr>
              <w:spacing w:after="0"/>
              <w:rPr>
                <w:sz w:val="1"/>
                <w:szCs w:val="1"/>
                <w:color w:val="auto"/>
              </w:rPr>
            </w:pPr>
          </w:p>
        </w:tc>
      </w:tr>
      <w:tr>
        <w:trPr>
          <w:trHeight w:val="160"/>
        </w:trPr>
        <w:tc>
          <w:tcPr>
            <w:tcW w:w="444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Vesting (#)</w:t>
            </w:r>
          </w:p>
        </w:tc>
        <w:tc>
          <w:tcPr>
            <w:tcW w:w="5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38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25,372(2)</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vMerge w:val="restart"/>
          </w:tcPr>
          <w:p>
            <w:pPr>
              <w:jc w:val="right"/>
              <w:spacing w:after="0"/>
              <w:rPr>
                <w:sz w:val="20"/>
                <w:szCs w:val="20"/>
                <w:color w:val="auto"/>
              </w:rPr>
            </w:pPr>
            <w:r>
              <w:rPr>
                <w:rFonts w:ascii="Arial" w:cs="Arial" w:eastAsia="Arial" w:hAnsi="Arial"/>
                <w:sz w:val="13"/>
                <w:szCs w:val="13"/>
                <w:color w:val="auto"/>
              </w:rPr>
              <w:t>730,714</w:t>
            </w:r>
          </w:p>
        </w:tc>
        <w:tc>
          <w:tcPr>
            <w:tcW w:w="0" w:type="dxa"/>
            <w:vAlign w:val="bottom"/>
          </w:tcPr>
          <w:p>
            <w:pPr>
              <w:spacing w:after="0" w:line="20" w:lineRule="exact"/>
              <w:rPr>
                <w:sz w:val="1"/>
                <w:szCs w:val="1"/>
                <w:color w:val="auto"/>
              </w:rPr>
            </w:pPr>
          </w:p>
        </w:tc>
      </w:tr>
      <w:tr>
        <w:trPr>
          <w:trHeight w:val="142"/>
        </w:trPr>
        <w:tc>
          <w:tcPr>
            <w:tcW w:w="4440" w:type="dxa"/>
            <w:vAlign w:val="bottom"/>
            <w:gridSpan w:val="3"/>
          </w:tcPr>
          <w:p>
            <w:pPr>
              <w:spacing w:after="0" w:line="142" w:lineRule="exact"/>
              <w:rPr>
                <w:sz w:val="20"/>
                <w:szCs w:val="20"/>
                <w:color w:val="auto"/>
              </w:rPr>
            </w:pPr>
            <w:r>
              <w:rPr>
                <w:rFonts w:ascii="Arial" w:cs="Arial" w:eastAsia="Arial" w:hAnsi="Arial"/>
                <w:sz w:val="13"/>
                <w:szCs w:val="13"/>
                <w:color w:val="auto"/>
              </w:rPr>
              <w:t>Kenneth A. Gunderman</w:t>
            </w:r>
          </w:p>
        </w:tc>
        <w:tc>
          <w:tcPr>
            <w:tcW w:w="138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3"/>
                <w:szCs w:val="13"/>
                <w:color w:val="auto"/>
              </w:rPr>
              <w:t>15,806(3)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408,585</w:t>
            </w:r>
          </w:p>
        </w:tc>
        <w:tc>
          <w:tcPr>
            <w:tcW w:w="0" w:type="dxa"/>
            <w:vAlign w:val="bottom"/>
          </w:tcPr>
          <w:p>
            <w:pPr>
              <w:spacing w:after="0"/>
              <w:rPr>
                <w:sz w:val="1"/>
                <w:szCs w:val="1"/>
                <w:color w:val="auto"/>
              </w:rPr>
            </w:pPr>
          </w:p>
        </w:tc>
      </w:tr>
      <w:tr>
        <w:trPr>
          <w:trHeight w:val="148"/>
        </w:trPr>
        <w:tc>
          <w:tcPr>
            <w:tcW w:w="4440" w:type="dxa"/>
            <w:vAlign w:val="bottom"/>
            <w:gridSpan w:val="3"/>
            <w:shd w:val="clear" w:color="auto" w:fill="BFBFBF"/>
          </w:tcPr>
          <w:p>
            <w:pPr>
              <w:spacing w:after="0" w:line="148" w:lineRule="exact"/>
              <w:rPr>
                <w:sz w:val="20"/>
                <w:szCs w:val="20"/>
                <w:color w:val="auto"/>
              </w:rPr>
            </w:pPr>
            <w:r>
              <w:rPr>
                <w:rFonts w:ascii="Arial" w:cs="Arial" w:eastAsia="Arial" w:hAnsi="Arial"/>
                <w:sz w:val="13"/>
                <w:szCs w:val="13"/>
                <w:color w:val="auto"/>
              </w:rPr>
              <w:t>Mark A. Wallace</w:t>
            </w:r>
          </w:p>
        </w:tc>
        <w:tc>
          <w:tcPr>
            <w:tcW w:w="1380" w:type="dxa"/>
            <w:vAlign w:val="bottom"/>
            <w:gridSpan w:val="2"/>
            <w:shd w:val="clear" w:color="auto" w:fill="BFBFBF"/>
          </w:tcPr>
          <w:p>
            <w:pPr>
              <w:jc w:val="right"/>
              <w:ind w:right="380"/>
              <w:spacing w:after="0" w:line="148" w:lineRule="exact"/>
              <w:rPr>
                <w:sz w:val="20"/>
                <w:szCs w:val="20"/>
                <w:color w:val="auto"/>
              </w:rPr>
            </w:pPr>
            <w:r>
              <w:rPr>
                <w:rFonts w:ascii="Arial" w:cs="Arial" w:eastAsia="Arial" w:hAnsi="Arial"/>
                <w:sz w:val="13"/>
                <w:szCs w:val="13"/>
                <w:color w:val="auto"/>
              </w:rPr>
              <w:t>5,133(2)</w:t>
            </w:r>
          </w:p>
        </w:tc>
        <w:tc>
          <w:tcPr>
            <w:tcW w:w="80" w:type="dxa"/>
            <w:vAlign w:val="bottom"/>
            <w:shd w:val="clear" w:color="auto" w:fill="BFBFBF"/>
          </w:tcPr>
          <w:p>
            <w:pPr>
              <w:jc w:val="right"/>
              <w:spacing w:after="0" w:line="148" w:lineRule="exact"/>
              <w:rPr>
                <w:sz w:val="20"/>
                <w:szCs w:val="20"/>
                <w:color w:val="auto"/>
              </w:rPr>
            </w:pPr>
            <w:r>
              <w:rPr>
                <w:rFonts w:ascii="Arial" w:cs="Arial" w:eastAsia="Arial" w:hAnsi="Arial"/>
                <w:sz w:val="13"/>
                <w:szCs w:val="13"/>
                <w:color w:val="auto"/>
                <w:w w:val="82"/>
              </w:rPr>
              <w:t>$</w:t>
            </w:r>
          </w:p>
        </w:tc>
        <w:tc>
          <w:tcPr>
            <w:tcW w:w="800" w:type="dxa"/>
            <w:vAlign w:val="bottom"/>
            <w:shd w:val="clear" w:color="auto" w:fill="BFBFBF"/>
          </w:tcPr>
          <w:p>
            <w:pPr>
              <w:jc w:val="right"/>
              <w:spacing w:after="0" w:line="148" w:lineRule="exact"/>
              <w:rPr>
                <w:sz w:val="20"/>
                <w:szCs w:val="20"/>
                <w:color w:val="auto"/>
              </w:rPr>
            </w:pPr>
            <w:r>
              <w:rPr>
                <w:rFonts w:ascii="Arial" w:cs="Arial" w:eastAsia="Arial" w:hAnsi="Arial"/>
                <w:sz w:val="13"/>
                <w:szCs w:val="13"/>
                <w:color w:val="auto"/>
              </w:rPr>
              <w:t>147,830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BFBFBF"/>
          </w:tcPr>
          <w:p>
            <w:pPr>
              <w:spacing w:after="0"/>
              <w:rPr>
                <w:sz w:val="12"/>
                <w:szCs w:val="12"/>
                <w:color w:val="auto"/>
              </w:rPr>
            </w:pPr>
          </w:p>
        </w:tc>
        <w:tc>
          <w:tcPr>
            <w:tcW w:w="1460" w:type="dxa"/>
            <w:vAlign w:val="bottom"/>
            <w:shd w:val="clear" w:color="auto" w:fill="BFBFBF"/>
          </w:tcPr>
          <w:p>
            <w:pPr>
              <w:spacing w:after="0"/>
              <w:rPr>
                <w:sz w:val="12"/>
                <w:szCs w:val="12"/>
                <w:color w:val="auto"/>
              </w:rPr>
            </w:pPr>
          </w:p>
        </w:tc>
        <w:tc>
          <w:tcPr>
            <w:tcW w:w="2620" w:type="dxa"/>
            <w:vAlign w:val="bottom"/>
            <w:shd w:val="clear" w:color="auto" w:fill="BFBFBF"/>
          </w:tcPr>
          <w:p>
            <w:pPr>
              <w:spacing w:after="0"/>
              <w:rPr>
                <w:sz w:val="12"/>
                <w:szCs w:val="12"/>
                <w:color w:val="auto"/>
              </w:rPr>
            </w:pPr>
          </w:p>
        </w:tc>
        <w:tc>
          <w:tcPr>
            <w:tcW w:w="1380" w:type="dxa"/>
            <w:vAlign w:val="bottom"/>
            <w:gridSpan w:val="2"/>
            <w:shd w:val="clear" w:color="auto" w:fill="BFBFBF"/>
          </w:tcPr>
          <w:p>
            <w:pPr>
              <w:jc w:val="right"/>
              <w:ind w:right="380"/>
              <w:spacing w:after="0" w:line="148" w:lineRule="exact"/>
              <w:rPr>
                <w:sz w:val="20"/>
                <w:szCs w:val="20"/>
                <w:color w:val="auto"/>
              </w:rPr>
            </w:pPr>
            <w:r>
              <w:rPr>
                <w:rFonts w:ascii="Arial" w:cs="Arial" w:eastAsia="Arial" w:hAnsi="Arial"/>
                <w:sz w:val="13"/>
                <w:szCs w:val="13"/>
                <w:color w:val="auto"/>
              </w:rPr>
              <w:t>2,408(3)</w:t>
            </w:r>
          </w:p>
        </w:tc>
        <w:tc>
          <w:tcPr>
            <w:tcW w:w="80" w:type="dxa"/>
            <w:vAlign w:val="bottom"/>
            <w:shd w:val="clear" w:color="auto" w:fill="BFBFBF"/>
          </w:tcPr>
          <w:p>
            <w:pPr>
              <w:jc w:val="right"/>
              <w:spacing w:after="0" w:line="148" w:lineRule="exact"/>
              <w:rPr>
                <w:sz w:val="20"/>
                <w:szCs w:val="20"/>
                <w:color w:val="auto"/>
              </w:rPr>
            </w:pPr>
            <w:r>
              <w:rPr>
                <w:rFonts w:ascii="Arial" w:cs="Arial" w:eastAsia="Arial" w:hAnsi="Arial"/>
                <w:sz w:val="13"/>
                <w:szCs w:val="13"/>
                <w:color w:val="auto"/>
                <w:w w:val="82"/>
              </w:rPr>
              <w:t>$</w:t>
            </w:r>
          </w:p>
        </w:tc>
        <w:tc>
          <w:tcPr>
            <w:tcW w:w="800" w:type="dxa"/>
            <w:vAlign w:val="bottom"/>
            <w:shd w:val="clear" w:color="auto" w:fill="BFBFBF"/>
          </w:tcPr>
          <w:p>
            <w:pPr>
              <w:jc w:val="right"/>
              <w:spacing w:after="0" w:line="148" w:lineRule="exact"/>
              <w:rPr>
                <w:sz w:val="20"/>
                <w:szCs w:val="20"/>
                <w:color w:val="auto"/>
              </w:rPr>
            </w:pPr>
            <w:r>
              <w:rPr>
                <w:rFonts w:ascii="Arial" w:cs="Arial" w:eastAsia="Arial" w:hAnsi="Arial"/>
                <w:sz w:val="13"/>
                <w:szCs w:val="13"/>
                <w:color w:val="auto"/>
              </w:rPr>
              <w:t>62,247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40" w:type="dxa"/>
            <w:vAlign w:val="bottom"/>
            <w:gridSpan w:val="3"/>
          </w:tcPr>
          <w:p>
            <w:pPr>
              <w:spacing w:after="0"/>
              <w:rPr>
                <w:sz w:val="20"/>
                <w:szCs w:val="20"/>
                <w:color w:val="auto"/>
              </w:rPr>
            </w:pPr>
            <w:r>
              <w:rPr>
                <w:rFonts w:ascii="Arial" w:cs="Arial" w:eastAsia="Arial" w:hAnsi="Arial"/>
                <w:sz w:val="13"/>
                <w:szCs w:val="13"/>
                <w:color w:val="auto"/>
              </w:rPr>
              <w:t>Daniel L. Heard</w:t>
            </w:r>
          </w:p>
        </w:tc>
        <w:tc>
          <w:tcPr>
            <w:tcW w:w="1380" w:type="dxa"/>
            <w:vAlign w:val="bottom"/>
            <w:gridSpan w:val="2"/>
          </w:tcPr>
          <w:p>
            <w:pPr>
              <w:jc w:val="right"/>
              <w:ind w:right="380"/>
              <w:spacing w:after="0"/>
              <w:rPr>
                <w:sz w:val="20"/>
                <w:szCs w:val="20"/>
                <w:color w:val="auto"/>
              </w:rPr>
            </w:pPr>
            <w:r>
              <w:rPr>
                <w:rFonts w:ascii="Arial" w:cs="Arial" w:eastAsia="Arial" w:hAnsi="Arial"/>
                <w:sz w:val="13"/>
                <w:szCs w:val="13"/>
                <w:color w:val="auto"/>
              </w:rPr>
              <w:t>3,382(2)</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97,402</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3"/>
                <w:szCs w:val="13"/>
                <w:color w:val="auto"/>
              </w:rPr>
              <w:t>2,107(3)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54,466</w:t>
            </w:r>
          </w:p>
        </w:tc>
        <w:tc>
          <w:tcPr>
            <w:tcW w:w="0" w:type="dxa"/>
            <w:vAlign w:val="bottom"/>
          </w:tcPr>
          <w:p>
            <w:pPr>
              <w:spacing w:after="0"/>
              <w:rPr>
                <w:sz w:val="1"/>
                <w:szCs w:val="1"/>
                <w:color w:val="auto"/>
              </w:rPr>
            </w:pPr>
          </w:p>
        </w:tc>
      </w:tr>
      <w:tr>
        <w:trPr>
          <w:trHeight w:val="148"/>
        </w:trPr>
        <w:tc>
          <w:tcPr>
            <w:tcW w:w="4440" w:type="dxa"/>
            <w:vAlign w:val="bottom"/>
            <w:gridSpan w:val="3"/>
            <w:shd w:val="clear" w:color="auto" w:fill="BFBFBF"/>
          </w:tcPr>
          <w:p>
            <w:pPr>
              <w:spacing w:after="0" w:line="148" w:lineRule="exact"/>
              <w:rPr>
                <w:sz w:val="20"/>
                <w:szCs w:val="20"/>
                <w:color w:val="auto"/>
              </w:rPr>
            </w:pPr>
            <w:r>
              <w:rPr>
                <w:rFonts w:ascii="Arial" w:cs="Arial" w:eastAsia="Arial" w:hAnsi="Arial"/>
                <w:sz w:val="13"/>
                <w:szCs w:val="13"/>
                <w:color w:val="auto"/>
              </w:rPr>
              <w:t>Ronald J. Mudry</w:t>
            </w:r>
          </w:p>
        </w:tc>
        <w:tc>
          <w:tcPr>
            <w:tcW w:w="1380" w:type="dxa"/>
            <w:vAlign w:val="bottom"/>
            <w:gridSpan w:val="2"/>
            <w:shd w:val="clear" w:color="auto" w:fill="BFBFBF"/>
          </w:tcPr>
          <w:p>
            <w:pPr>
              <w:jc w:val="right"/>
              <w:ind w:right="54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BFBFBF"/>
          </w:tcPr>
          <w:p>
            <w:pPr>
              <w:spacing w:after="0"/>
              <w:rPr>
                <w:sz w:val="12"/>
                <w:szCs w:val="12"/>
                <w:color w:val="auto"/>
              </w:rPr>
            </w:pPr>
          </w:p>
        </w:tc>
        <w:tc>
          <w:tcPr>
            <w:tcW w:w="800" w:type="dxa"/>
            <w:vAlign w:val="bottom"/>
            <w:shd w:val="clear" w:color="auto" w:fill="BFBFBF"/>
          </w:tcPr>
          <w:p>
            <w:pPr>
              <w:jc w:val="right"/>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36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2780" w:hanging="495"/>
        <w:spacing w:after="0"/>
        <w:tabs>
          <w:tab w:leader="none" w:pos="27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Uniti does not currently grant stock options and therefore had no option exercises by any NEO in 2017.</w:t>
      </w:r>
    </w:p>
    <w:p>
      <w:pPr>
        <w:spacing w:after="0" w:line="185" w:lineRule="exact"/>
        <w:rPr>
          <w:rFonts w:ascii="Arial" w:cs="Arial" w:eastAsia="Arial" w:hAnsi="Arial"/>
          <w:sz w:val="16"/>
          <w:szCs w:val="16"/>
          <w:color w:val="auto"/>
        </w:rPr>
      </w:pPr>
    </w:p>
    <w:p>
      <w:pPr>
        <w:ind w:left="2780" w:right="220" w:hanging="495"/>
        <w:spacing w:after="0" w:line="253" w:lineRule="auto"/>
        <w:tabs>
          <w:tab w:leader="none" w:pos="27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Shares vested on March 1, 2017. The value realized upon vesting calculated by multiplying $28.80, the closing price of our common stock on the vesting date, by the number of shares that vested.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2780" w:hanging="495"/>
        <w:spacing w:after="0" w:line="253" w:lineRule="auto"/>
        <w:tabs>
          <w:tab w:leader="none" w:pos="27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Shares vested on March 31, 2017. The value realized upon vesting calculated by multiplying $25.85, the closing price of our common stock on the vesting date, by the number of shares that vested.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00ACD2"/>
        </w:rPr>
        <w:t>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5868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6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Aggregate</w:t>
            </w:r>
          </w:p>
        </w:tc>
      </w:tr>
      <w:tr>
        <w:trPr>
          <w:trHeight w:val="148"/>
        </w:trPr>
        <w:tc>
          <w:tcPr>
            <w:tcW w:w="16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Balance</w:t>
            </w:r>
          </w:p>
        </w:tc>
      </w:tr>
      <w:tr>
        <w:trPr>
          <w:trHeight w:val="148"/>
        </w:trPr>
        <w:tc>
          <w:tcPr>
            <w:tcW w:w="16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Uniti</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6"/>
              </w:rPr>
              <w:t>at</w:t>
            </w:r>
          </w:p>
        </w:tc>
      </w:tr>
      <w:tr>
        <w:trPr>
          <w:trHeight w:val="148"/>
        </w:trPr>
        <w:tc>
          <w:tcPr>
            <w:tcW w:w="16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Executive</w:t>
            </w:r>
          </w:p>
        </w:tc>
        <w:tc>
          <w:tcPr>
            <w:tcW w:w="16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Contributions</w:t>
            </w:r>
          </w:p>
        </w:tc>
        <w:tc>
          <w:tcPr>
            <w:tcW w:w="16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Aggregate</w:t>
            </w: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7"/>
              </w:rPr>
              <w:t>Last</w:t>
            </w:r>
          </w:p>
        </w:tc>
      </w:tr>
      <w:tr>
        <w:trPr>
          <w:trHeight w:val="148"/>
        </w:trPr>
        <w:tc>
          <w:tcPr>
            <w:tcW w:w="16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Contributions in</w:t>
            </w:r>
          </w:p>
        </w:tc>
        <w:tc>
          <w:tcPr>
            <w:tcW w:w="16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in Last Fiscal</w:t>
            </w:r>
          </w:p>
        </w:tc>
        <w:tc>
          <w:tcPr>
            <w:tcW w:w="16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Earnings in</w:t>
            </w:r>
          </w:p>
        </w:tc>
        <w:tc>
          <w:tcPr>
            <w:tcW w:w="140" w:type="dxa"/>
            <w:vAlign w:val="bottom"/>
          </w:tcPr>
          <w:p>
            <w:pPr>
              <w:spacing w:after="0"/>
              <w:rPr>
                <w:sz w:val="12"/>
                <w:szCs w:val="12"/>
                <w:color w:val="auto"/>
              </w:rPr>
            </w:pPr>
          </w:p>
        </w:tc>
        <w:tc>
          <w:tcPr>
            <w:tcW w:w="12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Aggregate</w:t>
            </w:r>
          </w:p>
        </w:tc>
        <w:tc>
          <w:tcPr>
            <w:tcW w:w="140" w:type="dxa"/>
            <w:vAlign w:val="bottom"/>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Fiscal</w:t>
            </w:r>
          </w:p>
        </w:tc>
      </w:tr>
      <w:tr>
        <w:trPr>
          <w:trHeight w:val="148"/>
        </w:trPr>
        <w:tc>
          <w:tcPr>
            <w:tcW w:w="16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Last Fiscal Year</w:t>
            </w:r>
          </w:p>
        </w:tc>
        <w:tc>
          <w:tcPr>
            <w:tcW w:w="16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Year</w:t>
            </w:r>
          </w:p>
        </w:tc>
        <w:tc>
          <w:tcPr>
            <w:tcW w:w="16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Last Fiscal</w:t>
            </w:r>
          </w:p>
        </w:tc>
        <w:tc>
          <w:tcPr>
            <w:tcW w:w="140" w:type="dxa"/>
            <w:vAlign w:val="bottom"/>
          </w:tcPr>
          <w:p>
            <w:pPr>
              <w:spacing w:after="0"/>
              <w:rPr>
                <w:sz w:val="12"/>
                <w:szCs w:val="12"/>
                <w:color w:val="auto"/>
              </w:rPr>
            </w:pPr>
          </w:p>
        </w:tc>
        <w:tc>
          <w:tcPr>
            <w:tcW w:w="12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Withdrawals/</w:t>
            </w:r>
          </w:p>
        </w:tc>
        <w:tc>
          <w:tcPr>
            <w:tcW w:w="140" w:type="dxa"/>
            <w:vAlign w:val="bottom"/>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Year-End</w:t>
            </w:r>
          </w:p>
        </w:tc>
      </w:tr>
      <w:tr>
        <w:trPr>
          <w:trHeight w:val="160"/>
        </w:trPr>
        <w:tc>
          <w:tcPr>
            <w:tcW w:w="16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16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Year ($)(2)</w:t>
            </w:r>
          </w:p>
        </w:tc>
        <w:tc>
          <w:tcPr>
            <w:tcW w:w="140" w:type="dxa"/>
            <w:vAlign w:val="bottom"/>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Distributions ($)</w:t>
            </w:r>
          </w:p>
        </w:tc>
        <w:tc>
          <w:tcPr>
            <w:tcW w:w="14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r>
      <w:tr>
        <w:trPr>
          <w:trHeight w:val="140"/>
        </w:trPr>
        <w:tc>
          <w:tcPr>
            <w:tcW w:w="3440" w:type="dxa"/>
            <w:vAlign w:val="bottom"/>
            <w:gridSpan w:val="2"/>
          </w:tcPr>
          <w:p>
            <w:pPr>
              <w:spacing w:after="0" w:line="141" w:lineRule="exact"/>
              <w:rPr>
                <w:sz w:val="20"/>
                <w:szCs w:val="20"/>
                <w:color w:val="auto"/>
              </w:rPr>
            </w:pPr>
            <w:r>
              <w:rPr>
                <w:rFonts w:ascii="Arial" w:cs="Arial" w:eastAsia="Arial" w:hAnsi="Arial"/>
                <w:sz w:val="13"/>
                <w:szCs w:val="13"/>
                <w:color w:val="auto"/>
              </w:rPr>
              <w:t>Kenneth A. Gunderman</w:t>
            </w:r>
          </w:p>
        </w:tc>
        <w:tc>
          <w:tcPr>
            <w:tcW w:w="1160" w:type="dxa"/>
            <w:vAlign w:val="bottom"/>
          </w:tcPr>
          <w:p>
            <w:pPr>
              <w:jc w:val="right"/>
              <w:spacing w:after="0" w:line="141" w:lineRule="exact"/>
              <w:rPr>
                <w:sz w:val="20"/>
                <w:szCs w:val="20"/>
                <w:color w:val="auto"/>
              </w:rPr>
            </w:pPr>
            <w:r>
              <w:rPr>
                <w:rFonts w:ascii="Arial" w:cs="Arial" w:eastAsia="Arial" w:hAnsi="Arial"/>
                <w:sz w:val="13"/>
                <w:szCs w:val="13"/>
                <w:color w:val="auto"/>
              </w:rPr>
              <w:t>70,000</w:t>
            </w:r>
          </w:p>
        </w:tc>
        <w:tc>
          <w:tcPr>
            <w:tcW w:w="160" w:type="dxa"/>
            <w:vAlign w:val="bottom"/>
          </w:tcPr>
          <w:p>
            <w:pPr>
              <w:spacing w:after="0"/>
              <w:rPr>
                <w:sz w:val="12"/>
                <w:szCs w:val="12"/>
                <w:color w:val="auto"/>
              </w:rPr>
            </w:pPr>
          </w:p>
        </w:tc>
        <w:tc>
          <w:tcPr>
            <w:tcW w:w="1020" w:type="dxa"/>
            <w:vAlign w:val="bottom"/>
          </w:tcPr>
          <w:p>
            <w:pPr>
              <w:ind w:left="900"/>
              <w:spacing w:after="0" w:line="141" w:lineRule="exact"/>
              <w:rPr>
                <w:sz w:val="20"/>
                <w:szCs w:val="20"/>
                <w:color w:val="auto"/>
              </w:rPr>
            </w:pPr>
            <w:r>
              <w:rPr>
                <w:rFonts w:ascii="Arial" w:cs="Arial" w:eastAsia="Arial" w:hAnsi="Arial"/>
                <w:sz w:val="13"/>
                <w:szCs w:val="13"/>
                <w:color w:val="auto"/>
                <w:w w:val="76"/>
              </w:rPr>
              <w:t>—</w:t>
            </w:r>
          </w:p>
        </w:tc>
        <w:tc>
          <w:tcPr>
            <w:tcW w:w="102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3,360</w:t>
            </w:r>
          </w:p>
        </w:tc>
        <w:tc>
          <w:tcPr>
            <w:tcW w:w="140" w:type="dxa"/>
            <w:vAlign w:val="bottom"/>
          </w:tcPr>
          <w:p>
            <w:pPr>
              <w:spacing w:after="0"/>
              <w:rPr>
                <w:sz w:val="12"/>
                <w:szCs w:val="12"/>
                <w:color w:val="auto"/>
              </w:rPr>
            </w:pPr>
          </w:p>
        </w:tc>
        <w:tc>
          <w:tcPr>
            <w:tcW w:w="1200" w:type="dxa"/>
            <w:vAlign w:val="bottom"/>
          </w:tcPr>
          <w:p>
            <w:pPr>
              <w:ind w:left="1060"/>
              <w:spacing w:after="0" w:line="141" w:lineRule="exact"/>
              <w:rPr>
                <w:sz w:val="20"/>
                <w:szCs w:val="20"/>
                <w:color w:val="auto"/>
              </w:rPr>
            </w:pPr>
            <w:r>
              <w:rPr>
                <w:rFonts w:ascii="Arial" w:cs="Arial" w:eastAsia="Arial" w:hAnsi="Arial"/>
                <w:sz w:val="13"/>
                <w:szCs w:val="13"/>
                <w:color w:val="auto"/>
                <w:w w:val="91"/>
              </w:rPr>
              <w:t>—</w:t>
            </w:r>
          </w:p>
        </w:tc>
        <w:tc>
          <w:tcPr>
            <w:tcW w:w="9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167,210</w:t>
            </w:r>
          </w:p>
        </w:tc>
      </w:tr>
      <w:tr>
        <w:trPr>
          <w:trHeight w:val="148"/>
        </w:trPr>
        <w:tc>
          <w:tcPr>
            <w:tcW w:w="3440" w:type="dxa"/>
            <w:vAlign w:val="bottom"/>
            <w:gridSpan w:val="2"/>
            <w:shd w:val="clear" w:color="auto" w:fill="BFBFBF"/>
          </w:tcPr>
          <w:p>
            <w:pPr>
              <w:spacing w:after="0" w:line="148" w:lineRule="exact"/>
              <w:rPr>
                <w:sz w:val="20"/>
                <w:szCs w:val="20"/>
                <w:color w:val="auto"/>
              </w:rPr>
            </w:pPr>
            <w:r>
              <w:rPr>
                <w:rFonts w:ascii="Arial" w:cs="Arial" w:eastAsia="Arial" w:hAnsi="Arial"/>
                <w:sz w:val="13"/>
                <w:szCs w:val="13"/>
                <w:color w:val="auto"/>
              </w:rPr>
              <w:t>Mark A. Wallace</w:t>
            </w:r>
          </w:p>
        </w:tc>
        <w:tc>
          <w:tcPr>
            <w:tcW w:w="1160" w:type="dxa"/>
            <w:vAlign w:val="bottom"/>
            <w:shd w:val="clear" w:color="auto" w:fill="BFBFBF"/>
          </w:tcPr>
          <w:p>
            <w:pPr>
              <w:jc w:val="right"/>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BFBFBF"/>
          </w:tcPr>
          <w:p>
            <w:pPr>
              <w:spacing w:after="0"/>
              <w:rPr>
                <w:sz w:val="12"/>
                <w:szCs w:val="12"/>
                <w:color w:val="auto"/>
              </w:rPr>
            </w:pPr>
          </w:p>
        </w:tc>
        <w:tc>
          <w:tcPr>
            <w:tcW w:w="1020" w:type="dxa"/>
            <w:vAlign w:val="bottom"/>
            <w:shd w:val="clear" w:color="auto" w:fill="BFBFBF"/>
          </w:tcPr>
          <w:p>
            <w:pPr>
              <w:ind w:left="900"/>
              <w:spacing w:after="0" w:line="148" w:lineRule="exact"/>
              <w:rPr>
                <w:sz w:val="20"/>
                <w:szCs w:val="20"/>
                <w:color w:val="auto"/>
              </w:rPr>
            </w:pPr>
            <w:r>
              <w:rPr>
                <w:rFonts w:ascii="Arial" w:cs="Arial" w:eastAsia="Arial" w:hAnsi="Arial"/>
                <w:sz w:val="13"/>
                <w:szCs w:val="13"/>
                <w:color w:val="auto"/>
                <w:w w:val="76"/>
              </w:rPr>
              <w:t>—</w:t>
            </w:r>
          </w:p>
        </w:tc>
        <w:tc>
          <w:tcPr>
            <w:tcW w:w="160" w:type="dxa"/>
            <w:vAlign w:val="bottom"/>
            <w:shd w:val="clear" w:color="auto" w:fill="BFBFBF"/>
          </w:tcPr>
          <w:p>
            <w:pPr>
              <w:spacing w:after="0"/>
              <w:rPr>
                <w:sz w:val="12"/>
                <w:szCs w:val="12"/>
                <w:color w:val="auto"/>
              </w:rPr>
            </w:pPr>
          </w:p>
        </w:tc>
        <w:tc>
          <w:tcPr>
            <w:tcW w:w="860" w:type="dxa"/>
            <w:vAlign w:val="bottom"/>
            <w:shd w:val="clear" w:color="auto" w:fill="BFBFBF"/>
          </w:tcPr>
          <w:p>
            <w:pPr>
              <w:jc w:val="right"/>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BFBFBF"/>
          </w:tcPr>
          <w:p>
            <w:pPr>
              <w:spacing w:after="0"/>
              <w:rPr>
                <w:sz w:val="12"/>
                <w:szCs w:val="12"/>
                <w:color w:val="auto"/>
              </w:rPr>
            </w:pPr>
          </w:p>
        </w:tc>
        <w:tc>
          <w:tcPr>
            <w:tcW w:w="1200" w:type="dxa"/>
            <w:vAlign w:val="bottom"/>
            <w:shd w:val="clear" w:color="auto" w:fill="BFBFBF"/>
          </w:tcPr>
          <w:p>
            <w:pPr>
              <w:ind w:left="1060"/>
              <w:spacing w:after="0" w:line="148"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BFBFBF"/>
          </w:tcPr>
          <w:p>
            <w:pPr>
              <w:spacing w:after="0"/>
              <w:rPr>
                <w:sz w:val="12"/>
                <w:szCs w:val="12"/>
                <w:color w:val="auto"/>
              </w:rPr>
            </w:pPr>
          </w:p>
        </w:tc>
        <w:tc>
          <w:tcPr>
            <w:tcW w:w="820" w:type="dxa"/>
            <w:vAlign w:val="bottom"/>
            <w:shd w:val="clear" w:color="auto" w:fill="BFBFBF"/>
          </w:tcPr>
          <w:p>
            <w:pPr>
              <w:jc w:val="right"/>
              <w:spacing w:after="0" w:line="148" w:lineRule="exact"/>
              <w:rPr>
                <w:sz w:val="20"/>
                <w:szCs w:val="20"/>
                <w:color w:val="auto"/>
              </w:rPr>
            </w:pPr>
            <w:r>
              <w:rPr>
                <w:rFonts w:ascii="Arial" w:cs="Arial" w:eastAsia="Arial" w:hAnsi="Arial"/>
                <w:sz w:val="13"/>
                <w:szCs w:val="13"/>
                <w:color w:val="auto"/>
              </w:rPr>
              <w:t>—</w:t>
            </w:r>
          </w:p>
        </w:tc>
      </w:tr>
      <w:tr>
        <w:trPr>
          <w:trHeight w:val="161"/>
        </w:trPr>
        <w:tc>
          <w:tcPr>
            <w:tcW w:w="3440" w:type="dxa"/>
            <w:vAlign w:val="bottom"/>
            <w:gridSpan w:val="2"/>
          </w:tcPr>
          <w:p>
            <w:pPr>
              <w:spacing w:after="0"/>
              <w:rPr>
                <w:sz w:val="20"/>
                <w:szCs w:val="20"/>
                <w:color w:val="auto"/>
              </w:rPr>
            </w:pPr>
            <w:r>
              <w:rPr>
                <w:rFonts w:ascii="Arial" w:cs="Arial" w:eastAsia="Arial" w:hAnsi="Arial"/>
                <w:sz w:val="13"/>
                <w:szCs w:val="13"/>
                <w:color w:val="auto"/>
              </w:rPr>
              <w:t>Daniel L. Heard</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20" w:type="dxa"/>
            <w:vAlign w:val="bottom"/>
          </w:tcPr>
          <w:p>
            <w:pPr>
              <w:ind w:left="900"/>
              <w:spacing w:after="0"/>
              <w:rPr>
                <w:sz w:val="20"/>
                <w:szCs w:val="20"/>
                <w:color w:val="auto"/>
              </w:rPr>
            </w:pPr>
            <w:r>
              <w:rPr>
                <w:rFonts w:ascii="Arial" w:cs="Arial" w:eastAsia="Arial" w:hAnsi="Arial"/>
                <w:sz w:val="13"/>
                <w:szCs w:val="13"/>
                <w:color w:val="auto"/>
                <w:w w:val="76"/>
              </w:rPr>
              <w:t>—</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840</w:t>
            </w:r>
          </w:p>
        </w:tc>
        <w:tc>
          <w:tcPr>
            <w:tcW w:w="140" w:type="dxa"/>
            <w:vAlign w:val="bottom"/>
          </w:tcPr>
          <w:p>
            <w:pPr>
              <w:spacing w:after="0"/>
              <w:rPr>
                <w:sz w:val="14"/>
                <w:szCs w:val="14"/>
                <w:color w:val="auto"/>
              </w:rPr>
            </w:pPr>
          </w:p>
        </w:tc>
        <w:tc>
          <w:tcPr>
            <w:tcW w:w="1200" w:type="dxa"/>
            <w:vAlign w:val="bottom"/>
          </w:tcPr>
          <w:p>
            <w:pPr>
              <w:ind w:left="1060"/>
              <w:spacing w:after="0"/>
              <w:rPr>
                <w:sz w:val="20"/>
                <w:szCs w:val="20"/>
                <w:color w:val="auto"/>
              </w:rPr>
            </w:pPr>
            <w:r>
              <w:rPr>
                <w:rFonts w:ascii="Arial" w:cs="Arial" w:eastAsia="Arial" w:hAnsi="Arial"/>
                <w:sz w:val="13"/>
                <w:szCs w:val="13"/>
                <w:color w:val="auto"/>
                <w:w w:val="91"/>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47,469</w:t>
            </w:r>
          </w:p>
        </w:tc>
      </w:tr>
      <w:tr>
        <w:trPr>
          <w:trHeight w:val="85"/>
        </w:trPr>
        <w:tc>
          <w:tcPr>
            <w:tcW w:w="1640" w:type="dxa"/>
            <w:vAlign w:val="bottom"/>
            <w:tcBorders>
              <w:bottom w:val="single" w:sz="8" w:color="auto"/>
            </w:tcBorders>
          </w:tcPr>
          <w:p>
            <w:pPr>
              <w:spacing w:after="0"/>
              <w:rPr>
                <w:sz w:val="7"/>
                <w:szCs w:val="7"/>
                <w:color w:val="auto"/>
              </w:rPr>
            </w:pPr>
          </w:p>
        </w:tc>
        <w:tc>
          <w:tcPr>
            <w:tcW w:w="18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r>
    </w:tbl>
    <w:p>
      <w:pPr>
        <w:spacing w:after="0" w:line="213" w:lineRule="exact"/>
        <w:rPr>
          <w:sz w:val="20"/>
          <w:szCs w:val="20"/>
          <w:color w:val="auto"/>
        </w:rPr>
      </w:pPr>
    </w:p>
    <w:p>
      <w:pPr>
        <w:ind w:left="1640" w:hanging="498"/>
        <w:spacing w:after="0"/>
        <w:tabs>
          <w:tab w:leader="none" w:pos="1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Amounts included in this column are included in the "Salary" column of the Summary Compensation Table.</w:t>
      </w:r>
    </w:p>
    <w:p>
      <w:pPr>
        <w:spacing w:after="0" w:line="185" w:lineRule="exact"/>
        <w:rPr>
          <w:rFonts w:ascii="Arial" w:cs="Arial" w:eastAsia="Arial" w:hAnsi="Arial"/>
          <w:sz w:val="16"/>
          <w:szCs w:val="16"/>
          <w:color w:val="auto"/>
        </w:rPr>
      </w:pPr>
    </w:p>
    <w:p>
      <w:pPr>
        <w:ind w:left="1640" w:right="220" w:hanging="498"/>
        <w:spacing w:after="0" w:line="253" w:lineRule="auto"/>
        <w:tabs>
          <w:tab w:leader="none" w:pos="1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There were no "above-market earnings" for 2017 and therefore none of these amounts were included in the Summary Compensation Table.</w:t>
      </w:r>
    </w:p>
    <w:p>
      <w:pPr>
        <w:spacing w:after="0" w:line="179" w:lineRule="exact"/>
        <w:rPr>
          <w:sz w:val="20"/>
          <w:szCs w:val="20"/>
          <w:color w:val="auto"/>
        </w:rPr>
      </w:pPr>
    </w:p>
    <w:p>
      <w:pPr>
        <w:ind w:firstLine="621"/>
        <w:spacing w:after="0" w:line="244" w:lineRule="auto"/>
        <w:rPr>
          <w:sz w:val="20"/>
          <w:szCs w:val="20"/>
          <w:color w:val="auto"/>
        </w:rPr>
      </w:pPr>
      <w:r>
        <w:rPr>
          <w:rFonts w:ascii="Arial" w:cs="Arial" w:eastAsia="Arial" w:hAnsi="Arial"/>
          <w:sz w:val="16"/>
          <w:szCs w:val="16"/>
          <w:color w:val="auto"/>
        </w:rPr>
        <w:t>The Uniti Group Inc. Deferred Compensation Plan (the "Plan") permits eligible employees, including the Company's NEOs, to defer payment of up to 75% of their base salary and 90% of their annual bonuses and other cash compensation. Each participant's account is credited annually with interest at a rate equal to the lesser of (i) the Company's Weighted Average Cost of Debt (as defined in the Plan) or (ii) the then current yield on the United States 10-year Treasury Note. A participant's interest in Company contributions will vest 100% after three years of service, or, if earlier, upon the employee's death or disability, upon a Change in Control (as defined in the Plan) or upon the Plan's termination.</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280"/>
          </w:cols>
          <w:pgMar w:left="240" w:top="142" w:right="379" w:bottom="1440" w:gutter="0" w:footer="0" w:header="0"/>
        </w:sectPr>
      </w:pPr>
    </w:p>
    <w:bookmarkStart w:id="49" w:name="page50"/>
    <w:bookmarkEnd w:id="49"/>
    <w:p>
      <w:pPr>
        <w:ind w:left="1"/>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7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00ACD2"/>
        </w:rPr>
        <w:t>Agreements with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5868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19"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00ACD2"/>
        </w:rPr>
        <w:t>Employment Agreement with Kenneth A. Gunderman</w:t>
      </w:r>
    </w:p>
    <w:p>
      <w:pPr>
        <w:spacing w:after="0" w:line="214" w:lineRule="exact"/>
        <w:rPr>
          <w:sz w:val="20"/>
          <w:szCs w:val="20"/>
          <w:color w:val="auto"/>
        </w:rPr>
      </w:pPr>
    </w:p>
    <w:p>
      <w:pPr>
        <w:ind w:left="1" w:right="160" w:firstLine="624"/>
        <w:spacing w:after="0" w:line="243" w:lineRule="auto"/>
        <w:rPr>
          <w:sz w:val="20"/>
          <w:szCs w:val="20"/>
          <w:color w:val="auto"/>
        </w:rPr>
      </w:pPr>
      <w:r>
        <w:rPr>
          <w:rFonts w:ascii="Arial" w:cs="Arial" w:eastAsia="Arial" w:hAnsi="Arial"/>
          <w:sz w:val="16"/>
          <w:szCs w:val="16"/>
          <w:color w:val="auto"/>
        </w:rPr>
        <w:t>Effective February 12, 2015, we entered into an Employment Agreement with Mr. Gunderman (the "Employment Agreement") pursuant to which he serves as our President and Chief Executive Officer and as a member of our Board of Directors. The original term of the Employment Agreement runs through December 31, 2018, unless earlier terminated, and it will automatically renew for successive one-year intervals after 2018 unless either party gives the other at least 90 days' notice. The Employment Agreement provides Mr. Gunderman a base salary of no less than $700,000 per year (subject to periodic review and increase) and provides further that he is eligible to participate in any annual compensation plans as may be implemented with a target bonus equal to 150% of his then base salary. The target bonus may be increased to 200% of the then base salary at the discretion of the Compensation Committee.</w:t>
      </w:r>
    </w:p>
    <w:p>
      <w:pPr>
        <w:spacing w:after="0" w:line="189" w:lineRule="exact"/>
        <w:rPr>
          <w:sz w:val="20"/>
          <w:szCs w:val="20"/>
          <w:color w:val="auto"/>
        </w:rPr>
      </w:pPr>
    </w:p>
    <w:p>
      <w:pPr>
        <w:ind w:left="1" w:right="560" w:firstLine="624"/>
        <w:spacing w:after="0" w:line="241" w:lineRule="auto"/>
        <w:rPr>
          <w:sz w:val="20"/>
          <w:szCs w:val="20"/>
          <w:color w:val="auto"/>
        </w:rPr>
      </w:pPr>
      <w:r>
        <w:rPr>
          <w:rFonts w:ascii="Arial" w:cs="Arial" w:eastAsia="Arial" w:hAnsi="Arial"/>
          <w:sz w:val="16"/>
          <w:szCs w:val="16"/>
          <w:color w:val="auto"/>
        </w:rPr>
        <w:t>Pursuant to the Employment Agreement, following the consummation of our spin-off from Windstream, we granted Mr. Gunderman a time-based restricted stock award with a grant date value of $2,625,000, which will vest in full on the third anniversary of the spin-off. Additionally, we granted</w:t>
      </w:r>
    </w:p>
    <w:p>
      <w:pPr>
        <w:ind w:left="1" w:right="140"/>
        <w:spacing w:after="0" w:line="247" w:lineRule="auto"/>
        <w:rPr>
          <w:sz w:val="20"/>
          <w:szCs w:val="20"/>
          <w:color w:val="auto"/>
        </w:rPr>
      </w:pPr>
      <w:r>
        <w:rPr>
          <w:rFonts w:ascii="Arial" w:cs="Arial" w:eastAsia="Arial" w:hAnsi="Arial"/>
          <w:sz w:val="16"/>
          <w:szCs w:val="16"/>
          <w:color w:val="auto"/>
        </w:rPr>
        <w:t>Mr. Gunderman restricted stock with a grant date value of $2,625,000, which consisted of 50% performance-based restricted stock units and 50% time-based restricted stock vesting in three equal installments on March 31 of each year, beginning on March 31, 2016. Mr. Gunderman is further entitled to receive health, welfare and retirement benefits from Uniti.</w:t>
      </w:r>
    </w:p>
    <w:p>
      <w:pPr>
        <w:spacing w:after="0" w:line="184" w:lineRule="exact"/>
        <w:rPr>
          <w:sz w:val="20"/>
          <w:szCs w:val="20"/>
          <w:color w:val="auto"/>
        </w:rPr>
      </w:pPr>
    </w:p>
    <w:p>
      <w:pPr>
        <w:ind w:left="1" w:right="200" w:firstLine="621"/>
        <w:spacing w:after="0" w:line="244" w:lineRule="auto"/>
        <w:rPr>
          <w:sz w:val="20"/>
          <w:szCs w:val="20"/>
          <w:color w:val="auto"/>
        </w:rPr>
      </w:pPr>
      <w:r>
        <w:rPr>
          <w:rFonts w:ascii="Arial" w:cs="Arial" w:eastAsia="Arial" w:hAnsi="Arial"/>
          <w:sz w:val="16"/>
          <w:szCs w:val="16"/>
          <w:color w:val="auto"/>
        </w:rPr>
        <w:t>The Employment Agreement provides that, should Mr. Gunderman's employment be terminated during the term of the Employment Agreement by his death or disability, by the Company for "cause" (as defined in the Employment Agreement) or by Mr. Gunderman without "good reason" (as defined in the Employment Agreement), then we will pay to Mr. Gunderman his base salary and any accrued vacation pay through the date of termination and any amount payable under any incentive compensation plan with respect to the measuring period ending immediately prior to the measuring period during which the termination occurs, in each case to the extent not already paid.</w:t>
      </w:r>
    </w:p>
    <w:p>
      <w:pPr>
        <w:spacing w:after="0" w:line="187" w:lineRule="exact"/>
        <w:rPr>
          <w:sz w:val="20"/>
          <w:szCs w:val="20"/>
          <w:color w:val="auto"/>
        </w:rPr>
      </w:pPr>
    </w:p>
    <w:p>
      <w:pPr>
        <w:ind w:left="1" w:right="40" w:firstLine="624"/>
        <w:spacing w:after="0" w:line="247" w:lineRule="auto"/>
        <w:rPr>
          <w:sz w:val="20"/>
          <w:szCs w:val="20"/>
          <w:color w:val="auto"/>
        </w:rPr>
      </w:pPr>
      <w:r>
        <w:rPr>
          <w:rFonts w:ascii="Arial" w:cs="Arial" w:eastAsia="Arial" w:hAnsi="Arial"/>
          <w:sz w:val="16"/>
          <w:szCs w:val="16"/>
          <w:color w:val="auto"/>
        </w:rPr>
        <w:t>In the event we terminate Mr. Gunderman's employment during the term of the Employment Agreement without cause or Mr. Gunderman terminates his employment for good reason, then we will pay to Mr. Gunderman a lump-sum severance benefit equal to two times his annual base salary (in addition to any other amounts already due and owing).</w:t>
      </w:r>
    </w:p>
    <w:p>
      <w:pPr>
        <w:spacing w:after="0" w:line="184" w:lineRule="exact"/>
        <w:rPr>
          <w:sz w:val="20"/>
          <w:szCs w:val="20"/>
          <w:color w:val="auto"/>
        </w:rPr>
      </w:pPr>
    </w:p>
    <w:p>
      <w:pPr>
        <w:jc w:val="both"/>
        <w:ind w:left="1" w:firstLine="615"/>
        <w:spacing w:after="0" w:line="241" w:lineRule="auto"/>
        <w:rPr>
          <w:sz w:val="20"/>
          <w:szCs w:val="20"/>
          <w:color w:val="auto"/>
        </w:rPr>
      </w:pPr>
      <w:r>
        <w:rPr>
          <w:rFonts w:ascii="Arial" w:cs="Arial" w:eastAsia="Arial" w:hAnsi="Arial"/>
          <w:sz w:val="16"/>
          <w:szCs w:val="16"/>
          <w:color w:val="auto"/>
        </w:rPr>
        <w:t>Additionally, if Mr. Gunderman is terminated without cause or he terminates his employment with Uniti for good reason, in each case within two years of a "change in control" of Uniti (as defined in the Employment Agreement), then we will pay to Mr. Gunderman, in a lump sum, the following amounts (in addition to any other amounts already due and owing): (i) a pro rata annual bonus for the year of termination at target; (ii) a severance benefit equal to two times the sum of</w:t>
      </w:r>
    </w:p>
    <w:p>
      <w:pPr>
        <w:spacing w:after="0" w:line="1" w:lineRule="exact"/>
        <w:rPr>
          <w:sz w:val="20"/>
          <w:szCs w:val="20"/>
          <w:color w:val="auto"/>
        </w:rPr>
      </w:pPr>
    </w:p>
    <w:p>
      <w:pPr>
        <w:ind w:left="1" w:right="20" w:hanging="1"/>
        <w:spacing w:after="0" w:line="247" w:lineRule="auto"/>
        <w:tabs>
          <w:tab w:leader="none" w:pos="233"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higher of his annual base salary in effect prior to the change in control or his annual base salary in effect prior to his termination and (y) the higher of his annual target bonus in effect prior to the change in control or his target annual bonus in effect prior to his termination; and (iii) an amount equivalent to the cost of two years' health and dental insurance continuation. No severance payable following a change in control is subject to gross-up for golden</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63130" cy="20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1"/>
          </w:cols>
          <w:pgMar w:left="239" w:top="143" w:right="25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parachute excise taxes, and the severance payable to Mr. Gunderman will be reduced to the amount that is not subject to such taxes if doing so would result in a greater after-tax payment to him. In any event, any severance payable to Mr. Gunderman will be subject to his execution of a release of claims, and the Employment Agreement also imposes one-year post termination noncompetition/nonsolicitation obligations.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00ACD2"/>
        </w:rPr>
        <w:t>Severance Agreements with Mark A. Wallace and Daniel L. Heard</w:t>
      </w:r>
    </w:p>
    <w:p>
      <w:pPr>
        <w:spacing w:after="0" w:line="214" w:lineRule="exact"/>
        <w:rPr>
          <w:sz w:val="20"/>
          <w:szCs w:val="20"/>
          <w:color w:val="auto"/>
        </w:rPr>
      </w:pPr>
    </w:p>
    <w:p>
      <w:pPr>
        <w:ind w:right="80" w:firstLine="624"/>
        <w:spacing w:after="0" w:line="245" w:lineRule="auto"/>
        <w:rPr>
          <w:sz w:val="20"/>
          <w:szCs w:val="20"/>
          <w:color w:val="auto"/>
        </w:rPr>
      </w:pPr>
      <w:r>
        <w:rPr>
          <w:rFonts w:ascii="Arial" w:cs="Arial" w:eastAsia="Arial" w:hAnsi="Arial"/>
          <w:sz w:val="16"/>
          <w:szCs w:val="16"/>
          <w:color w:val="auto"/>
        </w:rPr>
        <w:t>We entered into Severance Agreements with each of Mr. Wallace and Mr. Heard, the terms of which continue until the earliest of (i) prior to a change in control, the date of termination determined in accordance with the Severance Agreements or June 1, 2018, or (ii) after a change in control, the Company's performance of its obligations under the Severance Agreements if a payment trigger has occurred or the expiration of the period for a payment trigger to occur if such expiration occurs after June 1, 2018.</w:t>
      </w:r>
    </w:p>
    <w:p>
      <w:pPr>
        <w:spacing w:after="0" w:line="186" w:lineRule="exact"/>
        <w:rPr>
          <w:sz w:val="20"/>
          <w:szCs w:val="20"/>
          <w:color w:val="auto"/>
        </w:rPr>
      </w:pPr>
    </w:p>
    <w:p>
      <w:pPr>
        <w:ind w:firstLine="621"/>
        <w:spacing w:after="0" w:line="243" w:lineRule="auto"/>
        <w:rPr>
          <w:sz w:val="20"/>
          <w:szCs w:val="20"/>
          <w:color w:val="auto"/>
        </w:rPr>
      </w:pPr>
      <w:r>
        <w:rPr>
          <w:rFonts w:ascii="Arial" w:cs="Arial" w:eastAsia="Arial" w:hAnsi="Arial"/>
          <w:sz w:val="16"/>
          <w:szCs w:val="16"/>
          <w:color w:val="auto"/>
        </w:rPr>
        <w:t>The Severance Agreements provide that should the executive officer's employment be terminated: (i) whether due to his death or disability, by the Company for cause, or by him with or without good reason, the Company must pay to the executive officer his base salary and any accrued vacation pay through the date of termination in a lump sum within 30 days, to the extent not already paid; or (ii) by the Company without cause and such termination does not occur at the same time or within two years following a change in control of the Company, the Company must pay, in lieu of any other post-termination benefits, (x) the executive officer's annual base salary and any accrued vacation pay through the date of termination in a lump sum within 30 days, to the extent not already paid, and (y) an amount no less than his annual base salary in effect on the date of termination in equal installments over a period of one year.</w:t>
      </w:r>
    </w:p>
    <w:p>
      <w:pPr>
        <w:spacing w:after="0" w:line="189" w:lineRule="exact"/>
        <w:rPr>
          <w:sz w:val="20"/>
          <w:szCs w:val="20"/>
          <w:color w:val="auto"/>
        </w:rPr>
      </w:pPr>
    </w:p>
    <w:p>
      <w:pPr>
        <w:ind w:right="60" w:firstLine="624"/>
        <w:spacing w:after="0" w:line="253" w:lineRule="auto"/>
        <w:rPr>
          <w:sz w:val="20"/>
          <w:szCs w:val="20"/>
          <w:color w:val="auto"/>
        </w:rPr>
      </w:pPr>
      <w:r>
        <w:rPr>
          <w:rFonts w:ascii="Arial" w:cs="Arial" w:eastAsia="Arial" w:hAnsi="Arial"/>
          <w:sz w:val="16"/>
          <w:szCs w:val="16"/>
          <w:color w:val="auto"/>
        </w:rPr>
        <w:t>Should the executive officer's employment be terminated by the Company without cause or by him with good reason and such termination occurs at the same time as or within two years following a change in control of the Company, the Company must pay to the executive officer the following:</w:t>
      </w:r>
    </w:p>
    <w:p>
      <w:pPr>
        <w:spacing w:after="0" w:line="179" w:lineRule="exact"/>
        <w:rPr>
          <w:sz w:val="20"/>
          <w:szCs w:val="20"/>
          <w:color w:val="auto"/>
        </w:rPr>
      </w:pPr>
    </w:p>
    <w:p>
      <w:pPr>
        <w:ind w:left="980" w:hanging="488"/>
        <w:spacing w:after="0"/>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his base salary and any accrued vacation pay through the date of termination;</w:t>
      </w:r>
    </w:p>
    <w:p>
      <w:pPr>
        <w:spacing w:after="0" w:line="198" w:lineRule="exact"/>
        <w:rPr>
          <w:rFonts w:ascii="Arial" w:cs="Arial" w:eastAsia="Arial" w:hAnsi="Arial"/>
          <w:sz w:val="16"/>
          <w:szCs w:val="16"/>
          <w:color w:val="auto"/>
        </w:rPr>
      </w:pPr>
    </w:p>
    <w:p>
      <w:pPr>
        <w:ind w:left="980" w:right="220" w:hanging="488"/>
        <w:spacing w:after="0" w:line="253" w:lineRule="auto"/>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incentive compensation that has been awarded to him for the completed fiscal year or other completed measuring period prior to the date of termination but not yet paid to him;</w:t>
      </w:r>
    </w:p>
    <w:p>
      <w:pPr>
        <w:spacing w:after="0" w:line="166" w:lineRule="exact"/>
        <w:rPr>
          <w:rFonts w:ascii="Arial" w:cs="Arial" w:eastAsia="Arial" w:hAnsi="Arial"/>
          <w:sz w:val="16"/>
          <w:szCs w:val="16"/>
          <w:color w:val="auto"/>
        </w:rPr>
      </w:pPr>
    </w:p>
    <w:p>
      <w:pPr>
        <w:ind w:left="980" w:right="440" w:hanging="488"/>
        <w:spacing w:after="0" w:line="253" w:lineRule="auto"/>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 amount equal to the annual incentive target in effect prior to the payment trigger pro-rated through the date of termination, reduced by any amount paid or payable for the fiscal year during which the date of termination occurs;</w:t>
      </w:r>
    </w:p>
    <w:p>
      <w:pPr>
        <w:spacing w:after="0" w:line="166" w:lineRule="exact"/>
        <w:rPr>
          <w:rFonts w:ascii="Arial" w:cs="Arial" w:eastAsia="Arial" w:hAnsi="Arial"/>
          <w:sz w:val="16"/>
          <w:szCs w:val="16"/>
          <w:color w:val="auto"/>
        </w:rPr>
      </w:pPr>
    </w:p>
    <w:p>
      <w:pPr>
        <w:jc w:val="both"/>
        <w:ind w:left="980" w:right="140" w:hanging="488"/>
        <w:spacing w:after="0" w:line="247" w:lineRule="auto"/>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 amount equal to two times the sum of: (x) the higher of (1) his annual base salary immediately prior to the change in control and (2) his annual base salary in effect immediately prior to the payment trigger and (y) the higher of (1) his annual incentive target in effect immediately prior to the change in control and (2) his annual incentive target in effect immediately prior to the payment trigger;</w:t>
      </w:r>
    </w:p>
    <w:p>
      <w:pPr>
        <w:spacing w:after="0" w:line="184" w:lineRule="exact"/>
        <w:rPr>
          <w:rFonts w:ascii="Arial" w:cs="Arial" w:eastAsia="Arial" w:hAnsi="Arial"/>
          <w:sz w:val="16"/>
          <w:szCs w:val="16"/>
          <w:color w:val="auto"/>
        </w:rPr>
      </w:pPr>
    </w:p>
    <w:p>
      <w:pPr>
        <w:ind w:left="980" w:hanging="488"/>
        <w:spacing w:after="0"/>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his health and dental insurance benefits for 24 months; and</w:t>
      </w:r>
    </w:p>
    <w:p>
      <w:pPr>
        <w:spacing w:after="0" w:line="185" w:lineRule="exact"/>
        <w:rPr>
          <w:rFonts w:ascii="Arial" w:cs="Arial" w:eastAsia="Arial" w:hAnsi="Arial"/>
          <w:sz w:val="16"/>
          <w:szCs w:val="16"/>
          <w:color w:val="auto"/>
        </w:rPr>
      </w:pPr>
    </w:p>
    <w:p>
      <w:pPr>
        <w:ind w:left="980" w:hanging="488"/>
        <w:spacing w:after="0"/>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certain outplacement services.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jc w:val="both"/>
        <w:ind w:right="340" w:firstLine="621"/>
        <w:spacing w:after="0" w:line="247" w:lineRule="auto"/>
        <w:rPr>
          <w:sz w:val="20"/>
          <w:szCs w:val="20"/>
          <w:color w:val="auto"/>
        </w:rPr>
      </w:pPr>
      <w:r>
        <w:rPr>
          <w:rFonts w:ascii="Arial" w:cs="Arial" w:eastAsia="Arial" w:hAnsi="Arial"/>
          <w:sz w:val="16"/>
          <w:szCs w:val="16"/>
          <w:color w:val="auto"/>
        </w:rPr>
        <w:t>The Company will pay or provide the foregoing in the manner set forth in the Severance Agreements. In the event that certain payments or benefits under the Severance Agreements would be subject to an excise tax under Section 4999 of the Internal Revenue Code, as amended, then such payments or benefits may be reduced in the manner set forth in the Severance Agreements.</w:t>
      </w:r>
    </w:p>
    <w:p>
      <w:pPr>
        <w:spacing w:after="0" w:line="184" w:lineRule="exact"/>
        <w:rPr>
          <w:sz w:val="20"/>
          <w:szCs w:val="20"/>
          <w:color w:val="auto"/>
        </w:rPr>
      </w:pPr>
    </w:p>
    <w:p>
      <w:pPr>
        <w:ind w:right="200" w:firstLine="621"/>
        <w:spacing w:after="0" w:line="247" w:lineRule="auto"/>
        <w:rPr>
          <w:sz w:val="20"/>
          <w:szCs w:val="20"/>
          <w:color w:val="auto"/>
        </w:rPr>
      </w:pPr>
      <w:r>
        <w:rPr>
          <w:rFonts w:ascii="Arial" w:cs="Arial" w:eastAsia="Arial" w:hAnsi="Arial"/>
          <w:sz w:val="16"/>
          <w:szCs w:val="16"/>
          <w:color w:val="auto"/>
        </w:rPr>
        <w:t>The Company is only obligated to pay or provide, or continue to pay and provide, benefits in the event of a payment trigger to the extent that the executive officer executes a waiver and release in the form set forth in the respective Severance Agreement and otherwise remains in compliance with certain covenants set forth therein. The Severance Agreements include one-year post-termination non-disclosure, non-compete and non-interference covenants.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00ACD2"/>
        </w:rPr>
        <w:t>Severance arrangement with Ronald J. Mudry</w:t>
      </w:r>
    </w:p>
    <w:p>
      <w:pPr>
        <w:spacing w:after="0" w:line="214" w:lineRule="exact"/>
        <w:rPr>
          <w:sz w:val="20"/>
          <w:szCs w:val="20"/>
          <w:color w:val="auto"/>
        </w:rPr>
      </w:pPr>
    </w:p>
    <w:p>
      <w:pPr>
        <w:ind w:right="100" w:firstLine="621"/>
        <w:spacing w:after="0" w:line="245" w:lineRule="auto"/>
        <w:rPr>
          <w:sz w:val="20"/>
          <w:szCs w:val="20"/>
          <w:color w:val="auto"/>
        </w:rPr>
      </w:pPr>
      <w:r>
        <w:rPr>
          <w:rFonts w:ascii="Arial" w:cs="Arial" w:eastAsia="Arial" w:hAnsi="Arial"/>
          <w:sz w:val="16"/>
          <w:szCs w:val="16"/>
          <w:color w:val="auto"/>
        </w:rPr>
        <w:t>The Company and Mr. Mudry entered into a severance arrangement in connection with his employment. Under the arrangement, if Mr. Mudry's employment is terminated by the Company without Cause (as defined in the Long-Term Incentive Plan) or by Mr. Mudry for Good Reason (as defined the Long-Term Incentive Plan), the Company must pay Mr. Mudry an amount no less than his annual base salary in effect on the date of termination in equal installments over a period of one year.</w:t>
      </w:r>
    </w:p>
    <w:p>
      <w:pPr>
        <w:spacing w:after="0" w:line="186" w:lineRule="exact"/>
        <w:rPr>
          <w:sz w:val="20"/>
          <w:szCs w:val="20"/>
          <w:color w:val="auto"/>
        </w:rPr>
      </w:pPr>
    </w:p>
    <w:p>
      <w:pPr>
        <w:ind w:firstLine="615"/>
        <w:spacing w:after="0" w:line="245" w:lineRule="auto"/>
        <w:rPr>
          <w:sz w:val="20"/>
          <w:szCs w:val="20"/>
          <w:color w:val="auto"/>
        </w:rPr>
      </w:pPr>
      <w:r>
        <w:rPr>
          <w:rFonts w:ascii="Arial" w:cs="Arial" w:eastAsia="Arial" w:hAnsi="Arial"/>
          <w:sz w:val="16"/>
          <w:szCs w:val="16"/>
          <w:color w:val="auto"/>
        </w:rPr>
        <w:t>As a condition to his employment, Mr. Mudry entered into a restrictive covenants agreement, which contains one-year post-termination non-disclosure, non-compete and non-interference covenants. The Company is only obligated to pay or provide, or continue to pay and provide, benefits in the event of such a termination to the extent that Mr. Mudry (i) executes a waiver and release in a form acceptable to the Company and otherwise remains in compliance with certain covenants set forth therein and (ii) remains in compliance with his restrictive covenants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00ACD2"/>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5868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5" w:lineRule="exact"/>
        <w:rPr>
          <w:sz w:val="20"/>
          <w:szCs w:val="20"/>
          <w:color w:val="auto"/>
        </w:rPr>
      </w:pPr>
    </w:p>
    <w:p>
      <w:pPr>
        <w:ind w:right="20" w:firstLine="615"/>
        <w:spacing w:after="0" w:line="242" w:lineRule="auto"/>
        <w:rPr>
          <w:sz w:val="20"/>
          <w:szCs w:val="20"/>
          <w:color w:val="auto"/>
        </w:rPr>
      </w:pPr>
      <w:r>
        <w:rPr>
          <w:rFonts w:ascii="Arial" w:cs="Arial" w:eastAsia="Arial" w:hAnsi="Arial"/>
          <w:sz w:val="16"/>
          <w:szCs w:val="16"/>
          <w:color w:val="auto"/>
        </w:rPr>
        <w:t>As discussed in the section above titled "Agreements with Our Named Executive Officers," the Company is required to pay or provide certain compensation and benefits to each of its NEOs in the event of certain terminations of employment or a change in control of the Company. In addition to such compensation and benefits, each NEO's outstanding equity awards are subject to accelerated vesting in the event the NEO is terminated. In the event that an NEO is terminated without Cause (as defined in the Long-Term Incentive Plan), terminates his employment for Good Reason (as defined in the Long-Term Incentive Plan) or experiences a Company-approved retirement (as determined in the sole discretion of the Compensation Committee), a pro-rated portion of unvested restricted stock held by the NEO would vest based on the date of termination. In addition, unvested PSUs held by the NEO would remain eligible to vest subject to achievement of the relevant performance criteria, subject to the Compensation Committee's ability to determine, in its sole discretion, whether the NEO would be entitled to the full number of shares to which the NEO would have been entitled had such termination not occurred or a pro-rated portion of such shares based on the NEO's date of termination. In the event that an NEO dies or becomes permanently disabled (as determined by the Compensation Committee) or is terminated without Cause or terminates his employment for Good Reason within two years of a Change in Control of</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Uniti (as defined in the Long-Term Incentive Plan), all unvested restricted stock and PSUs will vest in full.</w:t>
      </w:r>
    </w:p>
    <w:p>
      <w:pPr>
        <w:spacing w:after="0" w:line="198" w:lineRule="exact"/>
        <w:rPr>
          <w:sz w:val="20"/>
          <w:szCs w:val="20"/>
          <w:color w:val="auto"/>
        </w:rPr>
      </w:pPr>
    </w:p>
    <w:p>
      <w:pPr>
        <w:ind w:firstLine="621"/>
        <w:spacing w:after="0" w:line="243" w:lineRule="auto"/>
        <w:rPr>
          <w:sz w:val="20"/>
          <w:szCs w:val="20"/>
          <w:color w:val="auto"/>
        </w:rPr>
      </w:pPr>
      <w:r>
        <w:rPr>
          <w:rFonts w:ascii="Arial" w:cs="Arial" w:eastAsia="Arial" w:hAnsi="Arial"/>
          <w:sz w:val="16"/>
          <w:szCs w:val="16"/>
          <w:color w:val="auto"/>
        </w:rPr>
        <w:t>The following tables describe estimated amounts of compensation and benefits that could be payable to each NEO upon certain terminations or a change in control. All amounts assume the NEOs terminated employment as of December 31, 2017. The actual amounts that would be paid to each NEO upon termination of employment or a change in control can only be determined at the time the actual triggering event occurs. The estimated amounts of compensation and benefits described below are in addition to the benefits the NEOs would be entitled to receive upon termination of employment generally under the retirement plan described in the section above titled "Other Benefit Plans." This section identifies and quantifies the extent to which those retirement benefits are enhanced or accelerated upon the triggering events described below.</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00ACD2"/>
        </w:rPr>
        <w:t>Kenneth A. Gunderman</w:t>
      </w:r>
    </w:p>
    <w:p>
      <w:pPr>
        <w:spacing w:after="0" w:line="214" w:lineRule="exact"/>
        <w:rPr>
          <w:sz w:val="20"/>
          <w:szCs w:val="20"/>
          <w:color w:val="auto"/>
        </w:rPr>
      </w:pPr>
    </w:p>
    <w:p>
      <w:pPr>
        <w:ind w:right="320" w:firstLine="621"/>
        <w:spacing w:after="0" w:line="253" w:lineRule="auto"/>
        <w:rPr>
          <w:sz w:val="20"/>
          <w:szCs w:val="20"/>
          <w:color w:val="auto"/>
        </w:rPr>
      </w:pPr>
      <w:r>
        <w:rPr>
          <w:rFonts w:ascii="Arial" w:cs="Arial" w:eastAsia="Arial" w:hAnsi="Arial"/>
          <w:sz w:val="16"/>
          <w:szCs w:val="16"/>
          <w:color w:val="auto"/>
        </w:rPr>
        <w:t>The following table shows the potential payments upon a hypothetical termination or change in control of the Company effective as of December 31, 2017 for Kenneth A. Gunderman, our President and Chief Executive Officer.</w:t>
      </w:r>
    </w:p>
    <w:p>
      <w:pPr>
        <w:spacing w:after="0" w:line="163"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Termination</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9"/>
              </w:rPr>
              <w:t>Termination</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8"/>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without</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without</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Cause or</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Voluntary</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Cause or</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Resignation</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Termination</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Resignation</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for Good</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without</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for Good</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Reason</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Good</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Change in</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7"/>
              </w:rPr>
              <w:t>Reason</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rPr>
              <w:t>Company-</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other than</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Reason or</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Control</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following a</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040" w:type="dxa"/>
            <w:vAlign w:val="bottom"/>
          </w:tcPr>
          <w:p>
            <w:pPr>
              <w:ind w:left="300"/>
              <w:spacing w:after="0" w:line="148" w:lineRule="exact"/>
              <w:rPr>
                <w:sz w:val="20"/>
                <w:szCs w:val="20"/>
                <w:color w:val="auto"/>
              </w:rPr>
            </w:pPr>
            <w:r>
              <w:rPr>
                <w:rFonts w:ascii="Arial" w:cs="Arial" w:eastAsia="Arial" w:hAnsi="Arial"/>
                <w:sz w:val="13"/>
                <w:szCs w:val="13"/>
                <w:b w:val="1"/>
                <w:bCs w:val="1"/>
                <w:color w:val="auto"/>
              </w:rPr>
              <w:t>Type of</w:t>
            </w:r>
          </w:p>
        </w:tc>
        <w:tc>
          <w:tcPr>
            <w:tcW w:w="220" w:type="dxa"/>
            <w:vAlign w:val="bottom"/>
          </w:tcPr>
          <w:p>
            <w:pPr>
              <w:spacing w:after="0"/>
              <w:rPr>
                <w:sz w:val="12"/>
                <w:szCs w:val="12"/>
                <w:color w:val="auto"/>
              </w:rPr>
            </w:pPr>
          </w:p>
        </w:tc>
        <w:tc>
          <w:tcPr>
            <w:tcW w:w="102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8"/>
              </w:rPr>
              <w:t>Approved</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a Change in</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Termination</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with no</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Change in</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Death or</w:t>
            </w:r>
          </w:p>
        </w:tc>
      </w:tr>
      <w:tr>
        <w:trPr>
          <w:trHeight w:val="160"/>
        </w:trPr>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Payment</w:t>
            </w:r>
          </w:p>
        </w:tc>
        <w:tc>
          <w:tcPr>
            <w:tcW w:w="220" w:type="dxa"/>
            <w:vAlign w:val="bottom"/>
          </w:tcPr>
          <w:p>
            <w:pPr>
              <w:spacing w:after="0"/>
              <w:rPr>
                <w:sz w:val="13"/>
                <w:szCs w:val="13"/>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Retirement</w:t>
            </w:r>
          </w:p>
        </w:tc>
        <w:tc>
          <w:tcPr>
            <w:tcW w:w="2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Control</w:t>
            </w:r>
          </w:p>
        </w:tc>
        <w:tc>
          <w:tcPr>
            <w:tcW w:w="2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for Cause</w:t>
            </w:r>
          </w:p>
        </w:tc>
        <w:tc>
          <w:tcPr>
            <w:tcW w:w="2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Termination</w:t>
            </w:r>
          </w:p>
        </w:tc>
        <w:tc>
          <w:tcPr>
            <w:tcW w:w="2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Control</w:t>
            </w:r>
          </w:p>
        </w:tc>
        <w:tc>
          <w:tcPr>
            <w:tcW w:w="2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Disability</w:t>
            </w:r>
          </w:p>
        </w:tc>
      </w:tr>
      <w:tr>
        <w:trPr>
          <w:trHeight w:val="140"/>
        </w:trPr>
        <w:tc>
          <w:tcPr>
            <w:tcW w:w="1040" w:type="dxa"/>
            <w:vAlign w:val="bottom"/>
            <w:shd w:val="clear" w:color="auto" w:fill="BFBFBF"/>
          </w:tcPr>
          <w:p>
            <w:pPr>
              <w:ind w:left="20"/>
              <w:spacing w:after="0" w:line="141" w:lineRule="exact"/>
              <w:rPr>
                <w:sz w:val="20"/>
                <w:szCs w:val="20"/>
                <w:color w:val="auto"/>
              </w:rPr>
            </w:pPr>
            <w:r>
              <w:rPr>
                <w:rFonts w:ascii="Arial" w:cs="Arial" w:eastAsia="Arial" w:hAnsi="Arial"/>
                <w:sz w:val="13"/>
                <w:szCs w:val="13"/>
                <w:color w:val="auto"/>
              </w:rPr>
              <w:t>Severance</w:t>
            </w:r>
          </w:p>
        </w:tc>
        <w:tc>
          <w:tcPr>
            <w:tcW w:w="1220" w:type="dxa"/>
            <w:vAlign w:val="bottom"/>
            <w:gridSpan w:val="2"/>
            <w:shd w:val="clear" w:color="auto" w:fill="BFBFBF"/>
          </w:tcPr>
          <w:p>
            <w:pPr>
              <w:jc w:val="center"/>
              <w:ind w:left="194"/>
              <w:spacing w:after="0" w:line="141" w:lineRule="exact"/>
              <w:rPr>
                <w:sz w:val="20"/>
                <w:szCs w:val="20"/>
                <w:color w:val="auto"/>
              </w:rPr>
            </w:pPr>
            <w:r>
              <w:rPr>
                <w:rFonts w:ascii="Arial" w:cs="Arial" w:eastAsia="Arial" w:hAnsi="Arial"/>
                <w:sz w:val="13"/>
                <w:szCs w:val="13"/>
                <w:color w:val="auto"/>
              </w:rPr>
              <w:t>$0</w:t>
            </w:r>
          </w:p>
        </w:tc>
        <w:tc>
          <w:tcPr>
            <w:tcW w:w="20" w:type="dxa"/>
            <w:vAlign w:val="bottom"/>
            <w:shd w:val="clear" w:color="auto" w:fill="BFBFBF"/>
          </w:tcPr>
          <w:p>
            <w:pPr>
              <w:spacing w:after="0"/>
              <w:rPr>
                <w:sz w:val="12"/>
                <w:szCs w:val="12"/>
                <w:color w:val="auto"/>
              </w:rPr>
            </w:pPr>
          </w:p>
        </w:tc>
        <w:tc>
          <w:tcPr>
            <w:tcW w:w="1260" w:type="dxa"/>
            <w:vAlign w:val="bottom"/>
            <w:gridSpan w:val="2"/>
            <w:shd w:val="clear" w:color="auto" w:fill="BFBFBF"/>
          </w:tcPr>
          <w:p>
            <w:pPr>
              <w:jc w:val="center"/>
              <w:ind w:left="194"/>
              <w:spacing w:after="0" w:line="141" w:lineRule="exact"/>
              <w:rPr>
                <w:sz w:val="20"/>
                <w:szCs w:val="20"/>
                <w:color w:val="auto"/>
              </w:rPr>
            </w:pPr>
            <w:r>
              <w:rPr>
                <w:rFonts w:ascii="Arial" w:cs="Arial" w:eastAsia="Arial" w:hAnsi="Arial"/>
                <w:sz w:val="13"/>
                <w:szCs w:val="13"/>
                <w:color w:val="auto"/>
                <w:w w:val="98"/>
              </w:rPr>
              <w:t>$1,450,000</w:t>
            </w:r>
          </w:p>
        </w:tc>
        <w:tc>
          <w:tcPr>
            <w:tcW w:w="1260" w:type="dxa"/>
            <w:vAlign w:val="bottom"/>
            <w:gridSpan w:val="2"/>
            <w:shd w:val="clear" w:color="auto" w:fill="BFBFBF"/>
          </w:tcPr>
          <w:p>
            <w:pPr>
              <w:jc w:val="center"/>
              <w:ind w:left="194"/>
              <w:spacing w:after="0" w:line="141" w:lineRule="exact"/>
              <w:rPr>
                <w:sz w:val="20"/>
                <w:szCs w:val="20"/>
                <w:color w:val="auto"/>
              </w:rPr>
            </w:pPr>
            <w:r>
              <w:rPr>
                <w:rFonts w:ascii="Arial" w:cs="Arial" w:eastAsia="Arial" w:hAnsi="Arial"/>
                <w:sz w:val="13"/>
                <w:szCs w:val="13"/>
                <w:color w:val="auto"/>
              </w:rPr>
              <w:t>$0</w:t>
            </w:r>
          </w:p>
        </w:tc>
        <w:tc>
          <w:tcPr>
            <w:tcW w:w="1260" w:type="dxa"/>
            <w:vAlign w:val="bottom"/>
            <w:gridSpan w:val="2"/>
            <w:shd w:val="clear" w:color="auto" w:fill="BFBFBF"/>
          </w:tcPr>
          <w:p>
            <w:pPr>
              <w:jc w:val="center"/>
              <w:ind w:left="174"/>
              <w:spacing w:after="0" w:line="141" w:lineRule="exact"/>
              <w:rPr>
                <w:sz w:val="20"/>
                <w:szCs w:val="20"/>
                <w:color w:val="auto"/>
              </w:rPr>
            </w:pPr>
            <w:r>
              <w:rPr>
                <w:rFonts w:ascii="Arial" w:cs="Arial" w:eastAsia="Arial" w:hAnsi="Arial"/>
                <w:sz w:val="13"/>
                <w:szCs w:val="13"/>
                <w:color w:val="auto"/>
                <w:w w:val="96"/>
              </w:rPr>
              <w:t>$0</w:t>
            </w:r>
          </w:p>
        </w:tc>
        <w:tc>
          <w:tcPr>
            <w:tcW w:w="1260" w:type="dxa"/>
            <w:vAlign w:val="bottom"/>
            <w:gridSpan w:val="2"/>
            <w:shd w:val="clear" w:color="auto" w:fill="BFBFBF"/>
          </w:tcPr>
          <w:p>
            <w:pPr>
              <w:jc w:val="center"/>
              <w:ind w:left="174"/>
              <w:spacing w:after="0" w:line="141" w:lineRule="exact"/>
              <w:rPr>
                <w:sz w:val="20"/>
                <w:szCs w:val="20"/>
                <w:color w:val="auto"/>
              </w:rPr>
            </w:pPr>
            <w:r>
              <w:rPr>
                <w:rFonts w:ascii="Arial" w:cs="Arial" w:eastAsia="Arial" w:hAnsi="Arial"/>
                <w:sz w:val="13"/>
                <w:szCs w:val="13"/>
                <w:color w:val="auto"/>
              </w:rPr>
              <w:t>$4,712,500</w:t>
            </w:r>
          </w:p>
        </w:tc>
        <w:tc>
          <w:tcPr>
            <w:tcW w:w="1260" w:type="dxa"/>
            <w:vAlign w:val="bottom"/>
            <w:gridSpan w:val="2"/>
            <w:shd w:val="clear" w:color="auto" w:fill="BFBFBF"/>
          </w:tcPr>
          <w:p>
            <w:pPr>
              <w:jc w:val="center"/>
              <w:ind w:left="174"/>
              <w:spacing w:after="0" w:line="141" w:lineRule="exact"/>
              <w:rPr>
                <w:sz w:val="20"/>
                <w:szCs w:val="20"/>
                <w:color w:val="auto"/>
              </w:rPr>
            </w:pPr>
            <w:r>
              <w:rPr>
                <w:rFonts w:ascii="Arial" w:cs="Arial" w:eastAsia="Arial" w:hAnsi="Arial"/>
                <w:sz w:val="13"/>
                <w:szCs w:val="13"/>
                <w:color w:val="auto"/>
                <w:w w:val="96"/>
              </w:rPr>
              <w:t>$0</w:t>
            </w:r>
          </w:p>
        </w:tc>
      </w:tr>
      <w:tr>
        <w:trPr>
          <w:trHeight w:val="152"/>
        </w:trPr>
        <w:tc>
          <w:tcPr>
            <w:tcW w:w="1040" w:type="dxa"/>
            <w:vAlign w:val="bottom"/>
          </w:tcPr>
          <w:p>
            <w:pPr>
              <w:ind w:left="20"/>
              <w:spacing w:after="0"/>
              <w:rPr>
                <w:sz w:val="20"/>
                <w:szCs w:val="20"/>
                <w:color w:val="auto"/>
              </w:rPr>
            </w:pPr>
            <w:r>
              <w:rPr>
                <w:rFonts w:ascii="Arial" w:cs="Arial" w:eastAsia="Arial" w:hAnsi="Arial"/>
                <w:sz w:val="13"/>
                <w:szCs w:val="13"/>
                <w:color w:val="auto"/>
              </w:rPr>
              <w:t>Accelerated</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8"/>
        </w:trPr>
        <w:tc>
          <w:tcPr>
            <w:tcW w:w="1040" w:type="dxa"/>
            <w:vAlign w:val="bottom"/>
          </w:tcPr>
          <w:p>
            <w:pPr>
              <w:ind w:left="20"/>
              <w:spacing w:after="0" w:line="148" w:lineRule="exact"/>
              <w:rPr>
                <w:sz w:val="20"/>
                <w:szCs w:val="20"/>
                <w:color w:val="auto"/>
              </w:rPr>
            </w:pPr>
            <w:r>
              <w:rPr>
                <w:rFonts w:ascii="Arial" w:cs="Arial" w:eastAsia="Arial" w:hAnsi="Arial"/>
                <w:sz w:val="13"/>
                <w:szCs w:val="13"/>
                <w:color w:val="auto"/>
              </w:rPr>
              <w:t>Vesting of</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1"/>
        </w:trPr>
        <w:tc>
          <w:tcPr>
            <w:tcW w:w="1040" w:type="dxa"/>
            <w:vAlign w:val="bottom"/>
          </w:tcPr>
          <w:p>
            <w:pPr>
              <w:ind w:left="20"/>
              <w:spacing w:after="0" w:line="141" w:lineRule="exact"/>
              <w:rPr>
                <w:sz w:val="20"/>
                <w:szCs w:val="20"/>
                <w:color w:val="auto"/>
              </w:rPr>
            </w:pPr>
            <w:r>
              <w:rPr>
                <w:rFonts w:ascii="Arial" w:cs="Arial" w:eastAsia="Arial" w:hAnsi="Arial"/>
                <w:sz w:val="13"/>
                <w:szCs w:val="13"/>
                <w:color w:val="auto"/>
              </w:rPr>
              <w:t>Restricted</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76"/>
        </w:trPr>
        <w:tc>
          <w:tcPr>
            <w:tcW w:w="1040" w:type="dxa"/>
            <w:vAlign w:val="bottom"/>
          </w:tcPr>
          <w:p>
            <w:pPr>
              <w:ind w:left="20"/>
              <w:spacing w:after="0" w:line="175" w:lineRule="exact"/>
              <w:rPr>
                <w:sz w:val="20"/>
                <w:szCs w:val="20"/>
                <w:color w:val="auto"/>
              </w:rPr>
            </w:pPr>
            <w:r>
              <w:rPr>
                <w:rFonts w:ascii="Arial" w:cs="Arial" w:eastAsia="Arial" w:hAnsi="Arial"/>
                <w:sz w:val="13"/>
                <w:szCs w:val="13"/>
                <w:color w:val="auto"/>
              </w:rPr>
              <w:t>Stock</w:t>
            </w:r>
            <w:r>
              <w:rPr>
                <w:rFonts w:ascii="Arial" w:cs="Arial" w:eastAsia="Arial" w:hAnsi="Arial"/>
                <w:sz w:val="19"/>
                <w:szCs w:val="19"/>
                <w:color w:val="auto"/>
                <w:vertAlign w:val="superscript"/>
              </w:rPr>
              <w:t>(1)</w:t>
            </w:r>
          </w:p>
        </w:tc>
        <w:tc>
          <w:tcPr>
            <w:tcW w:w="1220" w:type="dxa"/>
            <w:vAlign w:val="bottom"/>
            <w:gridSpan w:val="2"/>
          </w:tcPr>
          <w:p>
            <w:pPr>
              <w:jc w:val="center"/>
              <w:ind w:left="214"/>
              <w:spacing w:after="0"/>
              <w:rPr>
                <w:sz w:val="20"/>
                <w:szCs w:val="20"/>
                <w:color w:val="auto"/>
              </w:rPr>
            </w:pPr>
            <w:r>
              <w:rPr>
                <w:rFonts w:ascii="Arial" w:cs="Arial" w:eastAsia="Arial" w:hAnsi="Arial"/>
                <w:sz w:val="13"/>
                <w:szCs w:val="13"/>
                <w:color w:val="auto"/>
              </w:rPr>
              <w:t>$2,360,429</w:t>
            </w:r>
          </w:p>
        </w:tc>
        <w:tc>
          <w:tcPr>
            <w:tcW w:w="20" w:type="dxa"/>
            <w:vAlign w:val="bottom"/>
          </w:tcPr>
          <w:p>
            <w:pPr>
              <w:spacing w:after="0"/>
              <w:rPr>
                <w:sz w:val="15"/>
                <w:szCs w:val="15"/>
                <w:color w:val="auto"/>
              </w:rPr>
            </w:pPr>
          </w:p>
        </w:tc>
        <w:tc>
          <w:tcPr>
            <w:tcW w:w="1260" w:type="dxa"/>
            <w:vAlign w:val="bottom"/>
            <w:gridSpan w:val="2"/>
          </w:tcPr>
          <w:p>
            <w:pPr>
              <w:jc w:val="center"/>
              <w:ind w:left="194"/>
              <w:spacing w:after="0"/>
              <w:rPr>
                <w:sz w:val="20"/>
                <w:szCs w:val="20"/>
                <w:color w:val="auto"/>
              </w:rPr>
            </w:pPr>
            <w:r>
              <w:rPr>
                <w:rFonts w:ascii="Arial" w:cs="Arial" w:eastAsia="Arial" w:hAnsi="Arial"/>
                <w:sz w:val="13"/>
                <w:szCs w:val="13"/>
                <w:color w:val="auto"/>
                <w:w w:val="98"/>
              </w:rPr>
              <w:t>$2,360,429</w:t>
            </w:r>
          </w:p>
        </w:tc>
        <w:tc>
          <w:tcPr>
            <w:tcW w:w="1260" w:type="dxa"/>
            <w:vAlign w:val="bottom"/>
            <w:gridSpan w:val="2"/>
          </w:tcPr>
          <w:p>
            <w:pPr>
              <w:jc w:val="center"/>
              <w:ind w:left="194"/>
              <w:spacing w:after="0"/>
              <w:rPr>
                <w:sz w:val="20"/>
                <w:szCs w:val="20"/>
                <w:color w:val="auto"/>
              </w:rPr>
            </w:pPr>
            <w:r>
              <w:rPr>
                <w:rFonts w:ascii="Arial" w:cs="Arial" w:eastAsia="Arial" w:hAnsi="Arial"/>
                <w:sz w:val="13"/>
                <w:szCs w:val="13"/>
                <w:color w:val="auto"/>
              </w:rPr>
              <w:t>$0</w:t>
            </w:r>
          </w:p>
        </w:tc>
        <w:tc>
          <w:tcPr>
            <w:tcW w:w="1260" w:type="dxa"/>
            <w:vAlign w:val="bottom"/>
            <w:gridSpan w:val="2"/>
          </w:tcPr>
          <w:p>
            <w:pPr>
              <w:jc w:val="center"/>
              <w:ind w:left="174"/>
              <w:spacing w:after="0"/>
              <w:rPr>
                <w:sz w:val="20"/>
                <w:szCs w:val="20"/>
                <w:color w:val="auto"/>
              </w:rPr>
            </w:pPr>
            <w:r>
              <w:rPr>
                <w:rFonts w:ascii="Arial" w:cs="Arial" w:eastAsia="Arial" w:hAnsi="Arial"/>
                <w:sz w:val="13"/>
                <w:szCs w:val="13"/>
                <w:color w:val="auto"/>
                <w:w w:val="96"/>
              </w:rPr>
              <w:t>$0</w:t>
            </w:r>
          </w:p>
        </w:tc>
        <w:tc>
          <w:tcPr>
            <w:tcW w:w="1260" w:type="dxa"/>
            <w:vAlign w:val="bottom"/>
            <w:gridSpan w:val="2"/>
          </w:tcPr>
          <w:p>
            <w:pPr>
              <w:jc w:val="center"/>
              <w:ind w:left="174"/>
              <w:spacing w:after="0"/>
              <w:rPr>
                <w:sz w:val="20"/>
                <w:szCs w:val="20"/>
                <w:color w:val="auto"/>
              </w:rPr>
            </w:pPr>
            <w:r>
              <w:rPr>
                <w:rFonts w:ascii="Arial" w:cs="Arial" w:eastAsia="Arial" w:hAnsi="Arial"/>
                <w:sz w:val="13"/>
                <w:szCs w:val="13"/>
                <w:color w:val="auto"/>
              </w:rPr>
              <w:t>$3,788,487</w:t>
            </w:r>
          </w:p>
        </w:tc>
        <w:tc>
          <w:tcPr>
            <w:tcW w:w="1260" w:type="dxa"/>
            <w:vAlign w:val="bottom"/>
            <w:gridSpan w:val="2"/>
          </w:tcPr>
          <w:p>
            <w:pPr>
              <w:jc w:val="center"/>
              <w:ind w:left="174"/>
              <w:spacing w:after="0"/>
              <w:rPr>
                <w:sz w:val="20"/>
                <w:szCs w:val="20"/>
                <w:color w:val="auto"/>
              </w:rPr>
            </w:pPr>
            <w:r>
              <w:rPr>
                <w:rFonts w:ascii="Arial" w:cs="Arial" w:eastAsia="Arial" w:hAnsi="Arial"/>
                <w:sz w:val="13"/>
                <w:szCs w:val="13"/>
                <w:color w:val="auto"/>
              </w:rPr>
              <w:t>$3,788,487</w:t>
            </w:r>
          </w:p>
        </w:tc>
      </w:tr>
      <w:tr>
        <w:trPr>
          <w:trHeight w:val="152"/>
        </w:trPr>
        <w:tc>
          <w:tcPr>
            <w:tcW w:w="1040" w:type="dxa"/>
            <w:vAlign w:val="bottom"/>
            <w:shd w:val="clear" w:color="auto" w:fill="BFBFBF"/>
          </w:tcPr>
          <w:p>
            <w:pPr>
              <w:ind w:left="20"/>
              <w:spacing w:after="0"/>
              <w:rPr>
                <w:sz w:val="20"/>
                <w:szCs w:val="20"/>
                <w:color w:val="auto"/>
              </w:rPr>
            </w:pPr>
            <w:r>
              <w:rPr>
                <w:rFonts w:ascii="Arial" w:cs="Arial" w:eastAsia="Arial" w:hAnsi="Arial"/>
                <w:sz w:val="13"/>
                <w:szCs w:val="13"/>
                <w:color w:val="auto"/>
              </w:rPr>
              <w:t>Accelerated</w:t>
            </w:r>
          </w:p>
        </w:tc>
        <w:tc>
          <w:tcPr>
            <w:tcW w:w="220" w:type="dxa"/>
            <w:vAlign w:val="bottom"/>
            <w:shd w:val="clear" w:color="auto" w:fill="BFBFBF"/>
          </w:tcPr>
          <w:p>
            <w:pPr>
              <w:spacing w:after="0"/>
              <w:rPr>
                <w:sz w:val="13"/>
                <w:szCs w:val="13"/>
                <w:color w:val="auto"/>
              </w:rPr>
            </w:pPr>
          </w:p>
        </w:tc>
        <w:tc>
          <w:tcPr>
            <w:tcW w:w="1000" w:type="dxa"/>
            <w:vAlign w:val="bottom"/>
            <w:shd w:val="clear" w:color="auto" w:fill="BFBFBF"/>
          </w:tcPr>
          <w:p>
            <w:pPr>
              <w:spacing w:after="0"/>
              <w:rPr>
                <w:sz w:val="13"/>
                <w:szCs w:val="13"/>
                <w:color w:val="auto"/>
              </w:rPr>
            </w:pPr>
          </w:p>
        </w:tc>
        <w:tc>
          <w:tcPr>
            <w:tcW w:w="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r>
      <w:tr>
        <w:trPr>
          <w:trHeight w:val="141"/>
        </w:trPr>
        <w:tc>
          <w:tcPr>
            <w:tcW w:w="1040" w:type="dxa"/>
            <w:vAlign w:val="bottom"/>
            <w:shd w:val="clear" w:color="auto" w:fill="BFBFBF"/>
          </w:tcPr>
          <w:p>
            <w:pPr>
              <w:ind w:left="20"/>
              <w:spacing w:after="0" w:line="141" w:lineRule="exact"/>
              <w:rPr>
                <w:sz w:val="20"/>
                <w:szCs w:val="20"/>
                <w:color w:val="auto"/>
              </w:rPr>
            </w:pPr>
            <w:r>
              <w:rPr>
                <w:rFonts w:ascii="Arial" w:cs="Arial" w:eastAsia="Arial" w:hAnsi="Arial"/>
                <w:sz w:val="13"/>
                <w:szCs w:val="13"/>
                <w:color w:val="auto"/>
              </w:rPr>
              <w:t>Vesting of</w:t>
            </w:r>
          </w:p>
        </w:tc>
        <w:tc>
          <w:tcPr>
            <w:tcW w:w="220" w:type="dxa"/>
            <w:vAlign w:val="bottom"/>
            <w:shd w:val="clear" w:color="auto" w:fill="BFBFBF"/>
          </w:tcPr>
          <w:p>
            <w:pPr>
              <w:spacing w:after="0"/>
              <w:rPr>
                <w:sz w:val="12"/>
                <w:szCs w:val="12"/>
                <w:color w:val="auto"/>
              </w:rPr>
            </w:pPr>
          </w:p>
        </w:tc>
        <w:tc>
          <w:tcPr>
            <w:tcW w:w="1000" w:type="dxa"/>
            <w:vAlign w:val="bottom"/>
            <w:shd w:val="clear" w:color="auto" w:fill="BFBFBF"/>
          </w:tcPr>
          <w:p>
            <w:pPr>
              <w:spacing w:after="0"/>
              <w:rPr>
                <w:sz w:val="12"/>
                <w:szCs w:val="12"/>
                <w:color w:val="auto"/>
              </w:rPr>
            </w:pPr>
          </w:p>
        </w:tc>
        <w:tc>
          <w:tcPr>
            <w:tcW w:w="20" w:type="dxa"/>
            <w:vAlign w:val="bottom"/>
            <w:shd w:val="clear" w:color="auto" w:fill="BFBFBF"/>
          </w:tcPr>
          <w:p>
            <w:pPr>
              <w:spacing w:after="0"/>
              <w:rPr>
                <w:sz w:val="12"/>
                <w:szCs w:val="12"/>
                <w:color w:val="auto"/>
              </w:rPr>
            </w:pPr>
          </w:p>
        </w:tc>
        <w:tc>
          <w:tcPr>
            <w:tcW w:w="240" w:type="dxa"/>
            <w:vAlign w:val="bottom"/>
            <w:shd w:val="clear" w:color="auto" w:fill="BFBFBF"/>
          </w:tcPr>
          <w:p>
            <w:pPr>
              <w:spacing w:after="0"/>
              <w:rPr>
                <w:sz w:val="12"/>
                <w:szCs w:val="12"/>
                <w:color w:val="auto"/>
              </w:rPr>
            </w:pPr>
          </w:p>
        </w:tc>
        <w:tc>
          <w:tcPr>
            <w:tcW w:w="1020" w:type="dxa"/>
            <w:vAlign w:val="bottom"/>
            <w:shd w:val="clear" w:color="auto" w:fill="BFBFBF"/>
          </w:tcPr>
          <w:p>
            <w:pPr>
              <w:spacing w:after="0"/>
              <w:rPr>
                <w:sz w:val="12"/>
                <w:szCs w:val="12"/>
                <w:color w:val="auto"/>
              </w:rPr>
            </w:pPr>
          </w:p>
        </w:tc>
        <w:tc>
          <w:tcPr>
            <w:tcW w:w="240" w:type="dxa"/>
            <w:vAlign w:val="bottom"/>
            <w:shd w:val="clear" w:color="auto" w:fill="BFBFBF"/>
          </w:tcPr>
          <w:p>
            <w:pPr>
              <w:spacing w:after="0"/>
              <w:rPr>
                <w:sz w:val="12"/>
                <w:szCs w:val="12"/>
                <w:color w:val="auto"/>
              </w:rPr>
            </w:pPr>
          </w:p>
        </w:tc>
        <w:tc>
          <w:tcPr>
            <w:tcW w:w="1020" w:type="dxa"/>
            <w:vAlign w:val="bottom"/>
            <w:shd w:val="clear" w:color="auto" w:fill="BFBFBF"/>
          </w:tcPr>
          <w:p>
            <w:pPr>
              <w:spacing w:after="0"/>
              <w:rPr>
                <w:sz w:val="12"/>
                <w:szCs w:val="12"/>
                <w:color w:val="auto"/>
              </w:rPr>
            </w:pPr>
          </w:p>
        </w:tc>
        <w:tc>
          <w:tcPr>
            <w:tcW w:w="240" w:type="dxa"/>
            <w:vAlign w:val="bottom"/>
            <w:shd w:val="clear" w:color="auto" w:fill="BFBFBF"/>
          </w:tcPr>
          <w:p>
            <w:pPr>
              <w:spacing w:after="0"/>
              <w:rPr>
                <w:sz w:val="12"/>
                <w:szCs w:val="12"/>
                <w:color w:val="auto"/>
              </w:rPr>
            </w:pPr>
          </w:p>
        </w:tc>
        <w:tc>
          <w:tcPr>
            <w:tcW w:w="1020" w:type="dxa"/>
            <w:vAlign w:val="bottom"/>
            <w:shd w:val="clear" w:color="auto" w:fill="BFBFBF"/>
          </w:tcPr>
          <w:p>
            <w:pPr>
              <w:spacing w:after="0"/>
              <w:rPr>
                <w:sz w:val="12"/>
                <w:szCs w:val="12"/>
                <w:color w:val="auto"/>
              </w:rPr>
            </w:pPr>
          </w:p>
        </w:tc>
        <w:tc>
          <w:tcPr>
            <w:tcW w:w="240" w:type="dxa"/>
            <w:vAlign w:val="bottom"/>
            <w:shd w:val="clear" w:color="auto" w:fill="BFBFBF"/>
          </w:tcPr>
          <w:p>
            <w:pPr>
              <w:spacing w:after="0"/>
              <w:rPr>
                <w:sz w:val="12"/>
                <w:szCs w:val="12"/>
                <w:color w:val="auto"/>
              </w:rPr>
            </w:pPr>
          </w:p>
        </w:tc>
        <w:tc>
          <w:tcPr>
            <w:tcW w:w="1020" w:type="dxa"/>
            <w:vAlign w:val="bottom"/>
            <w:shd w:val="clear" w:color="auto" w:fill="BFBFBF"/>
          </w:tcPr>
          <w:p>
            <w:pPr>
              <w:spacing w:after="0"/>
              <w:rPr>
                <w:sz w:val="12"/>
                <w:szCs w:val="12"/>
                <w:color w:val="auto"/>
              </w:rPr>
            </w:pPr>
          </w:p>
        </w:tc>
        <w:tc>
          <w:tcPr>
            <w:tcW w:w="240" w:type="dxa"/>
            <w:vAlign w:val="bottom"/>
            <w:shd w:val="clear" w:color="auto" w:fill="BFBFBF"/>
          </w:tcPr>
          <w:p>
            <w:pPr>
              <w:spacing w:after="0"/>
              <w:rPr>
                <w:sz w:val="12"/>
                <w:szCs w:val="12"/>
                <w:color w:val="auto"/>
              </w:rPr>
            </w:pPr>
          </w:p>
        </w:tc>
        <w:tc>
          <w:tcPr>
            <w:tcW w:w="1020" w:type="dxa"/>
            <w:vAlign w:val="bottom"/>
            <w:shd w:val="clear" w:color="auto" w:fill="BFBFBF"/>
          </w:tcPr>
          <w:p>
            <w:pPr>
              <w:spacing w:after="0"/>
              <w:rPr>
                <w:sz w:val="12"/>
                <w:szCs w:val="12"/>
                <w:color w:val="auto"/>
              </w:rPr>
            </w:pPr>
          </w:p>
        </w:tc>
      </w:tr>
      <w:tr>
        <w:trPr>
          <w:trHeight w:val="176"/>
        </w:trPr>
        <w:tc>
          <w:tcPr>
            <w:tcW w:w="1040" w:type="dxa"/>
            <w:vAlign w:val="bottom"/>
            <w:shd w:val="clear" w:color="auto" w:fill="BFBFBF"/>
          </w:tcPr>
          <w:p>
            <w:pPr>
              <w:ind w:left="20"/>
              <w:spacing w:after="0" w:line="175" w:lineRule="exact"/>
              <w:rPr>
                <w:sz w:val="20"/>
                <w:szCs w:val="20"/>
                <w:color w:val="auto"/>
              </w:rPr>
            </w:pPr>
            <w:r>
              <w:rPr>
                <w:rFonts w:ascii="Arial" w:cs="Arial" w:eastAsia="Arial" w:hAnsi="Arial"/>
                <w:sz w:val="13"/>
                <w:szCs w:val="13"/>
                <w:color w:val="auto"/>
              </w:rPr>
              <w:t>PSUs</w:t>
            </w:r>
            <w:r>
              <w:rPr>
                <w:rFonts w:ascii="Arial" w:cs="Arial" w:eastAsia="Arial" w:hAnsi="Arial"/>
                <w:sz w:val="19"/>
                <w:szCs w:val="19"/>
                <w:color w:val="auto"/>
                <w:vertAlign w:val="superscript"/>
              </w:rPr>
              <w:t>(1)</w:t>
            </w:r>
          </w:p>
        </w:tc>
        <w:tc>
          <w:tcPr>
            <w:tcW w:w="1220" w:type="dxa"/>
            <w:vAlign w:val="bottom"/>
            <w:gridSpan w:val="2"/>
            <w:shd w:val="clear" w:color="auto" w:fill="BFBFBF"/>
          </w:tcPr>
          <w:p>
            <w:pPr>
              <w:jc w:val="center"/>
              <w:ind w:left="214"/>
              <w:spacing w:after="0" w:line="175" w:lineRule="exact"/>
              <w:rPr>
                <w:sz w:val="20"/>
                <w:szCs w:val="20"/>
                <w:color w:val="auto"/>
              </w:rPr>
            </w:pPr>
            <w:r>
              <w:rPr>
                <w:rFonts w:ascii="Arial" w:cs="Arial" w:eastAsia="Arial" w:hAnsi="Arial"/>
                <w:sz w:val="13"/>
                <w:szCs w:val="13"/>
                <w:color w:val="auto"/>
                <w:w w:val="96"/>
              </w:rPr>
              <w:t>$2,387,114</w:t>
            </w:r>
            <w:r>
              <w:rPr>
                <w:rFonts w:ascii="Arial" w:cs="Arial" w:eastAsia="Arial" w:hAnsi="Arial"/>
                <w:sz w:val="19"/>
                <w:szCs w:val="19"/>
                <w:color w:val="auto"/>
                <w:w w:val="96"/>
                <w:vertAlign w:val="superscript"/>
              </w:rPr>
              <w:t>(2)</w:t>
            </w:r>
          </w:p>
        </w:tc>
        <w:tc>
          <w:tcPr>
            <w:tcW w:w="20" w:type="dxa"/>
            <w:vAlign w:val="bottom"/>
            <w:shd w:val="clear" w:color="auto" w:fill="BFBFBF"/>
          </w:tcPr>
          <w:p>
            <w:pPr>
              <w:spacing w:after="0"/>
              <w:rPr>
                <w:sz w:val="15"/>
                <w:szCs w:val="15"/>
                <w:color w:val="auto"/>
              </w:rPr>
            </w:pPr>
          </w:p>
        </w:tc>
        <w:tc>
          <w:tcPr>
            <w:tcW w:w="1260" w:type="dxa"/>
            <w:vAlign w:val="bottom"/>
            <w:gridSpan w:val="2"/>
            <w:shd w:val="clear" w:color="auto" w:fill="BFBFBF"/>
          </w:tcPr>
          <w:p>
            <w:pPr>
              <w:jc w:val="center"/>
              <w:ind w:left="194"/>
              <w:spacing w:after="0" w:line="175" w:lineRule="exact"/>
              <w:rPr>
                <w:sz w:val="20"/>
                <w:szCs w:val="20"/>
                <w:color w:val="auto"/>
              </w:rPr>
            </w:pPr>
            <w:r>
              <w:rPr>
                <w:rFonts w:ascii="Arial" w:cs="Arial" w:eastAsia="Arial" w:hAnsi="Arial"/>
                <w:sz w:val="13"/>
                <w:szCs w:val="13"/>
                <w:color w:val="auto"/>
                <w:w w:val="94"/>
              </w:rPr>
              <w:t>$2,387,114</w:t>
            </w:r>
            <w:r>
              <w:rPr>
                <w:rFonts w:ascii="Arial" w:cs="Arial" w:eastAsia="Arial" w:hAnsi="Arial"/>
                <w:sz w:val="19"/>
                <w:szCs w:val="19"/>
                <w:color w:val="auto"/>
                <w:w w:val="94"/>
                <w:vertAlign w:val="superscript"/>
              </w:rPr>
              <w:t>(2)</w:t>
            </w:r>
          </w:p>
        </w:tc>
        <w:tc>
          <w:tcPr>
            <w:tcW w:w="1260" w:type="dxa"/>
            <w:vAlign w:val="bottom"/>
            <w:gridSpan w:val="2"/>
            <w:shd w:val="clear" w:color="auto" w:fill="BFBFBF"/>
          </w:tcPr>
          <w:p>
            <w:pPr>
              <w:jc w:val="center"/>
              <w:ind w:left="194"/>
              <w:spacing w:after="0"/>
              <w:rPr>
                <w:sz w:val="20"/>
                <w:szCs w:val="20"/>
                <w:color w:val="auto"/>
              </w:rPr>
            </w:pPr>
            <w:r>
              <w:rPr>
                <w:rFonts w:ascii="Arial" w:cs="Arial" w:eastAsia="Arial" w:hAnsi="Arial"/>
                <w:sz w:val="13"/>
                <w:szCs w:val="13"/>
                <w:color w:val="auto"/>
              </w:rPr>
              <w:t>$0</w:t>
            </w:r>
          </w:p>
        </w:tc>
        <w:tc>
          <w:tcPr>
            <w:tcW w:w="1260" w:type="dxa"/>
            <w:vAlign w:val="bottom"/>
            <w:gridSpan w:val="2"/>
            <w:shd w:val="clear" w:color="auto" w:fill="BFBFBF"/>
          </w:tcPr>
          <w:p>
            <w:pPr>
              <w:jc w:val="center"/>
              <w:ind w:left="174"/>
              <w:spacing w:after="0"/>
              <w:rPr>
                <w:sz w:val="20"/>
                <w:szCs w:val="20"/>
                <w:color w:val="auto"/>
              </w:rPr>
            </w:pPr>
            <w:r>
              <w:rPr>
                <w:rFonts w:ascii="Arial" w:cs="Arial" w:eastAsia="Arial" w:hAnsi="Arial"/>
                <w:sz w:val="13"/>
                <w:szCs w:val="13"/>
                <w:color w:val="auto"/>
                <w:w w:val="96"/>
              </w:rPr>
              <w:t>$0</w:t>
            </w:r>
          </w:p>
        </w:tc>
        <w:tc>
          <w:tcPr>
            <w:tcW w:w="1260" w:type="dxa"/>
            <w:vAlign w:val="bottom"/>
            <w:gridSpan w:val="2"/>
            <w:shd w:val="clear" w:color="auto" w:fill="BFBFBF"/>
          </w:tcPr>
          <w:p>
            <w:pPr>
              <w:jc w:val="center"/>
              <w:ind w:left="174"/>
              <w:spacing w:after="0"/>
              <w:rPr>
                <w:sz w:val="20"/>
                <w:szCs w:val="20"/>
                <w:color w:val="auto"/>
              </w:rPr>
            </w:pPr>
            <w:r>
              <w:rPr>
                <w:rFonts w:ascii="Arial" w:cs="Arial" w:eastAsia="Arial" w:hAnsi="Arial"/>
                <w:sz w:val="13"/>
                <w:szCs w:val="13"/>
                <w:color w:val="auto"/>
              </w:rPr>
              <w:t>$3,917,000</w:t>
            </w:r>
          </w:p>
        </w:tc>
        <w:tc>
          <w:tcPr>
            <w:tcW w:w="1260" w:type="dxa"/>
            <w:vAlign w:val="bottom"/>
            <w:gridSpan w:val="2"/>
            <w:shd w:val="clear" w:color="auto" w:fill="BFBFBF"/>
          </w:tcPr>
          <w:p>
            <w:pPr>
              <w:jc w:val="center"/>
              <w:ind w:left="174"/>
              <w:spacing w:after="0"/>
              <w:rPr>
                <w:sz w:val="20"/>
                <w:szCs w:val="20"/>
                <w:color w:val="auto"/>
              </w:rPr>
            </w:pPr>
            <w:r>
              <w:rPr>
                <w:rFonts w:ascii="Arial" w:cs="Arial" w:eastAsia="Arial" w:hAnsi="Arial"/>
                <w:sz w:val="13"/>
                <w:szCs w:val="13"/>
                <w:color w:val="auto"/>
              </w:rPr>
              <w:t>$3,917,000</w:t>
            </w:r>
          </w:p>
        </w:tc>
      </w:tr>
      <w:tr>
        <w:trPr>
          <w:trHeight w:val="152"/>
        </w:trPr>
        <w:tc>
          <w:tcPr>
            <w:tcW w:w="1040" w:type="dxa"/>
            <w:vAlign w:val="bottom"/>
          </w:tcPr>
          <w:p>
            <w:pPr>
              <w:ind w:left="20"/>
              <w:spacing w:after="0"/>
              <w:rPr>
                <w:sz w:val="20"/>
                <w:szCs w:val="20"/>
                <w:color w:val="auto"/>
              </w:rPr>
            </w:pPr>
            <w:r>
              <w:rPr>
                <w:rFonts w:ascii="Arial" w:cs="Arial" w:eastAsia="Arial" w:hAnsi="Arial"/>
                <w:sz w:val="13"/>
                <w:szCs w:val="13"/>
                <w:color w:val="auto"/>
              </w:rPr>
              <w:t>Healthcare</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4"/>
        </w:trPr>
        <w:tc>
          <w:tcPr>
            <w:tcW w:w="1040" w:type="dxa"/>
            <w:vAlign w:val="bottom"/>
          </w:tcPr>
          <w:p>
            <w:pPr>
              <w:ind w:left="20"/>
              <w:spacing w:after="0" w:line="144" w:lineRule="exact"/>
              <w:rPr>
                <w:sz w:val="20"/>
                <w:szCs w:val="20"/>
                <w:color w:val="auto"/>
              </w:rPr>
            </w:pPr>
            <w:r>
              <w:rPr>
                <w:rFonts w:ascii="Arial" w:cs="Arial" w:eastAsia="Arial" w:hAnsi="Arial"/>
                <w:sz w:val="13"/>
                <w:szCs w:val="13"/>
                <w:color w:val="auto"/>
              </w:rPr>
              <w:t>continuation</w:t>
            </w:r>
          </w:p>
        </w:tc>
        <w:tc>
          <w:tcPr>
            <w:tcW w:w="1220" w:type="dxa"/>
            <w:vAlign w:val="bottom"/>
            <w:gridSpan w:val="2"/>
          </w:tcPr>
          <w:p>
            <w:pPr>
              <w:jc w:val="center"/>
              <w:ind w:left="194"/>
              <w:spacing w:after="0" w:line="144" w:lineRule="exact"/>
              <w:rPr>
                <w:sz w:val="20"/>
                <w:szCs w:val="20"/>
                <w:color w:val="auto"/>
              </w:rPr>
            </w:pPr>
            <w:r>
              <w:rPr>
                <w:rFonts w:ascii="Arial" w:cs="Arial" w:eastAsia="Arial" w:hAnsi="Arial"/>
                <w:sz w:val="13"/>
                <w:szCs w:val="13"/>
                <w:color w:val="auto"/>
              </w:rPr>
              <w:t>$0</w:t>
            </w:r>
          </w:p>
        </w:tc>
        <w:tc>
          <w:tcPr>
            <w:tcW w:w="20" w:type="dxa"/>
            <w:vAlign w:val="bottom"/>
          </w:tcPr>
          <w:p>
            <w:pPr>
              <w:spacing w:after="0"/>
              <w:rPr>
                <w:sz w:val="12"/>
                <w:szCs w:val="12"/>
                <w:color w:val="auto"/>
              </w:rPr>
            </w:pPr>
          </w:p>
        </w:tc>
        <w:tc>
          <w:tcPr>
            <w:tcW w:w="1260" w:type="dxa"/>
            <w:vAlign w:val="bottom"/>
            <w:gridSpan w:val="2"/>
          </w:tcPr>
          <w:p>
            <w:pPr>
              <w:jc w:val="center"/>
              <w:ind w:left="194"/>
              <w:spacing w:after="0" w:line="144" w:lineRule="exact"/>
              <w:rPr>
                <w:sz w:val="20"/>
                <w:szCs w:val="20"/>
                <w:color w:val="auto"/>
              </w:rPr>
            </w:pPr>
            <w:r>
              <w:rPr>
                <w:rFonts w:ascii="Arial" w:cs="Arial" w:eastAsia="Arial" w:hAnsi="Arial"/>
                <w:sz w:val="13"/>
                <w:szCs w:val="13"/>
                <w:color w:val="auto"/>
              </w:rPr>
              <w:t>$0</w:t>
            </w:r>
          </w:p>
        </w:tc>
        <w:tc>
          <w:tcPr>
            <w:tcW w:w="1260" w:type="dxa"/>
            <w:vAlign w:val="bottom"/>
            <w:gridSpan w:val="2"/>
          </w:tcPr>
          <w:p>
            <w:pPr>
              <w:jc w:val="center"/>
              <w:ind w:left="194"/>
              <w:spacing w:after="0" w:line="144" w:lineRule="exact"/>
              <w:rPr>
                <w:sz w:val="20"/>
                <w:szCs w:val="20"/>
                <w:color w:val="auto"/>
              </w:rPr>
            </w:pPr>
            <w:r>
              <w:rPr>
                <w:rFonts w:ascii="Arial" w:cs="Arial" w:eastAsia="Arial" w:hAnsi="Arial"/>
                <w:sz w:val="13"/>
                <w:szCs w:val="13"/>
                <w:color w:val="auto"/>
              </w:rPr>
              <w:t>$0</w:t>
            </w:r>
          </w:p>
        </w:tc>
        <w:tc>
          <w:tcPr>
            <w:tcW w:w="1260" w:type="dxa"/>
            <w:vAlign w:val="bottom"/>
            <w:gridSpan w:val="2"/>
          </w:tcPr>
          <w:p>
            <w:pPr>
              <w:jc w:val="center"/>
              <w:ind w:left="174"/>
              <w:spacing w:after="0" w:line="144" w:lineRule="exact"/>
              <w:rPr>
                <w:sz w:val="20"/>
                <w:szCs w:val="20"/>
                <w:color w:val="auto"/>
              </w:rPr>
            </w:pPr>
            <w:r>
              <w:rPr>
                <w:rFonts w:ascii="Arial" w:cs="Arial" w:eastAsia="Arial" w:hAnsi="Arial"/>
                <w:sz w:val="13"/>
                <w:szCs w:val="13"/>
                <w:color w:val="auto"/>
                <w:w w:val="96"/>
              </w:rPr>
              <w:t>$0</w:t>
            </w:r>
          </w:p>
        </w:tc>
        <w:tc>
          <w:tcPr>
            <w:tcW w:w="1260" w:type="dxa"/>
            <w:vAlign w:val="bottom"/>
            <w:gridSpan w:val="2"/>
          </w:tcPr>
          <w:p>
            <w:pPr>
              <w:jc w:val="center"/>
              <w:ind w:left="174"/>
              <w:spacing w:after="0" w:line="144" w:lineRule="exact"/>
              <w:rPr>
                <w:sz w:val="20"/>
                <w:szCs w:val="20"/>
                <w:color w:val="auto"/>
              </w:rPr>
            </w:pPr>
            <w:r>
              <w:rPr>
                <w:rFonts w:ascii="Arial" w:cs="Arial" w:eastAsia="Arial" w:hAnsi="Arial"/>
                <w:sz w:val="13"/>
                <w:szCs w:val="13"/>
                <w:color w:val="auto"/>
                <w:w w:val="97"/>
              </w:rPr>
              <w:t>$23,867</w:t>
            </w:r>
          </w:p>
        </w:tc>
        <w:tc>
          <w:tcPr>
            <w:tcW w:w="1260" w:type="dxa"/>
            <w:vAlign w:val="bottom"/>
            <w:gridSpan w:val="2"/>
          </w:tcPr>
          <w:p>
            <w:pPr>
              <w:jc w:val="center"/>
              <w:ind w:left="174"/>
              <w:spacing w:after="0" w:line="144" w:lineRule="exact"/>
              <w:rPr>
                <w:sz w:val="20"/>
                <w:szCs w:val="20"/>
                <w:color w:val="auto"/>
              </w:rPr>
            </w:pPr>
            <w:r>
              <w:rPr>
                <w:rFonts w:ascii="Arial" w:cs="Arial" w:eastAsia="Arial" w:hAnsi="Arial"/>
                <w:sz w:val="13"/>
                <w:szCs w:val="13"/>
                <w:color w:val="auto"/>
                <w:w w:val="96"/>
              </w:rPr>
              <w:t>$0</w:t>
            </w:r>
          </w:p>
        </w:tc>
      </w:tr>
      <w:tr>
        <w:trPr>
          <w:trHeight w:val="148"/>
        </w:trPr>
        <w:tc>
          <w:tcPr>
            <w:tcW w:w="1040" w:type="dxa"/>
            <w:vAlign w:val="bottom"/>
            <w:shd w:val="clear" w:color="auto" w:fill="BFBFBF"/>
          </w:tcPr>
          <w:p>
            <w:pPr>
              <w:ind w:left="140"/>
              <w:spacing w:after="0" w:line="148" w:lineRule="exact"/>
              <w:rPr>
                <w:sz w:val="20"/>
                <w:szCs w:val="20"/>
                <w:color w:val="auto"/>
              </w:rPr>
            </w:pPr>
            <w:r>
              <w:rPr>
                <w:rFonts w:ascii="Arial" w:cs="Arial" w:eastAsia="Arial" w:hAnsi="Arial"/>
                <w:sz w:val="13"/>
                <w:szCs w:val="13"/>
                <w:color w:val="auto"/>
              </w:rPr>
              <w:t>Total</w:t>
            </w:r>
          </w:p>
        </w:tc>
        <w:tc>
          <w:tcPr>
            <w:tcW w:w="1220" w:type="dxa"/>
            <w:vAlign w:val="bottom"/>
            <w:gridSpan w:val="2"/>
            <w:shd w:val="clear" w:color="auto" w:fill="BFBFBF"/>
          </w:tcPr>
          <w:p>
            <w:pPr>
              <w:jc w:val="center"/>
              <w:ind w:left="214"/>
              <w:spacing w:after="0" w:line="148" w:lineRule="exact"/>
              <w:rPr>
                <w:sz w:val="20"/>
                <w:szCs w:val="20"/>
                <w:color w:val="auto"/>
              </w:rPr>
            </w:pPr>
            <w:r>
              <w:rPr>
                <w:rFonts w:ascii="Arial" w:cs="Arial" w:eastAsia="Arial" w:hAnsi="Arial"/>
                <w:sz w:val="13"/>
                <w:szCs w:val="13"/>
                <w:color w:val="auto"/>
              </w:rPr>
              <w:t>$4,747,543</w:t>
            </w:r>
          </w:p>
        </w:tc>
        <w:tc>
          <w:tcPr>
            <w:tcW w:w="20" w:type="dxa"/>
            <w:vAlign w:val="bottom"/>
            <w:shd w:val="clear" w:color="auto" w:fill="BFBFBF"/>
          </w:tcPr>
          <w:p>
            <w:pPr>
              <w:spacing w:after="0"/>
              <w:rPr>
                <w:sz w:val="12"/>
                <w:szCs w:val="12"/>
                <w:color w:val="auto"/>
              </w:rPr>
            </w:pPr>
          </w:p>
        </w:tc>
        <w:tc>
          <w:tcPr>
            <w:tcW w:w="1260" w:type="dxa"/>
            <w:vAlign w:val="bottom"/>
            <w:gridSpan w:val="2"/>
            <w:shd w:val="clear" w:color="auto" w:fill="BFBFBF"/>
          </w:tcPr>
          <w:p>
            <w:pPr>
              <w:jc w:val="center"/>
              <w:ind w:left="194"/>
              <w:spacing w:after="0" w:line="148" w:lineRule="exact"/>
              <w:rPr>
                <w:sz w:val="20"/>
                <w:szCs w:val="20"/>
                <w:color w:val="auto"/>
              </w:rPr>
            </w:pPr>
            <w:r>
              <w:rPr>
                <w:rFonts w:ascii="Arial" w:cs="Arial" w:eastAsia="Arial" w:hAnsi="Arial"/>
                <w:sz w:val="13"/>
                <w:szCs w:val="13"/>
                <w:color w:val="auto"/>
                <w:w w:val="98"/>
              </w:rPr>
              <w:t>$6,197,543</w:t>
            </w:r>
          </w:p>
        </w:tc>
        <w:tc>
          <w:tcPr>
            <w:tcW w:w="1260" w:type="dxa"/>
            <w:vAlign w:val="bottom"/>
            <w:gridSpan w:val="2"/>
            <w:shd w:val="clear" w:color="auto" w:fill="BFBFBF"/>
          </w:tcPr>
          <w:p>
            <w:pPr>
              <w:jc w:val="center"/>
              <w:ind w:left="194"/>
              <w:spacing w:after="0" w:line="148" w:lineRule="exact"/>
              <w:rPr>
                <w:sz w:val="20"/>
                <w:szCs w:val="20"/>
                <w:color w:val="auto"/>
              </w:rPr>
            </w:pPr>
            <w:r>
              <w:rPr>
                <w:rFonts w:ascii="Arial" w:cs="Arial" w:eastAsia="Arial" w:hAnsi="Arial"/>
                <w:sz w:val="13"/>
                <w:szCs w:val="13"/>
                <w:color w:val="auto"/>
              </w:rPr>
              <w:t>$0</w:t>
            </w:r>
          </w:p>
        </w:tc>
        <w:tc>
          <w:tcPr>
            <w:tcW w:w="1260" w:type="dxa"/>
            <w:vAlign w:val="bottom"/>
            <w:gridSpan w:val="2"/>
            <w:shd w:val="clear" w:color="auto" w:fill="BFBFBF"/>
          </w:tcPr>
          <w:p>
            <w:pPr>
              <w:jc w:val="center"/>
              <w:ind w:left="174"/>
              <w:spacing w:after="0" w:line="148" w:lineRule="exact"/>
              <w:rPr>
                <w:sz w:val="20"/>
                <w:szCs w:val="20"/>
                <w:color w:val="auto"/>
              </w:rPr>
            </w:pPr>
            <w:r>
              <w:rPr>
                <w:rFonts w:ascii="Arial" w:cs="Arial" w:eastAsia="Arial" w:hAnsi="Arial"/>
                <w:sz w:val="13"/>
                <w:szCs w:val="13"/>
                <w:color w:val="auto"/>
                <w:w w:val="96"/>
              </w:rPr>
              <w:t>$0</w:t>
            </w:r>
          </w:p>
        </w:tc>
        <w:tc>
          <w:tcPr>
            <w:tcW w:w="1260" w:type="dxa"/>
            <w:vAlign w:val="bottom"/>
            <w:gridSpan w:val="2"/>
            <w:shd w:val="clear" w:color="auto" w:fill="BFBFBF"/>
          </w:tcPr>
          <w:p>
            <w:pPr>
              <w:jc w:val="center"/>
              <w:ind w:left="174"/>
              <w:spacing w:after="0" w:line="148" w:lineRule="exact"/>
              <w:rPr>
                <w:sz w:val="20"/>
                <w:szCs w:val="20"/>
                <w:color w:val="auto"/>
              </w:rPr>
            </w:pPr>
            <w:r>
              <w:rPr>
                <w:rFonts w:ascii="Arial" w:cs="Arial" w:eastAsia="Arial" w:hAnsi="Arial"/>
                <w:sz w:val="13"/>
                <w:szCs w:val="13"/>
                <w:color w:val="auto"/>
              </w:rPr>
              <w:t>$12,441,855</w:t>
            </w:r>
          </w:p>
        </w:tc>
        <w:tc>
          <w:tcPr>
            <w:tcW w:w="1260" w:type="dxa"/>
            <w:vAlign w:val="bottom"/>
            <w:gridSpan w:val="2"/>
            <w:shd w:val="clear" w:color="auto" w:fill="BFBFBF"/>
          </w:tcPr>
          <w:p>
            <w:pPr>
              <w:jc w:val="center"/>
              <w:ind w:left="174"/>
              <w:spacing w:after="0" w:line="148" w:lineRule="exact"/>
              <w:rPr>
                <w:sz w:val="20"/>
                <w:szCs w:val="20"/>
                <w:color w:val="auto"/>
              </w:rPr>
            </w:pPr>
            <w:r>
              <w:rPr>
                <w:rFonts w:ascii="Arial" w:cs="Arial" w:eastAsia="Arial" w:hAnsi="Arial"/>
                <w:sz w:val="13"/>
                <w:szCs w:val="13"/>
                <w:color w:val="auto"/>
              </w:rPr>
              <w:t>$7,705,487</w:t>
            </w:r>
          </w:p>
        </w:tc>
      </w:tr>
      <w:tr>
        <w:trPr>
          <w:trHeight w:val="99"/>
        </w:trPr>
        <w:tc>
          <w:tcPr>
            <w:tcW w:w="10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r>
    </w:tbl>
    <w:p>
      <w:pPr>
        <w:spacing w:after="0" w:line="200" w:lineRule="exact"/>
        <w:rPr>
          <w:sz w:val="20"/>
          <w:szCs w:val="20"/>
          <w:color w:val="auto"/>
        </w:rPr>
      </w:pPr>
    </w:p>
    <w:p>
      <w:pPr>
        <w:ind w:left="1860" w:right="240" w:hanging="490"/>
        <w:spacing w:after="0" w:line="253" w:lineRule="auto"/>
        <w:tabs>
          <w:tab w:leader="none" w:pos="1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value of the accelerated vesting of restricted stock and PSUs is based on the closing price of our common stock as reported on NASDAQ on December 29, 2017 (the last trading day of 2017), which was $17.79.</w:t>
      </w:r>
    </w:p>
    <w:p>
      <w:pPr>
        <w:spacing w:after="0" w:line="179" w:lineRule="exact"/>
        <w:rPr>
          <w:rFonts w:ascii="Arial" w:cs="Arial" w:eastAsia="Arial" w:hAnsi="Arial"/>
          <w:sz w:val="16"/>
          <w:szCs w:val="16"/>
          <w:color w:val="auto"/>
        </w:rPr>
      </w:pPr>
    </w:p>
    <w:p>
      <w:pPr>
        <w:ind w:left="1860" w:right="440" w:hanging="490"/>
        <w:spacing w:after="0" w:line="245" w:lineRule="auto"/>
        <w:tabs>
          <w:tab w:leader="none" w:pos="1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amount assumes the Compensation Committee elected to accelerate vesting at the target level on a pro-rated basis as of December 31, 2017. Holders of PSUs also accrue a dividend equivalent for dividends declared on the Company's common stock during the life of the award that is paid in cash when underlying PSUs vest, and this amount includes a cash amount equal to the accrued dividends payable upon the vesting of the underlying PSUs.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00ACD2"/>
        </w:rPr>
        <w:t>Mark A. Wallace</w:t>
      </w:r>
    </w:p>
    <w:p>
      <w:pPr>
        <w:spacing w:after="0" w:line="214" w:lineRule="exact"/>
        <w:rPr>
          <w:sz w:val="20"/>
          <w:szCs w:val="20"/>
          <w:color w:val="auto"/>
        </w:rPr>
      </w:pPr>
    </w:p>
    <w:p>
      <w:pPr>
        <w:ind w:right="80" w:firstLine="621"/>
        <w:spacing w:after="0" w:line="253" w:lineRule="auto"/>
        <w:rPr>
          <w:sz w:val="20"/>
          <w:szCs w:val="20"/>
          <w:color w:val="auto"/>
        </w:rPr>
      </w:pPr>
      <w:r>
        <w:rPr>
          <w:rFonts w:ascii="Arial" w:cs="Arial" w:eastAsia="Arial" w:hAnsi="Arial"/>
          <w:sz w:val="16"/>
          <w:szCs w:val="16"/>
          <w:color w:val="auto"/>
        </w:rPr>
        <w:t>The following table shows the potential payments upon a hypothetical termination or change in control of the Company effective as of December 31, 2017 for Mark A. Wallace, our Executive Vice President—Chief Financial Officer and Treasurer.</w:t>
      </w:r>
    </w:p>
    <w:p>
      <w:pPr>
        <w:spacing w:after="0" w:line="163"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9"/>
              </w:rPr>
              <w:t>Termination</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8"/>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without</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9"/>
              </w:rPr>
              <w:t>Voluntary</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Termination</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Voluntary</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Cause or</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9"/>
              </w:rPr>
              <w:t>Termination</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without</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Termination</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Resignation</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rPr>
              <w:t>with Good</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Cause</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without</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for Good</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rPr>
              <w:t>Reason or</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other than</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Good</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Change in</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7"/>
              </w:rPr>
              <w:t>Reason</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rPr>
              <w:t>Company-</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following a</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Reason or</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Control</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following a</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040" w:type="dxa"/>
            <w:vAlign w:val="bottom"/>
          </w:tcPr>
          <w:p>
            <w:pPr>
              <w:ind w:left="300"/>
              <w:spacing w:after="0" w:line="148" w:lineRule="exact"/>
              <w:rPr>
                <w:sz w:val="20"/>
                <w:szCs w:val="20"/>
                <w:color w:val="auto"/>
              </w:rPr>
            </w:pPr>
            <w:r>
              <w:rPr>
                <w:rFonts w:ascii="Arial" w:cs="Arial" w:eastAsia="Arial" w:hAnsi="Arial"/>
                <w:sz w:val="13"/>
                <w:szCs w:val="13"/>
                <w:b w:val="1"/>
                <w:bCs w:val="1"/>
                <w:color w:val="auto"/>
              </w:rPr>
              <w:t>Type of</w:t>
            </w:r>
          </w:p>
        </w:tc>
        <w:tc>
          <w:tcPr>
            <w:tcW w:w="220" w:type="dxa"/>
            <w:vAlign w:val="bottom"/>
          </w:tcPr>
          <w:p>
            <w:pPr>
              <w:spacing w:after="0"/>
              <w:rPr>
                <w:sz w:val="12"/>
                <w:szCs w:val="12"/>
                <w:color w:val="auto"/>
              </w:rPr>
            </w:pPr>
          </w:p>
        </w:tc>
        <w:tc>
          <w:tcPr>
            <w:tcW w:w="102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8"/>
              </w:rPr>
              <w:t>Approved</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Change in</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Termination</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with no</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Change in</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Death or</w:t>
            </w:r>
          </w:p>
        </w:tc>
      </w:tr>
      <w:tr>
        <w:trPr>
          <w:trHeight w:val="160"/>
        </w:trPr>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Payment</w:t>
            </w:r>
          </w:p>
        </w:tc>
        <w:tc>
          <w:tcPr>
            <w:tcW w:w="220" w:type="dxa"/>
            <w:vAlign w:val="bottom"/>
          </w:tcPr>
          <w:p>
            <w:pPr>
              <w:spacing w:after="0"/>
              <w:rPr>
                <w:sz w:val="13"/>
                <w:szCs w:val="13"/>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Retirement</w:t>
            </w:r>
          </w:p>
        </w:tc>
        <w:tc>
          <w:tcPr>
            <w:tcW w:w="2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Control</w:t>
            </w:r>
          </w:p>
        </w:tc>
        <w:tc>
          <w:tcPr>
            <w:tcW w:w="2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for Cause</w:t>
            </w:r>
          </w:p>
        </w:tc>
        <w:tc>
          <w:tcPr>
            <w:tcW w:w="2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Termination</w:t>
            </w:r>
          </w:p>
        </w:tc>
        <w:tc>
          <w:tcPr>
            <w:tcW w:w="2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Control</w:t>
            </w:r>
          </w:p>
        </w:tc>
        <w:tc>
          <w:tcPr>
            <w:tcW w:w="2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Disability</w:t>
            </w:r>
          </w:p>
        </w:tc>
      </w:tr>
      <w:tr>
        <w:trPr>
          <w:trHeight w:val="140"/>
        </w:trPr>
        <w:tc>
          <w:tcPr>
            <w:tcW w:w="1040" w:type="dxa"/>
            <w:vAlign w:val="bottom"/>
            <w:shd w:val="clear" w:color="auto" w:fill="BFBFBF"/>
          </w:tcPr>
          <w:p>
            <w:pPr>
              <w:ind w:left="20"/>
              <w:spacing w:after="0" w:line="141" w:lineRule="exact"/>
              <w:rPr>
                <w:sz w:val="20"/>
                <w:szCs w:val="20"/>
                <w:color w:val="auto"/>
              </w:rPr>
            </w:pPr>
            <w:r>
              <w:rPr>
                <w:rFonts w:ascii="Arial" w:cs="Arial" w:eastAsia="Arial" w:hAnsi="Arial"/>
                <w:sz w:val="13"/>
                <w:szCs w:val="13"/>
                <w:color w:val="auto"/>
              </w:rPr>
              <w:t>Severance</w:t>
            </w:r>
          </w:p>
        </w:tc>
        <w:tc>
          <w:tcPr>
            <w:tcW w:w="1220" w:type="dxa"/>
            <w:vAlign w:val="bottom"/>
            <w:gridSpan w:val="2"/>
            <w:shd w:val="clear" w:color="auto" w:fill="BFBFBF"/>
          </w:tcPr>
          <w:p>
            <w:pPr>
              <w:jc w:val="center"/>
              <w:ind w:left="194"/>
              <w:spacing w:after="0" w:line="141" w:lineRule="exact"/>
              <w:rPr>
                <w:sz w:val="20"/>
                <w:szCs w:val="20"/>
                <w:color w:val="auto"/>
              </w:rPr>
            </w:pPr>
            <w:r>
              <w:rPr>
                <w:rFonts w:ascii="Arial" w:cs="Arial" w:eastAsia="Arial" w:hAnsi="Arial"/>
                <w:sz w:val="13"/>
                <w:szCs w:val="13"/>
                <w:color w:val="auto"/>
              </w:rPr>
              <w:t>$0</w:t>
            </w:r>
          </w:p>
        </w:tc>
        <w:tc>
          <w:tcPr>
            <w:tcW w:w="20" w:type="dxa"/>
            <w:vAlign w:val="bottom"/>
            <w:shd w:val="clear" w:color="auto" w:fill="BFBFBF"/>
          </w:tcPr>
          <w:p>
            <w:pPr>
              <w:spacing w:after="0"/>
              <w:rPr>
                <w:sz w:val="12"/>
                <w:szCs w:val="12"/>
                <w:color w:val="auto"/>
              </w:rPr>
            </w:pPr>
          </w:p>
        </w:tc>
        <w:tc>
          <w:tcPr>
            <w:tcW w:w="1260" w:type="dxa"/>
            <w:vAlign w:val="bottom"/>
            <w:gridSpan w:val="2"/>
            <w:shd w:val="clear" w:color="auto" w:fill="BFBFBF"/>
          </w:tcPr>
          <w:p>
            <w:pPr>
              <w:jc w:val="center"/>
              <w:ind w:left="194"/>
              <w:spacing w:after="0" w:line="141" w:lineRule="exact"/>
              <w:rPr>
                <w:sz w:val="20"/>
                <w:szCs w:val="20"/>
                <w:color w:val="auto"/>
              </w:rPr>
            </w:pPr>
            <w:r>
              <w:rPr>
                <w:rFonts w:ascii="Arial" w:cs="Arial" w:eastAsia="Arial" w:hAnsi="Arial"/>
                <w:sz w:val="13"/>
                <w:szCs w:val="13"/>
                <w:color w:val="auto"/>
              </w:rPr>
              <w:t>$450,000</w:t>
            </w:r>
          </w:p>
        </w:tc>
        <w:tc>
          <w:tcPr>
            <w:tcW w:w="1260" w:type="dxa"/>
            <w:vAlign w:val="bottom"/>
            <w:gridSpan w:val="2"/>
            <w:shd w:val="clear" w:color="auto" w:fill="BFBFBF"/>
          </w:tcPr>
          <w:p>
            <w:pPr>
              <w:jc w:val="center"/>
              <w:ind w:left="194"/>
              <w:spacing w:after="0" w:line="141" w:lineRule="exact"/>
              <w:rPr>
                <w:sz w:val="20"/>
                <w:szCs w:val="20"/>
                <w:color w:val="auto"/>
              </w:rPr>
            </w:pPr>
            <w:r>
              <w:rPr>
                <w:rFonts w:ascii="Arial" w:cs="Arial" w:eastAsia="Arial" w:hAnsi="Arial"/>
                <w:sz w:val="13"/>
                <w:szCs w:val="13"/>
                <w:color w:val="auto"/>
              </w:rPr>
              <w:t>$0</w:t>
            </w:r>
          </w:p>
        </w:tc>
        <w:tc>
          <w:tcPr>
            <w:tcW w:w="1260" w:type="dxa"/>
            <w:vAlign w:val="bottom"/>
            <w:gridSpan w:val="2"/>
            <w:shd w:val="clear" w:color="auto" w:fill="BFBFBF"/>
          </w:tcPr>
          <w:p>
            <w:pPr>
              <w:jc w:val="center"/>
              <w:ind w:left="174"/>
              <w:spacing w:after="0" w:line="141" w:lineRule="exact"/>
              <w:rPr>
                <w:sz w:val="20"/>
                <w:szCs w:val="20"/>
                <w:color w:val="auto"/>
              </w:rPr>
            </w:pPr>
            <w:r>
              <w:rPr>
                <w:rFonts w:ascii="Arial" w:cs="Arial" w:eastAsia="Arial" w:hAnsi="Arial"/>
                <w:sz w:val="13"/>
                <w:szCs w:val="13"/>
                <w:color w:val="auto"/>
                <w:w w:val="96"/>
              </w:rPr>
              <w:t>$0</w:t>
            </w:r>
          </w:p>
        </w:tc>
        <w:tc>
          <w:tcPr>
            <w:tcW w:w="1260" w:type="dxa"/>
            <w:vAlign w:val="bottom"/>
            <w:gridSpan w:val="2"/>
            <w:shd w:val="clear" w:color="auto" w:fill="BFBFBF"/>
          </w:tcPr>
          <w:p>
            <w:pPr>
              <w:jc w:val="center"/>
              <w:ind w:left="174"/>
              <w:spacing w:after="0" w:line="141" w:lineRule="exact"/>
              <w:rPr>
                <w:sz w:val="20"/>
                <w:szCs w:val="20"/>
                <w:color w:val="auto"/>
              </w:rPr>
            </w:pPr>
            <w:r>
              <w:rPr>
                <w:rFonts w:ascii="Arial" w:cs="Arial" w:eastAsia="Arial" w:hAnsi="Arial"/>
                <w:sz w:val="13"/>
                <w:szCs w:val="13"/>
                <w:color w:val="auto"/>
              </w:rPr>
              <w:t>$2,250,000</w:t>
            </w:r>
          </w:p>
        </w:tc>
        <w:tc>
          <w:tcPr>
            <w:tcW w:w="1260" w:type="dxa"/>
            <w:vAlign w:val="bottom"/>
            <w:gridSpan w:val="2"/>
            <w:shd w:val="clear" w:color="auto" w:fill="BFBFBF"/>
          </w:tcPr>
          <w:p>
            <w:pPr>
              <w:jc w:val="center"/>
              <w:ind w:left="174"/>
              <w:spacing w:after="0" w:line="141" w:lineRule="exact"/>
              <w:rPr>
                <w:sz w:val="20"/>
                <w:szCs w:val="20"/>
                <w:color w:val="auto"/>
              </w:rPr>
            </w:pPr>
            <w:r>
              <w:rPr>
                <w:rFonts w:ascii="Arial" w:cs="Arial" w:eastAsia="Arial" w:hAnsi="Arial"/>
                <w:sz w:val="13"/>
                <w:szCs w:val="13"/>
                <w:color w:val="auto"/>
                <w:w w:val="96"/>
              </w:rPr>
              <w:t>$0</w:t>
            </w:r>
          </w:p>
        </w:tc>
      </w:tr>
      <w:tr>
        <w:trPr>
          <w:trHeight w:val="152"/>
        </w:trPr>
        <w:tc>
          <w:tcPr>
            <w:tcW w:w="1040" w:type="dxa"/>
            <w:vAlign w:val="bottom"/>
          </w:tcPr>
          <w:p>
            <w:pPr>
              <w:ind w:left="20"/>
              <w:spacing w:after="0"/>
              <w:rPr>
                <w:sz w:val="20"/>
                <w:szCs w:val="20"/>
                <w:color w:val="auto"/>
              </w:rPr>
            </w:pPr>
            <w:r>
              <w:rPr>
                <w:rFonts w:ascii="Arial" w:cs="Arial" w:eastAsia="Arial" w:hAnsi="Arial"/>
                <w:sz w:val="13"/>
                <w:szCs w:val="13"/>
                <w:color w:val="auto"/>
              </w:rPr>
              <w:t>Accelerated</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8"/>
        </w:trPr>
        <w:tc>
          <w:tcPr>
            <w:tcW w:w="1040" w:type="dxa"/>
            <w:vAlign w:val="bottom"/>
          </w:tcPr>
          <w:p>
            <w:pPr>
              <w:ind w:left="20"/>
              <w:spacing w:after="0" w:line="148" w:lineRule="exact"/>
              <w:rPr>
                <w:sz w:val="20"/>
                <w:szCs w:val="20"/>
                <w:color w:val="auto"/>
              </w:rPr>
            </w:pPr>
            <w:r>
              <w:rPr>
                <w:rFonts w:ascii="Arial" w:cs="Arial" w:eastAsia="Arial" w:hAnsi="Arial"/>
                <w:sz w:val="13"/>
                <w:szCs w:val="13"/>
                <w:color w:val="auto"/>
              </w:rPr>
              <w:t>Vesting of</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1"/>
        </w:trPr>
        <w:tc>
          <w:tcPr>
            <w:tcW w:w="1040" w:type="dxa"/>
            <w:vAlign w:val="bottom"/>
          </w:tcPr>
          <w:p>
            <w:pPr>
              <w:ind w:left="20"/>
              <w:spacing w:after="0" w:line="141" w:lineRule="exact"/>
              <w:rPr>
                <w:sz w:val="20"/>
                <w:szCs w:val="20"/>
                <w:color w:val="auto"/>
              </w:rPr>
            </w:pPr>
            <w:r>
              <w:rPr>
                <w:rFonts w:ascii="Arial" w:cs="Arial" w:eastAsia="Arial" w:hAnsi="Arial"/>
                <w:sz w:val="13"/>
                <w:szCs w:val="13"/>
                <w:color w:val="auto"/>
              </w:rPr>
              <w:t>Restricted</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76"/>
        </w:trPr>
        <w:tc>
          <w:tcPr>
            <w:tcW w:w="1040" w:type="dxa"/>
            <w:vAlign w:val="bottom"/>
          </w:tcPr>
          <w:p>
            <w:pPr>
              <w:ind w:left="20"/>
              <w:spacing w:after="0" w:line="175" w:lineRule="exact"/>
              <w:rPr>
                <w:sz w:val="20"/>
                <w:szCs w:val="20"/>
                <w:color w:val="auto"/>
              </w:rPr>
            </w:pPr>
            <w:r>
              <w:rPr>
                <w:rFonts w:ascii="Arial" w:cs="Arial" w:eastAsia="Arial" w:hAnsi="Arial"/>
                <w:sz w:val="13"/>
                <w:szCs w:val="13"/>
                <w:color w:val="auto"/>
              </w:rPr>
              <w:t>Stock</w:t>
            </w:r>
            <w:r>
              <w:rPr>
                <w:rFonts w:ascii="Arial" w:cs="Arial" w:eastAsia="Arial" w:hAnsi="Arial"/>
                <w:sz w:val="19"/>
                <w:szCs w:val="19"/>
                <w:color w:val="auto"/>
                <w:vertAlign w:val="superscript"/>
              </w:rPr>
              <w:t>(1)</w:t>
            </w:r>
          </w:p>
        </w:tc>
        <w:tc>
          <w:tcPr>
            <w:tcW w:w="1220" w:type="dxa"/>
            <w:vAlign w:val="bottom"/>
            <w:gridSpan w:val="2"/>
          </w:tcPr>
          <w:p>
            <w:pPr>
              <w:jc w:val="center"/>
              <w:ind w:left="194"/>
              <w:spacing w:after="0"/>
              <w:rPr>
                <w:sz w:val="20"/>
                <w:szCs w:val="20"/>
                <w:color w:val="auto"/>
              </w:rPr>
            </w:pPr>
            <w:r>
              <w:rPr>
                <w:rFonts w:ascii="Arial" w:cs="Arial" w:eastAsia="Arial" w:hAnsi="Arial"/>
                <w:sz w:val="13"/>
                <w:szCs w:val="13"/>
                <w:color w:val="auto"/>
              </w:rPr>
              <w:t>$479,469</w:t>
            </w:r>
          </w:p>
        </w:tc>
        <w:tc>
          <w:tcPr>
            <w:tcW w:w="20" w:type="dxa"/>
            <w:vAlign w:val="bottom"/>
          </w:tcPr>
          <w:p>
            <w:pPr>
              <w:spacing w:after="0"/>
              <w:rPr>
                <w:sz w:val="15"/>
                <w:szCs w:val="15"/>
                <w:color w:val="auto"/>
              </w:rPr>
            </w:pPr>
          </w:p>
        </w:tc>
        <w:tc>
          <w:tcPr>
            <w:tcW w:w="1260" w:type="dxa"/>
            <w:vAlign w:val="bottom"/>
            <w:gridSpan w:val="2"/>
          </w:tcPr>
          <w:p>
            <w:pPr>
              <w:jc w:val="center"/>
              <w:ind w:left="194"/>
              <w:spacing w:after="0"/>
              <w:rPr>
                <w:sz w:val="20"/>
                <w:szCs w:val="20"/>
                <w:color w:val="auto"/>
              </w:rPr>
            </w:pPr>
            <w:r>
              <w:rPr>
                <w:rFonts w:ascii="Arial" w:cs="Arial" w:eastAsia="Arial" w:hAnsi="Arial"/>
                <w:sz w:val="13"/>
                <w:szCs w:val="13"/>
                <w:color w:val="auto"/>
              </w:rPr>
              <w:t>$479,469</w:t>
            </w:r>
          </w:p>
        </w:tc>
        <w:tc>
          <w:tcPr>
            <w:tcW w:w="1260" w:type="dxa"/>
            <w:vAlign w:val="bottom"/>
            <w:gridSpan w:val="2"/>
          </w:tcPr>
          <w:p>
            <w:pPr>
              <w:jc w:val="center"/>
              <w:ind w:left="194"/>
              <w:spacing w:after="0"/>
              <w:rPr>
                <w:sz w:val="20"/>
                <w:szCs w:val="20"/>
                <w:color w:val="auto"/>
              </w:rPr>
            </w:pPr>
            <w:r>
              <w:rPr>
                <w:rFonts w:ascii="Arial" w:cs="Arial" w:eastAsia="Arial" w:hAnsi="Arial"/>
                <w:sz w:val="13"/>
                <w:szCs w:val="13"/>
                <w:color w:val="auto"/>
              </w:rPr>
              <w:t>$0</w:t>
            </w:r>
          </w:p>
        </w:tc>
        <w:tc>
          <w:tcPr>
            <w:tcW w:w="1260" w:type="dxa"/>
            <w:vAlign w:val="bottom"/>
            <w:gridSpan w:val="2"/>
          </w:tcPr>
          <w:p>
            <w:pPr>
              <w:jc w:val="center"/>
              <w:ind w:left="174"/>
              <w:spacing w:after="0"/>
              <w:rPr>
                <w:sz w:val="20"/>
                <w:szCs w:val="20"/>
                <w:color w:val="auto"/>
              </w:rPr>
            </w:pPr>
            <w:r>
              <w:rPr>
                <w:rFonts w:ascii="Arial" w:cs="Arial" w:eastAsia="Arial" w:hAnsi="Arial"/>
                <w:sz w:val="13"/>
                <w:szCs w:val="13"/>
                <w:color w:val="auto"/>
                <w:w w:val="96"/>
              </w:rPr>
              <w:t>$0</w:t>
            </w:r>
          </w:p>
        </w:tc>
        <w:tc>
          <w:tcPr>
            <w:tcW w:w="1260" w:type="dxa"/>
            <w:vAlign w:val="bottom"/>
            <w:gridSpan w:val="2"/>
          </w:tcPr>
          <w:p>
            <w:pPr>
              <w:jc w:val="center"/>
              <w:ind w:left="174"/>
              <w:spacing w:after="0"/>
              <w:rPr>
                <w:sz w:val="20"/>
                <w:szCs w:val="20"/>
                <w:color w:val="auto"/>
              </w:rPr>
            </w:pPr>
            <w:r>
              <w:rPr>
                <w:rFonts w:ascii="Arial" w:cs="Arial" w:eastAsia="Arial" w:hAnsi="Arial"/>
                <w:sz w:val="13"/>
                <w:szCs w:val="13"/>
                <w:color w:val="auto"/>
                <w:w w:val="99"/>
              </w:rPr>
              <w:t>$812,576</w:t>
            </w:r>
          </w:p>
        </w:tc>
        <w:tc>
          <w:tcPr>
            <w:tcW w:w="1260" w:type="dxa"/>
            <w:vAlign w:val="bottom"/>
            <w:gridSpan w:val="2"/>
          </w:tcPr>
          <w:p>
            <w:pPr>
              <w:jc w:val="center"/>
              <w:ind w:left="174"/>
              <w:spacing w:after="0"/>
              <w:rPr>
                <w:sz w:val="20"/>
                <w:szCs w:val="20"/>
                <w:color w:val="auto"/>
              </w:rPr>
            </w:pPr>
            <w:r>
              <w:rPr>
                <w:rFonts w:ascii="Arial" w:cs="Arial" w:eastAsia="Arial" w:hAnsi="Arial"/>
                <w:sz w:val="13"/>
                <w:szCs w:val="13"/>
                <w:color w:val="auto"/>
                <w:w w:val="99"/>
              </w:rPr>
              <w:t>$812,576</w:t>
            </w:r>
          </w:p>
        </w:tc>
      </w:tr>
      <w:tr>
        <w:trPr>
          <w:trHeight w:val="152"/>
        </w:trPr>
        <w:tc>
          <w:tcPr>
            <w:tcW w:w="1040" w:type="dxa"/>
            <w:vAlign w:val="bottom"/>
            <w:shd w:val="clear" w:color="auto" w:fill="BFBFBF"/>
          </w:tcPr>
          <w:p>
            <w:pPr>
              <w:ind w:left="20"/>
              <w:spacing w:after="0"/>
              <w:rPr>
                <w:sz w:val="20"/>
                <w:szCs w:val="20"/>
                <w:color w:val="auto"/>
              </w:rPr>
            </w:pPr>
            <w:r>
              <w:rPr>
                <w:rFonts w:ascii="Arial" w:cs="Arial" w:eastAsia="Arial" w:hAnsi="Arial"/>
                <w:sz w:val="13"/>
                <w:szCs w:val="13"/>
                <w:color w:val="auto"/>
              </w:rPr>
              <w:t>Accelerated</w:t>
            </w:r>
          </w:p>
        </w:tc>
        <w:tc>
          <w:tcPr>
            <w:tcW w:w="220" w:type="dxa"/>
            <w:vAlign w:val="bottom"/>
            <w:shd w:val="clear" w:color="auto" w:fill="BFBFBF"/>
          </w:tcPr>
          <w:p>
            <w:pPr>
              <w:spacing w:after="0"/>
              <w:rPr>
                <w:sz w:val="13"/>
                <w:szCs w:val="13"/>
                <w:color w:val="auto"/>
              </w:rPr>
            </w:pPr>
          </w:p>
        </w:tc>
        <w:tc>
          <w:tcPr>
            <w:tcW w:w="1000" w:type="dxa"/>
            <w:vAlign w:val="bottom"/>
            <w:shd w:val="clear" w:color="auto" w:fill="BFBFBF"/>
          </w:tcPr>
          <w:p>
            <w:pPr>
              <w:spacing w:after="0"/>
              <w:rPr>
                <w:sz w:val="13"/>
                <w:szCs w:val="13"/>
                <w:color w:val="auto"/>
              </w:rPr>
            </w:pPr>
          </w:p>
        </w:tc>
        <w:tc>
          <w:tcPr>
            <w:tcW w:w="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r>
      <w:tr>
        <w:trPr>
          <w:trHeight w:val="141"/>
        </w:trPr>
        <w:tc>
          <w:tcPr>
            <w:tcW w:w="1040" w:type="dxa"/>
            <w:vAlign w:val="bottom"/>
            <w:shd w:val="clear" w:color="auto" w:fill="BFBFBF"/>
          </w:tcPr>
          <w:p>
            <w:pPr>
              <w:ind w:left="20"/>
              <w:spacing w:after="0" w:line="141" w:lineRule="exact"/>
              <w:rPr>
                <w:sz w:val="20"/>
                <w:szCs w:val="20"/>
                <w:color w:val="auto"/>
              </w:rPr>
            </w:pPr>
            <w:r>
              <w:rPr>
                <w:rFonts w:ascii="Arial" w:cs="Arial" w:eastAsia="Arial" w:hAnsi="Arial"/>
                <w:sz w:val="13"/>
                <w:szCs w:val="13"/>
                <w:color w:val="auto"/>
              </w:rPr>
              <w:t>Vesting of</w:t>
            </w:r>
          </w:p>
        </w:tc>
        <w:tc>
          <w:tcPr>
            <w:tcW w:w="220" w:type="dxa"/>
            <w:vAlign w:val="bottom"/>
            <w:shd w:val="clear" w:color="auto" w:fill="BFBFBF"/>
          </w:tcPr>
          <w:p>
            <w:pPr>
              <w:spacing w:after="0"/>
              <w:rPr>
                <w:sz w:val="12"/>
                <w:szCs w:val="12"/>
                <w:color w:val="auto"/>
              </w:rPr>
            </w:pPr>
          </w:p>
        </w:tc>
        <w:tc>
          <w:tcPr>
            <w:tcW w:w="1000" w:type="dxa"/>
            <w:vAlign w:val="bottom"/>
            <w:shd w:val="clear" w:color="auto" w:fill="BFBFBF"/>
          </w:tcPr>
          <w:p>
            <w:pPr>
              <w:spacing w:after="0"/>
              <w:rPr>
                <w:sz w:val="12"/>
                <w:szCs w:val="12"/>
                <w:color w:val="auto"/>
              </w:rPr>
            </w:pPr>
          </w:p>
        </w:tc>
        <w:tc>
          <w:tcPr>
            <w:tcW w:w="20" w:type="dxa"/>
            <w:vAlign w:val="bottom"/>
            <w:shd w:val="clear" w:color="auto" w:fill="BFBFBF"/>
          </w:tcPr>
          <w:p>
            <w:pPr>
              <w:spacing w:after="0"/>
              <w:rPr>
                <w:sz w:val="12"/>
                <w:szCs w:val="12"/>
                <w:color w:val="auto"/>
              </w:rPr>
            </w:pPr>
          </w:p>
        </w:tc>
        <w:tc>
          <w:tcPr>
            <w:tcW w:w="240" w:type="dxa"/>
            <w:vAlign w:val="bottom"/>
            <w:shd w:val="clear" w:color="auto" w:fill="BFBFBF"/>
          </w:tcPr>
          <w:p>
            <w:pPr>
              <w:spacing w:after="0"/>
              <w:rPr>
                <w:sz w:val="12"/>
                <w:szCs w:val="12"/>
                <w:color w:val="auto"/>
              </w:rPr>
            </w:pPr>
          </w:p>
        </w:tc>
        <w:tc>
          <w:tcPr>
            <w:tcW w:w="1020" w:type="dxa"/>
            <w:vAlign w:val="bottom"/>
            <w:shd w:val="clear" w:color="auto" w:fill="BFBFBF"/>
          </w:tcPr>
          <w:p>
            <w:pPr>
              <w:spacing w:after="0"/>
              <w:rPr>
                <w:sz w:val="12"/>
                <w:szCs w:val="12"/>
                <w:color w:val="auto"/>
              </w:rPr>
            </w:pPr>
          </w:p>
        </w:tc>
        <w:tc>
          <w:tcPr>
            <w:tcW w:w="240" w:type="dxa"/>
            <w:vAlign w:val="bottom"/>
            <w:shd w:val="clear" w:color="auto" w:fill="BFBFBF"/>
          </w:tcPr>
          <w:p>
            <w:pPr>
              <w:spacing w:after="0"/>
              <w:rPr>
                <w:sz w:val="12"/>
                <w:szCs w:val="12"/>
                <w:color w:val="auto"/>
              </w:rPr>
            </w:pPr>
          </w:p>
        </w:tc>
        <w:tc>
          <w:tcPr>
            <w:tcW w:w="1020" w:type="dxa"/>
            <w:vAlign w:val="bottom"/>
            <w:shd w:val="clear" w:color="auto" w:fill="BFBFBF"/>
          </w:tcPr>
          <w:p>
            <w:pPr>
              <w:spacing w:after="0"/>
              <w:rPr>
                <w:sz w:val="12"/>
                <w:szCs w:val="12"/>
                <w:color w:val="auto"/>
              </w:rPr>
            </w:pPr>
          </w:p>
        </w:tc>
        <w:tc>
          <w:tcPr>
            <w:tcW w:w="240" w:type="dxa"/>
            <w:vAlign w:val="bottom"/>
            <w:shd w:val="clear" w:color="auto" w:fill="BFBFBF"/>
          </w:tcPr>
          <w:p>
            <w:pPr>
              <w:spacing w:after="0"/>
              <w:rPr>
                <w:sz w:val="12"/>
                <w:szCs w:val="12"/>
                <w:color w:val="auto"/>
              </w:rPr>
            </w:pPr>
          </w:p>
        </w:tc>
        <w:tc>
          <w:tcPr>
            <w:tcW w:w="1020" w:type="dxa"/>
            <w:vAlign w:val="bottom"/>
            <w:shd w:val="clear" w:color="auto" w:fill="BFBFBF"/>
          </w:tcPr>
          <w:p>
            <w:pPr>
              <w:spacing w:after="0"/>
              <w:rPr>
                <w:sz w:val="12"/>
                <w:szCs w:val="12"/>
                <w:color w:val="auto"/>
              </w:rPr>
            </w:pPr>
          </w:p>
        </w:tc>
        <w:tc>
          <w:tcPr>
            <w:tcW w:w="240" w:type="dxa"/>
            <w:vAlign w:val="bottom"/>
            <w:shd w:val="clear" w:color="auto" w:fill="BFBFBF"/>
          </w:tcPr>
          <w:p>
            <w:pPr>
              <w:spacing w:after="0"/>
              <w:rPr>
                <w:sz w:val="12"/>
                <w:szCs w:val="12"/>
                <w:color w:val="auto"/>
              </w:rPr>
            </w:pPr>
          </w:p>
        </w:tc>
        <w:tc>
          <w:tcPr>
            <w:tcW w:w="1020" w:type="dxa"/>
            <w:vAlign w:val="bottom"/>
            <w:shd w:val="clear" w:color="auto" w:fill="BFBFBF"/>
          </w:tcPr>
          <w:p>
            <w:pPr>
              <w:spacing w:after="0"/>
              <w:rPr>
                <w:sz w:val="12"/>
                <w:szCs w:val="12"/>
                <w:color w:val="auto"/>
              </w:rPr>
            </w:pPr>
          </w:p>
        </w:tc>
        <w:tc>
          <w:tcPr>
            <w:tcW w:w="240" w:type="dxa"/>
            <w:vAlign w:val="bottom"/>
            <w:shd w:val="clear" w:color="auto" w:fill="BFBFBF"/>
          </w:tcPr>
          <w:p>
            <w:pPr>
              <w:spacing w:after="0"/>
              <w:rPr>
                <w:sz w:val="12"/>
                <w:szCs w:val="12"/>
                <w:color w:val="auto"/>
              </w:rPr>
            </w:pPr>
          </w:p>
        </w:tc>
        <w:tc>
          <w:tcPr>
            <w:tcW w:w="1020" w:type="dxa"/>
            <w:vAlign w:val="bottom"/>
            <w:shd w:val="clear" w:color="auto" w:fill="BFBFBF"/>
          </w:tcPr>
          <w:p>
            <w:pPr>
              <w:spacing w:after="0"/>
              <w:rPr>
                <w:sz w:val="12"/>
                <w:szCs w:val="12"/>
                <w:color w:val="auto"/>
              </w:rPr>
            </w:pPr>
          </w:p>
        </w:tc>
      </w:tr>
      <w:tr>
        <w:trPr>
          <w:trHeight w:val="176"/>
        </w:trPr>
        <w:tc>
          <w:tcPr>
            <w:tcW w:w="1040" w:type="dxa"/>
            <w:vAlign w:val="bottom"/>
            <w:shd w:val="clear" w:color="auto" w:fill="BFBFBF"/>
          </w:tcPr>
          <w:p>
            <w:pPr>
              <w:ind w:left="20"/>
              <w:spacing w:after="0" w:line="175" w:lineRule="exact"/>
              <w:rPr>
                <w:sz w:val="20"/>
                <w:szCs w:val="20"/>
                <w:color w:val="auto"/>
              </w:rPr>
            </w:pPr>
            <w:r>
              <w:rPr>
                <w:rFonts w:ascii="Arial" w:cs="Arial" w:eastAsia="Arial" w:hAnsi="Arial"/>
                <w:sz w:val="13"/>
                <w:szCs w:val="13"/>
                <w:color w:val="auto"/>
              </w:rPr>
              <w:t>PSUs</w:t>
            </w:r>
            <w:r>
              <w:rPr>
                <w:rFonts w:ascii="Arial" w:cs="Arial" w:eastAsia="Arial" w:hAnsi="Arial"/>
                <w:sz w:val="19"/>
                <w:szCs w:val="19"/>
                <w:color w:val="auto"/>
                <w:vertAlign w:val="superscript"/>
              </w:rPr>
              <w:t>(1)</w:t>
            </w:r>
          </w:p>
        </w:tc>
        <w:tc>
          <w:tcPr>
            <w:tcW w:w="1220" w:type="dxa"/>
            <w:vAlign w:val="bottom"/>
            <w:gridSpan w:val="2"/>
            <w:shd w:val="clear" w:color="auto" w:fill="BFBFBF"/>
          </w:tcPr>
          <w:p>
            <w:pPr>
              <w:jc w:val="center"/>
              <w:ind w:left="194"/>
              <w:spacing w:after="0" w:line="175" w:lineRule="exact"/>
              <w:rPr>
                <w:sz w:val="20"/>
                <w:szCs w:val="20"/>
                <w:color w:val="auto"/>
              </w:rPr>
            </w:pPr>
            <w:r>
              <w:rPr>
                <w:rFonts w:ascii="Arial" w:cs="Arial" w:eastAsia="Arial" w:hAnsi="Arial"/>
                <w:sz w:val="13"/>
                <w:szCs w:val="13"/>
                <w:color w:val="auto"/>
                <w:w w:val="97"/>
              </w:rPr>
              <w:t>$457,224</w:t>
            </w:r>
            <w:r>
              <w:rPr>
                <w:rFonts w:ascii="Arial" w:cs="Arial" w:eastAsia="Arial" w:hAnsi="Arial"/>
                <w:sz w:val="19"/>
                <w:szCs w:val="19"/>
                <w:color w:val="auto"/>
                <w:w w:val="97"/>
                <w:vertAlign w:val="superscript"/>
              </w:rPr>
              <w:t>(2)</w:t>
            </w:r>
          </w:p>
        </w:tc>
        <w:tc>
          <w:tcPr>
            <w:tcW w:w="20" w:type="dxa"/>
            <w:vAlign w:val="bottom"/>
            <w:shd w:val="clear" w:color="auto" w:fill="BFBFBF"/>
          </w:tcPr>
          <w:p>
            <w:pPr>
              <w:spacing w:after="0"/>
              <w:rPr>
                <w:sz w:val="15"/>
                <w:szCs w:val="15"/>
                <w:color w:val="auto"/>
              </w:rPr>
            </w:pPr>
          </w:p>
        </w:tc>
        <w:tc>
          <w:tcPr>
            <w:tcW w:w="1260" w:type="dxa"/>
            <w:vAlign w:val="bottom"/>
            <w:gridSpan w:val="2"/>
            <w:shd w:val="clear" w:color="auto" w:fill="BFBFBF"/>
          </w:tcPr>
          <w:p>
            <w:pPr>
              <w:jc w:val="center"/>
              <w:ind w:left="194"/>
              <w:spacing w:after="0" w:line="175" w:lineRule="exact"/>
              <w:rPr>
                <w:sz w:val="20"/>
                <w:szCs w:val="20"/>
                <w:color w:val="auto"/>
              </w:rPr>
            </w:pPr>
            <w:r>
              <w:rPr>
                <w:rFonts w:ascii="Arial" w:cs="Arial" w:eastAsia="Arial" w:hAnsi="Arial"/>
                <w:sz w:val="13"/>
                <w:szCs w:val="13"/>
                <w:color w:val="auto"/>
                <w:w w:val="97"/>
              </w:rPr>
              <w:t>$457,224</w:t>
            </w:r>
            <w:r>
              <w:rPr>
                <w:rFonts w:ascii="Arial" w:cs="Arial" w:eastAsia="Arial" w:hAnsi="Arial"/>
                <w:sz w:val="19"/>
                <w:szCs w:val="19"/>
                <w:color w:val="auto"/>
                <w:w w:val="97"/>
                <w:vertAlign w:val="superscript"/>
              </w:rPr>
              <w:t>(2)</w:t>
            </w:r>
          </w:p>
        </w:tc>
        <w:tc>
          <w:tcPr>
            <w:tcW w:w="1260" w:type="dxa"/>
            <w:vAlign w:val="bottom"/>
            <w:gridSpan w:val="2"/>
            <w:shd w:val="clear" w:color="auto" w:fill="BFBFBF"/>
          </w:tcPr>
          <w:p>
            <w:pPr>
              <w:jc w:val="center"/>
              <w:ind w:left="194"/>
              <w:spacing w:after="0"/>
              <w:rPr>
                <w:sz w:val="20"/>
                <w:szCs w:val="20"/>
                <w:color w:val="auto"/>
              </w:rPr>
            </w:pPr>
            <w:r>
              <w:rPr>
                <w:rFonts w:ascii="Arial" w:cs="Arial" w:eastAsia="Arial" w:hAnsi="Arial"/>
                <w:sz w:val="13"/>
                <w:szCs w:val="13"/>
                <w:color w:val="auto"/>
              </w:rPr>
              <w:t>$0</w:t>
            </w:r>
          </w:p>
        </w:tc>
        <w:tc>
          <w:tcPr>
            <w:tcW w:w="1260" w:type="dxa"/>
            <w:vAlign w:val="bottom"/>
            <w:gridSpan w:val="2"/>
            <w:shd w:val="clear" w:color="auto" w:fill="BFBFBF"/>
          </w:tcPr>
          <w:p>
            <w:pPr>
              <w:jc w:val="center"/>
              <w:ind w:left="174"/>
              <w:spacing w:after="0"/>
              <w:rPr>
                <w:sz w:val="20"/>
                <w:szCs w:val="20"/>
                <w:color w:val="auto"/>
              </w:rPr>
            </w:pPr>
            <w:r>
              <w:rPr>
                <w:rFonts w:ascii="Arial" w:cs="Arial" w:eastAsia="Arial" w:hAnsi="Arial"/>
                <w:sz w:val="13"/>
                <w:szCs w:val="13"/>
                <w:color w:val="auto"/>
                <w:w w:val="96"/>
              </w:rPr>
              <w:t>$0</w:t>
            </w:r>
          </w:p>
        </w:tc>
        <w:tc>
          <w:tcPr>
            <w:tcW w:w="1260" w:type="dxa"/>
            <w:vAlign w:val="bottom"/>
            <w:gridSpan w:val="2"/>
            <w:shd w:val="clear" w:color="auto" w:fill="BFBFBF"/>
          </w:tcPr>
          <w:p>
            <w:pPr>
              <w:jc w:val="center"/>
              <w:ind w:left="174"/>
              <w:spacing w:after="0"/>
              <w:rPr>
                <w:sz w:val="20"/>
                <w:szCs w:val="20"/>
                <w:color w:val="auto"/>
              </w:rPr>
            </w:pPr>
            <w:r>
              <w:rPr>
                <w:rFonts w:ascii="Arial" w:cs="Arial" w:eastAsia="Arial" w:hAnsi="Arial"/>
                <w:sz w:val="13"/>
                <w:szCs w:val="13"/>
                <w:color w:val="auto"/>
                <w:w w:val="99"/>
              </w:rPr>
              <w:t>$824,540</w:t>
            </w:r>
          </w:p>
        </w:tc>
        <w:tc>
          <w:tcPr>
            <w:tcW w:w="1260" w:type="dxa"/>
            <w:vAlign w:val="bottom"/>
            <w:gridSpan w:val="2"/>
            <w:shd w:val="clear" w:color="auto" w:fill="BFBFBF"/>
          </w:tcPr>
          <w:p>
            <w:pPr>
              <w:jc w:val="center"/>
              <w:ind w:left="174"/>
              <w:spacing w:after="0"/>
              <w:rPr>
                <w:sz w:val="20"/>
                <w:szCs w:val="20"/>
                <w:color w:val="auto"/>
              </w:rPr>
            </w:pPr>
            <w:r>
              <w:rPr>
                <w:rFonts w:ascii="Arial" w:cs="Arial" w:eastAsia="Arial" w:hAnsi="Arial"/>
                <w:sz w:val="13"/>
                <w:szCs w:val="13"/>
                <w:color w:val="auto"/>
                <w:w w:val="99"/>
              </w:rPr>
              <w:t>$824,540</w:t>
            </w:r>
          </w:p>
        </w:tc>
      </w:tr>
      <w:tr>
        <w:trPr>
          <w:trHeight w:val="152"/>
        </w:trPr>
        <w:tc>
          <w:tcPr>
            <w:tcW w:w="1040" w:type="dxa"/>
            <w:vAlign w:val="bottom"/>
          </w:tcPr>
          <w:p>
            <w:pPr>
              <w:ind w:left="20"/>
              <w:spacing w:after="0"/>
              <w:rPr>
                <w:sz w:val="20"/>
                <w:szCs w:val="20"/>
                <w:color w:val="auto"/>
              </w:rPr>
            </w:pPr>
            <w:r>
              <w:rPr>
                <w:rFonts w:ascii="Arial" w:cs="Arial" w:eastAsia="Arial" w:hAnsi="Arial"/>
                <w:sz w:val="13"/>
                <w:szCs w:val="13"/>
                <w:color w:val="auto"/>
              </w:rPr>
              <w:t>Outplacement</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4"/>
        </w:trPr>
        <w:tc>
          <w:tcPr>
            <w:tcW w:w="1040" w:type="dxa"/>
            <w:vAlign w:val="bottom"/>
          </w:tcPr>
          <w:p>
            <w:pPr>
              <w:ind w:left="20"/>
              <w:spacing w:after="0" w:line="144" w:lineRule="exact"/>
              <w:rPr>
                <w:sz w:val="20"/>
                <w:szCs w:val="20"/>
                <w:color w:val="auto"/>
              </w:rPr>
            </w:pPr>
            <w:r>
              <w:rPr>
                <w:rFonts w:ascii="Arial" w:cs="Arial" w:eastAsia="Arial" w:hAnsi="Arial"/>
                <w:sz w:val="13"/>
                <w:szCs w:val="13"/>
                <w:color w:val="auto"/>
              </w:rPr>
              <w:t>Services</w:t>
            </w:r>
          </w:p>
        </w:tc>
        <w:tc>
          <w:tcPr>
            <w:tcW w:w="1220" w:type="dxa"/>
            <w:vAlign w:val="bottom"/>
            <w:gridSpan w:val="2"/>
          </w:tcPr>
          <w:p>
            <w:pPr>
              <w:jc w:val="center"/>
              <w:ind w:left="194"/>
              <w:spacing w:after="0" w:line="144" w:lineRule="exact"/>
              <w:rPr>
                <w:sz w:val="20"/>
                <w:szCs w:val="20"/>
                <w:color w:val="auto"/>
              </w:rPr>
            </w:pPr>
            <w:r>
              <w:rPr>
                <w:rFonts w:ascii="Arial" w:cs="Arial" w:eastAsia="Arial" w:hAnsi="Arial"/>
                <w:sz w:val="13"/>
                <w:szCs w:val="13"/>
                <w:color w:val="auto"/>
              </w:rPr>
              <w:t>$0</w:t>
            </w:r>
          </w:p>
        </w:tc>
        <w:tc>
          <w:tcPr>
            <w:tcW w:w="20" w:type="dxa"/>
            <w:vAlign w:val="bottom"/>
          </w:tcPr>
          <w:p>
            <w:pPr>
              <w:spacing w:after="0"/>
              <w:rPr>
                <w:sz w:val="12"/>
                <w:szCs w:val="12"/>
                <w:color w:val="auto"/>
              </w:rPr>
            </w:pPr>
          </w:p>
        </w:tc>
        <w:tc>
          <w:tcPr>
            <w:tcW w:w="1260" w:type="dxa"/>
            <w:vAlign w:val="bottom"/>
            <w:gridSpan w:val="2"/>
          </w:tcPr>
          <w:p>
            <w:pPr>
              <w:jc w:val="center"/>
              <w:ind w:left="194"/>
              <w:spacing w:after="0" w:line="144" w:lineRule="exact"/>
              <w:rPr>
                <w:sz w:val="20"/>
                <w:szCs w:val="20"/>
                <w:color w:val="auto"/>
              </w:rPr>
            </w:pPr>
            <w:r>
              <w:rPr>
                <w:rFonts w:ascii="Arial" w:cs="Arial" w:eastAsia="Arial" w:hAnsi="Arial"/>
                <w:sz w:val="13"/>
                <w:szCs w:val="13"/>
                <w:color w:val="auto"/>
              </w:rPr>
              <w:t>$0</w:t>
            </w:r>
          </w:p>
        </w:tc>
        <w:tc>
          <w:tcPr>
            <w:tcW w:w="1260" w:type="dxa"/>
            <w:vAlign w:val="bottom"/>
            <w:gridSpan w:val="2"/>
          </w:tcPr>
          <w:p>
            <w:pPr>
              <w:jc w:val="center"/>
              <w:ind w:left="194"/>
              <w:spacing w:after="0" w:line="144" w:lineRule="exact"/>
              <w:rPr>
                <w:sz w:val="20"/>
                <w:szCs w:val="20"/>
                <w:color w:val="auto"/>
              </w:rPr>
            </w:pPr>
            <w:r>
              <w:rPr>
                <w:rFonts w:ascii="Arial" w:cs="Arial" w:eastAsia="Arial" w:hAnsi="Arial"/>
                <w:sz w:val="13"/>
                <w:szCs w:val="13"/>
                <w:color w:val="auto"/>
              </w:rPr>
              <w:t>$0</w:t>
            </w:r>
          </w:p>
        </w:tc>
        <w:tc>
          <w:tcPr>
            <w:tcW w:w="1260" w:type="dxa"/>
            <w:vAlign w:val="bottom"/>
            <w:gridSpan w:val="2"/>
          </w:tcPr>
          <w:p>
            <w:pPr>
              <w:jc w:val="center"/>
              <w:ind w:left="174"/>
              <w:spacing w:after="0" w:line="144" w:lineRule="exact"/>
              <w:rPr>
                <w:sz w:val="20"/>
                <w:szCs w:val="20"/>
                <w:color w:val="auto"/>
              </w:rPr>
            </w:pPr>
            <w:r>
              <w:rPr>
                <w:rFonts w:ascii="Arial" w:cs="Arial" w:eastAsia="Arial" w:hAnsi="Arial"/>
                <w:sz w:val="13"/>
                <w:szCs w:val="13"/>
                <w:color w:val="auto"/>
                <w:w w:val="96"/>
              </w:rPr>
              <w:t>$0</w:t>
            </w:r>
          </w:p>
        </w:tc>
        <w:tc>
          <w:tcPr>
            <w:tcW w:w="1260" w:type="dxa"/>
            <w:vAlign w:val="bottom"/>
            <w:gridSpan w:val="2"/>
          </w:tcPr>
          <w:p>
            <w:pPr>
              <w:jc w:val="center"/>
              <w:ind w:left="174"/>
              <w:spacing w:after="0" w:line="144" w:lineRule="exact"/>
              <w:rPr>
                <w:sz w:val="20"/>
                <w:szCs w:val="20"/>
                <w:color w:val="auto"/>
              </w:rPr>
            </w:pPr>
            <w:r>
              <w:rPr>
                <w:rFonts w:ascii="Arial" w:cs="Arial" w:eastAsia="Arial" w:hAnsi="Arial"/>
                <w:sz w:val="13"/>
                <w:szCs w:val="13"/>
                <w:color w:val="auto"/>
                <w:w w:val="97"/>
              </w:rPr>
              <w:t>$25,000</w:t>
            </w:r>
          </w:p>
        </w:tc>
        <w:tc>
          <w:tcPr>
            <w:tcW w:w="1260" w:type="dxa"/>
            <w:vAlign w:val="bottom"/>
            <w:gridSpan w:val="2"/>
          </w:tcPr>
          <w:p>
            <w:pPr>
              <w:jc w:val="center"/>
              <w:ind w:left="174"/>
              <w:spacing w:after="0" w:line="144" w:lineRule="exact"/>
              <w:rPr>
                <w:sz w:val="20"/>
                <w:szCs w:val="20"/>
                <w:color w:val="auto"/>
              </w:rPr>
            </w:pPr>
            <w:r>
              <w:rPr>
                <w:rFonts w:ascii="Arial" w:cs="Arial" w:eastAsia="Arial" w:hAnsi="Arial"/>
                <w:sz w:val="13"/>
                <w:szCs w:val="13"/>
                <w:color w:val="auto"/>
                <w:w w:val="96"/>
              </w:rPr>
              <w:t>$0</w:t>
            </w:r>
          </w:p>
        </w:tc>
      </w:tr>
      <w:tr>
        <w:trPr>
          <w:trHeight w:val="152"/>
        </w:trPr>
        <w:tc>
          <w:tcPr>
            <w:tcW w:w="1040" w:type="dxa"/>
            <w:vAlign w:val="bottom"/>
            <w:shd w:val="clear" w:color="auto" w:fill="BFBFBF"/>
          </w:tcPr>
          <w:p>
            <w:pPr>
              <w:ind w:left="20"/>
              <w:spacing w:after="0"/>
              <w:rPr>
                <w:sz w:val="20"/>
                <w:szCs w:val="20"/>
                <w:color w:val="auto"/>
              </w:rPr>
            </w:pPr>
            <w:r>
              <w:rPr>
                <w:rFonts w:ascii="Arial" w:cs="Arial" w:eastAsia="Arial" w:hAnsi="Arial"/>
                <w:sz w:val="13"/>
                <w:szCs w:val="13"/>
                <w:color w:val="auto"/>
              </w:rPr>
              <w:t>Healthcare</w:t>
            </w:r>
          </w:p>
        </w:tc>
        <w:tc>
          <w:tcPr>
            <w:tcW w:w="220" w:type="dxa"/>
            <w:vAlign w:val="bottom"/>
            <w:shd w:val="clear" w:color="auto" w:fill="BFBFBF"/>
          </w:tcPr>
          <w:p>
            <w:pPr>
              <w:spacing w:after="0"/>
              <w:rPr>
                <w:sz w:val="13"/>
                <w:szCs w:val="13"/>
                <w:color w:val="auto"/>
              </w:rPr>
            </w:pPr>
          </w:p>
        </w:tc>
        <w:tc>
          <w:tcPr>
            <w:tcW w:w="1000" w:type="dxa"/>
            <w:vAlign w:val="bottom"/>
            <w:shd w:val="clear" w:color="auto" w:fill="BFBFBF"/>
          </w:tcPr>
          <w:p>
            <w:pPr>
              <w:spacing w:after="0"/>
              <w:rPr>
                <w:sz w:val="13"/>
                <w:szCs w:val="13"/>
                <w:color w:val="auto"/>
              </w:rPr>
            </w:pPr>
          </w:p>
        </w:tc>
        <w:tc>
          <w:tcPr>
            <w:tcW w:w="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r>
      <w:tr>
        <w:trPr>
          <w:trHeight w:val="144"/>
        </w:trPr>
        <w:tc>
          <w:tcPr>
            <w:tcW w:w="1040" w:type="dxa"/>
            <w:vAlign w:val="bottom"/>
            <w:shd w:val="clear" w:color="auto" w:fill="BFBFBF"/>
          </w:tcPr>
          <w:p>
            <w:pPr>
              <w:ind w:left="20"/>
              <w:spacing w:after="0" w:line="144" w:lineRule="exact"/>
              <w:rPr>
                <w:sz w:val="20"/>
                <w:szCs w:val="20"/>
                <w:color w:val="auto"/>
              </w:rPr>
            </w:pPr>
            <w:r>
              <w:rPr>
                <w:rFonts w:ascii="Arial" w:cs="Arial" w:eastAsia="Arial" w:hAnsi="Arial"/>
                <w:sz w:val="13"/>
                <w:szCs w:val="13"/>
                <w:color w:val="auto"/>
              </w:rPr>
              <w:t>continuation</w:t>
            </w:r>
          </w:p>
        </w:tc>
        <w:tc>
          <w:tcPr>
            <w:tcW w:w="1220" w:type="dxa"/>
            <w:vAlign w:val="bottom"/>
            <w:gridSpan w:val="2"/>
            <w:shd w:val="clear" w:color="auto" w:fill="BFBFBF"/>
          </w:tcPr>
          <w:p>
            <w:pPr>
              <w:jc w:val="center"/>
              <w:ind w:left="194"/>
              <w:spacing w:after="0" w:line="144" w:lineRule="exact"/>
              <w:rPr>
                <w:sz w:val="20"/>
                <w:szCs w:val="20"/>
                <w:color w:val="auto"/>
              </w:rPr>
            </w:pPr>
            <w:r>
              <w:rPr>
                <w:rFonts w:ascii="Arial" w:cs="Arial" w:eastAsia="Arial" w:hAnsi="Arial"/>
                <w:sz w:val="13"/>
                <w:szCs w:val="13"/>
                <w:color w:val="auto"/>
              </w:rPr>
              <w:t>$0</w:t>
            </w:r>
          </w:p>
        </w:tc>
        <w:tc>
          <w:tcPr>
            <w:tcW w:w="20" w:type="dxa"/>
            <w:vAlign w:val="bottom"/>
            <w:shd w:val="clear" w:color="auto" w:fill="BFBFBF"/>
          </w:tcPr>
          <w:p>
            <w:pPr>
              <w:spacing w:after="0"/>
              <w:rPr>
                <w:sz w:val="12"/>
                <w:szCs w:val="12"/>
                <w:color w:val="auto"/>
              </w:rPr>
            </w:pPr>
          </w:p>
        </w:tc>
        <w:tc>
          <w:tcPr>
            <w:tcW w:w="1260" w:type="dxa"/>
            <w:vAlign w:val="bottom"/>
            <w:gridSpan w:val="2"/>
            <w:shd w:val="clear" w:color="auto" w:fill="BFBFBF"/>
          </w:tcPr>
          <w:p>
            <w:pPr>
              <w:jc w:val="center"/>
              <w:ind w:left="194"/>
              <w:spacing w:after="0" w:line="144" w:lineRule="exact"/>
              <w:rPr>
                <w:sz w:val="20"/>
                <w:szCs w:val="20"/>
                <w:color w:val="auto"/>
              </w:rPr>
            </w:pPr>
            <w:r>
              <w:rPr>
                <w:rFonts w:ascii="Arial" w:cs="Arial" w:eastAsia="Arial" w:hAnsi="Arial"/>
                <w:sz w:val="13"/>
                <w:szCs w:val="13"/>
                <w:color w:val="auto"/>
              </w:rPr>
              <w:t>$0</w:t>
            </w:r>
          </w:p>
        </w:tc>
        <w:tc>
          <w:tcPr>
            <w:tcW w:w="1260" w:type="dxa"/>
            <w:vAlign w:val="bottom"/>
            <w:gridSpan w:val="2"/>
            <w:shd w:val="clear" w:color="auto" w:fill="BFBFBF"/>
          </w:tcPr>
          <w:p>
            <w:pPr>
              <w:jc w:val="center"/>
              <w:ind w:left="194"/>
              <w:spacing w:after="0" w:line="144" w:lineRule="exact"/>
              <w:rPr>
                <w:sz w:val="20"/>
                <w:szCs w:val="20"/>
                <w:color w:val="auto"/>
              </w:rPr>
            </w:pPr>
            <w:r>
              <w:rPr>
                <w:rFonts w:ascii="Arial" w:cs="Arial" w:eastAsia="Arial" w:hAnsi="Arial"/>
                <w:sz w:val="13"/>
                <w:szCs w:val="13"/>
                <w:color w:val="auto"/>
              </w:rPr>
              <w:t>$0</w:t>
            </w:r>
          </w:p>
        </w:tc>
        <w:tc>
          <w:tcPr>
            <w:tcW w:w="1260" w:type="dxa"/>
            <w:vAlign w:val="bottom"/>
            <w:gridSpan w:val="2"/>
            <w:shd w:val="clear" w:color="auto" w:fill="BFBFBF"/>
          </w:tcPr>
          <w:p>
            <w:pPr>
              <w:jc w:val="center"/>
              <w:ind w:left="174"/>
              <w:spacing w:after="0" w:line="144" w:lineRule="exact"/>
              <w:rPr>
                <w:sz w:val="20"/>
                <w:szCs w:val="20"/>
                <w:color w:val="auto"/>
              </w:rPr>
            </w:pPr>
            <w:r>
              <w:rPr>
                <w:rFonts w:ascii="Arial" w:cs="Arial" w:eastAsia="Arial" w:hAnsi="Arial"/>
                <w:sz w:val="13"/>
                <w:szCs w:val="13"/>
                <w:color w:val="auto"/>
                <w:w w:val="96"/>
              </w:rPr>
              <w:t>$0</w:t>
            </w:r>
          </w:p>
        </w:tc>
        <w:tc>
          <w:tcPr>
            <w:tcW w:w="1260" w:type="dxa"/>
            <w:vAlign w:val="bottom"/>
            <w:gridSpan w:val="2"/>
            <w:shd w:val="clear" w:color="auto" w:fill="BFBFBF"/>
          </w:tcPr>
          <w:p>
            <w:pPr>
              <w:jc w:val="center"/>
              <w:ind w:left="174"/>
              <w:spacing w:after="0" w:line="144" w:lineRule="exact"/>
              <w:rPr>
                <w:sz w:val="20"/>
                <w:szCs w:val="20"/>
                <w:color w:val="auto"/>
              </w:rPr>
            </w:pPr>
            <w:r>
              <w:rPr>
                <w:rFonts w:ascii="Arial" w:cs="Arial" w:eastAsia="Arial" w:hAnsi="Arial"/>
                <w:sz w:val="13"/>
                <w:szCs w:val="13"/>
                <w:color w:val="auto"/>
                <w:w w:val="97"/>
              </w:rPr>
              <w:t>$23,867</w:t>
            </w:r>
          </w:p>
        </w:tc>
        <w:tc>
          <w:tcPr>
            <w:tcW w:w="1260" w:type="dxa"/>
            <w:vAlign w:val="bottom"/>
            <w:gridSpan w:val="2"/>
            <w:shd w:val="clear" w:color="auto" w:fill="BFBFBF"/>
          </w:tcPr>
          <w:p>
            <w:pPr>
              <w:jc w:val="center"/>
              <w:ind w:left="174"/>
              <w:spacing w:after="0" w:line="144" w:lineRule="exact"/>
              <w:rPr>
                <w:sz w:val="20"/>
                <w:szCs w:val="20"/>
                <w:color w:val="auto"/>
              </w:rPr>
            </w:pPr>
            <w:r>
              <w:rPr>
                <w:rFonts w:ascii="Arial" w:cs="Arial" w:eastAsia="Arial" w:hAnsi="Arial"/>
                <w:sz w:val="13"/>
                <w:szCs w:val="13"/>
                <w:color w:val="auto"/>
                <w:w w:val="96"/>
              </w:rPr>
              <w:t>$0</w:t>
            </w:r>
          </w:p>
        </w:tc>
      </w:tr>
      <w:tr>
        <w:trPr>
          <w:trHeight w:val="161"/>
        </w:trPr>
        <w:tc>
          <w:tcPr>
            <w:tcW w:w="1040" w:type="dxa"/>
            <w:vAlign w:val="bottom"/>
          </w:tcPr>
          <w:p>
            <w:pPr>
              <w:ind w:left="140"/>
              <w:spacing w:after="0"/>
              <w:rPr>
                <w:sz w:val="20"/>
                <w:szCs w:val="20"/>
                <w:color w:val="auto"/>
              </w:rPr>
            </w:pPr>
            <w:r>
              <w:rPr>
                <w:rFonts w:ascii="Arial" w:cs="Arial" w:eastAsia="Arial" w:hAnsi="Arial"/>
                <w:sz w:val="13"/>
                <w:szCs w:val="13"/>
                <w:color w:val="auto"/>
              </w:rPr>
              <w:t>Total</w:t>
            </w:r>
          </w:p>
        </w:tc>
        <w:tc>
          <w:tcPr>
            <w:tcW w:w="1220" w:type="dxa"/>
            <w:vAlign w:val="bottom"/>
            <w:gridSpan w:val="2"/>
          </w:tcPr>
          <w:p>
            <w:pPr>
              <w:jc w:val="center"/>
              <w:ind w:left="194"/>
              <w:spacing w:after="0"/>
              <w:rPr>
                <w:sz w:val="20"/>
                <w:szCs w:val="20"/>
                <w:color w:val="auto"/>
              </w:rPr>
            </w:pPr>
            <w:r>
              <w:rPr>
                <w:rFonts w:ascii="Arial" w:cs="Arial" w:eastAsia="Arial" w:hAnsi="Arial"/>
                <w:sz w:val="13"/>
                <w:szCs w:val="13"/>
                <w:color w:val="auto"/>
              </w:rPr>
              <w:t>$936,692</w:t>
            </w:r>
          </w:p>
        </w:tc>
        <w:tc>
          <w:tcPr>
            <w:tcW w:w="20" w:type="dxa"/>
            <w:vAlign w:val="bottom"/>
          </w:tcPr>
          <w:p>
            <w:pPr>
              <w:spacing w:after="0"/>
              <w:rPr>
                <w:sz w:val="14"/>
                <w:szCs w:val="14"/>
                <w:color w:val="auto"/>
              </w:rPr>
            </w:pPr>
          </w:p>
        </w:tc>
        <w:tc>
          <w:tcPr>
            <w:tcW w:w="1260" w:type="dxa"/>
            <w:vAlign w:val="bottom"/>
            <w:gridSpan w:val="2"/>
          </w:tcPr>
          <w:p>
            <w:pPr>
              <w:jc w:val="center"/>
              <w:ind w:left="194"/>
              <w:spacing w:after="0"/>
              <w:rPr>
                <w:sz w:val="20"/>
                <w:szCs w:val="20"/>
                <w:color w:val="auto"/>
              </w:rPr>
            </w:pPr>
            <w:r>
              <w:rPr>
                <w:rFonts w:ascii="Arial" w:cs="Arial" w:eastAsia="Arial" w:hAnsi="Arial"/>
                <w:sz w:val="13"/>
                <w:szCs w:val="13"/>
                <w:color w:val="auto"/>
                <w:w w:val="98"/>
              </w:rPr>
              <w:t>$1,386,692</w:t>
            </w:r>
          </w:p>
        </w:tc>
        <w:tc>
          <w:tcPr>
            <w:tcW w:w="1260" w:type="dxa"/>
            <w:vAlign w:val="bottom"/>
            <w:gridSpan w:val="2"/>
          </w:tcPr>
          <w:p>
            <w:pPr>
              <w:jc w:val="center"/>
              <w:ind w:left="194"/>
              <w:spacing w:after="0"/>
              <w:rPr>
                <w:sz w:val="20"/>
                <w:szCs w:val="20"/>
                <w:color w:val="auto"/>
              </w:rPr>
            </w:pPr>
            <w:r>
              <w:rPr>
                <w:rFonts w:ascii="Arial" w:cs="Arial" w:eastAsia="Arial" w:hAnsi="Arial"/>
                <w:sz w:val="13"/>
                <w:szCs w:val="13"/>
                <w:color w:val="auto"/>
              </w:rPr>
              <w:t>$0</w:t>
            </w:r>
          </w:p>
        </w:tc>
        <w:tc>
          <w:tcPr>
            <w:tcW w:w="1260" w:type="dxa"/>
            <w:vAlign w:val="bottom"/>
            <w:gridSpan w:val="2"/>
          </w:tcPr>
          <w:p>
            <w:pPr>
              <w:jc w:val="center"/>
              <w:ind w:left="174"/>
              <w:spacing w:after="0"/>
              <w:rPr>
                <w:sz w:val="20"/>
                <w:szCs w:val="20"/>
                <w:color w:val="auto"/>
              </w:rPr>
            </w:pPr>
            <w:r>
              <w:rPr>
                <w:rFonts w:ascii="Arial" w:cs="Arial" w:eastAsia="Arial" w:hAnsi="Arial"/>
                <w:sz w:val="13"/>
                <w:szCs w:val="13"/>
                <w:color w:val="auto"/>
                <w:w w:val="96"/>
              </w:rPr>
              <w:t>$0</w:t>
            </w:r>
          </w:p>
        </w:tc>
        <w:tc>
          <w:tcPr>
            <w:tcW w:w="1260" w:type="dxa"/>
            <w:vAlign w:val="bottom"/>
            <w:gridSpan w:val="2"/>
          </w:tcPr>
          <w:p>
            <w:pPr>
              <w:jc w:val="center"/>
              <w:ind w:left="174"/>
              <w:spacing w:after="0"/>
              <w:rPr>
                <w:sz w:val="20"/>
                <w:szCs w:val="20"/>
                <w:color w:val="auto"/>
              </w:rPr>
            </w:pPr>
            <w:r>
              <w:rPr>
                <w:rFonts w:ascii="Arial" w:cs="Arial" w:eastAsia="Arial" w:hAnsi="Arial"/>
                <w:sz w:val="13"/>
                <w:szCs w:val="13"/>
                <w:color w:val="auto"/>
              </w:rPr>
              <w:t>$3,935,984</w:t>
            </w:r>
          </w:p>
        </w:tc>
        <w:tc>
          <w:tcPr>
            <w:tcW w:w="1260" w:type="dxa"/>
            <w:vAlign w:val="bottom"/>
            <w:gridSpan w:val="2"/>
          </w:tcPr>
          <w:p>
            <w:pPr>
              <w:jc w:val="center"/>
              <w:ind w:left="174"/>
              <w:spacing w:after="0"/>
              <w:rPr>
                <w:sz w:val="20"/>
                <w:szCs w:val="20"/>
                <w:color w:val="auto"/>
              </w:rPr>
            </w:pPr>
            <w:r>
              <w:rPr>
                <w:rFonts w:ascii="Arial" w:cs="Arial" w:eastAsia="Arial" w:hAnsi="Arial"/>
                <w:sz w:val="13"/>
                <w:szCs w:val="13"/>
                <w:color w:val="auto"/>
              </w:rPr>
              <w:t>$1,637,116</w:t>
            </w:r>
          </w:p>
        </w:tc>
      </w:tr>
      <w:tr>
        <w:trPr>
          <w:trHeight w:val="85"/>
        </w:trPr>
        <w:tc>
          <w:tcPr>
            <w:tcW w:w="10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r>
    </w:tbl>
    <w:p>
      <w:pPr>
        <w:spacing w:after="0" w:line="200" w:lineRule="exact"/>
        <w:rPr>
          <w:sz w:val="20"/>
          <w:szCs w:val="20"/>
          <w:color w:val="auto"/>
        </w:rPr>
      </w:pPr>
    </w:p>
    <w:p>
      <w:pPr>
        <w:ind w:left="1860" w:hanging="490"/>
        <w:spacing w:after="0" w:line="253" w:lineRule="auto"/>
        <w:tabs>
          <w:tab w:leader="none" w:pos="18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value of the accelerated vesting of restricted stock and PSUs is based on the closing price of our common stock as reported on NASDAQ on December 29, 2017 (the last trading day of 2017), which was $17.79.</w:t>
      </w:r>
    </w:p>
    <w:p>
      <w:pPr>
        <w:spacing w:after="0" w:line="179" w:lineRule="exact"/>
        <w:rPr>
          <w:rFonts w:ascii="Arial" w:cs="Arial" w:eastAsia="Arial" w:hAnsi="Arial"/>
          <w:sz w:val="16"/>
          <w:szCs w:val="16"/>
          <w:color w:val="auto"/>
        </w:rPr>
      </w:pPr>
    </w:p>
    <w:p>
      <w:pPr>
        <w:ind w:left="1860" w:right="200" w:hanging="490"/>
        <w:spacing w:after="0" w:line="245" w:lineRule="auto"/>
        <w:tabs>
          <w:tab w:leader="none" w:pos="18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This amount assumes the Compensation Committee elected to accelerate vesting at the target level on a pro-rated basis as of December 31, 2017. Holders of PSUs also accrue a dividend equivalent for dividends declared on the Company's common stock during the life of the award that is paid in cash when underlying PSUs vest, and this amount includes a cash amount equal to the accrued dividends payable upon the vesting of the underlying PSUs.</w:t>
      </w:r>
    </w:p>
    <w:p>
      <w:pPr>
        <w:spacing w:after="0" w:line="18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180"/>
          </w:cols>
          <w:pgMar w:left="240" w:top="142" w:right="47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00ACD2"/>
        </w:rPr>
        <w:t>Daniel L. Heard</w:t>
      </w:r>
    </w:p>
    <w:p>
      <w:pPr>
        <w:spacing w:after="0" w:line="214" w:lineRule="exact"/>
        <w:rPr>
          <w:sz w:val="20"/>
          <w:szCs w:val="20"/>
          <w:color w:val="auto"/>
        </w:rPr>
      </w:pPr>
    </w:p>
    <w:p>
      <w:pPr>
        <w:ind w:right="80" w:firstLine="621"/>
        <w:spacing w:after="0" w:line="253" w:lineRule="auto"/>
        <w:rPr>
          <w:sz w:val="20"/>
          <w:szCs w:val="20"/>
          <w:color w:val="auto"/>
        </w:rPr>
      </w:pPr>
      <w:r>
        <w:rPr>
          <w:rFonts w:ascii="Arial" w:cs="Arial" w:eastAsia="Arial" w:hAnsi="Arial"/>
          <w:sz w:val="16"/>
          <w:szCs w:val="16"/>
          <w:color w:val="auto"/>
        </w:rPr>
        <w:t>The following table shows the potential payments upon a hypothetical termination or change in control of the Company effective as of December 31, 2017 for Daniel L. Heard, our Executive Vice President—General Counsel and Secretary.</w:t>
      </w:r>
    </w:p>
    <w:p>
      <w:pPr>
        <w:spacing w:after="0" w:line="163"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9"/>
              </w:rPr>
              <w:t>Termination</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8"/>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without</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9"/>
              </w:rPr>
              <w:t>Voluntary</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Termination</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Voluntary</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Cause or</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9"/>
              </w:rPr>
              <w:t>Termination</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without</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Termination</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Resignation</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rPr>
              <w:t>with Good</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Cause</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without</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for Good</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rPr>
              <w:t>Reason or</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other than</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Good</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Change in</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7"/>
              </w:rPr>
              <w:t>Reason</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rPr>
              <w:t>Company-</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following a</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Reason or</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Control</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following a</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040" w:type="dxa"/>
            <w:vAlign w:val="bottom"/>
          </w:tcPr>
          <w:p>
            <w:pPr>
              <w:ind w:left="300"/>
              <w:spacing w:after="0" w:line="148" w:lineRule="exact"/>
              <w:rPr>
                <w:sz w:val="20"/>
                <w:szCs w:val="20"/>
                <w:color w:val="auto"/>
              </w:rPr>
            </w:pPr>
            <w:r>
              <w:rPr>
                <w:rFonts w:ascii="Arial" w:cs="Arial" w:eastAsia="Arial" w:hAnsi="Arial"/>
                <w:sz w:val="13"/>
                <w:szCs w:val="13"/>
                <w:b w:val="1"/>
                <w:bCs w:val="1"/>
                <w:color w:val="auto"/>
              </w:rPr>
              <w:t>Type of</w:t>
            </w:r>
          </w:p>
        </w:tc>
        <w:tc>
          <w:tcPr>
            <w:tcW w:w="220" w:type="dxa"/>
            <w:vAlign w:val="bottom"/>
          </w:tcPr>
          <w:p>
            <w:pPr>
              <w:spacing w:after="0"/>
              <w:rPr>
                <w:sz w:val="12"/>
                <w:szCs w:val="12"/>
                <w:color w:val="auto"/>
              </w:rPr>
            </w:pPr>
          </w:p>
        </w:tc>
        <w:tc>
          <w:tcPr>
            <w:tcW w:w="102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8"/>
              </w:rPr>
              <w:t>Approved</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Change in</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Termination</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with no</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Change in</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Death or</w:t>
            </w:r>
          </w:p>
        </w:tc>
      </w:tr>
      <w:tr>
        <w:trPr>
          <w:trHeight w:val="160"/>
        </w:trPr>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Payment</w:t>
            </w:r>
          </w:p>
        </w:tc>
        <w:tc>
          <w:tcPr>
            <w:tcW w:w="220" w:type="dxa"/>
            <w:vAlign w:val="bottom"/>
          </w:tcPr>
          <w:p>
            <w:pPr>
              <w:spacing w:after="0"/>
              <w:rPr>
                <w:sz w:val="13"/>
                <w:szCs w:val="13"/>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Retirement</w:t>
            </w:r>
          </w:p>
        </w:tc>
        <w:tc>
          <w:tcPr>
            <w:tcW w:w="2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Control</w:t>
            </w:r>
          </w:p>
        </w:tc>
        <w:tc>
          <w:tcPr>
            <w:tcW w:w="2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for Cause</w:t>
            </w:r>
          </w:p>
        </w:tc>
        <w:tc>
          <w:tcPr>
            <w:tcW w:w="2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Termination</w:t>
            </w:r>
          </w:p>
        </w:tc>
        <w:tc>
          <w:tcPr>
            <w:tcW w:w="2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Control</w:t>
            </w:r>
          </w:p>
        </w:tc>
        <w:tc>
          <w:tcPr>
            <w:tcW w:w="2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Disability</w:t>
            </w:r>
          </w:p>
        </w:tc>
      </w:tr>
      <w:tr>
        <w:trPr>
          <w:trHeight w:val="140"/>
        </w:trPr>
        <w:tc>
          <w:tcPr>
            <w:tcW w:w="1040" w:type="dxa"/>
            <w:vAlign w:val="bottom"/>
            <w:shd w:val="clear" w:color="auto" w:fill="BFBFBF"/>
          </w:tcPr>
          <w:p>
            <w:pPr>
              <w:ind w:left="20"/>
              <w:spacing w:after="0" w:line="141" w:lineRule="exact"/>
              <w:rPr>
                <w:sz w:val="20"/>
                <w:szCs w:val="20"/>
                <w:color w:val="auto"/>
              </w:rPr>
            </w:pPr>
            <w:r>
              <w:rPr>
                <w:rFonts w:ascii="Arial" w:cs="Arial" w:eastAsia="Arial" w:hAnsi="Arial"/>
                <w:sz w:val="13"/>
                <w:szCs w:val="13"/>
                <w:color w:val="auto"/>
              </w:rPr>
              <w:t>Severance</w:t>
            </w:r>
          </w:p>
        </w:tc>
        <w:tc>
          <w:tcPr>
            <w:tcW w:w="1220" w:type="dxa"/>
            <w:vAlign w:val="bottom"/>
            <w:gridSpan w:val="2"/>
            <w:shd w:val="clear" w:color="auto" w:fill="BFBFBF"/>
          </w:tcPr>
          <w:p>
            <w:pPr>
              <w:jc w:val="center"/>
              <w:ind w:left="194"/>
              <w:spacing w:after="0" w:line="141" w:lineRule="exact"/>
              <w:rPr>
                <w:sz w:val="20"/>
                <w:szCs w:val="20"/>
                <w:color w:val="auto"/>
              </w:rPr>
            </w:pPr>
            <w:r>
              <w:rPr>
                <w:rFonts w:ascii="Arial" w:cs="Arial" w:eastAsia="Arial" w:hAnsi="Arial"/>
                <w:sz w:val="13"/>
                <w:szCs w:val="13"/>
                <w:color w:val="auto"/>
              </w:rPr>
              <w:t>$0</w:t>
            </w:r>
          </w:p>
        </w:tc>
        <w:tc>
          <w:tcPr>
            <w:tcW w:w="20" w:type="dxa"/>
            <w:vAlign w:val="bottom"/>
            <w:shd w:val="clear" w:color="auto" w:fill="BFBFBF"/>
          </w:tcPr>
          <w:p>
            <w:pPr>
              <w:spacing w:after="0"/>
              <w:rPr>
                <w:sz w:val="12"/>
                <w:szCs w:val="12"/>
                <w:color w:val="auto"/>
              </w:rPr>
            </w:pPr>
          </w:p>
        </w:tc>
        <w:tc>
          <w:tcPr>
            <w:tcW w:w="1260" w:type="dxa"/>
            <w:vAlign w:val="bottom"/>
            <w:gridSpan w:val="2"/>
            <w:shd w:val="clear" w:color="auto" w:fill="BFBFBF"/>
          </w:tcPr>
          <w:p>
            <w:pPr>
              <w:jc w:val="center"/>
              <w:ind w:left="194"/>
              <w:spacing w:after="0" w:line="141" w:lineRule="exact"/>
              <w:rPr>
                <w:sz w:val="20"/>
                <w:szCs w:val="20"/>
                <w:color w:val="auto"/>
              </w:rPr>
            </w:pPr>
            <w:r>
              <w:rPr>
                <w:rFonts w:ascii="Arial" w:cs="Arial" w:eastAsia="Arial" w:hAnsi="Arial"/>
                <w:sz w:val="13"/>
                <w:szCs w:val="13"/>
                <w:color w:val="auto"/>
              </w:rPr>
              <w:t>$375,000</w:t>
            </w:r>
          </w:p>
        </w:tc>
        <w:tc>
          <w:tcPr>
            <w:tcW w:w="1260" w:type="dxa"/>
            <w:vAlign w:val="bottom"/>
            <w:gridSpan w:val="2"/>
            <w:shd w:val="clear" w:color="auto" w:fill="BFBFBF"/>
          </w:tcPr>
          <w:p>
            <w:pPr>
              <w:jc w:val="center"/>
              <w:ind w:left="194"/>
              <w:spacing w:after="0" w:line="141" w:lineRule="exact"/>
              <w:rPr>
                <w:sz w:val="20"/>
                <w:szCs w:val="20"/>
                <w:color w:val="auto"/>
              </w:rPr>
            </w:pPr>
            <w:r>
              <w:rPr>
                <w:rFonts w:ascii="Arial" w:cs="Arial" w:eastAsia="Arial" w:hAnsi="Arial"/>
                <w:sz w:val="13"/>
                <w:szCs w:val="13"/>
                <w:color w:val="auto"/>
              </w:rPr>
              <w:t>$0</w:t>
            </w:r>
          </w:p>
        </w:tc>
        <w:tc>
          <w:tcPr>
            <w:tcW w:w="1260" w:type="dxa"/>
            <w:vAlign w:val="bottom"/>
            <w:gridSpan w:val="2"/>
            <w:shd w:val="clear" w:color="auto" w:fill="BFBFBF"/>
          </w:tcPr>
          <w:p>
            <w:pPr>
              <w:jc w:val="center"/>
              <w:ind w:left="174"/>
              <w:spacing w:after="0" w:line="141" w:lineRule="exact"/>
              <w:rPr>
                <w:sz w:val="20"/>
                <w:szCs w:val="20"/>
                <w:color w:val="auto"/>
              </w:rPr>
            </w:pPr>
            <w:r>
              <w:rPr>
                <w:rFonts w:ascii="Arial" w:cs="Arial" w:eastAsia="Arial" w:hAnsi="Arial"/>
                <w:sz w:val="13"/>
                <w:szCs w:val="13"/>
                <w:color w:val="auto"/>
                <w:w w:val="96"/>
              </w:rPr>
              <w:t>$0</w:t>
            </w:r>
          </w:p>
        </w:tc>
        <w:tc>
          <w:tcPr>
            <w:tcW w:w="1260" w:type="dxa"/>
            <w:vAlign w:val="bottom"/>
            <w:gridSpan w:val="2"/>
            <w:shd w:val="clear" w:color="auto" w:fill="BFBFBF"/>
          </w:tcPr>
          <w:p>
            <w:pPr>
              <w:jc w:val="center"/>
              <w:ind w:left="174"/>
              <w:spacing w:after="0" w:line="141" w:lineRule="exact"/>
              <w:rPr>
                <w:sz w:val="20"/>
                <w:szCs w:val="20"/>
                <w:color w:val="auto"/>
              </w:rPr>
            </w:pPr>
            <w:r>
              <w:rPr>
                <w:rFonts w:ascii="Arial" w:cs="Arial" w:eastAsia="Arial" w:hAnsi="Arial"/>
                <w:sz w:val="13"/>
                <w:szCs w:val="13"/>
                <w:color w:val="auto"/>
              </w:rPr>
              <w:t>$1,875,000</w:t>
            </w:r>
          </w:p>
        </w:tc>
        <w:tc>
          <w:tcPr>
            <w:tcW w:w="1260" w:type="dxa"/>
            <w:vAlign w:val="bottom"/>
            <w:gridSpan w:val="2"/>
            <w:shd w:val="clear" w:color="auto" w:fill="BFBFBF"/>
          </w:tcPr>
          <w:p>
            <w:pPr>
              <w:jc w:val="center"/>
              <w:ind w:left="174"/>
              <w:spacing w:after="0" w:line="141" w:lineRule="exact"/>
              <w:rPr>
                <w:sz w:val="20"/>
                <w:szCs w:val="20"/>
                <w:color w:val="auto"/>
              </w:rPr>
            </w:pPr>
            <w:r>
              <w:rPr>
                <w:rFonts w:ascii="Arial" w:cs="Arial" w:eastAsia="Arial" w:hAnsi="Arial"/>
                <w:sz w:val="13"/>
                <w:szCs w:val="13"/>
                <w:color w:val="auto"/>
                <w:w w:val="96"/>
              </w:rPr>
              <w:t>$0</w:t>
            </w:r>
          </w:p>
        </w:tc>
      </w:tr>
      <w:tr>
        <w:trPr>
          <w:trHeight w:val="152"/>
        </w:trPr>
        <w:tc>
          <w:tcPr>
            <w:tcW w:w="1040" w:type="dxa"/>
            <w:vAlign w:val="bottom"/>
          </w:tcPr>
          <w:p>
            <w:pPr>
              <w:ind w:left="20"/>
              <w:spacing w:after="0"/>
              <w:rPr>
                <w:sz w:val="20"/>
                <w:szCs w:val="20"/>
                <w:color w:val="auto"/>
              </w:rPr>
            </w:pPr>
            <w:r>
              <w:rPr>
                <w:rFonts w:ascii="Arial" w:cs="Arial" w:eastAsia="Arial" w:hAnsi="Arial"/>
                <w:sz w:val="13"/>
                <w:szCs w:val="13"/>
                <w:color w:val="auto"/>
              </w:rPr>
              <w:t>Accelerated</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8"/>
        </w:trPr>
        <w:tc>
          <w:tcPr>
            <w:tcW w:w="1040" w:type="dxa"/>
            <w:vAlign w:val="bottom"/>
          </w:tcPr>
          <w:p>
            <w:pPr>
              <w:ind w:left="20"/>
              <w:spacing w:after="0" w:line="148" w:lineRule="exact"/>
              <w:rPr>
                <w:sz w:val="20"/>
                <w:szCs w:val="20"/>
                <w:color w:val="auto"/>
              </w:rPr>
            </w:pPr>
            <w:r>
              <w:rPr>
                <w:rFonts w:ascii="Arial" w:cs="Arial" w:eastAsia="Arial" w:hAnsi="Arial"/>
                <w:sz w:val="13"/>
                <w:szCs w:val="13"/>
                <w:color w:val="auto"/>
              </w:rPr>
              <w:t>Vesting of</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1"/>
        </w:trPr>
        <w:tc>
          <w:tcPr>
            <w:tcW w:w="1040" w:type="dxa"/>
            <w:vAlign w:val="bottom"/>
          </w:tcPr>
          <w:p>
            <w:pPr>
              <w:ind w:left="20"/>
              <w:spacing w:after="0" w:line="141" w:lineRule="exact"/>
              <w:rPr>
                <w:sz w:val="20"/>
                <w:szCs w:val="20"/>
                <w:color w:val="auto"/>
              </w:rPr>
            </w:pPr>
            <w:r>
              <w:rPr>
                <w:rFonts w:ascii="Arial" w:cs="Arial" w:eastAsia="Arial" w:hAnsi="Arial"/>
                <w:sz w:val="13"/>
                <w:szCs w:val="13"/>
                <w:color w:val="auto"/>
              </w:rPr>
              <w:t>Restricted</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76"/>
        </w:trPr>
        <w:tc>
          <w:tcPr>
            <w:tcW w:w="1040" w:type="dxa"/>
            <w:vAlign w:val="bottom"/>
          </w:tcPr>
          <w:p>
            <w:pPr>
              <w:ind w:left="20"/>
              <w:spacing w:after="0" w:line="175" w:lineRule="exact"/>
              <w:rPr>
                <w:sz w:val="20"/>
                <w:szCs w:val="20"/>
                <w:color w:val="auto"/>
              </w:rPr>
            </w:pPr>
            <w:r>
              <w:rPr>
                <w:rFonts w:ascii="Arial" w:cs="Arial" w:eastAsia="Arial" w:hAnsi="Arial"/>
                <w:sz w:val="13"/>
                <w:szCs w:val="13"/>
                <w:color w:val="auto"/>
              </w:rPr>
              <w:t>Stock</w:t>
            </w:r>
            <w:r>
              <w:rPr>
                <w:rFonts w:ascii="Arial" w:cs="Arial" w:eastAsia="Arial" w:hAnsi="Arial"/>
                <w:sz w:val="19"/>
                <w:szCs w:val="19"/>
                <w:color w:val="auto"/>
                <w:vertAlign w:val="superscript"/>
              </w:rPr>
              <w:t>(1)</w:t>
            </w:r>
          </w:p>
        </w:tc>
        <w:tc>
          <w:tcPr>
            <w:tcW w:w="1220" w:type="dxa"/>
            <w:vAlign w:val="bottom"/>
            <w:gridSpan w:val="2"/>
          </w:tcPr>
          <w:p>
            <w:pPr>
              <w:jc w:val="center"/>
              <w:ind w:left="194"/>
              <w:spacing w:after="0"/>
              <w:rPr>
                <w:sz w:val="20"/>
                <w:szCs w:val="20"/>
                <w:color w:val="auto"/>
              </w:rPr>
            </w:pPr>
            <w:r>
              <w:rPr>
                <w:rFonts w:ascii="Arial" w:cs="Arial" w:eastAsia="Arial" w:hAnsi="Arial"/>
                <w:sz w:val="13"/>
                <w:szCs w:val="13"/>
                <w:color w:val="auto"/>
              </w:rPr>
              <w:t>$329,866</w:t>
            </w:r>
          </w:p>
        </w:tc>
        <w:tc>
          <w:tcPr>
            <w:tcW w:w="20" w:type="dxa"/>
            <w:vAlign w:val="bottom"/>
          </w:tcPr>
          <w:p>
            <w:pPr>
              <w:spacing w:after="0"/>
              <w:rPr>
                <w:sz w:val="15"/>
                <w:szCs w:val="15"/>
                <w:color w:val="auto"/>
              </w:rPr>
            </w:pPr>
          </w:p>
        </w:tc>
        <w:tc>
          <w:tcPr>
            <w:tcW w:w="1260" w:type="dxa"/>
            <w:vAlign w:val="bottom"/>
            <w:gridSpan w:val="2"/>
          </w:tcPr>
          <w:p>
            <w:pPr>
              <w:jc w:val="center"/>
              <w:ind w:left="194"/>
              <w:spacing w:after="0"/>
              <w:rPr>
                <w:sz w:val="20"/>
                <w:szCs w:val="20"/>
                <w:color w:val="auto"/>
              </w:rPr>
            </w:pPr>
            <w:r>
              <w:rPr>
                <w:rFonts w:ascii="Arial" w:cs="Arial" w:eastAsia="Arial" w:hAnsi="Arial"/>
                <w:sz w:val="13"/>
                <w:szCs w:val="13"/>
                <w:color w:val="auto"/>
              </w:rPr>
              <w:t>$329,866</w:t>
            </w:r>
          </w:p>
        </w:tc>
        <w:tc>
          <w:tcPr>
            <w:tcW w:w="1260" w:type="dxa"/>
            <w:vAlign w:val="bottom"/>
            <w:gridSpan w:val="2"/>
          </w:tcPr>
          <w:p>
            <w:pPr>
              <w:jc w:val="center"/>
              <w:ind w:left="194"/>
              <w:spacing w:after="0"/>
              <w:rPr>
                <w:sz w:val="20"/>
                <w:szCs w:val="20"/>
                <w:color w:val="auto"/>
              </w:rPr>
            </w:pPr>
            <w:r>
              <w:rPr>
                <w:rFonts w:ascii="Arial" w:cs="Arial" w:eastAsia="Arial" w:hAnsi="Arial"/>
                <w:sz w:val="13"/>
                <w:szCs w:val="13"/>
                <w:color w:val="auto"/>
              </w:rPr>
              <w:t>$0</w:t>
            </w:r>
          </w:p>
        </w:tc>
        <w:tc>
          <w:tcPr>
            <w:tcW w:w="1260" w:type="dxa"/>
            <w:vAlign w:val="bottom"/>
            <w:gridSpan w:val="2"/>
          </w:tcPr>
          <w:p>
            <w:pPr>
              <w:jc w:val="center"/>
              <w:ind w:left="174"/>
              <w:spacing w:after="0"/>
              <w:rPr>
                <w:sz w:val="20"/>
                <w:szCs w:val="20"/>
                <w:color w:val="auto"/>
              </w:rPr>
            </w:pPr>
            <w:r>
              <w:rPr>
                <w:rFonts w:ascii="Arial" w:cs="Arial" w:eastAsia="Arial" w:hAnsi="Arial"/>
                <w:sz w:val="13"/>
                <w:szCs w:val="13"/>
                <w:color w:val="auto"/>
                <w:w w:val="96"/>
              </w:rPr>
              <w:t>$0</w:t>
            </w:r>
          </w:p>
        </w:tc>
        <w:tc>
          <w:tcPr>
            <w:tcW w:w="1260" w:type="dxa"/>
            <w:vAlign w:val="bottom"/>
            <w:gridSpan w:val="2"/>
          </w:tcPr>
          <w:p>
            <w:pPr>
              <w:jc w:val="center"/>
              <w:ind w:left="174"/>
              <w:spacing w:after="0"/>
              <w:rPr>
                <w:sz w:val="20"/>
                <w:szCs w:val="20"/>
                <w:color w:val="auto"/>
              </w:rPr>
            </w:pPr>
            <w:r>
              <w:rPr>
                <w:rFonts w:ascii="Arial" w:cs="Arial" w:eastAsia="Arial" w:hAnsi="Arial"/>
                <w:sz w:val="13"/>
                <w:szCs w:val="13"/>
                <w:color w:val="auto"/>
                <w:w w:val="99"/>
              </w:rPr>
              <w:t>$540,941</w:t>
            </w:r>
          </w:p>
        </w:tc>
        <w:tc>
          <w:tcPr>
            <w:tcW w:w="1260" w:type="dxa"/>
            <w:vAlign w:val="bottom"/>
            <w:gridSpan w:val="2"/>
          </w:tcPr>
          <w:p>
            <w:pPr>
              <w:jc w:val="center"/>
              <w:ind w:left="174"/>
              <w:spacing w:after="0"/>
              <w:rPr>
                <w:sz w:val="20"/>
                <w:szCs w:val="20"/>
                <w:color w:val="auto"/>
              </w:rPr>
            </w:pPr>
            <w:r>
              <w:rPr>
                <w:rFonts w:ascii="Arial" w:cs="Arial" w:eastAsia="Arial" w:hAnsi="Arial"/>
                <w:sz w:val="13"/>
                <w:szCs w:val="13"/>
                <w:color w:val="auto"/>
                <w:w w:val="99"/>
              </w:rPr>
              <w:t>$540,941</w:t>
            </w:r>
          </w:p>
        </w:tc>
      </w:tr>
      <w:tr>
        <w:trPr>
          <w:trHeight w:val="152"/>
        </w:trPr>
        <w:tc>
          <w:tcPr>
            <w:tcW w:w="1040" w:type="dxa"/>
            <w:vAlign w:val="bottom"/>
            <w:shd w:val="clear" w:color="auto" w:fill="BFBFBF"/>
          </w:tcPr>
          <w:p>
            <w:pPr>
              <w:ind w:left="20"/>
              <w:spacing w:after="0"/>
              <w:rPr>
                <w:sz w:val="20"/>
                <w:szCs w:val="20"/>
                <w:color w:val="auto"/>
              </w:rPr>
            </w:pPr>
            <w:r>
              <w:rPr>
                <w:rFonts w:ascii="Arial" w:cs="Arial" w:eastAsia="Arial" w:hAnsi="Arial"/>
                <w:sz w:val="13"/>
                <w:szCs w:val="13"/>
                <w:color w:val="auto"/>
              </w:rPr>
              <w:t>Accelerated</w:t>
            </w:r>
          </w:p>
        </w:tc>
        <w:tc>
          <w:tcPr>
            <w:tcW w:w="220" w:type="dxa"/>
            <w:vAlign w:val="bottom"/>
            <w:shd w:val="clear" w:color="auto" w:fill="BFBFBF"/>
          </w:tcPr>
          <w:p>
            <w:pPr>
              <w:spacing w:after="0"/>
              <w:rPr>
                <w:sz w:val="13"/>
                <w:szCs w:val="13"/>
                <w:color w:val="auto"/>
              </w:rPr>
            </w:pPr>
          </w:p>
        </w:tc>
        <w:tc>
          <w:tcPr>
            <w:tcW w:w="1000" w:type="dxa"/>
            <w:vAlign w:val="bottom"/>
            <w:shd w:val="clear" w:color="auto" w:fill="BFBFBF"/>
          </w:tcPr>
          <w:p>
            <w:pPr>
              <w:spacing w:after="0"/>
              <w:rPr>
                <w:sz w:val="13"/>
                <w:szCs w:val="13"/>
                <w:color w:val="auto"/>
              </w:rPr>
            </w:pPr>
          </w:p>
        </w:tc>
        <w:tc>
          <w:tcPr>
            <w:tcW w:w="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r>
      <w:tr>
        <w:trPr>
          <w:trHeight w:val="141"/>
        </w:trPr>
        <w:tc>
          <w:tcPr>
            <w:tcW w:w="1040" w:type="dxa"/>
            <w:vAlign w:val="bottom"/>
            <w:shd w:val="clear" w:color="auto" w:fill="BFBFBF"/>
          </w:tcPr>
          <w:p>
            <w:pPr>
              <w:ind w:left="20"/>
              <w:spacing w:after="0" w:line="141" w:lineRule="exact"/>
              <w:rPr>
                <w:sz w:val="20"/>
                <w:szCs w:val="20"/>
                <w:color w:val="auto"/>
              </w:rPr>
            </w:pPr>
            <w:r>
              <w:rPr>
                <w:rFonts w:ascii="Arial" w:cs="Arial" w:eastAsia="Arial" w:hAnsi="Arial"/>
                <w:sz w:val="13"/>
                <w:szCs w:val="13"/>
                <w:color w:val="auto"/>
              </w:rPr>
              <w:t>Vesting of</w:t>
            </w:r>
          </w:p>
        </w:tc>
        <w:tc>
          <w:tcPr>
            <w:tcW w:w="220" w:type="dxa"/>
            <w:vAlign w:val="bottom"/>
            <w:shd w:val="clear" w:color="auto" w:fill="BFBFBF"/>
          </w:tcPr>
          <w:p>
            <w:pPr>
              <w:spacing w:after="0"/>
              <w:rPr>
                <w:sz w:val="12"/>
                <w:szCs w:val="12"/>
                <w:color w:val="auto"/>
              </w:rPr>
            </w:pPr>
          </w:p>
        </w:tc>
        <w:tc>
          <w:tcPr>
            <w:tcW w:w="1000" w:type="dxa"/>
            <w:vAlign w:val="bottom"/>
            <w:shd w:val="clear" w:color="auto" w:fill="BFBFBF"/>
          </w:tcPr>
          <w:p>
            <w:pPr>
              <w:spacing w:after="0"/>
              <w:rPr>
                <w:sz w:val="12"/>
                <w:szCs w:val="12"/>
                <w:color w:val="auto"/>
              </w:rPr>
            </w:pPr>
          </w:p>
        </w:tc>
        <w:tc>
          <w:tcPr>
            <w:tcW w:w="20" w:type="dxa"/>
            <w:vAlign w:val="bottom"/>
            <w:shd w:val="clear" w:color="auto" w:fill="BFBFBF"/>
          </w:tcPr>
          <w:p>
            <w:pPr>
              <w:spacing w:after="0"/>
              <w:rPr>
                <w:sz w:val="12"/>
                <w:szCs w:val="12"/>
                <w:color w:val="auto"/>
              </w:rPr>
            </w:pPr>
          </w:p>
        </w:tc>
        <w:tc>
          <w:tcPr>
            <w:tcW w:w="240" w:type="dxa"/>
            <w:vAlign w:val="bottom"/>
            <w:shd w:val="clear" w:color="auto" w:fill="BFBFBF"/>
          </w:tcPr>
          <w:p>
            <w:pPr>
              <w:spacing w:after="0"/>
              <w:rPr>
                <w:sz w:val="12"/>
                <w:szCs w:val="12"/>
                <w:color w:val="auto"/>
              </w:rPr>
            </w:pPr>
          </w:p>
        </w:tc>
        <w:tc>
          <w:tcPr>
            <w:tcW w:w="1020" w:type="dxa"/>
            <w:vAlign w:val="bottom"/>
            <w:shd w:val="clear" w:color="auto" w:fill="BFBFBF"/>
          </w:tcPr>
          <w:p>
            <w:pPr>
              <w:spacing w:after="0"/>
              <w:rPr>
                <w:sz w:val="12"/>
                <w:szCs w:val="12"/>
                <w:color w:val="auto"/>
              </w:rPr>
            </w:pPr>
          </w:p>
        </w:tc>
        <w:tc>
          <w:tcPr>
            <w:tcW w:w="240" w:type="dxa"/>
            <w:vAlign w:val="bottom"/>
            <w:shd w:val="clear" w:color="auto" w:fill="BFBFBF"/>
          </w:tcPr>
          <w:p>
            <w:pPr>
              <w:spacing w:after="0"/>
              <w:rPr>
                <w:sz w:val="12"/>
                <w:szCs w:val="12"/>
                <w:color w:val="auto"/>
              </w:rPr>
            </w:pPr>
          </w:p>
        </w:tc>
        <w:tc>
          <w:tcPr>
            <w:tcW w:w="1020" w:type="dxa"/>
            <w:vAlign w:val="bottom"/>
            <w:shd w:val="clear" w:color="auto" w:fill="BFBFBF"/>
          </w:tcPr>
          <w:p>
            <w:pPr>
              <w:spacing w:after="0"/>
              <w:rPr>
                <w:sz w:val="12"/>
                <w:szCs w:val="12"/>
                <w:color w:val="auto"/>
              </w:rPr>
            </w:pPr>
          </w:p>
        </w:tc>
        <w:tc>
          <w:tcPr>
            <w:tcW w:w="240" w:type="dxa"/>
            <w:vAlign w:val="bottom"/>
            <w:shd w:val="clear" w:color="auto" w:fill="BFBFBF"/>
          </w:tcPr>
          <w:p>
            <w:pPr>
              <w:spacing w:after="0"/>
              <w:rPr>
                <w:sz w:val="12"/>
                <w:szCs w:val="12"/>
                <w:color w:val="auto"/>
              </w:rPr>
            </w:pPr>
          </w:p>
        </w:tc>
        <w:tc>
          <w:tcPr>
            <w:tcW w:w="1020" w:type="dxa"/>
            <w:vAlign w:val="bottom"/>
            <w:shd w:val="clear" w:color="auto" w:fill="BFBFBF"/>
          </w:tcPr>
          <w:p>
            <w:pPr>
              <w:spacing w:after="0"/>
              <w:rPr>
                <w:sz w:val="12"/>
                <w:szCs w:val="12"/>
                <w:color w:val="auto"/>
              </w:rPr>
            </w:pPr>
          </w:p>
        </w:tc>
        <w:tc>
          <w:tcPr>
            <w:tcW w:w="240" w:type="dxa"/>
            <w:vAlign w:val="bottom"/>
            <w:shd w:val="clear" w:color="auto" w:fill="BFBFBF"/>
          </w:tcPr>
          <w:p>
            <w:pPr>
              <w:spacing w:after="0"/>
              <w:rPr>
                <w:sz w:val="12"/>
                <w:szCs w:val="12"/>
                <w:color w:val="auto"/>
              </w:rPr>
            </w:pPr>
          </w:p>
        </w:tc>
        <w:tc>
          <w:tcPr>
            <w:tcW w:w="1020" w:type="dxa"/>
            <w:vAlign w:val="bottom"/>
            <w:shd w:val="clear" w:color="auto" w:fill="BFBFBF"/>
          </w:tcPr>
          <w:p>
            <w:pPr>
              <w:spacing w:after="0"/>
              <w:rPr>
                <w:sz w:val="12"/>
                <w:szCs w:val="12"/>
                <w:color w:val="auto"/>
              </w:rPr>
            </w:pPr>
          </w:p>
        </w:tc>
        <w:tc>
          <w:tcPr>
            <w:tcW w:w="240" w:type="dxa"/>
            <w:vAlign w:val="bottom"/>
            <w:shd w:val="clear" w:color="auto" w:fill="BFBFBF"/>
          </w:tcPr>
          <w:p>
            <w:pPr>
              <w:spacing w:after="0"/>
              <w:rPr>
                <w:sz w:val="12"/>
                <w:szCs w:val="12"/>
                <w:color w:val="auto"/>
              </w:rPr>
            </w:pPr>
          </w:p>
        </w:tc>
        <w:tc>
          <w:tcPr>
            <w:tcW w:w="1020" w:type="dxa"/>
            <w:vAlign w:val="bottom"/>
            <w:shd w:val="clear" w:color="auto" w:fill="BFBFBF"/>
          </w:tcPr>
          <w:p>
            <w:pPr>
              <w:spacing w:after="0"/>
              <w:rPr>
                <w:sz w:val="12"/>
                <w:szCs w:val="12"/>
                <w:color w:val="auto"/>
              </w:rPr>
            </w:pPr>
          </w:p>
        </w:tc>
      </w:tr>
      <w:tr>
        <w:trPr>
          <w:trHeight w:val="176"/>
        </w:trPr>
        <w:tc>
          <w:tcPr>
            <w:tcW w:w="1040" w:type="dxa"/>
            <w:vAlign w:val="bottom"/>
            <w:shd w:val="clear" w:color="auto" w:fill="BFBFBF"/>
          </w:tcPr>
          <w:p>
            <w:pPr>
              <w:ind w:left="20"/>
              <w:spacing w:after="0" w:line="175" w:lineRule="exact"/>
              <w:rPr>
                <w:sz w:val="20"/>
                <w:szCs w:val="20"/>
                <w:color w:val="auto"/>
              </w:rPr>
            </w:pPr>
            <w:r>
              <w:rPr>
                <w:rFonts w:ascii="Arial" w:cs="Arial" w:eastAsia="Arial" w:hAnsi="Arial"/>
                <w:sz w:val="13"/>
                <w:szCs w:val="13"/>
                <w:color w:val="auto"/>
              </w:rPr>
              <w:t>PSUs</w:t>
            </w:r>
            <w:r>
              <w:rPr>
                <w:rFonts w:ascii="Arial" w:cs="Arial" w:eastAsia="Arial" w:hAnsi="Arial"/>
                <w:sz w:val="19"/>
                <w:szCs w:val="19"/>
                <w:color w:val="auto"/>
                <w:vertAlign w:val="superscript"/>
              </w:rPr>
              <w:t>(1)</w:t>
            </w:r>
          </w:p>
        </w:tc>
        <w:tc>
          <w:tcPr>
            <w:tcW w:w="1220" w:type="dxa"/>
            <w:vAlign w:val="bottom"/>
            <w:gridSpan w:val="2"/>
            <w:shd w:val="clear" w:color="auto" w:fill="BFBFBF"/>
          </w:tcPr>
          <w:p>
            <w:pPr>
              <w:jc w:val="center"/>
              <w:ind w:left="194"/>
              <w:spacing w:after="0" w:line="175" w:lineRule="exact"/>
              <w:rPr>
                <w:sz w:val="20"/>
                <w:szCs w:val="20"/>
                <w:color w:val="auto"/>
              </w:rPr>
            </w:pPr>
            <w:r>
              <w:rPr>
                <w:rFonts w:ascii="Arial" w:cs="Arial" w:eastAsia="Arial" w:hAnsi="Arial"/>
                <w:sz w:val="13"/>
                <w:szCs w:val="13"/>
                <w:color w:val="auto"/>
                <w:w w:val="97"/>
              </w:rPr>
              <w:t>$329,322</w:t>
            </w:r>
            <w:r>
              <w:rPr>
                <w:rFonts w:ascii="Arial" w:cs="Arial" w:eastAsia="Arial" w:hAnsi="Arial"/>
                <w:sz w:val="19"/>
                <w:szCs w:val="19"/>
                <w:color w:val="auto"/>
                <w:w w:val="97"/>
                <w:vertAlign w:val="superscript"/>
              </w:rPr>
              <w:t>(2)</w:t>
            </w:r>
          </w:p>
        </w:tc>
        <w:tc>
          <w:tcPr>
            <w:tcW w:w="20" w:type="dxa"/>
            <w:vAlign w:val="bottom"/>
            <w:shd w:val="clear" w:color="auto" w:fill="BFBFBF"/>
          </w:tcPr>
          <w:p>
            <w:pPr>
              <w:spacing w:after="0"/>
              <w:rPr>
                <w:sz w:val="15"/>
                <w:szCs w:val="15"/>
                <w:color w:val="auto"/>
              </w:rPr>
            </w:pPr>
          </w:p>
        </w:tc>
        <w:tc>
          <w:tcPr>
            <w:tcW w:w="1260" w:type="dxa"/>
            <w:vAlign w:val="bottom"/>
            <w:gridSpan w:val="2"/>
            <w:shd w:val="clear" w:color="auto" w:fill="BFBFBF"/>
          </w:tcPr>
          <w:p>
            <w:pPr>
              <w:jc w:val="center"/>
              <w:ind w:left="194"/>
              <w:spacing w:after="0" w:line="175" w:lineRule="exact"/>
              <w:rPr>
                <w:sz w:val="20"/>
                <w:szCs w:val="20"/>
                <w:color w:val="auto"/>
              </w:rPr>
            </w:pPr>
            <w:r>
              <w:rPr>
                <w:rFonts w:ascii="Arial" w:cs="Arial" w:eastAsia="Arial" w:hAnsi="Arial"/>
                <w:sz w:val="13"/>
                <w:szCs w:val="13"/>
                <w:color w:val="auto"/>
                <w:w w:val="97"/>
              </w:rPr>
              <w:t>$329,322</w:t>
            </w:r>
            <w:r>
              <w:rPr>
                <w:rFonts w:ascii="Arial" w:cs="Arial" w:eastAsia="Arial" w:hAnsi="Arial"/>
                <w:sz w:val="19"/>
                <w:szCs w:val="19"/>
                <w:color w:val="auto"/>
                <w:w w:val="97"/>
                <w:vertAlign w:val="superscript"/>
              </w:rPr>
              <w:t>(2)</w:t>
            </w:r>
          </w:p>
        </w:tc>
        <w:tc>
          <w:tcPr>
            <w:tcW w:w="1260" w:type="dxa"/>
            <w:vAlign w:val="bottom"/>
            <w:gridSpan w:val="2"/>
            <w:shd w:val="clear" w:color="auto" w:fill="BFBFBF"/>
          </w:tcPr>
          <w:p>
            <w:pPr>
              <w:jc w:val="center"/>
              <w:ind w:left="194"/>
              <w:spacing w:after="0"/>
              <w:rPr>
                <w:sz w:val="20"/>
                <w:szCs w:val="20"/>
                <w:color w:val="auto"/>
              </w:rPr>
            </w:pPr>
            <w:r>
              <w:rPr>
                <w:rFonts w:ascii="Arial" w:cs="Arial" w:eastAsia="Arial" w:hAnsi="Arial"/>
                <w:sz w:val="13"/>
                <w:szCs w:val="13"/>
                <w:color w:val="auto"/>
              </w:rPr>
              <w:t>$0</w:t>
            </w:r>
          </w:p>
        </w:tc>
        <w:tc>
          <w:tcPr>
            <w:tcW w:w="1260" w:type="dxa"/>
            <w:vAlign w:val="bottom"/>
            <w:gridSpan w:val="2"/>
            <w:shd w:val="clear" w:color="auto" w:fill="BFBFBF"/>
          </w:tcPr>
          <w:p>
            <w:pPr>
              <w:jc w:val="center"/>
              <w:ind w:left="174"/>
              <w:spacing w:after="0"/>
              <w:rPr>
                <w:sz w:val="20"/>
                <w:szCs w:val="20"/>
                <w:color w:val="auto"/>
              </w:rPr>
            </w:pPr>
            <w:r>
              <w:rPr>
                <w:rFonts w:ascii="Arial" w:cs="Arial" w:eastAsia="Arial" w:hAnsi="Arial"/>
                <w:sz w:val="13"/>
                <w:szCs w:val="13"/>
                <w:color w:val="auto"/>
                <w:w w:val="96"/>
              </w:rPr>
              <w:t>$0</w:t>
            </w:r>
          </w:p>
        </w:tc>
        <w:tc>
          <w:tcPr>
            <w:tcW w:w="1260" w:type="dxa"/>
            <w:vAlign w:val="bottom"/>
            <w:gridSpan w:val="2"/>
            <w:shd w:val="clear" w:color="auto" w:fill="BFBFBF"/>
          </w:tcPr>
          <w:p>
            <w:pPr>
              <w:jc w:val="center"/>
              <w:ind w:left="174"/>
              <w:spacing w:after="0"/>
              <w:rPr>
                <w:sz w:val="20"/>
                <w:szCs w:val="20"/>
                <w:color w:val="auto"/>
              </w:rPr>
            </w:pPr>
            <w:r>
              <w:rPr>
                <w:rFonts w:ascii="Arial" w:cs="Arial" w:eastAsia="Arial" w:hAnsi="Arial"/>
                <w:sz w:val="13"/>
                <w:szCs w:val="13"/>
                <w:color w:val="auto"/>
                <w:w w:val="99"/>
              </w:rPr>
              <w:t>$561,927</w:t>
            </w:r>
          </w:p>
        </w:tc>
        <w:tc>
          <w:tcPr>
            <w:tcW w:w="1260" w:type="dxa"/>
            <w:vAlign w:val="bottom"/>
            <w:gridSpan w:val="2"/>
            <w:shd w:val="clear" w:color="auto" w:fill="BFBFBF"/>
          </w:tcPr>
          <w:p>
            <w:pPr>
              <w:jc w:val="center"/>
              <w:ind w:left="174"/>
              <w:spacing w:after="0"/>
              <w:rPr>
                <w:sz w:val="20"/>
                <w:szCs w:val="20"/>
                <w:color w:val="auto"/>
              </w:rPr>
            </w:pPr>
            <w:r>
              <w:rPr>
                <w:rFonts w:ascii="Arial" w:cs="Arial" w:eastAsia="Arial" w:hAnsi="Arial"/>
                <w:sz w:val="13"/>
                <w:szCs w:val="13"/>
                <w:color w:val="auto"/>
                <w:w w:val="99"/>
              </w:rPr>
              <w:t>$561,927</w:t>
            </w:r>
          </w:p>
        </w:tc>
      </w:tr>
      <w:tr>
        <w:trPr>
          <w:trHeight w:val="152"/>
        </w:trPr>
        <w:tc>
          <w:tcPr>
            <w:tcW w:w="1040" w:type="dxa"/>
            <w:vAlign w:val="bottom"/>
          </w:tcPr>
          <w:p>
            <w:pPr>
              <w:ind w:left="20"/>
              <w:spacing w:after="0"/>
              <w:rPr>
                <w:sz w:val="20"/>
                <w:szCs w:val="20"/>
                <w:color w:val="auto"/>
              </w:rPr>
            </w:pPr>
            <w:r>
              <w:rPr>
                <w:rFonts w:ascii="Arial" w:cs="Arial" w:eastAsia="Arial" w:hAnsi="Arial"/>
                <w:sz w:val="13"/>
                <w:szCs w:val="13"/>
                <w:color w:val="auto"/>
              </w:rPr>
              <w:t>Outplacement</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4"/>
        </w:trPr>
        <w:tc>
          <w:tcPr>
            <w:tcW w:w="1040" w:type="dxa"/>
            <w:vAlign w:val="bottom"/>
          </w:tcPr>
          <w:p>
            <w:pPr>
              <w:ind w:left="20"/>
              <w:spacing w:after="0" w:line="144" w:lineRule="exact"/>
              <w:rPr>
                <w:sz w:val="20"/>
                <w:szCs w:val="20"/>
                <w:color w:val="auto"/>
              </w:rPr>
            </w:pPr>
            <w:r>
              <w:rPr>
                <w:rFonts w:ascii="Arial" w:cs="Arial" w:eastAsia="Arial" w:hAnsi="Arial"/>
                <w:sz w:val="13"/>
                <w:szCs w:val="13"/>
                <w:color w:val="auto"/>
              </w:rPr>
              <w:t>Services</w:t>
            </w:r>
          </w:p>
        </w:tc>
        <w:tc>
          <w:tcPr>
            <w:tcW w:w="1220" w:type="dxa"/>
            <w:vAlign w:val="bottom"/>
            <w:gridSpan w:val="2"/>
          </w:tcPr>
          <w:p>
            <w:pPr>
              <w:jc w:val="center"/>
              <w:ind w:left="194"/>
              <w:spacing w:after="0" w:line="144" w:lineRule="exact"/>
              <w:rPr>
                <w:sz w:val="20"/>
                <w:szCs w:val="20"/>
                <w:color w:val="auto"/>
              </w:rPr>
            </w:pPr>
            <w:r>
              <w:rPr>
                <w:rFonts w:ascii="Arial" w:cs="Arial" w:eastAsia="Arial" w:hAnsi="Arial"/>
                <w:sz w:val="13"/>
                <w:szCs w:val="13"/>
                <w:color w:val="auto"/>
              </w:rPr>
              <w:t>$0</w:t>
            </w:r>
          </w:p>
        </w:tc>
        <w:tc>
          <w:tcPr>
            <w:tcW w:w="20" w:type="dxa"/>
            <w:vAlign w:val="bottom"/>
          </w:tcPr>
          <w:p>
            <w:pPr>
              <w:spacing w:after="0"/>
              <w:rPr>
                <w:sz w:val="12"/>
                <w:szCs w:val="12"/>
                <w:color w:val="auto"/>
              </w:rPr>
            </w:pPr>
          </w:p>
        </w:tc>
        <w:tc>
          <w:tcPr>
            <w:tcW w:w="1260" w:type="dxa"/>
            <w:vAlign w:val="bottom"/>
            <w:gridSpan w:val="2"/>
          </w:tcPr>
          <w:p>
            <w:pPr>
              <w:jc w:val="center"/>
              <w:ind w:left="194"/>
              <w:spacing w:after="0" w:line="144" w:lineRule="exact"/>
              <w:rPr>
                <w:sz w:val="20"/>
                <w:szCs w:val="20"/>
                <w:color w:val="auto"/>
              </w:rPr>
            </w:pPr>
            <w:r>
              <w:rPr>
                <w:rFonts w:ascii="Arial" w:cs="Arial" w:eastAsia="Arial" w:hAnsi="Arial"/>
                <w:sz w:val="13"/>
                <w:szCs w:val="13"/>
                <w:color w:val="auto"/>
              </w:rPr>
              <w:t>$0</w:t>
            </w:r>
          </w:p>
        </w:tc>
        <w:tc>
          <w:tcPr>
            <w:tcW w:w="1260" w:type="dxa"/>
            <w:vAlign w:val="bottom"/>
            <w:gridSpan w:val="2"/>
          </w:tcPr>
          <w:p>
            <w:pPr>
              <w:jc w:val="center"/>
              <w:ind w:left="194"/>
              <w:spacing w:after="0" w:line="144" w:lineRule="exact"/>
              <w:rPr>
                <w:sz w:val="20"/>
                <w:szCs w:val="20"/>
                <w:color w:val="auto"/>
              </w:rPr>
            </w:pPr>
            <w:r>
              <w:rPr>
                <w:rFonts w:ascii="Arial" w:cs="Arial" w:eastAsia="Arial" w:hAnsi="Arial"/>
                <w:sz w:val="13"/>
                <w:szCs w:val="13"/>
                <w:color w:val="auto"/>
              </w:rPr>
              <w:t>$0</w:t>
            </w:r>
          </w:p>
        </w:tc>
        <w:tc>
          <w:tcPr>
            <w:tcW w:w="1260" w:type="dxa"/>
            <w:vAlign w:val="bottom"/>
            <w:gridSpan w:val="2"/>
          </w:tcPr>
          <w:p>
            <w:pPr>
              <w:jc w:val="center"/>
              <w:ind w:left="174"/>
              <w:spacing w:after="0" w:line="144" w:lineRule="exact"/>
              <w:rPr>
                <w:sz w:val="20"/>
                <w:szCs w:val="20"/>
                <w:color w:val="auto"/>
              </w:rPr>
            </w:pPr>
            <w:r>
              <w:rPr>
                <w:rFonts w:ascii="Arial" w:cs="Arial" w:eastAsia="Arial" w:hAnsi="Arial"/>
                <w:sz w:val="13"/>
                <w:szCs w:val="13"/>
                <w:color w:val="auto"/>
                <w:w w:val="96"/>
              </w:rPr>
              <w:t>$0</w:t>
            </w:r>
          </w:p>
        </w:tc>
        <w:tc>
          <w:tcPr>
            <w:tcW w:w="1260" w:type="dxa"/>
            <w:vAlign w:val="bottom"/>
            <w:gridSpan w:val="2"/>
          </w:tcPr>
          <w:p>
            <w:pPr>
              <w:jc w:val="center"/>
              <w:ind w:left="174"/>
              <w:spacing w:after="0" w:line="144" w:lineRule="exact"/>
              <w:rPr>
                <w:sz w:val="20"/>
                <w:szCs w:val="20"/>
                <w:color w:val="auto"/>
              </w:rPr>
            </w:pPr>
            <w:r>
              <w:rPr>
                <w:rFonts w:ascii="Arial" w:cs="Arial" w:eastAsia="Arial" w:hAnsi="Arial"/>
                <w:sz w:val="13"/>
                <w:szCs w:val="13"/>
                <w:color w:val="auto"/>
                <w:w w:val="97"/>
              </w:rPr>
              <w:t>$25,000</w:t>
            </w:r>
          </w:p>
        </w:tc>
        <w:tc>
          <w:tcPr>
            <w:tcW w:w="1260" w:type="dxa"/>
            <w:vAlign w:val="bottom"/>
            <w:gridSpan w:val="2"/>
          </w:tcPr>
          <w:p>
            <w:pPr>
              <w:jc w:val="center"/>
              <w:ind w:left="174"/>
              <w:spacing w:after="0" w:line="144" w:lineRule="exact"/>
              <w:rPr>
                <w:sz w:val="20"/>
                <w:szCs w:val="20"/>
                <w:color w:val="auto"/>
              </w:rPr>
            </w:pPr>
            <w:r>
              <w:rPr>
                <w:rFonts w:ascii="Arial" w:cs="Arial" w:eastAsia="Arial" w:hAnsi="Arial"/>
                <w:sz w:val="13"/>
                <w:szCs w:val="13"/>
                <w:color w:val="auto"/>
                <w:w w:val="96"/>
              </w:rPr>
              <w:t>$0</w:t>
            </w:r>
          </w:p>
        </w:tc>
      </w:tr>
      <w:tr>
        <w:trPr>
          <w:trHeight w:val="152"/>
        </w:trPr>
        <w:tc>
          <w:tcPr>
            <w:tcW w:w="1040" w:type="dxa"/>
            <w:vAlign w:val="bottom"/>
            <w:shd w:val="clear" w:color="auto" w:fill="BFBFBF"/>
          </w:tcPr>
          <w:p>
            <w:pPr>
              <w:ind w:left="20"/>
              <w:spacing w:after="0"/>
              <w:rPr>
                <w:sz w:val="20"/>
                <w:szCs w:val="20"/>
                <w:color w:val="auto"/>
              </w:rPr>
            </w:pPr>
            <w:r>
              <w:rPr>
                <w:rFonts w:ascii="Arial" w:cs="Arial" w:eastAsia="Arial" w:hAnsi="Arial"/>
                <w:sz w:val="13"/>
                <w:szCs w:val="13"/>
                <w:color w:val="auto"/>
              </w:rPr>
              <w:t>Healthcare</w:t>
            </w:r>
          </w:p>
        </w:tc>
        <w:tc>
          <w:tcPr>
            <w:tcW w:w="220" w:type="dxa"/>
            <w:vAlign w:val="bottom"/>
            <w:shd w:val="clear" w:color="auto" w:fill="BFBFBF"/>
          </w:tcPr>
          <w:p>
            <w:pPr>
              <w:spacing w:after="0"/>
              <w:rPr>
                <w:sz w:val="13"/>
                <w:szCs w:val="13"/>
                <w:color w:val="auto"/>
              </w:rPr>
            </w:pPr>
          </w:p>
        </w:tc>
        <w:tc>
          <w:tcPr>
            <w:tcW w:w="1000" w:type="dxa"/>
            <w:vAlign w:val="bottom"/>
            <w:shd w:val="clear" w:color="auto" w:fill="BFBFBF"/>
          </w:tcPr>
          <w:p>
            <w:pPr>
              <w:spacing w:after="0"/>
              <w:rPr>
                <w:sz w:val="13"/>
                <w:szCs w:val="13"/>
                <w:color w:val="auto"/>
              </w:rPr>
            </w:pPr>
          </w:p>
        </w:tc>
        <w:tc>
          <w:tcPr>
            <w:tcW w:w="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r>
      <w:tr>
        <w:trPr>
          <w:trHeight w:val="144"/>
        </w:trPr>
        <w:tc>
          <w:tcPr>
            <w:tcW w:w="1040" w:type="dxa"/>
            <w:vAlign w:val="bottom"/>
            <w:shd w:val="clear" w:color="auto" w:fill="BFBFBF"/>
          </w:tcPr>
          <w:p>
            <w:pPr>
              <w:ind w:left="20"/>
              <w:spacing w:after="0" w:line="144" w:lineRule="exact"/>
              <w:rPr>
                <w:sz w:val="20"/>
                <w:szCs w:val="20"/>
                <w:color w:val="auto"/>
              </w:rPr>
            </w:pPr>
            <w:r>
              <w:rPr>
                <w:rFonts w:ascii="Arial" w:cs="Arial" w:eastAsia="Arial" w:hAnsi="Arial"/>
                <w:sz w:val="13"/>
                <w:szCs w:val="13"/>
                <w:color w:val="auto"/>
              </w:rPr>
              <w:t>continuation</w:t>
            </w:r>
          </w:p>
        </w:tc>
        <w:tc>
          <w:tcPr>
            <w:tcW w:w="1220" w:type="dxa"/>
            <w:vAlign w:val="bottom"/>
            <w:gridSpan w:val="2"/>
            <w:shd w:val="clear" w:color="auto" w:fill="BFBFBF"/>
          </w:tcPr>
          <w:p>
            <w:pPr>
              <w:jc w:val="center"/>
              <w:ind w:left="194"/>
              <w:spacing w:after="0" w:line="144" w:lineRule="exact"/>
              <w:rPr>
                <w:sz w:val="20"/>
                <w:szCs w:val="20"/>
                <w:color w:val="auto"/>
              </w:rPr>
            </w:pPr>
            <w:r>
              <w:rPr>
                <w:rFonts w:ascii="Arial" w:cs="Arial" w:eastAsia="Arial" w:hAnsi="Arial"/>
                <w:sz w:val="13"/>
                <w:szCs w:val="13"/>
                <w:color w:val="auto"/>
              </w:rPr>
              <w:t>$0</w:t>
            </w:r>
          </w:p>
        </w:tc>
        <w:tc>
          <w:tcPr>
            <w:tcW w:w="20" w:type="dxa"/>
            <w:vAlign w:val="bottom"/>
            <w:shd w:val="clear" w:color="auto" w:fill="BFBFBF"/>
          </w:tcPr>
          <w:p>
            <w:pPr>
              <w:spacing w:after="0"/>
              <w:rPr>
                <w:sz w:val="12"/>
                <w:szCs w:val="12"/>
                <w:color w:val="auto"/>
              </w:rPr>
            </w:pPr>
          </w:p>
        </w:tc>
        <w:tc>
          <w:tcPr>
            <w:tcW w:w="1260" w:type="dxa"/>
            <w:vAlign w:val="bottom"/>
            <w:gridSpan w:val="2"/>
            <w:shd w:val="clear" w:color="auto" w:fill="BFBFBF"/>
          </w:tcPr>
          <w:p>
            <w:pPr>
              <w:jc w:val="center"/>
              <w:ind w:left="194"/>
              <w:spacing w:after="0" w:line="144" w:lineRule="exact"/>
              <w:rPr>
                <w:sz w:val="20"/>
                <w:szCs w:val="20"/>
                <w:color w:val="auto"/>
              </w:rPr>
            </w:pPr>
            <w:r>
              <w:rPr>
                <w:rFonts w:ascii="Arial" w:cs="Arial" w:eastAsia="Arial" w:hAnsi="Arial"/>
                <w:sz w:val="13"/>
                <w:szCs w:val="13"/>
                <w:color w:val="auto"/>
              </w:rPr>
              <w:t>$0</w:t>
            </w:r>
          </w:p>
        </w:tc>
        <w:tc>
          <w:tcPr>
            <w:tcW w:w="1260" w:type="dxa"/>
            <w:vAlign w:val="bottom"/>
            <w:gridSpan w:val="2"/>
            <w:shd w:val="clear" w:color="auto" w:fill="BFBFBF"/>
          </w:tcPr>
          <w:p>
            <w:pPr>
              <w:jc w:val="center"/>
              <w:ind w:left="194"/>
              <w:spacing w:after="0" w:line="144" w:lineRule="exact"/>
              <w:rPr>
                <w:sz w:val="20"/>
                <w:szCs w:val="20"/>
                <w:color w:val="auto"/>
              </w:rPr>
            </w:pPr>
            <w:r>
              <w:rPr>
                <w:rFonts w:ascii="Arial" w:cs="Arial" w:eastAsia="Arial" w:hAnsi="Arial"/>
                <w:sz w:val="13"/>
                <w:szCs w:val="13"/>
                <w:color w:val="auto"/>
              </w:rPr>
              <w:t>$0</w:t>
            </w:r>
          </w:p>
        </w:tc>
        <w:tc>
          <w:tcPr>
            <w:tcW w:w="1260" w:type="dxa"/>
            <w:vAlign w:val="bottom"/>
            <w:gridSpan w:val="2"/>
            <w:shd w:val="clear" w:color="auto" w:fill="BFBFBF"/>
          </w:tcPr>
          <w:p>
            <w:pPr>
              <w:jc w:val="center"/>
              <w:ind w:left="174"/>
              <w:spacing w:after="0" w:line="144" w:lineRule="exact"/>
              <w:rPr>
                <w:sz w:val="20"/>
                <w:szCs w:val="20"/>
                <w:color w:val="auto"/>
              </w:rPr>
            </w:pPr>
            <w:r>
              <w:rPr>
                <w:rFonts w:ascii="Arial" w:cs="Arial" w:eastAsia="Arial" w:hAnsi="Arial"/>
                <w:sz w:val="13"/>
                <w:szCs w:val="13"/>
                <w:color w:val="auto"/>
                <w:w w:val="96"/>
              </w:rPr>
              <w:t>$0</w:t>
            </w:r>
          </w:p>
        </w:tc>
        <w:tc>
          <w:tcPr>
            <w:tcW w:w="1260" w:type="dxa"/>
            <w:vAlign w:val="bottom"/>
            <w:gridSpan w:val="2"/>
            <w:shd w:val="clear" w:color="auto" w:fill="BFBFBF"/>
          </w:tcPr>
          <w:p>
            <w:pPr>
              <w:jc w:val="center"/>
              <w:ind w:left="174"/>
              <w:spacing w:after="0" w:line="144" w:lineRule="exact"/>
              <w:rPr>
                <w:sz w:val="20"/>
                <w:szCs w:val="20"/>
                <w:color w:val="auto"/>
              </w:rPr>
            </w:pPr>
            <w:r>
              <w:rPr>
                <w:rFonts w:ascii="Arial" w:cs="Arial" w:eastAsia="Arial" w:hAnsi="Arial"/>
                <w:sz w:val="13"/>
                <w:szCs w:val="13"/>
                <w:color w:val="auto"/>
                <w:w w:val="97"/>
              </w:rPr>
              <w:t>$24,607</w:t>
            </w:r>
          </w:p>
        </w:tc>
        <w:tc>
          <w:tcPr>
            <w:tcW w:w="1260" w:type="dxa"/>
            <w:vAlign w:val="bottom"/>
            <w:gridSpan w:val="2"/>
            <w:shd w:val="clear" w:color="auto" w:fill="BFBFBF"/>
          </w:tcPr>
          <w:p>
            <w:pPr>
              <w:jc w:val="center"/>
              <w:ind w:left="174"/>
              <w:spacing w:after="0" w:line="144" w:lineRule="exact"/>
              <w:rPr>
                <w:sz w:val="20"/>
                <w:szCs w:val="20"/>
                <w:color w:val="auto"/>
              </w:rPr>
            </w:pPr>
            <w:r>
              <w:rPr>
                <w:rFonts w:ascii="Arial" w:cs="Arial" w:eastAsia="Arial" w:hAnsi="Arial"/>
                <w:sz w:val="13"/>
                <w:szCs w:val="13"/>
                <w:color w:val="auto"/>
                <w:w w:val="96"/>
              </w:rPr>
              <w:t>$0</w:t>
            </w:r>
          </w:p>
        </w:tc>
      </w:tr>
      <w:tr>
        <w:trPr>
          <w:trHeight w:val="161"/>
        </w:trPr>
        <w:tc>
          <w:tcPr>
            <w:tcW w:w="1040" w:type="dxa"/>
            <w:vAlign w:val="bottom"/>
          </w:tcPr>
          <w:p>
            <w:pPr>
              <w:ind w:left="140"/>
              <w:spacing w:after="0"/>
              <w:rPr>
                <w:sz w:val="20"/>
                <w:szCs w:val="20"/>
                <w:color w:val="auto"/>
              </w:rPr>
            </w:pPr>
            <w:r>
              <w:rPr>
                <w:rFonts w:ascii="Arial" w:cs="Arial" w:eastAsia="Arial" w:hAnsi="Arial"/>
                <w:sz w:val="13"/>
                <w:szCs w:val="13"/>
                <w:color w:val="auto"/>
              </w:rPr>
              <w:t>Total</w:t>
            </w:r>
          </w:p>
        </w:tc>
        <w:tc>
          <w:tcPr>
            <w:tcW w:w="1220" w:type="dxa"/>
            <w:vAlign w:val="bottom"/>
            <w:gridSpan w:val="2"/>
          </w:tcPr>
          <w:p>
            <w:pPr>
              <w:jc w:val="center"/>
              <w:ind w:left="194"/>
              <w:spacing w:after="0"/>
              <w:rPr>
                <w:sz w:val="20"/>
                <w:szCs w:val="20"/>
                <w:color w:val="auto"/>
              </w:rPr>
            </w:pPr>
            <w:r>
              <w:rPr>
                <w:rFonts w:ascii="Arial" w:cs="Arial" w:eastAsia="Arial" w:hAnsi="Arial"/>
                <w:sz w:val="13"/>
                <w:szCs w:val="13"/>
                <w:color w:val="auto"/>
              </w:rPr>
              <w:t>$659,188</w:t>
            </w:r>
          </w:p>
        </w:tc>
        <w:tc>
          <w:tcPr>
            <w:tcW w:w="20" w:type="dxa"/>
            <w:vAlign w:val="bottom"/>
          </w:tcPr>
          <w:p>
            <w:pPr>
              <w:spacing w:after="0"/>
              <w:rPr>
                <w:sz w:val="14"/>
                <w:szCs w:val="14"/>
                <w:color w:val="auto"/>
              </w:rPr>
            </w:pPr>
          </w:p>
        </w:tc>
        <w:tc>
          <w:tcPr>
            <w:tcW w:w="1260" w:type="dxa"/>
            <w:vAlign w:val="bottom"/>
            <w:gridSpan w:val="2"/>
          </w:tcPr>
          <w:p>
            <w:pPr>
              <w:jc w:val="center"/>
              <w:ind w:left="194"/>
              <w:spacing w:after="0"/>
              <w:rPr>
                <w:sz w:val="20"/>
                <w:szCs w:val="20"/>
                <w:color w:val="auto"/>
              </w:rPr>
            </w:pPr>
            <w:r>
              <w:rPr>
                <w:rFonts w:ascii="Arial" w:cs="Arial" w:eastAsia="Arial" w:hAnsi="Arial"/>
                <w:sz w:val="13"/>
                <w:szCs w:val="13"/>
                <w:color w:val="auto"/>
                <w:w w:val="98"/>
              </w:rPr>
              <w:t>$1,034,188</w:t>
            </w:r>
          </w:p>
        </w:tc>
        <w:tc>
          <w:tcPr>
            <w:tcW w:w="1260" w:type="dxa"/>
            <w:vAlign w:val="bottom"/>
            <w:gridSpan w:val="2"/>
          </w:tcPr>
          <w:p>
            <w:pPr>
              <w:jc w:val="center"/>
              <w:ind w:left="194"/>
              <w:spacing w:after="0"/>
              <w:rPr>
                <w:sz w:val="20"/>
                <w:szCs w:val="20"/>
                <w:color w:val="auto"/>
              </w:rPr>
            </w:pPr>
            <w:r>
              <w:rPr>
                <w:rFonts w:ascii="Arial" w:cs="Arial" w:eastAsia="Arial" w:hAnsi="Arial"/>
                <w:sz w:val="13"/>
                <w:szCs w:val="13"/>
                <w:color w:val="auto"/>
              </w:rPr>
              <w:t>$0</w:t>
            </w:r>
          </w:p>
        </w:tc>
        <w:tc>
          <w:tcPr>
            <w:tcW w:w="1260" w:type="dxa"/>
            <w:vAlign w:val="bottom"/>
            <w:gridSpan w:val="2"/>
          </w:tcPr>
          <w:p>
            <w:pPr>
              <w:jc w:val="center"/>
              <w:ind w:left="174"/>
              <w:spacing w:after="0"/>
              <w:rPr>
                <w:sz w:val="20"/>
                <w:szCs w:val="20"/>
                <w:color w:val="auto"/>
              </w:rPr>
            </w:pPr>
            <w:r>
              <w:rPr>
                <w:rFonts w:ascii="Arial" w:cs="Arial" w:eastAsia="Arial" w:hAnsi="Arial"/>
                <w:sz w:val="13"/>
                <w:szCs w:val="13"/>
                <w:color w:val="auto"/>
                <w:w w:val="96"/>
              </w:rPr>
              <w:t>$0</w:t>
            </w:r>
          </w:p>
        </w:tc>
        <w:tc>
          <w:tcPr>
            <w:tcW w:w="1260" w:type="dxa"/>
            <w:vAlign w:val="bottom"/>
            <w:gridSpan w:val="2"/>
          </w:tcPr>
          <w:p>
            <w:pPr>
              <w:jc w:val="center"/>
              <w:ind w:left="174"/>
              <w:spacing w:after="0"/>
              <w:rPr>
                <w:sz w:val="20"/>
                <w:szCs w:val="20"/>
                <w:color w:val="auto"/>
              </w:rPr>
            </w:pPr>
            <w:r>
              <w:rPr>
                <w:rFonts w:ascii="Arial" w:cs="Arial" w:eastAsia="Arial" w:hAnsi="Arial"/>
                <w:sz w:val="13"/>
                <w:szCs w:val="13"/>
                <w:color w:val="auto"/>
              </w:rPr>
              <w:t>$3,027,474</w:t>
            </w:r>
          </w:p>
        </w:tc>
        <w:tc>
          <w:tcPr>
            <w:tcW w:w="1260" w:type="dxa"/>
            <w:vAlign w:val="bottom"/>
            <w:gridSpan w:val="2"/>
          </w:tcPr>
          <w:p>
            <w:pPr>
              <w:jc w:val="center"/>
              <w:ind w:left="174"/>
              <w:spacing w:after="0"/>
              <w:rPr>
                <w:sz w:val="20"/>
                <w:szCs w:val="20"/>
                <w:color w:val="auto"/>
              </w:rPr>
            </w:pPr>
            <w:r>
              <w:rPr>
                <w:rFonts w:ascii="Arial" w:cs="Arial" w:eastAsia="Arial" w:hAnsi="Arial"/>
                <w:sz w:val="13"/>
                <w:szCs w:val="13"/>
                <w:color w:val="auto"/>
              </w:rPr>
              <w:t>$1,102,867</w:t>
            </w:r>
          </w:p>
        </w:tc>
      </w:tr>
      <w:tr>
        <w:trPr>
          <w:trHeight w:val="85"/>
        </w:trPr>
        <w:tc>
          <w:tcPr>
            <w:tcW w:w="10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r>
    </w:tbl>
    <w:p>
      <w:pPr>
        <w:spacing w:after="0" w:line="200" w:lineRule="exact"/>
        <w:rPr>
          <w:sz w:val="20"/>
          <w:szCs w:val="20"/>
          <w:color w:val="auto"/>
        </w:rPr>
      </w:pPr>
    </w:p>
    <w:p>
      <w:pPr>
        <w:ind w:left="1860" w:hanging="490"/>
        <w:spacing w:after="0" w:line="253" w:lineRule="auto"/>
        <w:tabs>
          <w:tab w:leader="none" w:pos="18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value of the accelerated vesting of restricted stock and PSUs is based on the closing price of our common stock as reported on NASDAQ on December 29, 2017 (the last trading day of 2017), which was $17.79.</w:t>
      </w:r>
    </w:p>
    <w:p>
      <w:pPr>
        <w:spacing w:after="0" w:line="179" w:lineRule="exact"/>
        <w:rPr>
          <w:rFonts w:ascii="Arial" w:cs="Arial" w:eastAsia="Arial" w:hAnsi="Arial"/>
          <w:sz w:val="16"/>
          <w:szCs w:val="16"/>
          <w:color w:val="auto"/>
        </w:rPr>
      </w:pPr>
    </w:p>
    <w:p>
      <w:pPr>
        <w:ind w:left="1860" w:right="200" w:hanging="490"/>
        <w:spacing w:after="0" w:line="245" w:lineRule="auto"/>
        <w:tabs>
          <w:tab w:leader="none" w:pos="18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This amount assumes the Compensation Committee elected to accelerate vesting at the target level on a pro-rated basis as of December 31, 2017. Holders of PSUs also accrue a dividend equivalent for dividends declared on the Company's common stock during the life of the award that is paid in cash when underlying PSUs vest, and this amount includes a cash amount equal to the accrued dividends payable upon the vesting of the underlying PSUs.</w:t>
      </w:r>
    </w:p>
    <w:p>
      <w:pPr>
        <w:spacing w:after="0" w:line="18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180"/>
          </w:cols>
          <w:pgMar w:left="240" w:top="142" w:right="47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00ACD2"/>
        </w:rPr>
        <w:t>Ronald J. Mudry</w:t>
      </w:r>
    </w:p>
    <w:p>
      <w:pPr>
        <w:spacing w:after="0" w:line="214" w:lineRule="exact"/>
        <w:rPr>
          <w:sz w:val="20"/>
          <w:szCs w:val="20"/>
          <w:color w:val="auto"/>
        </w:rPr>
      </w:pPr>
    </w:p>
    <w:p>
      <w:pPr>
        <w:ind w:right="80" w:firstLine="621"/>
        <w:spacing w:after="0" w:line="253" w:lineRule="auto"/>
        <w:rPr>
          <w:sz w:val="20"/>
          <w:szCs w:val="20"/>
          <w:color w:val="auto"/>
        </w:rPr>
      </w:pPr>
      <w:r>
        <w:rPr>
          <w:rFonts w:ascii="Arial" w:cs="Arial" w:eastAsia="Arial" w:hAnsi="Arial"/>
          <w:sz w:val="16"/>
          <w:szCs w:val="16"/>
          <w:color w:val="auto"/>
        </w:rPr>
        <w:t>The following table shows the potential payments upon a hypothetical termination or change in control of the Company effective as of December 31, 2017 for Ronald J. Mudry, President of Sales and Business Development of Uniti Fiber.</w:t>
      </w:r>
    </w:p>
    <w:p>
      <w:pPr>
        <w:spacing w:after="0" w:line="163"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9"/>
              </w:rPr>
              <w:t>Voluntary</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8"/>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Termination</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with Good</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Termination</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Reason or</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without</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Termination</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Voluntary</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Cause or</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without</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Termination</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Resignation</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Cause</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without</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for Good</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other than</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Good</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Change in</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7"/>
              </w:rPr>
              <w:t>Reason</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rPr>
              <w:t>Company-</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following a</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Reason or</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Control</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following a</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040" w:type="dxa"/>
            <w:vAlign w:val="bottom"/>
          </w:tcPr>
          <w:p>
            <w:pPr>
              <w:ind w:left="300"/>
              <w:spacing w:after="0" w:line="148" w:lineRule="exact"/>
              <w:rPr>
                <w:sz w:val="20"/>
                <w:szCs w:val="20"/>
                <w:color w:val="auto"/>
              </w:rPr>
            </w:pPr>
            <w:r>
              <w:rPr>
                <w:rFonts w:ascii="Arial" w:cs="Arial" w:eastAsia="Arial" w:hAnsi="Arial"/>
                <w:sz w:val="13"/>
                <w:szCs w:val="13"/>
                <w:b w:val="1"/>
                <w:bCs w:val="1"/>
                <w:color w:val="auto"/>
              </w:rPr>
              <w:t>Type of</w:t>
            </w:r>
          </w:p>
        </w:tc>
        <w:tc>
          <w:tcPr>
            <w:tcW w:w="220" w:type="dxa"/>
            <w:vAlign w:val="bottom"/>
          </w:tcPr>
          <w:p>
            <w:pPr>
              <w:spacing w:after="0"/>
              <w:rPr>
                <w:sz w:val="12"/>
                <w:szCs w:val="12"/>
                <w:color w:val="auto"/>
              </w:rPr>
            </w:pPr>
          </w:p>
        </w:tc>
        <w:tc>
          <w:tcPr>
            <w:tcW w:w="102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8"/>
              </w:rPr>
              <w:t>Approved</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Change in</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Termination</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with no</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Change in</w:t>
            </w:r>
          </w:p>
        </w:tc>
        <w:tc>
          <w:tcPr>
            <w:tcW w:w="24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Death or</w:t>
            </w:r>
          </w:p>
        </w:tc>
      </w:tr>
      <w:tr>
        <w:trPr>
          <w:trHeight w:val="160"/>
        </w:trPr>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Payment</w:t>
            </w:r>
          </w:p>
        </w:tc>
        <w:tc>
          <w:tcPr>
            <w:tcW w:w="220" w:type="dxa"/>
            <w:vAlign w:val="bottom"/>
          </w:tcPr>
          <w:p>
            <w:pPr>
              <w:spacing w:after="0"/>
              <w:rPr>
                <w:sz w:val="13"/>
                <w:szCs w:val="13"/>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Retirement</w:t>
            </w:r>
          </w:p>
        </w:tc>
        <w:tc>
          <w:tcPr>
            <w:tcW w:w="2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Control</w:t>
            </w:r>
          </w:p>
        </w:tc>
        <w:tc>
          <w:tcPr>
            <w:tcW w:w="2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for Cause</w:t>
            </w:r>
          </w:p>
        </w:tc>
        <w:tc>
          <w:tcPr>
            <w:tcW w:w="2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Termination</w:t>
            </w:r>
          </w:p>
        </w:tc>
        <w:tc>
          <w:tcPr>
            <w:tcW w:w="2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Control</w:t>
            </w:r>
          </w:p>
        </w:tc>
        <w:tc>
          <w:tcPr>
            <w:tcW w:w="2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Disability</w:t>
            </w:r>
          </w:p>
        </w:tc>
      </w:tr>
      <w:tr>
        <w:trPr>
          <w:trHeight w:val="140"/>
        </w:trPr>
        <w:tc>
          <w:tcPr>
            <w:tcW w:w="1040" w:type="dxa"/>
            <w:vAlign w:val="bottom"/>
            <w:shd w:val="clear" w:color="auto" w:fill="BFBFBF"/>
          </w:tcPr>
          <w:p>
            <w:pPr>
              <w:ind w:left="20"/>
              <w:spacing w:after="0" w:line="141" w:lineRule="exact"/>
              <w:rPr>
                <w:sz w:val="20"/>
                <w:szCs w:val="20"/>
                <w:color w:val="auto"/>
              </w:rPr>
            </w:pPr>
            <w:r>
              <w:rPr>
                <w:rFonts w:ascii="Arial" w:cs="Arial" w:eastAsia="Arial" w:hAnsi="Arial"/>
                <w:sz w:val="13"/>
                <w:szCs w:val="13"/>
                <w:color w:val="auto"/>
              </w:rPr>
              <w:t>Severance</w:t>
            </w:r>
          </w:p>
        </w:tc>
        <w:tc>
          <w:tcPr>
            <w:tcW w:w="1220" w:type="dxa"/>
            <w:vAlign w:val="bottom"/>
            <w:gridSpan w:val="2"/>
            <w:shd w:val="clear" w:color="auto" w:fill="BFBFBF"/>
          </w:tcPr>
          <w:p>
            <w:pPr>
              <w:jc w:val="center"/>
              <w:ind w:left="194"/>
              <w:spacing w:after="0" w:line="141" w:lineRule="exact"/>
              <w:rPr>
                <w:sz w:val="20"/>
                <w:szCs w:val="20"/>
                <w:color w:val="auto"/>
              </w:rPr>
            </w:pPr>
            <w:r>
              <w:rPr>
                <w:rFonts w:ascii="Arial" w:cs="Arial" w:eastAsia="Arial" w:hAnsi="Arial"/>
                <w:sz w:val="13"/>
                <w:szCs w:val="13"/>
                <w:color w:val="auto"/>
              </w:rPr>
              <w:t>$0</w:t>
            </w:r>
          </w:p>
        </w:tc>
        <w:tc>
          <w:tcPr>
            <w:tcW w:w="20" w:type="dxa"/>
            <w:vAlign w:val="bottom"/>
            <w:shd w:val="clear" w:color="auto" w:fill="BFBFBF"/>
          </w:tcPr>
          <w:p>
            <w:pPr>
              <w:spacing w:after="0"/>
              <w:rPr>
                <w:sz w:val="12"/>
                <w:szCs w:val="12"/>
                <w:color w:val="auto"/>
              </w:rPr>
            </w:pPr>
          </w:p>
        </w:tc>
        <w:tc>
          <w:tcPr>
            <w:tcW w:w="1260" w:type="dxa"/>
            <w:vAlign w:val="bottom"/>
            <w:gridSpan w:val="2"/>
            <w:shd w:val="clear" w:color="auto" w:fill="BFBFBF"/>
          </w:tcPr>
          <w:p>
            <w:pPr>
              <w:jc w:val="center"/>
              <w:ind w:left="194"/>
              <w:spacing w:after="0" w:line="141" w:lineRule="exact"/>
              <w:rPr>
                <w:sz w:val="20"/>
                <w:szCs w:val="20"/>
                <w:color w:val="auto"/>
              </w:rPr>
            </w:pPr>
            <w:r>
              <w:rPr>
                <w:rFonts w:ascii="Arial" w:cs="Arial" w:eastAsia="Arial" w:hAnsi="Arial"/>
                <w:sz w:val="13"/>
                <w:szCs w:val="13"/>
                <w:color w:val="auto"/>
              </w:rPr>
              <w:t>$350,000</w:t>
            </w:r>
          </w:p>
        </w:tc>
        <w:tc>
          <w:tcPr>
            <w:tcW w:w="1260" w:type="dxa"/>
            <w:vAlign w:val="bottom"/>
            <w:gridSpan w:val="2"/>
            <w:shd w:val="clear" w:color="auto" w:fill="BFBFBF"/>
          </w:tcPr>
          <w:p>
            <w:pPr>
              <w:jc w:val="center"/>
              <w:ind w:left="194"/>
              <w:spacing w:after="0" w:line="141" w:lineRule="exact"/>
              <w:rPr>
                <w:sz w:val="20"/>
                <w:szCs w:val="20"/>
                <w:color w:val="auto"/>
              </w:rPr>
            </w:pPr>
            <w:r>
              <w:rPr>
                <w:rFonts w:ascii="Arial" w:cs="Arial" w:eastAsia="Arial" w:hAnsi="Arial"/>
                <w:sz w:val="13"/>
                <w:szCs w:val="13"/>
                <w:color w:val="auto"/>
              </w:rPr>
              <w:t>$0</w:t>
            </w:r>
          </w:p>
        </w:tc>
        <w:tc>
          <w:tcPr>
            <w:tcW w:w="1260" w:type="dxa"/>
            <w:vAlign w:val="bottom"/>
            <w:gridSpan w:val="2"/>
            <w:shd w:val="clear" w:color="auto" w:fill="BFBFBF"/>
          </w:tcPr>
          <w:p>
            <w:pPr>
              <w:jc w:val="center"/>
              <w:ind w:left="174"/>
              <w:spacing w:after="0" w:line="141" w:lineRule="exact"/>
              <w:rPr>
                <w:sz w:val="20"/>
                <w:szCs w:val="20"/>
                <w:color w:val="auto"/>
              </w:rPr>
            </w:pPr>
            <w:r>
              <w:rPr>
                <w:rFonts w:ascii="Arial" w:cs="Arial" w:eastAsia="Arial" w:hAnsi="Arial"/>
                <w:sz w:val="13"/>
                <w:szCs w:val="13"/>
                <w:color w:val="auto"/>
                <w:w w:val="96"/>
              </w:rPr>
              <w:t>$0</w:t>
            </w:r>
          </w:p>
        </w:tc>
        <w:tc>
          <w:tcPr>
            <w:tcW w:w="1260" w:type="dxa"/>
            <w:vAlign w:val="bottom"/>
            <w:gridSpan w:val="2"/>
            <w:shd w:val="clear" w:color="auto" w:fill="BFBFBF"/>
          </w:tcPr>
          <w:p>
            <w:pPr>
              <w:jc w:val="center"/>
              <w:ind w:left="174"/>
              <w:spacing w:after="0" w:line="141" w:lineRule="exact"/>
              <w:rPr>
                <w:sz w:val="20"/>
                <w:szCs w:val="20"/>
                <w:color w:val="auto"/>
              </w:rPr>
            </w:pPr>
            <w:r>
              <w:rPr>
                <w:rFonts w:ascii="Arial" w:cs="Arial" w:eastAsia="Arial" w:hAnsi="Arial"/>
                <w:sz w:val="13"/>
                <w:szCs w:val="13"/>
                <w:color w:val="auto"/>
                <w:w w:val="99"/>
              </w:rPr>
              <w:t>$350,000</w:t>
            </w:r>
          </w:p>
        </w:tc>
        <w:tc>
          <w:tcPr>
            <w:tcW w:w="1260" w:type="dxa"/>
            <w:vAlign w:val="bottom"/>
            <w:gridSpan w:val="2"/>
            <w:shd w:val="clear" w:color="auto" w:fill="BFBFBF"/>
          </w:tcPr>
          <w:p>
            <w:pPr>
              <w:jc w:val="center"/>
              <w:ind w:left="174"/>
              <w:spacing w:after="0" w:line="141" w:lineRule="exact"/>
              <w:rPr>
                <w:sz w:val="20"/>
                <w:szCs w:val="20"/>
                <w:color w:val="auto"/>
              </w:rPr>
            </w:pPr>
            <w:r>
              <w:rPr>
                <w:rFonts w:ascii="Arial" w:cs="Arial" w:eastAsia="Arial" w:hAnsi="Arial"/>
                <w:sz w:val="13"/>
                <w:szCs w:val="13"/>
                <w:color w:val="auto"/>
                <w:w w:val="96"/>
              </w:rPr>
              <w:t>$0</w:t>
            </w:r>
          </w:p>
        </w:tc>
      </w:tr>
      <w:tr>
        <w:trPr>
          <w:trHeight w:val="152"/>
        </w:trPr>
        <w:tc>
          <w:tcPr>
            <w:tcW w:w="1040" w:type="dxa"/>
            <w:vAlign w:val="bottom"/>
          </w:tcPr>
          <w:p>
            <w:pPr>
              <w:ind w:left="20"/>
              <w:spacing w:after="0"/>
              <w:rPr>
                <w:sz w:val="20"/>
                <w:szCs w:val="20"/>
                <w:color w:val="auto"/>
              </w:rPr>
            </w:pPr>
            <w:r>
              <w:rPr>
                <w:rFonts w:ascii="Arial" w:cs="Arial" w:eastAsia="Arial" w:hAnsi="Arial"/>
                <w:sz w:val="13"/>
                <w:szCs w:val="13"/>
                <w:color w:val="auto"/>
              </w:rPr>
              <w:t>Accelerated</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8"/>
        </w:trPr>
        <w:tc>
          <w:tcPr>
            <w:tcW w:w="1040" w:type="dxa"/>
            <w:vAlign w:val="bottom"/>
          </w:tcPr>
          <w:p>
            <w:pPr>
              <w:ind w:left="20"/>
              <w:spacing w:after="0" w:line="148" w:lineRule="exact"/>
              <w:rPr>
                <w:sz w:val="20"/>
                <w:szCs w:val="20"/>
                <w:color w:val="auto"/>
              </w:rPr>
            </w:pPr>
            <w:r>
              <w:rPr>
                <w:rFonts w:ascii="Arial" w:cs="Arial" w:eastAsia="Arial" w:hAnsi="Arial"/>
                <w:sz w:val="13"/>
                <w:szCs w:val="13"/>
                <w:color w:val="auto"/>
              </w:rPr>
              <w:t>Vesting of</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1"/>
        </w:trPr>
        <w:tc>
          <w:tcPr>
            <w:tcW w:w="1040" w:type="dxa"/>
            <w:vAlign w:val="bottom"/>
          </w:tcPr>
          <w:p>
            <w:pPr>
              <w:ind w:left="20"/>
              <w:spacing w:after="0" w:line="141" w:lineRule="exact"/>
              <w:rPr>
                <w:sz w:val="20"/>
                <w:szCs w:val="20"/>
                <w:color w:val="auto"/>
              </w:rPr>
            </w:pPr>
            <w:r>
              <w:rPr>
                <w:rFonts w:ascii="Arial" w:cs="Arial" w:eastAsia="Arial" w:hAnsi="Arial"/>
                <w:sz w:val="13"/>
                <w:szCs w:val="13"/>
                <w:color w:val="auto"/>
              </w:rPr>
              <w:t>Restricted</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76"/>
        </w:trPr>
        <w:tc>
          <w:tcPr>
            <w:tcW w:w="1040" w:type="dxa"/>
            <w:vAlign w:val="bottom"/>
          </w:tcPr>
          <w:p>
            <w:pPr>
              <w:ind w:left="20"/>
              <w:spacing w:after="0" w:line="175" w:lineRule="exact"/>
              <w:rPr>
                <w:sz w:val="20"/>
                <w:szCs w:val="20"/>
                <w:color w:val="auto"/>
              </w:rPr>
            </w:pPr>
            <w:r>
              <w:rPr>
                <w:rFonts w:ascii="Arial" w:cs="Arial" w:eastAsia="Arial" w:hAnsi="Arial"/>
                <w:sz w:val="13"/>
                <w:szCs w:val="13"/>
                <w:color w:val="auto"/>
              </w:rPr>
              <w:t>Stock</w:t>
            </w:r>
            <w:r>
              <w:rPr>
                <w:rFonts w:ascii="Arial" w:cs="Arial" w:eastAsia="Arial" w:hAnsi="Arial"/>
                <w:sz w:val="19"/>
                <w:szCs w:val="19"/>
                <w:color w:val="auto"/>
                <w:vertAlign w:val="superscript"/>
              </w:rPr>
              <w:t>(1)</w:t>
            </w:r>
          </w:p>
        </w:tc>
        <w:tc>
          <w:tcPr>
            <w:tcW w:w="1220" w:type="dxa"/>
            <w:vAlign w:val="bottom"/>
            <w:gridSpan w:val="2"/>
          </w:tcPr>
          <w:p>
            <w:pPr>
              <w:jc w:val="center"/>
              <w:ind w:left="194"/>
              <w:spacing w:after="0"/>
              <w:rPr>
                <w:sz w:val="20"/>
                <w:szCs w:val="20"/>
                <w:color w:val="auto"/>
              </w:rPr>
            </w:pPr>
            <w:r>
              <w:rPr>
                <w:rFonts w:ascii="Arial" w:cs="Arial" w:eastAsia="Arial" w:hAnsi="Arial"/>
                <w:sz w:val="13"/>
                <w:szCs w:val="13"/>
                <w:color w:val="auto"/>
              </w:rPr>
              <w:t>$166,011</w:t>
            </w:r>
          </w:p>
        </w:tc>
        <w:tc>
          <w:tcPr>
            <w:tcW w:w="20" w:type="dxa"/>
            <w:vAlign w:val="bottom"/>
          </w:tcPr>
          <w:p>
            <w:pPr>
              <w:spacing w:after="0"/>
              <w:rPr>
                <w:sz w:val="15"/>
                <w:szCs w:val="15"/>
                <w:color w:val="auto"/>
              </w:rPr>
            </w:pPr>
          </w:p>
        </w:tc>
        <w:tc>
          <w:tcPr>
            <w:tcW w:w="1260" w:type="dxa"/>
            <w:vAlign w:val="bottom"/>
            <w:gridSpan w:val="2"/>
          </w:tcPr>
          <w:p>
            <w:pPr>
              <w:jc w:val="center"/>
              <w:ind w:left="194"/>
              <w:spacing w:after="0"/>
              <w:rPr>
                <w:sz w:val="20"/>
                <w:szCs w:val="20"/>
                <w:color w:val="auto"/>
              </w:rPr>
            </w:pPr>
            <w:r>
              <w:rPr>
                <w:rFonts w:ascii="Arial" w:cs="Arial" w:eastAsia="Arial" w:hAnsi="Arial"/>
                <w:sz w:val="13"/>
                <w:szCs w:val="13"/>
                <w:color w:val="auto"/>
              </w:rPr>
              <w:t>$166,011</w:t>
            </w:r>
          </w:p>
        </w:tc>
        <w:tc>
          <w:tcPr>
            <w:tcW w:w="1260" w:type="dxa"/>
            <w:vAlign w:val="bottom"/>
            <w:gridSpan w:val="2"/>
          </w:tcPr>
          <w:p>
            <w:pPr>
              <w:jc w:val="center"/>
              <w:ind w:left="194"/>
              <w:spacing w:after="0"/>
              <w:rPr>
                <w:sz w:val="20"/>
                <w:szCs w:val="20"/>
                <w:color w:val="auto"/>
              </w:rPr>
            </w:pPr>
            <w:r>
              <w:rPr>
                <w:rFonts w:ascii="Arial" w:cs="Arial" w:eastAsia="Arial" w:hAnsi="Arial"/>
                <w:sz w:val="13"/>
                <w:szCs w:val="13"/>
                <w:color w:val="auto"/>
              </w:rPr>
              <w:t>$0</w:t>
            </w:r>
          </w:p>
        </w:tc>
        <w:tc>
          <w:tcPr>
            <w:tcW w:w="1260" w:type="dxa"/>
            <w:vAlign w:val="bottom"/>
            <w:gridSpan w:val="2"/>
          </w:tcPr>
          <w:p>
            <w:pPr>
              <w:jc w:val="center"/>
              <w:ind w:left="174"/>
              <w:spacing w:after="0"/>
              <w:rPr>
                <w:sz w:val="20"/>
                <w:szCs w:val="20"/>
                <w:color w:val="auto"/>
              </w:rPr>
            </w:pPr>
            <w:r>
              <w:rPr>
                <w:rFonts w:ascii="Arial" w:cs="Arial" w:eastAsia="Arial" w:hAnsi="Arial"/>
                <w:sz w:val="13"/>
                <w:szCs w:val="13"/>
                <w:color w:val="auto"/>
                <w:w w:val="96"/>
              </w:rPr>
              <w:t>$0</w:t>
            </w:r>
          </w:p>
        </w:tc>
        <w:tc>
          <w:tcPr>
            <w:tcW w:w="1260" w:type="dxa"/>
            <w:vAlign w:val="bottom"/>
            <w:gridSpan w:val="2"/>
          </w:tcPr>
          <w:p>
            <w:pPr>
              <w:jc w:val="center"/>
              <w:ind w:left="174"/>
              <w:spacing w:after="0"/>
              <w:rPr>
                <w:sz w:val="20"/>
                <w:szCs w:val="20"/>
                <w:color w:val="auto"/>
              </w:rPr>
            </w:pPr>
            <w:r>
              <w:rPr>
                <w:rFonts w:ascii="Arial" w:cs="Arial" w:eastAsia="Arial" w:hAnsi="Arial"/>
                <w:sz w:val="13"/>
                <w:szCs w:val="13"/>
                <w:color w:val="auto"/>
                <w:w w:val="99"/>
              </w:rPr>
              <w:t>$295,421</w:t>
            </w:r>
          </w:p>
        </w:tc>
        <w:tc>
          <w:tcPr>
            <w:tcW w:w="1260" w:type="dxa"/>
            <w:vAlign w:val="bottom"/>
            <w:gridSpan w:val="2"/>
          </w:tcPr>
          <w:p>
            <w:pPr>
              <w:jc w:val="center"/>
              <w:ind w:left="174"/>
              <w:spacing w:after="0"/>
              <w:rPr>
                <w:sz w:val="20"/>
                <w:szCs w:val="20"/>
                <w:color w:val="auto"/>
              </w:rPr>
            </w:pPr>
            <w:r>
              <w:rPr>
                <w:rFonts w:ascii="Arial" w:cs="Arial" w:eastAsia="Arial" w:hAnsi="Arial"/>
                <w:sz w:val="13"/>
                <w:szCs w:val="13"/>
                <w:color w:val="auto"/>
                <w:w w:val="99"/>
              </w:rPr>
              <w:t>$295,421</w:t>
            </w:r>
          </w:p>
        </w:tc>
      </w:tr>
      <w:tr>
        <w:trPr>
          <w:trHeight w:val="152"/>
        </w:trPr>
        <w:tc>
          <w:tcPr>
            <w:tcW w:w="1040" w:type="dxa"/>
            <w:vAlign w:val="bottom"/>
            <w:shd w:val="clear" w:color="auto" w:fill="BFBFBF"/>
          </w:tcPr>
          <w:p>
            <w:pPr>
              <w:ind w:left="20"/>
              <w:spacing w:after="0"/>
              <w:rPr>
                <w:sz w:val="20"/>
                <w:szCs w:val="20"/>
                <w:color w:val="auto"/>
              </w:rPr>
            </w:pPr>
            <w:r>
              <w:rPr>
                <w:rFonts w:ascii="Arial" w:cs="Arial" w:eastAsia="Arial" w:hAnsi="Arial"/>
                <w:sz w:val="13"/>
                <w:szCs w:val="13"/>
                <w:color w:val="auto"/>
              </w:rPr>
              <w:t>Accelerated</w:t>
            </w:r>
          </w:p>
        </w:tc>
        <w:tc>
          <w:tcPr>
            <w:tcW w:w="220" w:type="dxa"/>
            <w:vAlign w:val="bottom"/>
            <w:shd w:val="clear" w:color="auto" w:fill="BFBFBF"/>
          </w:tcPr>
          <w:p>
            <w:pPr>
              <w:spacing w:after="0"/>
              <w:rPr>
                <w:sz w:val="13"/>
                <w:szCs w:val="13"/>
                <w:color w:val="auto"/>
              </w:rPr>
            </w:pPr>
          </w:p>
        </w:tc>
        <w:tc>
          <w:tcPr>
            <w:tcW w:w="1000" w:type="dxa"/>
            <w:vAlign w:val="bottom"/>
            <w:shd w:val="clear" w:color="auto" w:fill="BFBFBF"/>
          </w:tcPr>
          <w:p>
            <w:pPr>
              <w:spacing w:after="0"/>
              <w:rPr>
                <w:sz w:val="13"/>
                <w:szCs w:val="13"/>
                <w:color w:val="auto"/>
              </w:rPr>
            </w:pPr>
          </w:p>
        </w:tc>
        <w:tc>
          <w:tcPr>
            <w:tcW w:w="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c>
          <w:tcPr>
            <w:tcW w:w="240" w:type="dxa"/>
            <w:vAlign w:val="bottom"/>
            <w:shd w:val="clear" w:color="auto" w:fill="BFBFBF"/>
          </w:tcPr>
          <w:p>
            <w:pPr>
              <w:spacing w:after="0"/>
              <w:rPr>
                <w:sz w:val="13"/>
                <w:szCs w:val="13"/>
                <w:color w:val="auto"/>
              </w:rPr>
            </w:pPr>
          </w:p>
        </w:tc>
        <w:tc>
          <w:tcPr>
            <w:tcW w:w="1020" w:type="dxa"/>
            <w:vAlign w:val="bottom"/>
            <w:shd w:val="clear" w:color="auto" w:fill="BFBFBF"/>
          </w:tcPr>
          <w:p>
            <w:pPr>
              <w:spacing w:after="0"/>
              <w:rPr>
                <w:sz w:val="13"/>
                <w:szCs w:val="13"/>
                <w:color w:val="auto"/>
              </w:rPr>
            </w:pPr>
          </w:p>
        </w:tc>
      </w:tr>
      <w:tr>
        <w:trPr>
          <w:trHeight w:val="141"/>
        </w:trPr>
        <w:tc>
          <w:tcPr>
            <w:tcW w:w="1040" w:type="dxa"/>
            <w:vAlign w:val="bottom"/>
            <w:shd w:val="clear" w:color="auto" w:fill="BFBFBF"/>
          </w:tcPr>
          <w:p>
            <w:pPr>
              <w:ind w:left="20"/>
              <w:spacing w:after="0" w:line="141" w:lineRule="exact"/>
              <w:rPr>
                <w:sz w:val="20"/>
                <w:szCs w:val="20"/>
                <w:color w:val="auto"/>
              </w:rPr>
            </w:pPr>
            <w:r>
              <w:rPr>
                <w:rFonts w:ascii="Arial" w:cs="Arial" w:eastAsia="Arial" w:hAnsi="Arial"/>
                <w:sz w:val="13"/>
                <w:szCs w:val="13"/>
                <w:color w:val="auto"/>
              </w:rPr>
              <w:t>Vesting of</w:t>
            </w:r>
          </w:p>
        </w:tc>
        <w:tc>
          <w:tcPr>
            <w:tcW w:w="220" w:type="dxa"/>
            <w:vAlign w:val="bottom"/>
            <w:shd w:val="clear" w:color="auto" w:fill="BFBFBF"/>
          </w:tcPr>
          <w:p>
            <w:pPr>
              <w:spacing w:after="0"/>
              <w:rPr>
                <w:sz w:val="12"/>
                <w:szCs w:val="12"/>
                <w:color w:val="auto"/>
              </w:rPr>
            </w:pPr>
          </w:p>
        </w:tc>
        <w:tc>
          <w:tcPr>
            <w:tcW w:w="1000" w:type="dxa"/>
            <w:vAlign w:val="bottom"/>
            <w:shd w:val="clear" w:color="auto" w:fill="BFBFBF"/>
          </w:tcPr>
          <w:p>
            <w:pPr>
              <w:spacing w:after="0"/>
              <w:rPr>
                <w:sz w:val="12"/>
                <w:szCs w:val="12"/>
                <w:color w:val="auto"/>
              </w:rPr>
            </w:pPr>
          </w:p>
        </w:tc>
        <w:tc>
          <w:tcPr>
            <w:tcW w:w="20" w:type="dxa"/>
            <w:vAlign w:val="bottom"/>
            <w:shd w:val="clear" w:color="auto" w:fill="BFBFBF"/>
          </w:tcPr>
          <w:p>
            <w:pPr>
              <w:spacing w:after="0"/>
              <w:rPr>
                <w:sz w:val="12"/>
                <w:szCs w:val="12"/>
                <w:color w:val="auto"/>
              </w:rPr>
            </w:pPr>
          </w:p>
        </w:tc>
        <w:tc>
          <w:tcPr>
            <w:tcW w:w="240" w:type="dxa"/>
            <w:vAlign w:val="bottom"/>
            <w:shd w:val="clear" w:color="auto" w:fill="BFBFBF"/>
          </w:tcPr>
          <w:p>
            <w:pPr>
              <w:spacing w:after="0"/>
              <w:rPr>
                <w:sz w:val="12"/>
                <w:szCs w:val="12"/>
                <w:color w:val="auto"/>
              </w:rPr>
            </w:pPr>
          </w:p>
        </w:tc>
        <w:tc>
          <w:tcPr>
            <w:tcW w:w="1020" w:type="dxa"/>
            <w:vAlign w:val="bottom"/>
            <w:shd w:val="clear" w:color="auto" w:fill="BFBFBF"/>
          </w:tcPr>
          <w:p>
            <w:pPr>
              <w:spacing w:after="0"/>
              <w:rPr>
                <w:sz w:val="12"/>
                <w:szCs w:val="12"/>
                <w:color w:val="auto"/>
              </w:rPr>
            </w:pPr>
          </w:p>
        </w:tc>
        <w:tc>
          <w:tcPr>
            <w:tcW w:w="240" w:type="dxa"/>
            <w:vAlign w:val="bottom"/>
            <w:shd w:val="clear" w:color="auto" w:fill="BFBFBF"/>
          </w:tcPr>
          <w:p>
            <w:pPr>
              <w:spacing w:after="0"/>
              <w:rPr>
                <w:sz w:val="12"/>
                <w:szCs w:val="12"/>
                <w:color w:val="auto"/>
              </w:rPr>
            </w:pPr>
          </w:p>
        </w:tc>
        <w:tc>
          <w:tcPr>
            <w:tcW w:w="1020" w:type="dxa"/>
            <w:vAlign w:val="bottom"/>
            <w:shd w:val="clear" w:color="auto" w:fill="BFBFBF"/>
          </w:tcPr>
          <w:p>
            <w:pPr>
              <w:spacing w:after="0"/>
              <w:rPr>
                <w:sz w:val="12"/>
                <w:szCs w:val="12"/>
                <w:color w:val="auto"/>
              </w:rPr>
            </w:pPr>
          </w:p>
        </w:tc>
        <w:tc>
          <w:tcPr>
            <w:tcW w:w="240" w:type="dxa"/>
            <w:vAlign w:val="bottom"/>
            <w:shd w:val="clear" w:color="auto" w:fill="BFBFBF"/>
          </w:tcPr>
          <w:p>
            <w:pPr>
              <w:spacing w:after="0"/>
              <w:rPr>
                <w:sz w:val="12"/>
                <w:szCs w:val="12"/>
                <w:color w:val="auto"/>
              </w:rPr>
            </w:pPr>
          </w:p>
        </w:tc>
        <w:tc>
          <w:tcPr>
            <w:tcW w:w="1020" w:type="dxa"/>
            <w:vAlign w:val="bottom"/>
            <w:shd w:val="clear" w:color="auto" w:fill="BFBFBF"/>
          </w:tcPr>
          <w:p>
            <w:pPr>
              <w:spacing w:after="0"/>
              <w:rPr>
                <w:sz w:val="12"/>
                <w:szCs w:val="12"/>
                <w:color w:val="auto"/>
              </w:rPr>
            </w:pPr>
          </w:p>
        </w:tc>
        <w:tc>
          <w:tcPr>
            <w:tcW w:w="240" w:type="dxa"/>
            <w:vAlign w:val="bottom"/>
            <w:shd w:val="clear" w:color="auto" w:fill="BFBFBF"/>
          </w:tcPr>
          <w:p>
            <w:pPr>
              <w:spacing w:after="0"/>
              <w:rPr>
                <w:sz w:val="12"/>
                <w:szCs w:val="12"/>
                <w:color w:val="auto"/>
              </w:rPr>
            </w:pPr>
          </w:p>
        </w:tc>
        <w:tc>
          <w:tcPr>
            <w:tcW w:w="1020" w:type="dxa"/>
            <w:vAlign w:val="bottom"/>
            <w:shd w:val="clear" w:color="auto" w:fill="BFBFBF"/>
          </w:tcPr>
          <w:p>
            <w:pPr>
              <w:spacing w:after="0"/>
              <w:rPr>
                <w:sz w:val="12"/>
                <w:szCs w:val="12"/>
                <w:color w:val="auto"/>
              </w:rPr>
            </w:pPr>
          </w:p>
        </w:tc>
        <w:tc>
          <w:tcPr>
            <w:tcW w:w="240" w:type="dxa"/>
            <w:vAlign w:val="bottom"/>
            <w:shd w:val="clear" w:color="auto" w:fill="BFBFBF"/>
          </w:tcPr>
          <w:p>
            <w:pPr>
              <w:spacing w:after="0"/>
              <w:rPr>
                <w:sz w:val="12"/>
                <w:szCs w:val="12"/>
                <w:color w:val="auto"/>
              </w:rPr>
            </w:pPr>
          </w:p>
        </w:tc>
        <w:tc>
          <w:tcPr>
            <w:tcW w:w="1020" w:type="dxa"/>
            <w:vAlign w:val="bottom"/>
            <w:shd w:val="clear" w:color="auto" w:fill="BFBFBF"/>
          </w:tcPr>
          <w:p>
            <w:pPr>
              <w:spacing w:after="0"/>
              <w:rPr>
                <w:sz w:val="12"/>
                <w:szCs w:val="12"/>
                <w:color w:val="auto"/>
              </w:rPr>
            </w:pPr>
          </w:p>
        </w:tc>
      </w:tr>
      <w:tr>
        <w:trPr>
          <w:trHeight w:val="176"/>
        </w:trPr>
        <w:tc>
          <w:tcPr>
            <w:tcW w:w="1040" w:type="dxa"/>
            <w:vAlign w:val="bottom"/>
            <w:shd w:val="clear" w:color="auto" w:fill="BFBFBF"/>
          </w:tcPr>
          <w:p>
            <w:pPr>
              <w:ind w:left="20"/>
              <w:spacing w:after="0" w:line="175" w:lineRule="exact"/>
              <w:rPr>
                <w:sz w:val="20"/>
                <w:szCs w:val="20"/>
                <w:color w:val="auto"/>
              </w:rPr>
            </w:pPr>
            <w:r>
              <w:rPr>
                <w:rFonts w:ascii="Arial" w:cs="Arial" w:eastAsia="Arial" w:hAnsi="Arial"/>
                <w:sz w:val="13"/>
                <w:szCs w:val="13"/>
                <w:color w:val="auto"/>
              </w:rPr>
              <w:t>PSUs</w:t>
            </w:r>
            <w:r>
              <w:rPr>
                <w:rFonts w:ascii="Arial" w:cs="Arial" w:eastAsia="Arial" w:hAnsi="Arial"/>
                <w:sz w:val="19"/>
                <w:szCs w:val="19"/>
                <w:color w:val="auto"/>
                <w:vertAlign w:val="superscript"/>
              </w:rPr>
              <w:t>(1)</w:t>
            </w:r>
          </w:p>
        </w:tc>
        <w:tc>
          <w:tcPr>
            <w:tcW w:w="1220" w:type="dxa"/>
            <w:vAlign w:val="bottom"/>
            <w:gridSpan w:val="2"/>
            <w:shd w:val="clear" w:color="auto" w:fill="BFBFBF"/>
          </w:tcPr>
          <w:p>
            <w:pPr>
              <w:jc w:val="center"/>
              <w:ind w:left="194"/>
              <w:spacing w:after="0"/>
              <w:rPr>
                <w:sz w:val="20"/>
                <w:szCs w:val="20"/>
                <w:color w:val="auto"/>
              </w:rPr>
            </w:pPr>
            <w:r>
              <w:rPr>
                <w:rFonts w:ascii="Arial" w:cs="Arial" w:eastAsia="Arial" w:hAnsi="Arial"/>
                <w:sz w:val="13"/>
                <w:szCs w:val="13"/>
                <w:color w:val="auto"/>
              </w:rPr>
              <w:t>$39,294</w:t>
            </w:r>
          </w:p>
        </w:tc>
        <w:tc>
          <w:tcPr>
            <w:tcW w:w="20" w:type="dxa"/>
            <w:vAlign w:val="bottom"/>
            <w:shd w:val="clear" w:color="auto" w:fill="BFBFBF"/>
          </w:tcPr>
          <w:p>
            <w:pPr>
              <w:spacing w:after="0"/>
              <w:rPr>
                <w:sz w:val="15"/>
                <w:szCs w:val="15"/>
                <w:color w:val="auto"/>
              </w:rPr>
            </w:pPr>
          </w:p>
        </w:tc>
        <w:tc>
          <w:tcPr>
            <w:tcW w:w="1260" w:type="dxa"/>
            <w:vAlign w:val="bottom"/>
            <w:gridSpan w:val="2"/>
            <w:shd w:val="clear" w:color="auto" w:fill="BFBFBF"/>
          </w:tcPr>
          <w:p>
            <w:pPr>
              <w:jc w:val="center"/>
              <w:ind w:left="194"/>
              <w:spacing w:after="0"/>
              <w:rPr>
                <w:sz w:val="20"/>
                <w:szCs w:val="20"/>
                <w:color w:val="auto"/>
              </w:rPr>
            </w:pPr>
            <w:r>
              <w:rPr>
                <w:rFonts w:ascii="Arial" w:cs="Arial" w:eastAsia="Arial" w:hAnsi="Arial"/>
                <w:sz w:val="13"/>
                <w:szCs w:val="13"/>
                <w:color w:val="auto"/>
              </w:rPr>
              <w:t>$39,294</w:t>
            </w:r>
          </w:p>
        </w:tc>
        <w:tc>
          <w:tcPr>
            <w:tcW w:w="1260" w:type="dxa"/>
            <w:vAlign w:val="bottom"/>
            <w:gridSpan w:val="2"/>
            <w:shd w:val="clear" w:color="auto" w:fill="BFBFBF"/>
          </w:tcPr>
          <w:p>
            <w:pPr>
              <w:jc w:val="center"/>
              <w:ind w:left="194"/>
              <w:spacing w:after="0"/>
              <w:rPr>
                <w:sz w:val="20"/>
                <w:szCs w:val="20"/>
                <w:color w:val="auto"/>
              </w:rPr>
            </w:pPr>
            <w:r>
              <w:rPr>
                <w:rFonts w:ascii="Arial" w:cs="Arial" w:eastAsia="Arial" w:hAnsi="Arial"/>
                <w:sz w:val="13"/>
                <w:szCs w:val="13"/>
                <w:color w:val="auto"/>
              </w:rPr>
              <w:t>$0</w:t>
            </w:r>
          </w:p>
        </w:tc>
        <w:tc>
          <w:tcPr>
            <w:tcW w:w="1260" w:type="dxa"/>
            <w:vAlign w:val="bottom"/>
            <w:gridSpan w:val="2"/>
            <w:shd w:val="clear" w:color="auto" w:fill="BFBFBF"/>
          </w:tcPr>
          <w:p>
            <w:pPr>
              <w:jc w:val="center"/>
              <w:ind w:left="174"/>
              <w:spacing w:after="0"/>
              <w:rPr>
                <w:sz w:val="20"/>
                <w:szCs w:val="20"/>
                <w:color w:val="auto"/>
              </w:rPr>
            </w:pPr>
            <w:r>
              <w:rPr>
                <w:rFonts w:ascii="Arial" w:cs="Arial" w:eastAsia="Arial" w:hAnsi="Arial"/>
                <w:sz w:val="13"/>
                <w:szCs w:val="13"/>
                <w:color w:val="auto"/>
                <w:w w:val="96"/>
              </w:rPr>
              <w:t>$0</w:t>
            </w:r>
          </w:p>
        </w:tc>
        <w:tc>
          <w:tcPr>
            <w:tcW w:w="1260" w:type="dxa"/>
            <w:vAlign w:val="bottom"/>
            <w:gridSpan w:val="2"/>
            <w:shd w:val="clear" w:color="auto" w:fill="BFBFBF"/>
          </w:tcPr>
          <w:p>
            <w:pPr>
              <w:jc w:val="center"/>
              <w:ind w:left="174"/>
              <w:spacing w:after="0"/>
              <w:rPr>
                <w:sz w:val="20"/>
                <w:szCs w:val="20"/>
                <w:color w:val="auto"/>
              </w:rPr>
            </w:pPr>
            <w:r>
              <w:rPr>
                <w:rFonts w:ascii="Arial" w:cs="Arial" w:eastAsia="Arial" w:hAnsi="Arial"/>
                <w:sz w:val="13"/>
                <w:szCs w:val="13"/>
                <w:color w:val="auto"/>
                <w:w w:val="99"/>
              </w:rPr>
              <w:t>$134,041</w:t>
            </w:r>
          </w:p>
        </w:tc>
        <w:tc>
          <w:tcPr>
            <w:tcW w:w="1260" w:type="dxa"/>
            <w:vAlign w:val="bottom"/>
            <w:gridSpan w:val="2"/>
            <w:shd w:val="clear" w:color="auto" w:fill="BFBFBF"/>
          </w:tcPr>
          <w:p>
            <w:pPr>
              <w:jc w:val="center"/>
              <w:ind w:left="174"/>
              <w:spacing w:after="0"/>
              <w:rPr>
                <w:sz w:val="20"/>
                <w:szCs w:val="20"/>
                <w:color w:val="auto"/>
              </w:rPr>
            </w:pPr>
            <w:r>
              <w:rPr>
                <w:rFonts w:ascii="Arial" w:cs="Arial" w:eastAsia="Arial" w:hAnsi="Arial"/>
                <w:sz w:val="13"/>
                <w:szCs w:val="13"/>
                <w:color w:val="auto"/>
                <w:w w:val="99"/>
              </w:rPr>
              <w:t>$134,041</w:t>
            </w:r>
          </w:p>
        </w:tc>
      </w:tr>
      <w:tr>
        <w:trPr>
          <w:trHeight w:val="161"/>
        </w:trPr>
        <w:tc>
          <w:tcPr>
            <w:tcW w:w="1040" w:type="dxa"/>
            <w:vAlign w:val="bottom"/>
          </w:tcPr>
          <w:p>
            <w:pPr>
              <w:ind w:left="140"/>
              <w:spacing w:after="0"/>
              <w:rPr>
                <w:sz w:val="20"/>
                <w:szCs w:val="20"/>
                <w:color w:val="auto"/>
              </w:rPr>
            </w:pPr>
            <w:r>
              <w:rPr>
                <w:rFonts w:ascii="Arial" w:cs="Arial" w:eastAsia="Arial" w:hAnsi="Arial"/>
                <w:sz w:val="13"/>
                <w:szCs w:val="13"/>
                <w:color w:val="auto"/>
              </w:rPr>
              <w:t>Total</w:t>
            </w:r>
          </w:p>
        </w:tc>
        <w:tc>
          <w:tcPr>
            <w:tcW w:w="1220" w:type="dxa"/>
            <w:vAlign w:val="bottom"/>
            <w:gridSpan w:val="2"/>
          </w:tcPr>
          <w:p>
            <w:pPr>
              <w:jc w:val="center"/>
              <w:ind w:left="194"/>
              <w:spacing w:after="0"/>
              <w:rPr>
                <w:sz w:val="20"/>
                <w:szCs w:val="20"/>
                <w:color w:val="auto"/>
              </w:rPr>
            </w:pPr>
            <w:r>
              <w:rPr>
                <w:rFonts w:ascii="Arial" w:cs="Arial" w:eastAsia="Arial" w:hAnsi="Arial"/>
                <w:sz w:val="13"/>
                <w:szCs w:val="13"/>
                <w:color w:val="auto"/>
              </w:rPr>
              <w:t>$205,306</w:t>
            </w:r>
          </w:p>
        </w:tc>
        <w:tc>
          <w:tcPr>
            <w:tcW w:w="20" w:type="dxa"/>
            <w:vAlign w:val="bottom"/>
          </w:tcPr>
          <w:p>
            <w:pPr>
              <w:spacing w:after="0"/>
              <w:rPr>
                <w:sz w:val="14"/>
                <w:szCs w:val="14"/>
                <w:color w:val="auto"/>
              </w:rPr>
            </w:pPr>
          </w:p>
        </w:tc>
        <w:tc>
          <w:tcPr>
            <w:tcW w:w="1260" w:type="dxa"/>
            <w:vAlign w:val="bottom"/>
            <w:gridSpan w:val="2"/>
          </w:tcPr>
          <w:p>
            <w:pPr>
              <w:jc w:val="center"/>
              <w:ind w:left="194"/>
              <w:spacing w:after="0"/>
              <w:rPr>
                <w:sz w:val="20"/>
                <w:szCs w:val="20"/>
                <w:color w:val="auto"/>
              </w:rPr>
            </w:pPr>
            <w:r>
              <w:rPr>
                <w:rFonts w:ascii="Arial" w:cs="Arial" w:eastAsia="Arial" w:hAnsi="Arial"/>
                <w:sz w:val="13"/>
                <w:szCs w:val="13"/>
                <w:color w:val="auto"/>
              </w:rPr>
              <w:t>$555,306</w:t>
            </w:r>
          </w:p>
        </w:tc>
        <w:tc>
          <w:tcPr>
            <w:tcW w:w="1260" w:type="dxa"/>
            <w:vAlign w:val="bottom"/>
            <w:gridSpan w:val="2"/>
          </w:tcPr>
          <w:p>
            <w:pPr>
              <w:jc w:val="center"/>
              <w:ind w:left="194"/>
              <w:spacing w:after="0"/>
              <w:rPr>
                <w:sz w:val="20"/>
                <w:szCs w:val="20"/>
                <w:color w:val="auto"/>
              </w:rPr>
            </w:pPr>
            <w:r>
              <w:rPr>
                <w:rFonts w:ascii="Arial" w:cs="Arial" w:eastAsia="Arial" w:hAnsi="Arial"/>
                <w:sz w:val="13"/>
                <w:szCs w:val="13"/>
                <w:color w:val="auto"/>
              </w:rPr>
              <w:t>$0</w:t>
            </w:r>
          </w:p>
        </w:tc>
        <w:tc>
          <w:tcPr>
            <w:tcW w:w="1260" w:type="dxa"/>
            <w:vAlign w:val="bottom"/>
            <w:gridSpan w:val="2"/>
          </w:tcPr>
          <w:p>
            <w:pPr>
              <w:jc w:val="center"/>
              <w:ind w:left="174"/>
              <w:spacing w:after="0"/>
              <w:rPr>
                <w:sz w:val="20"/>
                <w:szCs w:val="20"/>
                <w:color w:val="auto"/>
              </w:rPr>
            </w:pPr>
            <w:r>
              <w:rPr>
                <w:rFonts w:ascii="Arial" w:cs="Arial" w:eastAsia="Arial" w:hAnsi="Arial"/>
                <w:sz w:val="13"/>
                <w:szCs w:val="13"/>
                <w:color w:val="auto"/>
                <w:w w:val="96"/>
              </w:rPr>
              <w:t>$0</w:t>
            </w:r>
          </w:p>
        </w:tc>
        <w:tc>
          <w:tcPr>
            <w:tcW w:w="1260" w:type="dxa"/>
            <w:vAlign w:val="bottom"/>
            <w:gridSpan w:val="2"/>
          </w:tcPr>
          <w:p>
            <w:pPr>
              <w:jc w:val="center"/>
              <w:ind w:left="174"/>
              <w:spacing w:after="0"/>
              <w:rPr>
                <w:sz w:val="20"/>
                <w:szCs w:val="20"/>
                <w:color w:val="auto"/>
              </w:rPr>
            </w:pPr>
            <w:r>
              <w:rPr>
                <w:rFonts w:ascii="Arial" w:cs="Arial" w:eastAsia="Arial" w:hAnsi="Arial"/>
                <w:sz w:val="13"/>
                <w:szCs w:val="13"/>
                <w:color w:val="auto"/>
                <w:w w:val="99"/>
              </w:rPr>
              <w:t>$779,462</w:t>
            </w:r>
          </w:p>
        </w:tc>
        <w:tc>
          <w:tcPr>
            <w:tcW w:w="1260" w:type="dxa"/>
            <w:vAlign w:val="bottom"/>
            <w:gridSpan w:val="2"/>
          </w:tcPr>
          <w:p>
            <w:pPr>
              <w:jc w:val="center"/>
              <w:ind w:left="174"/>
              <w:spacing w:after="0"/>
              <w:rPr>
                <w:sz w:val="20"/>
                <w:szCs w:val="20"/>
                <w:color w:val="auto"/>
              </w:rPr>
            </w:pPr>
            <w:r>
              <w:rPr>
                <w:rFonts w:ascii="Arial" w:cs="Arial" w:eastAsia="Arial" w:hAnsi="Arial"/>
                <w:sz w:val="13"/>
                <w:szCs w:val="13"/>
                <w:color w:val="auto"/>
                <w:w w:val="99"/>
              </w:rPr>
              <w:t>$429,462</w:t>
            </w:r>
          </w:p>
        </w:tc>
      </w:tr>
      <w:tr>
        <w:trPr>
          <w:trHeight w:val="85"/>
        </w:trPr>
        <w:tc>
          <w:tcPr>
            <w:tcW w:w="10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r>
    </w:tbl>
    <w:p>
      <w:pPr>
        <w:spacing w:after="0" w:line="200" w:lineRule="exact"/>
        <w:rPr>
          <w:sz w:val="20"/>
          <w:szCs w:val="20"/>
          <w:color w:val="auto"/>
        </w:rPr>
      </w:pPr>
    </w:p>
    <w:p>
      <w:pPr>
        <w:ind w:left="1860" w:hanging="490"/>
        <w:spacing w:after="0" w:line="253" w:lineRule="auto"/>
        <w:tabs>
          <w:tab w:leader="none" w:pos="18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value of the accelerated vesting of restricted stock and PSUs is based on the closing price of our common stock as reported on NASDAQ on December 29, 2017 (the last trading day of 2017), which was $17.79.</w:t>
      </w:r>
    </w:p>
    <w:p>
      <w:pPr>
        <w:spacing w:after="0" w:line="179" w:lineRule="exact"/>
        <w:rPr>
          <w:rFonts w:ascii="Arial" w:cs="Arial" w:eastAsia="Arial" w:hAnsi="Arial"/>
          <w:sz w:val="16"/>
          <w:szCs w:val="16"/>
          <w:color w:val="auto"/>
        </w:rPr>
      </w:pPr>
    </w:p>
    <w:p>
      <w:pPr>
        <w:ind w:left="1860" w:right="200" w:hanging="490"/>
        <w:spacing w:after="0" w:line="245" w:lineRule="auto"/>
        <w:tabs>
          <w:tab w:leader="none" w:pos="18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This amount assumes the Compensation Committee elected to accelerate vesting at the target level on a pro-rated basis as of December 31, 2017. Holders of PSUs also accrue a dividend equivalent for dividends declared on the Company's common stock during the life of the award that is paid in cash when underlying PSUs vest, and this amount includes a cash amount equal to the accrued dividends payable upon the vesting of the underlying PSUs.</w:t>
      </w:r>
    </w:p>
    <w:p>
      <w:pPr>
        <w:spacing w:after="0" w:line="18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180"/>
          </w:cols>
          <w:pgMar w:left="240" w:top="142" w:right="47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350" w:lineRule="exact"/>
        <w:rPr>
          <w:sz w:val="20"/>
          <w:szCs w:val="20"/>
          <w:color w:val="auto"/>
        </w:rPr>
      </w:pPr>
    </w:p>
    <w:p>
      <w:pPr>
        <w:ind w:left="4840"/>
        <w:spacing w:after="0"/>
        <w:rPr>
          <w:sz w:val="20"/>
          <w:szCs w:val="20"/>
          <w:color w:val="auto"/>
        </w:rPr>
      </w:pPr>
      <w:r>
        <w:rPr>
          <w:rFonts w:ascii="Arial" w:cs="Arial" w:eastAsia="Arial" w:hAnsi="Arial"/>
          <w:sz w:val="20"/>
          <w:szCs w:val="20"/>
          <w:b w:val="1"/>
          <w:bCs w:val="1"/>
          <w:color w:val="00ACD2"/>
        </w:rPr>
        <w:t>PROPOSAL NO. 2</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00ACD2"/>
        </w:rPr>
        <w:t>Advisory Vote to Approve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5868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9" w:lineRule="exact"/>
        <w:rPr>
          <w:sz w:val="20"/>
          <w:szCs w:val="20"/>
          <w:color w:val="auto"/>
        </w:rPr>
      </w:pPr>
    </w:p>
    <w:p>
      <w:pPr>
        <w:ind w:right="80" w:firstLine="624"/>
        <w:spacing w:after="0" w:line="244" w:lineRule="auto"/>
        <w:rPr>
          <w:sz w:val="20"/>
          <w:szCs w:val="20"/>
          <w:color w:val="auto"/>
        </w:rPr>
      </w:pPr>
      <w:r>
        <w:rPr>
          <w:rFonts w:ascii="Arial" w:cs="Arial" w:eastAsia="Arial" w:hAnsi="Arial"/>
          <w:sz w:val="16"/>
          <w:szCs w:val="16"/>
          <w:color w:val="auto"/>
        </w:rPr>
        <w:t>In accordance with Section 14A of the Securities Exchange Act of 1934 (the "Exchange Act"), the Company requests that our stockholders cast a non-binding, advisory vote to approve the compensation of the Company's NEOs identified in the section titled "Executive Compensation" set forth above in this Proxy Statement. This proposal, commonly known as a "say-on-pay" proposal, gives our stockholders the opportunity to express their views on our NEOs' compensation. This vote is not intended to address any specific item of compensation, but rather the overall compensation of our NEOs and the philosophy, policies and practices described in this Proxy Statement. Accordingly, we ask our stockholders to vote "</w:t>
      </w:r>
      <w:r>
        <w:rPr>
          <w:rFonts w:ascii="Arial" w:cs="Arial" w:eastAsia="Arial" w:hAnsi="Arial"/>
          <w:sz w:val="16"/>
          <w:szCs w:val="16"/>
          <w:b w:val="1"/>
          <w:bCs w:val="1"/>
          <w:color w:val="auto"/>
        </w:rPr>
        <w:t>FOR</w:t>
      </w:r>
      <w:r>
        <w:rPr>
          <w:rFonts w:ascii="Arial" w:cs="Arial" w:eastAsia="Arial" w:hAnsi="Arial"/>
          <w:sz w:val="16"/>
          <w:szCs w:val="16"/>
          <w:color w:val="auto"/>
        </w:rPr>
        <w:t>" the following resolution at the Annual Meeting:</w:t>
      </w:r>
    </w:p>
    <w:p>
      <w:pPr>
        <w:spacing w:after="0" w:line="167" w:lineRule="exact"/>
        <w:rPr>
          <w:sz w:val="20"/>
          <w:szCs w:val="20"/>
          <w:color w:val="auto"/>
        </w:rPr>
      </w:pPr>
    </w:p>
    <w:p>
      <w:pPr>
        <w:ind w:left="980" w:right="40"/>
        <w:spacing w:after="0" w:line="26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that the Company's stockholders hereby approve the compensation of the Company's NEOs, as disclosed in this Proxy Statement pursuant to the compensation disclosure rules of the SEC, including the Compensation Discussion &amp; Analysis, the Summary Compensation Table and the other related tables and disclosures."</w:t>
      </w:r>
    </w:p>
    <w:p>
      <w:pPr>
        <w:spacing w:after="0" w:line="174" w:lineRule="exact"/>
        <w:rPr>
          <w:sz w:val="20"/>
          <w:szCs w:val="20"/>
          <w:color w:val="auto"/>
        </w:rPr>
      </w:pPr>
    </w:p>
    <w:p>
      <w:pPr>
        <w:ind w:firstLine="624"/>
        <w:spacing w:after="0" w:line="245" w:lineRule="auto"/>
        <w:rPr>
          <w:sz w:val="20"/>
          <w:szCs w:val="20"/>
          <w:color w:val="auto"/>
        </w:rPr>
      </w:pPr>
      <w:r>
        <w:rPr>
          <w:rFonts w:ascii="Arial" w:cs="Arial" w:eastAsia="Arial" w:hAnsi="Arial"/>
          <w:sz w:val="16"/>
          <w:szCs w:val="16"/>
          <w:color w:val="auto"/>
        </w:rPr>
        <w:t>Details concerning how we implement our compensation philosophy and structure our compensation programs to meet the objectives of our compensation program are provided in the section titled "Compensation Discussion &amp; Analysis" set forth above in this Proxy Statement. In particular, we discuss how we design performance-based compensation programs and set compensation targets and other objectives to maintain a close correlation between executive pay and Company performance.</w:t>
      </w:r>
    </w:p>
    <w:p>
      <w:pPr>
        <w:spacing w:after="0" w:line="186" w:lineRule="exact"/>
        <w:rPr>
          <w:sz w:val="20"/>
          <w:szCs w:val="20"/>
          <w:color w:val="auto"/>
        </w:rPr>
      </w:pPr>
    </w:p>
    <w:p>
      <w:pPr>
        <w:ind w:right="100" w:firstLine="621"/>
        <w:spacing w:after="0" w:line="245" w:lineRule="auto"/>
        <w:rPr>
          <w:sz w:val="20"/>
          <w:szCs w:val="20"/>
          <w:color w:val="auto"/>
        </w:rPr>
      </w:pPr>
      <w:r>
        <w:rPr>
          <w:rFonts w:ascii="Arial" w:cs="Arial" w:eastAsia="Arial" w:hAnsi="Arial"/>
          <w:sz w:val="16"/>
          <w:szCs w:val="16"/>
          <w:color w:val="auto"/>
        </w:rPr>
        <w:t>This vote is merely advisory and will not be binding upon the Company, the Board or the Compensation Committee, nor will it create or imply any change in the fiduciary duties of the Board or the Compensation Committee. The Compensation Committee will, however, take into account the outcome of the vote when considering future executive compensation decisions. The Board values constructive dialogue on executive compensation and other significant governance topics with the Company's stockholders and encourages all stockholders to vote their shares on this important matter.</w:t>
      </w:r>
    </w:p>
    <w:p>
      <w:pPr>
        <w:spacing w:after="0" w:line="186" w:lineRule="exact"/>
        <w:rPr>
          <w:sz w:val="20"/>
          <w:szCs w:val="20"/>
          <w:color w:val="auto"/>
        </w:rPr>
      </w:pPr>
    </w:p>
    <w:p>
      <w:pPr>
        <w:ind w:right="300" w:firstLine="621"/>
        <w:spacing w:after="0" w:line="253" w:lineRule="auto"/>
        <w:rPr>
          <w:sz w:val="20"/>
          <w:szCs w:val="20"/>
          <w:color w:val="auto"/>
        </w:rPr>
      </w:pPr>
      <w:r>
        <w:rPr>
          <w:rFonts w:ascii="Arial" w:cs="Arial" w:eastAsia="Arial" w:hAnsi="Arial"/>
          <w:sz w:val="16"/>
          <w:szCs w:val="16"/>
          <w:color w:val="auto"/>
        </w:rPr>
        <w:t>The Company's current policy is to provide stockholders with an opportunity to approve the compensation of the Company's NEOs each year at the annual meeting of stockholders. Accordingly, the next such vote is expected to occur at the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111760</wp:posOffset>
            </wp:positionV>
            <wp:extent cx="5355590" cy="1417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355590" cy="1417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350" w:lineRule="exact"/>
        <w:rPr>
          <w:sz w:val="20"/>
          <w:szCs w:val="20"/>
          <w:color w:val="auto"/>
        </w:rPr>
      </w:pPr>
    </w:p>
    <w:p>
      <w:pPr>
        <w:ind w:left="4840"/>
        <w:spacing w:after="0"/>
        <w:rPr>
          <w:sz w:val="20"/>
          <w:szCs w:val="20"/>
          <w:color w:val="auto"/>
        </w:rPr>
      </w:pPr>
      <w:r>
        <w:rPr>
          <w:rFonts w:ascii="Arial" w:cs="Arial" w:eastAsia="Arial" w:hAnsi="Arial"/>
          <w:sz w:val="20"/>
          <w:szCs w:val="20"/>
          <w:b w:val="1"/>
          <w:bCs w:val="1"/>
          <w:color w:val="00ACD2"/>
        </w:rPr>
        <w:t>PROPOSAL NO. 3</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00ACD2"/>
        </w:rPr>
        <w:t>Approval of the Uniti Group Inc.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5868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9" w:lineRule="exact"/>
        <w:rPr>
          <w:sz w:val="20"/>
          <w:szCs w:val="20"/>
          <w:color w:val="auto"/>
        </w:rPr>
      </w:pPr>
    </w:p>
    <w:p>
      <w:pPr>
        <w:ind w:right="160" w:firstLine="624"/>
        <w:spacing w:after="0" w:line="247" w:lineRule="auto"/>
        <w:rPr>
          <w:sz w:val="20"/>
          <w:szCs w:val="20"/>
          <w:color w:val="auto"/>
        </w:rPr>
      </w:pPr>
      <w:r>
        <w:rPr>
          <w:rFonts w:ascii="Arial" w:cs="Arial" w:eastAsia="Arial" w:hAnsi="Arial"/>
          <w:sz w:val="16"/>
          <w:szCs w:val="16"/>
          <w:color w:val="auto"/>
        </w:rPr>
        <w:t>On February 7, 2018, the Board of Directors adopted, subject to the approval of our stockholders, the Uniti Group Inc. Employee Stock Purchase Plan (the "ESPP"). Stockholder approval is being sought in order for the ESPP to meet the requirements of Section 423 of the Internal Revenue Code of 1986, as amended (the "Code").</w:t>
      </w:r>
    </w:p>
    <w:p>
      <w:pPr>
        <w:spacing w:after="0" w:line="184" w:lineRule="exact"/>
        <w:rPr>
          <w:sz w:val="20"/>
          <w:szCs w:val="20"/>
          <w:color w:val="auto"/>
        </w:rPr>
      </w:pPr>
    </w:p>
    <w:p>
      <w:pPr>
        <w:ind w:right="240" w:firstLine="624"/>
        <w:spacing w:after="0" w:line="253" w:lineRule="auto"/>
        <w:rPr>
          <w:sz w:val="20"/>
          <w:szCs w:val="20"/>
          <w:color w:val="auto"/>
        </w:rPr>
      </w:pPr>
      <w:r>
        <w:rPr>
          <w:rFonts w:ascii="Arial" w:cs="Arial" w:eastAsia="Arial" w:hAnsi="Arial"/>
          <w:sz w:val="16"/>
          <w:szCs w:val="16"/>
          <w:color w:val="auto"/>
        </w:rPr>
        <w:t>Our Board believes that the approval of the ESPP by our stockholders will benefit us by providing employees with an opportunity to acquire shares of our common stock and enabling us to attract, retain and motivate employees.</w:t>
      </w:r>
    </w:p>
    <w:p>
      <w:pPr>
        <w:spacing w:after="0" w:line="179" w:lineRule="exact"/>
        <w:rPr>
          <w:sz w:val="20"/>
          <w:szCs w:val="20"/>
          <w:color w:val="auto"/>
        </w:rPr>
      </w:pPr>
    </w:p>
    <w:p>
      <w:pPr>
        <w:ind w:right="560" w:firstLine="624"/>
        <w:spacing w:after="0" w:line="253" w:lineRule="auto"/>
        <w:rPr>
          <w:sz w:val="20"/>
          <w:szCs w:val="20"/>
          <w:color w:val="auto"/>
        </w:rPr>
      </w:pPr>
      <w:r>
        <w:rPr>
          <w:rFonts w:ascii="Arial" w:cs="Arial" w:eastAsia="Arial" w:hAnsi="Arial"/>
          <w:sz w:val="16"/>
          <w:szCs w:val="16"/>
          <w:color w:val="auto"/>
        </w:rPr>
        <w:t>If approved by our stockholders, the ESPP will become effective on July 1, 2018. If the stockholders do not approve the ESPP, the ESPP will not become effective and no employee will be eligible to participate in the ESPP.</w:t>
      </w:r>
    </w:p>
    <w:p>
      <w:pPr>
        <w:spacing w:after="0" w:line="179" w:lineRule="exact"/>
        <w:rPr>
          <w:sz w:val="20"/>
          <w:szCs w:val="20"/>
          <w:color w:val="auto"/>
        </w:rPr>
      </w:pPr>
    </w:p>
    <w:p>
      <w:pPr>
        <w:ind w:right="320" w:firstLine="624"/>
        <w:spacing w:after="0" w:line="253" w:lineRule="auto"/>
        <w:rPr>
          <w:sz w:val="20"/>
          <w:szCs w:val="20"/>
          <w:color w:val="auto"/>
        </w:rPr>
      </w:pPr>
      <w:r>
        <w:rPr>
          <w:rFonts w:ascii="Arial" w:cs="Arial" w:eastAsia="Arial" w:hAnsi="Arial"/>
          <w:sz w:val="16"/>
          <w:szCs w:val="16"/>
          <w:color w:val="auto"/>
        </w:rPr>
        <w:t>Based solely on the closing price of our common stock reported on the NASDAQ Global Select Market on March 23, 2018, the maximum aggregate market value of the 2,000,000 shares of common stock that could potentially be issued under the ESPP is $32,700,000.</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00ACD2"/>
        </w:rPr>
        <w:t>Summary of the Material Provisions of the ESPP</w:t>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description of certain provisions of the ESPP is qualified in its entirety by reference to the text of the ESPP, which is attached as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to this Proxy Statement and is incorporated by reference herein. It is our intention that the ESPP qualify as an "employee stock purchase plan" under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Section 423 of the Code.</w:t>
      </w:r>
    </w:p>
    <w:p>
      <w:pPr>
        <w:spacing w:after="0" w:line="367" w:lineRule="exact"/>
        <w:rPr>
          <w:sz w:val="20"/>
          <w:szCs w:val="20"/>
          <w:color w:val="auto"/>
        </w:rPr>
      </w:pPr>
    </w:p>
    <w:p>
      <w:pPr>
        <w:ind w:right="340" w:firstLine="624"/>
        <w:spacing w:after="0" w:line="274" w:lineRule="auto"/>
        <w:rPr>
          <w:sz w:val="20"/>
          <w:szCs w:val="20"/>
          <w:color w:val="auto"/>
        </w:rPr>
      </w:pPr>
      <w:r>
        <w:rPr>
          <w:rFonts w:ascii="Arial" w:cs="Arial" w:eastAsia="Arial" w:hAnsi="Arial"/>
          <w:sz w:val="16"/>
          <w:szCs w:val="16"/>
          <w:i w:val="1"/>
          <w:iCs w:val="1"/>
          <w:color w:val="auto"/>
        </w:rPr>
        <w:t xml:space="preserve">Shares Subject to the Plan. </w:t>
      </w:r>
      <w:r>
        <w:rPr>
          <w:rFonts w:ascii="Arial" w:cs="Arial" w:eastAsia="Arial" w:hAnsi="Arial"/>
          <w:sz w:val="16"/>
          <w:szCs w:val="16"/>
          <w:color w:val="auto"/>
        </w:rPr>
        <w:t>An aggregate of 2,000,000 shares will be reserved and available for issuance under the ESPP. If our capital 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because of a stock dividend, stock split or similar event, the number of shares that can be issued under the ESPP will be appropriately adjusted.</w:t>
      </w:r>
    </w:p>
    <w:p>
      <w:pPr>
        <w:spacing w:after="0" w:line="332" w:lineRule="exact"/>
        <w:rPr>
          <w:sz w:val="20"/>
          <w:szCs w:val="20"/>
          <w:color w:val="auto"/>
        </w:rPr>
      </w:pPr>
    </w:p>
    <w:p>
      <w:pPr>
        <w:ind w:right="100" w:firstLine="624"/>
        <w:spacing w:after="0" w:line="274" w:lineRule="auto"/>
        <w:rPr>
          <w:sz w:val="20"/>
          <w:szCs w:val="20"/>
          <w:color w:val="auto"/>
        </w:rPr>
      </w:pPr>
      <w:r>
        <w:rPr>
          <w:rFonts w:ascii="Arial" w:cs="Arial" w:eastAsia="Arial" w:hAnsi="Arial"/>
          <w:sz w:val="16"/>
          <w:szCs w:val="16"/>
          <w:i w:val="1"/>
          <w:iCs w:val="1"/>
          <w:color w:val="auto"/>
        </w:rPr>
        <w:t xml:space="preserve">Plan Administration. </w:t>
      </w:r>
      <w:r>
        <w:rPr>
          <w:rFonts w:ascii="Arial" w:cs="Arial" w:eastAsia="Arial" w:hAnsi="Arial"/>
          <w:sz w:val="16"/>
          <w:szCs w:val="16"/>
          <w:color w:val="auto"/>
        </w:rPr>
        <w:t>The ESPP will be administered by the Compensation Committee, which will have full authority to make, administer and interpret</w:t>
      </w:r>
      <w:r>
        <w:rPr>
          <w:rFonts w:ascii="Arial" w:cs="Arial" w:eastAsia="Arial" w:hAnsi="Arial"/>
          <w:sz w:val="16"/>
          <w:szCs w:val="16"/>
          <w:i w:val="1"/>
          <w:iCs w:val="1"/>
          <w:color w:val="auto"/>
        </w:rPr>
        <w:t xml:space="preserve"> </w:t>
      </w:r>
      <w:r>
        <w:rPr>
          <w:rFonts w:ascii="Arial" w:cs="Arial" w:eastAsia="Arial" w:hAnsi="Arial"/>
          <w:sz w:val="16"/>
          <w:szCs w:val="16"/>
          <w:color w:val="auto"/>
        </w:rPr>
        <w:t>such rules and regulations regarding the ESPP as it deems advisable.</w:t>
      </w:r>
    </w:p>
    <w:p>
      <w:pPr>
        <w:spacing w:after="0" w:line="332" w:lineRule="exact"/>
        <w:rPr>
          <w:sz w:val="20"/>
          <w:szCs w:val="20"/>
          <w:color w:val="auto"/>
        </w:rPr>
      </w:pPr>
    </w:p>
    <w:p>
      <w:pPr>
        <w:ind w:right="20" w:firstLine="624"/>
        <w:spacing w:after="0" w:line="249"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Any employee of the Company or its U.S. subsidiaries is eligible to participate in the ESPP so long as the employee is employed on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day of the applicable offering period. No person who owns or holds, or as a result of participation in the ESPP would own or hold, common stock or options to purchase common stock, that together equal to 5% or more of total outstanding common stock is entitled to participate in the ESPP. No employee may exercise an option granted under the ESPP that permits the employee to purchase common stock of the Company having a value of more than $25,000 (determined using the fair market value of the stock at the time such option is granted) in any calendar year.</w:t>
      </w:r>
    </w:p>
    <w:p>
      <w:pPr>
        <w:spacing w:after="0" w:line="353" w:lineRule="exact"/>
        <w:rPr>
          <w:sz w:val="20"/>
          <w:szCs w:val="20"/>
          <w:color w:val="auto"/>
        </w:rPr>
      </w:pPr>
    </w:p>
    <w:p>
      <w:pPr>
        <w:ind w:right="260" w:firstLine="624"/>
        <w:spacing w:after="0" w:line="273" w:lineRule="auto"/>
        <w:rPr>
          <w:sz w:val="20"/>
          <w:szCs w:val="20"/>
          <w:color w:val="auto"/>
        </w:rPr>
      </w:pPr>
      <w:r>
        <w:rPr>
          <w:rFonts w:ascii="Arial" w:cs="Arial" w:eastAsia="Arial" w:hAnsi="Arial"/>
          <w:sz w:val="16"/>
          <w:szCs w:val="16"/>
          <w:i w:val="1"/>
          <w:iCs w:val="1"/>
          <w:color w:val="auto"/>
        </w:rPr>
        <w:t xml:space="preserve">Participation; Payroll Deductions. </w:t>
      </w:r>
      <w:r>
        <w:rPr>
          <w:rFonts w:ascii="Arial" w:cs="Arial" w:eastAsia="Arial" w:hAnsi="Arial"/>
          <w:sz w:val="16"/>
          <w:szCs w:val="16"/>
          <w:color w:val="auto"/>
        </w:rPr>
        <w:t>Participation in the ESPP is limited to eligible employees who complete and file with the Company an enrollment</w:t>
      </w:r>
      <w:r>
        <w:rPr>
          <w:rFonts w:ascii="Arial" w:cs="Arial" w:eastAsia="Arial" w:hAnsi="Arial"/>
          <w:sz w:val="16"/>
          <w:szCs w:val="16"/>
          <w:i w:val="1"/>
          <w:iCs w:val="1"/>
          <w:color w:val="auto"/>
        </w:rPr>
        <w:t xml:space="preserve"> </w:t>
      </w:r>
      <w:r>
        <w:rPr>
          <w:rFonts w:ascii="Arial" w:cs="Arial" w:eastAsia="Arial" w:hAnsi="Arial"/>
          <w:sz w:val="16"/>
          <w:szCs w:val="16"/>
          <w:color w:val="auto"/>
        </w:rPr>
        <w:t>form. At the time an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employee files his or her enrollment form, he or she shall elect to have payroll deductions made on each payday during an offering period in an amount not less than 1% and not more than 15% of such participant's gross compensation on each payday during the offering period. There are currently approximately 631 employees who will be eligible to participate in the ESPP. Once an employee becomes a participant in the ESPP, that employee will automatically participate in successive offering periods, as described below, until such time as that employee submits a new enrollment form, withdraws from the ESPP, becomes ineligible to participate in the ESPP, or his or her employment ceases.</w:t>
      </w:r>
    </w:p>
    <w:p>
      <w:pPr>
        <w:spacing w:after="0" w:line="356" w:lineRule="exact"/>
        <w:rPr>
          <w:sz w:val="20"/>
          <w:szCs w:val="20"/>
          <w:color w:val="auto"/>
        </w:rPr>
      </w:pPr>
    </w:p>
    <w:p>
      <w:pPr>
        <w:ind w:firstLine="624"/>
        <w:spacing w:after="0" w:line="246" w:lineRule="auto"/>
        <w:rPr>
          <w:sz w:val="20"/>
          <w:szCs w:val="20"/>
          <w:color w:val="auto"/>
        </w:rPr>
      </w:pPr>
      <w:r>
        <w:rPr>
          <w:rFonts w:ascii="Arial" w:cs="Arial" w:eastAsia="Arial" w:hAnsi="Arial"/>
          <w:sz w:val="16"/>
          <w:szCs w:val="16"/>
          <w:i w:val="1"/>
          <w:iCs w:val="1"/>
          <w:color w:val="auto"/>
        </w:rPr>
        <w:t xml:space="preserve">Offering Periods. </w:t>
      </w:r>
      <w:r>
        <w:rPr>
          <w:rFonts w:ascii="Arial" w:cs="Arial" w:eastAsia="Arial" w:hAnsi="Arial"/>
          <w:sz w:val="16"/>
          <w:szCs w:val="16"/>
          <w:color w:val="auto"/>
        </w:rPr>
        <w:t>Unless otherwise determined by the Compensation Committee, each offering of common stock under the ESPP will be for a period</w:t>
      </w:r>
      <w:r>
        <w:rPr>
          <w:rFonts w:ascii="Arial" w:cs="Arial" w:eastAsia="Arial" w:hAnsi="Arial"/>
          <w:sz w:val="16"/>
          <w:szCs w:val="16"/>
          <w:i w:val="1"/>
          <w:iCs w:val="1"/>
          <w:color w:val="auto"/>
        </w:rPr>
        <w:t xml:space="preserve"> </w:t>
      </w:r>
      <w:r>
        <w:rPr>
          <w:rFonts w:ascii="Arial" w:cs="Arial" w:eastAsia="Arial" w:hAnsi="Arial"/>
          <w:sz w:val="16"/>
          <w:szCs w:val="16"/>
          <w:color w:val="auto"/>
        </w:rPr>
        <w:t>of six months, which we refer to as an "offering period." The first offering period under the ESPP will begin on July 1, 2018 and end on December 31, 2018. Subsequent offerings under the ESPP will generally begin on the first business day occurring on or after each January 1 and July 1 and will end on the last business day occurring on or before the following June 30 and December 31, respectively. Shares are purchased on the last day of each offering period, with that day being referred to as a "purchase date." If the last day of the offering period falls on a day on which NASDAQ or the national stock exchanges are not open for trading, the purchase date will be the first trading day following the last day of the offering period. The Compensation Committee may establish different offering periods or purchase dates under the ESPP.</w:t>
      </w:r>
    </w:p>
    <w:p>
      <w:pPr>
        <w:spacing w:after="0" w:line="357" w:lineRule="exact"/>
        <w:rPr>
          <w:sz w:val="20"/>
          <w:szCs w:val="20"/>
          <w:color w:val="auto"/>
        </w:rPr>
      </w:pPr>
    </w:p>
    <w:p>
      <w:pPr>
        <w:ind w:right="80" w:firstLine="624"/>
        <w:spacing w:after="0" w:line="249" w:lineRule="auto"/>
        <w:rPr>
          <w:sz w:val="20"/>
          <w:szCs w:val="20"/>
          <w:color w:val="auto"/>
        </w:rPr>
      </w:pPr>
      <w:r>
        <w:rPr>
          <w:rFonts w:ascii="Arial" w:cs="Arial" w:eastAsia="Arial" w:hAnsi="Arial"/>
          <w:sz w:val="16"/>
          <w:szCs w:val="16"/>
          <w:i w:val="1"/>
          <w:iCs w:val="1"/>
          <w:color w:val="auto"/>
        </w:rPr>
        <w:t xml:space="preserve">Purchase Price. </w:t>
      </w:r>
      <w:r>
        <w:rPr>
          <w:rFonts w:ascii="Arial" w:cs="Arial" w:eastAsia="Arial" w:hAnsi="Arial"/>
          <w:sz w:val="16"/>
          <w:szCs w:val="16"/>
          <w:color w:val="auto"/>
        </w:rPr>
        <w:t>On the first day of an offering period, employees participating in that offering period shall be granted an option to purchase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common stock. On the purchase date of each offering period, the employee is deemed to have exercised the option, at the purchase price, to the extent of accumulated payroll deductions. The option purchase price is equal to the lesser of (i) not less than 85% or greater than 100% of the fair market value per share of our common stock on the first day of the offering period or (ii) not less than 85% or greater than 100% of the fair market value per share of our common stock on the purchase date.</w:t>
      </w:r>
    </w:p>
    <w:p>
      <w:pPr>
        <w:spacing w:after="0" w:line="184" w:lineRule="exact"/>
        <w:rPr>
          <w:sz w:val="20"/>
          <w:szCs w:val="20"/>
          <w:color w:val="auto"/>
        </w:rPr>
      </w:pPr>
    </w:p>
    <w:p>
      <w:pPr>
        <w:ind w:right="140" w:firstLine="624"/>
        <w:spacing w:after="0" w:line="245" w:lineRule="auto"/>
        <w:rPr>
          <w:sz w:val="20"/>
          <w:szCs w:val="20"/>
          <w:color w:val="auto"/>
        </w:rPr>
      </w:pPr>
      <w:r>
        <w:rPr>
          <w:rFonts w:ascii="Arial" w:cs="Arial" w:eastAsia="Arial" w:hAnsi="Arial"/>
          <w:sz w:val="16"/>
          <w:szCs w:val="16"/>
          <w:color w:val="auto"/>
        </w:rPr>
        <w:t>Subject to certain limitations, the number of shares of our common stock a participant purchases in each offering period is determined by dividing such participant's payroll deductions accumulated on such purchase date and retained in the participant's payroll deduction account as of the purchase date by the applicable purchase price. In general, if an employee is no longer a participant on a purchase date, the employee's option will be automatically terminated, and the amount of the employee's accumulated payroll deductions will be refunded.</w:t>
      </w:r>
    </w:p>
    <w:p>
      <w:pPr>
        <w:spacing w:after="0" w:line="355" w:lineRule="exact"/>
        <w:rPr>
          <w:sz w:val="20"/>
          <w:szCs w:val="20"/>
          <w:color w:val="auto"/>
        </w:rPr>
      </w:pPr>
    </w:p>
    <w:p>
      <w:pPr>
        <w:ind w:right="80" w:firstLine="624"/>
        <w:spacing w:after="0" w:line="247" w:lineRule="auto"/>
        <w:rPr>
          <w:sz w:val="20"/>
          <w:szCs w:val="20"/>
          <w:color w:val="auto"/>
        </w:rPr>
      </w:pPr>
      <w:r>
        <w:rPr>
          <w:rFonts w:ascii="Arial" w:cs="Arial" w:eastAsia="Arial" w:hAnsi="Arial"/>
          <w:sz w:val="16"/>
          <w:szCs w:val="16"/>
          <w:i w:val="1"/>
          <w:iCs w:val="1"/>
          <w:color w:val="auto"/>
        </w:rPr>
        <w:t xml:space="preserve">Terms of Participation. </w:t>
      </w:r>
      <w:r>
        <w:rPr>
          <w:rFonts w:ascii="Arial" w:cs="Arial" w:eastAsia="Arial" w:hAnsi="Arial"/>
          <w:sz w:val="16"/>
          <w:szCs w:val="16"/>
          <w:color w:val="auto"/>
        </w:rPr>
        <w:t>Except as may be permitted by the Compensation Committee in advance of an offering, a participant may increase or</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the amount of his or her payroll deductions or contributions during any offering period by completing a revised enrollment form authorizing a change in payroll deduction or contribution and filing it with the Company. An election to increase or decrease a participant's payroll deductions or contributions shall be permitted no more than once every 30 days. A participant may withdraw from an offering period at any time without affecting his or her eligibility to participate in future offering periods by giving written notice to the Company. All of the participant's payroll deductions or contributions credited to his or her account during the offering period will be paid to such participant as soon as practicable after receipt of notice of withdrawal. If a participant withdraws from an offering period, that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participant may not again participate in the same offering period, but may enroll in subsequent offering periods by delivering to the Company a new enrollment form.</w:t>
      </w:r>
    </w:p>
    <w:p>
      <w:pPr>
        <w:spacing w:after="0" w:line="348" w:lineRule="exact"/>
        <w:rPr>
          <w:sz w:val="20"/>
          <w:szCs w:val="20"/>
          <w:color w:val="auto"/>
        </w:rPr>
      </w:pPr>
    </w:p>
    <w:p>
      <w:pPr>
        <w:ind w:right="280" w:firstLine="624"/>
        <w:spacing w:after="0" w:line="257" w:lineRule="auto"/>
        <w:rPr>
          <w:sz w:val="20"/>
          <w:szCs w:val="20"/>
          <w:color w:val="auto"/>
        </w:rPr>
      </w:pPr>
      <w:r>
        <w:rPr>
          <w:rFonts w:ascii="Arial" w:cs="Arial" w:eastAsia="Arial" w:hAnsi="Arial"/>
          <w:sz w:val="16"/>
          <w:szCs w:val="16"/>
          <w:i w:val="1"/>
          <w:iCs w:val="1"/>
          <w:color w:val="auto"/>
        </w:rPr>
        <w:t xml:space="preserve">Term; Amendments and Termination. </w:t>
      </w:r>
      <w:r>
        <w:rPr>
          <w:rFonts w:ascii="Arial" w:cs="Arial" w:eastAsia="Arial" w:hAnsi="Arial"/>
          <w:sz w:val="16"/>
          <w:szCs w:val="16"/>
          <w:color w:val="auto"/>
        </w:rPr>
        <w:t>The ESPP will continue until terminated by the Board, Compensation Committee or an authorized</w:t>
      </w:r>
      <w:r>
        <w:rPr>
          <w:rFonts w:ascii="Arial" w:cs="Arial" w:eastAsia="Arial" w:hAnsi="Arial"/>
          <w:sz w:val="16"/>
          <w:szCs w:val="16"/>
          <w:i w:val="1"/>
          <w:iCs w:val="1"/>
          <w:color w:val="auto"/>
        </w:rPr>
        <w:t xml:space="preserve"> </w:t>
      </w:r>
      <w:r>
        <w:rPr>
          <w:rFonts w:ascii="Arial" w:cs="Arial" w:eastAsia="Arial" w:hAnsi="Arial"/>
          <w:sz w:val="16"/>
          <w:szCs w:val="16"/>
          <w:color w:val="auto"/>
        </w:rPr>
        <w:t>subcommittee. The Board, Compensation Committee or an authorized subcommittee may, in its discretion, at any time, terminate or amend the ESPP. Upon termination of the ESPP, all amounts in the accounts of participating employees will be refunded.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00ACD2"/>
        </w:rPr>
        <w:t>New Plan Benefits</w:t>
      </w:r>
    </w:p>
    <w:p>
      <w:pPr>
        <w:spacing w:after="0" w:line="218" w:lineRule="exact"/>
        <w:rPr>
          <w:sz w:val="20"/>
          <w:szCs w:val="20"/>
          <w:color w:val="auto"/>
        </w:rPr>
      </w:pPr>
    </w:p>
    <w:p>
      <w:pPr>
        <w:ind w:right="80" w:firstLine="624"/>
        <w:spacing w:after="0" w:line="253" w:lineRule="auto"/>
        <w:rPr>
          <w:sz w:val="20"/>
          <w:szCs w:val="20"/>
          <w:color w:val="auto"/>
        </w:rPr>
      </w:pPr>
      <w:r>
        <w:rPr>
          <w:rFonts w:ascii="Arial" w:cs="Arial" w:eastAsia="Arial" w:hAnsi="Arial"/>
          <w:sz w:val="16"/>
          <w:szCs w:val="16"/>
          <w:color w:val="auto"/>
        </w:rPr>
        <w:t>Since participation in the ESPP is voluntary, the benefits or amounts that will be received by or allocated to any individual or group of individuals under the ESPP in the future are not determinable.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00ACD2"/>
        </w:rPr>
        <w:t>Equity Compensation Plans Information</w:t>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contains information about our equity compensation plan as of December 31, 2017:</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Arial" w:cs="Arial" w:eastAsia="Arial" w:hAnsi="Arial"/>
                <w:sz w:val="13"/>
                <w:szCs w:val="13"/>
                <w:b w:val="1"/>
                <w:bCs w:val="1"/>
                <w:color w:val="auto"/>
              </w:rPr>
              <w:t>Number of securities</w:t>
            </w:r>
          </w:p>
        </w:tc>
      </w:tr>
      <w:tr>
        <w:trPr>
          <w:trHeight w:val="148"/>
        </w:trPr>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available for future</w:t>
            </w:r>
          </w:p>
        </w:tc>
      </w:tr>
      <w:tr>
        <w:trPr>
          <w:trHeight w:val="148"/>
        </w:trPr>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Number of securities</w:t>
            </w:r>
          </w:p>
        </w:tc>
        <w:tc>
          <w:tcPr>
            <w:tcW w:w="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issuance under equity</w:t>
            </w:r>
          </w:p>
        </w:tc>
      </w:tr>
      <w:tr>
        <w:trPr>
          <w:trHeight w:val="148"/>
        </w:trPr>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to be issued upon</w:t>
            </w:r>
          </w:p>
        </w:tc>
        <w:tc>
          <w:tcPr>
            <w:tcW w:w="260" w:type="dxa"/>
            <w:vAlign w:val="bottom"/>
          </w:tcPr>
          <w:p>
            <w:pPr>
              <w:spacing w:after="0"/>
              <w:rPr>
                <w:sz w:val="12"/>
                <w:szCs w:val="12"/>
                <w:color w:val="auto"/>
              </w:rPr>
            </w:pPr>
          </w:p>
        </w:tc>
        <w:tc>
          <w:tcPr>
            <w:tcW w:w="20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Weighted-average</w:t>
            </w:r>
          </w:p>
        </w:tc>
        <w:tc>
          <w:tcPr>
            <w:tcW w:w="260" w:type="dxa"/>
            <w:vAlign w:val="bottom"/>
          </w:tcPr>
          <w:p>
            <w:pPr>
              <w:spacing w:after="0"/>
              <w:rPr>
                <w:sz w:val="12"/>
                <w:szCs w:val="12"/>
                <w:color w:val="auto"/>
              </w:rPr>
            </w:pPr>
          </w:p>
        </w:tc>
        <w:tc>
          <w:tcPr>
            <w:tcW w:w="21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compensation plans</w:t>
            </w:r>
          </w:p>
        </w:tc>
      </w:tr>
      <w:tr>
        <w:trPr>
          <w:trHeight w:val="148"/>
        </w:trPr>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exercise of</w:t>
            </w:r>
          </w:p>
        </w:tc>
        <w:tc>
          <w:tcPr>
            <w:tcW w:w="260" w:type="dxa"/>
            <w:vAlign w:val="bottom"/>
          </w:tcPr>
          <w:p>
            <w:pPr>
              <w:spacing w:after="0"/>
              <w:rPr>
                <w:sz w:val="12"/>
                <w:szCs w:val="12"/>
                <w:color w:val="auto"/>
              </w:rPr>
            </w:pPr>
          </w:p>
        </w:tc>
        <w:tc>
          <w:tcPr>
            <w:tcW w:w="20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exercise price of</w:t>
            </w:r>
          </w:p>
        </w:tc>
        <w:tc>
          <w:tcPr>
            <w:tcW w:w="260" w:type="dxa"/>
            <w:vAlign w:val="bottom"/>
          </w:tcPr>
          <w:p>
            <w:pPr>
              <w:spacing w:after="0"/>
              <w:rPr>
                <w:sz w:val="12"/>
                <w:szCs w:val="12"/>
                <w:color w:val="auto"/>
              </w:rPr>
            </w:pPr>
          </w:p>
        </w:tc>
        <w:tc>
          <w:tcPr>
            <w:tcW w:w="21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(excluding securities</w:t>
            </w:r>
          </w:p>
        </w:tc>
      </w:tr>
      <w:tr>
        <w:trPr>
          <w:trHeight w:val="148"/>
        </w:trPr>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outstanding options,</w:t>
            </w:r>
          </w:p>
        </w:tc>
        <w:tc>
          <w:tcPr>
            <w:tcW w:w="260" w:type="dxa"/>
            <w:vAlign w:val="bottom"/>
          </w:tcPr>
          <w:p>
            <w:pPr>
              <w:spacing w:after="0"/>
              <w:rPr>
                <w:sz w:val="12"/>
                <w:szCs w:val="12"/>
                <w:color w:val="auto"/>
              </w:rPr>
            </w:pPr>
          </w:p>
        </w:tc>
        <w:tc>
          <w:tcPr>
            <w:tcW w:w="20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outstanding options,</w:t>
            </w:r>
          </w:p>
        </w:tc>
        <w:tc>
          <w:tcPr>
            <w:tcW w:w="260" w:type="dxa"/>
            <w:vAlign w:val="bottom"/>
          </w:tcPr>
          <w:p>
            <w:pPr>
              <w:spacing w:after="0"/>
              <w:rPr>
                <w:sz w:val="12"/>
                <w:szCs w:val="12"/>
                <w:color w:val="auto"/>
              </w:rPr>
            </w:pPr>
          </w:p>
        </w:tc>
        <w:tc>
          <w:tcPr>
            <w:tcW w:w="21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reflected in</w:t>
            </w:r>
          </w:p>
        </w:tc>
      </w:tr>
      <w:tr>
        <w:trPr>
          <w:trHeight w:val="160"/>
        </w:trPr>
        <w:tc>
          <w:tcPr>
            <w:tcW w:w="210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Plan category</w:t>
            </w: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warrants and rights</w:t>
            </w:r>
          </w:p>
        </w:tc>
        <w:tc>
          <w:tcPr>
            <w:tcW w:w="260" w:type="dxa"/>
            <w:vAlign w:val="bottom"/>
          </w:tcPr>
          <w:p>
            <w:pPr>
              <w:spacing w:after="0"/>
              <w:rPr>
                <w:sz w:val="13"/>
                <w:szCs w:val="13"/>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warrants and rights</w:t>
            </w:r>
          </w:p>
        </w:tc>
        <w:tc>
          <w:tcPr>
            <w:tcW w:w="260" w:type="dxa"/>
            <w:vAlign w:val="bottom"/>
          </w:tcPr>
          <w:p>
            <w:pPr>
              <w:spacing w:after="0"/>
              <w:rPr>
                <w:sz w:val="13"/>
                <w:szCs w:val="13"/>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column (a))</w:t>
            </w:r>
          </w:p>
        </w:tc>
      </w:tr>
      <w:tr>
        <w:trPr>
          <w:trHeight w:val="205"/>
        </w:trPr>
        <w:tc>
          <w:tcPr>
            <w:tcW w:w="2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rPr>
              <w:t>(a)</w:t>
            </w:r>
          </w:p>
        </w:tc>
        <w:tc>
          <w:tcPr>
            <w:tcW w:w="26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w w:val="97"/>
              </w:rPr>
              <w:t>(b)</w:t>
            </w:r>
          </w:p>
        </w:tc>
        <w:tc>
          <w:tcPr>
            <w:tcW w:w="26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rPr>
              <w:t>(c)</w:t>
            </w:r>
          </w:p>
        </w:tc>
      </w:tr>
      <w:tr>
        <w:trPr>
          <w:trHeight w:val="194"/>
        </w:trPr>
        <w:tc>
          <w:tcPr>
            <w:tcW w:w="2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188"/>
        </w:trPr>
        <w:tc>
          <w:tcPr>
            <w:tcW w:w="2100" w:type="dxa"/>
            <w:vAlign w:val="bottom"/>
            <w:shd w:val="clear" w:color="auto" w:fill="BFBFBF"/>
          </w:tcPr>
          <w:p>
            <w:pPr>
              <w:spacing w:after="0"/>
              <w:rPr>
                <w:sz w:val="20"/>
                <w:szCs w:val="20"/>
                <w:color w:val="auto"/>
              </w:rPr>
            </w:pPr>
            <w:r>
              <w:rPr>
                <w:rFonts w:ascii="Arial" w:cs="Arial" w:eastAsia="Arial" w:hAnsi="Arial"/>
                <w:sz w:val="16"/>
                <w:szCs w:val="16"/>
                <w:color w:val="auto"/>
              </w:rPr>
              <w:t>Equity compensation plans</w:t>
            </w:r>
          </w:p>
        </w:tc>
        <w:tc>
          <w:tcPr>
            <w:tcW w:w="240" w:type="dxa"/>
            <w:vAlign w:val="bottom"/>
            <w:shd w:val="clear" w:color="auto" w:fill="BFBFBF"/>
          </w:tcPr>
          <w:p>
            <w:pPr>
              <w:spacing w:after="0"/>
              <w:rPr>
                <w:sz w:val="16"/>
                <w:szCs w:val="16"/>
                <w:color w:val="auto"/>
              </w:rPr>
            </w:pPr>
          </w:p>
        </w:tc>
        <w:tc>
          <w:tcPr>
            <w:tcW w:w="60" w:type="dxa"/>
            <w:vAlign w:val="bottom"/>
            <w:shd w:val="clear" w:color="auto" w:fill="BFBFBF"/>
          </w:tcPr>
          <w:p>
            <w:pPr>
              <w:spacing w:after="0"/>
              <w:rPr>
                <w:sz w:val="16"/>
                <w:szCs w:val="16"/>
                <w:color w:val="auto"/>
              </w:rPr>
            </w:pPr>
          </w:p>
        </w:tc>
        <w:tc>
          <w:tcPr>
            <w:tcW w:w="2040" w:type="dxa"/>
            <w:vAlign w:val="bottom"/>
            <w:shd w:val="clear" w:color="auto" w:fill="BFBFBF"/>
          </w:tcPr>
          <w:p>
            <w:pPr>
              <w:spacing w:after="0"/>
              <w:rPr>
                <w:sz w:val="16"/>
                <w:szCs w:val="16"/>
                <w:color w:val="auto"/>
              </w:rPr>
            </w:pPr>
          </w:p>
        </w:tc>
        <w:tc>
          <w:tcPr>
            <w:tcW w:w="260" w:type="dxa"/>
            <w:vAlign w:val="bottom"/>
            <w:shd w:val="clear" w:color="auto" w:fill="BFBFBF"/>
          </w:tcPr>
          <w:p>
            <w:pPr>
              <w:spacing w:after="0"/>
              <w:rPr>
                <w:sz w:val="16"/>
                <w:szCs w:val="16"/>
                <w:color w:val="auto"/>
              </w:rPr>
            </w:pPr>
          </w:p>
        </w:tc>
        <w:tc>
          <w:tcPr>
            <w:tcW w:w="2080" w:type="dxa"/>
            <w:vAlign w:val="bottom"/>
            <w:shd w:val="clear" w:color="auto" w:fill="BFBFBF"/>
          </w:tcPr>
          <w:p>
            <w:pPr>
              <w:spacing w:after="0"/>
              <w:rPr>
                <w:sz w:val="16"/>
                <w:szCs w:val="16"/>
                <w:color w:val="auto"/>
              </w:rPr>
            </w:pPr>
          </w:p>
        </w:tc>
        <w:tc>
          <w:tcPr>
            <w:tcW w:w="260" w:type="dxa"/>
            <w:vAlign w:val="bottom"/>
            <w:shd w:val="clear" w:color="auto" w:fill="BFBFBF"/>
          </w:tcPr>
          <w:p>
            <w:pPr>
              <w:spacing w:after="0"/>
              <w:rPr>
                <w:sz w:val="16"/>
                <w:szCs w:val="16"/>
                <w:color w:val="auto"/>
              </w:rPr>
            </w:pPr>
          </w:p>
        </w:tc>
        <w:tc>
          <w:tcPr>
            <w:tcW w:w="2100" w:type="dxa"/>
            <w:vAlign w:val="bottom"/>
            <w:shd w:val="clear" w:color="auto" w:fill="BFBFBF"/>
          </w:tcPr>
          <w:p>
            <w:pPr>
              <w:spacing w:after="0"/>
              <w:rPr>
                <w:sz w:val="16"/>
                <w:szCs w:val="16"/>
                <w:color w:val="auto"/>
              </w:rPr>
            </w:pPr>
          </w:p>
        </w:tc>
      </w:tr>
      <w:tr>
        <w:trPr>
          <w:trHeight w:val="182"/>
        </w:trPr>
        <w:tc>
          <w:tcPr>
            <w:tcW w:w="2100" w:type="dxa"/>
            <w:vAlign w:val="bottom"/>
            <w:shd w:val="clear" w:color="auto" w:fill="BFBFBF"/>
          </w:tcPr>
          <w:p>
            <w:pPr>
              <w:spacing w:after="0" w:line="182" w:lineRule="exact"/>
              <w:rPr>
                <w:sz w:val="20"/>
                <w:szCs w:val="20"/>
                <w:color w:val="auto"/>
              </w:rPr>
            </w:pPr>
            <w:r>
              <w:rPr>
                <w:rFonts w:ascii="Arial" w:cs="Arial" w:eastAsia="Arial" w:hAnsi="Arial"/>
                <w:sz w:val="16"/>
                <w:szCs w:val="16"/>
                <w:color w:val="auto"/>
              </w:rPr>
              <w:t>approved by security holders</w:t>
            </w:r>
          </w:p>
        </w:tc>
        <w:tc>
          <w:tcPr>
            <w:tcW w:w="240" w:type="dxa"/>
            <w:vAlign w:val="bottom"/>
            <w:shd w:val="clear" w:color="auto" w:fill="BFBFBF"/>
          </w:tcPr>
          <w:p>
            <w:pPr>
              <w:spacing w:after="0"/>
              <w:rPr>
                <w:sz w:val="15"/>
                <w:szCs w:val="15"/>
                <w:color w:val="auto"/>
              </w:rPr>
            </w:pPr>
          </w:p>
        </w:tc>
        <w:tc>
          <w:tcPr>
            <w:tcW w:w="60" w:type="dxa"/>
            <w:vAlign w:val="bottom"/>
            <w:shd w:val="clear" w:color="auto" w:fill="BFBFBF"/>
          </w:tcPr>
          <w:p>
            <w:pPr>
              <w:spacing w:after="0"/>
              <w:rPr>
                <w:sz w:val="15"/>
                <w:szCs w:val="15"/>
                <w:color w:val="auto"/>
              </w:rPr>
            </w:pPr>
          </w:p>
        </w:tc>
        <w:tc>
          <w:tcPr>
            <w:tcW w:w="2040" w:type="dxa"/>
            <w:vAlign w:val="bottom"/>
            <w:shd w:val="clear" w:color="auto" w:fill="BFBFBF"/>
          </w:tcPr>
          <w:p>
            <w:pPr>
              <w:jc w:val="center"/>
              <w:spacing w:after="0" w:line="182" w:lineRule="exact"/>
              <w:rPr>
                <w:sz w:val="20"/>
                <w:szCs w:val="20"/>
                <w:color w:val="auto"/>
              </w:rPr>
            </w:pPr>
            <w:r>
              <w:rPr>
                <w:rFonts w:ascii="Arial" w:cs="Arial" w:eastAsia="Arial" w:hAnsi="Arial"/>
                <w:sz w:val="16"/>
                <w:szCs w:val="16"/>
                <w:color w:val="auto"/>
                <w:w w:val="99"/>
              </w:rPr>
              <w:t>—</w:t>
            </w:r>
          </w:p>
        </w:tc>
        <w:tc>
          <w:tcPr>
            <w:tcW w:w="260" w:type="dxa"/>
            <w:vAlign w:val="bottom"/>
            <w:shd w:val="clear" w:color="auto" w:fill="BFBFBF"/>
          </w:tcPr>
          <w:p>
            <w:pPr>
              <w:spacing w:after="0"/>
              <w:rPr>
                <w:sz w:val="15"/>
                <w:szCs w:val="15"/>
                <w:color w:val="auto"/>
              </w:rPr>
            </w:pPr>
          </w:p>
        </w:tc>
        <w:tc>
          <w:tcPr>
            <w:tcW w:w="2080" w:type="dxa"/>
            <w:vAlign w:val="bottom"/>
            <w:shd w:val="clear" w:color="auto" w:fill="BFBFBF"/>
          </w:tcPr>
          <w:p>
            <w:pPr>
              <w:jc w:val="center"/>
              <w:spacing w:after="0" w:line="182" w:lineRule="exact"/>
              <w:rPr>
                <w:sz w:val="20"/>
                <w:szCs w:val="20"/>
                <w:color w:val="auto"/>
              </w:rPr>
            </w:pPr>
            <w:r>
              <w:rPr>
                <w:rFonts w:ascii="Arial" w:cs="Arial" w:eastAsia="Arial" w:hAnsi="Arial"/>
                <w:sz w:val="16"/>
                <w:szCs w:val="16"/>
                <w:color w:val="auto"/>
                <w:w w:val="99"/>
              </w:rPr>
              <w:t>—</w:t>
            </w:r>
          </w:p>
        </w:tc>
        <w:tc>
          <w:tcPr>
            <w:tcW w:w="2360" w:type="dxa"/>
            <w:vAlign w:val="bottom"/>
            <w:gridSpan w:val="2"/>
            <w:shd w:val="clear" w:color="auto" w:fill="BFBFBF"/>
          </w:tcPr>
          <w:p>
            <w:pPr>
              <w:jc w:val="center"/>
              <w:ind w:left="180"/>
              <w:spacing w:after="0" w:line="182" w:lineRule="exact"/>
              <w:rPr>
                <w:sz w:val="20"/>
                <w:szCs w:val="20"/>
                <w:color w:val="auto"/>
              </w:rPr>
            </w:pPr>
            <w:r>
              <w:rPr>
                <w:rFonts w:ascii="Arial" w:cs="Arial" w:eastAsia="Arial" w:hAnsi="Arial"/>
                <w:sz w:val="16"/>
                <w:szCs w:val="16"/>
                <w:color w:val="auto"/>
                <w:w w:val="99"/>
              </w:rPr>
              <w:t>4,992,583(1)</w:t>
            </w:r>
          </w:p>
        </w:tc>
      </w:tr>
      <w:tr>
        <w:trPr>
          <w:trHeight w:val="410"/>
        </w:trPr>
        <w:tc>
          <w:tcPr>
            <w:tcW w:w="2100" w:type="dxa"/>
            <w:vAlign w:val="bottom"/>
          </w:tcPr>
          <w:p>
            <w:pPr>
              <w:spacing w:after="0"/>
              <w:rPr>
                <w:sz w:val="20"/>
                <w:szCs w:val="20"/>
                <w:color w:val="auto"/>
              </w:rPr>
            </w:pPr>
            <w:r>
              <w:rPr>
                <w:rFonts w:ascii="Arial" w:cs="Arial" w:eastAsia="Arial" w:hAnsi="Arial"/>
                <w:sz w:val="16"/>
                <w:szCs w:val="16"/>
                <w:color w:val="auto"/>
              </w:rPr>
              <w:t>Equity compensation plans</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85"/>
        </w:trPr>
        <w:tc>
          <w:tcPr>
            <w:tcW w:w="2100" w:type="dxa"/>
            <w:vAlign w:val="bottom"/>
          </w:tcPr>
          <w:p>
            <w:pPr>
              <w:spacing w:after="0"/>
              <w:rPr>
                <w:sz w:val="20"/>
                <w:szCs w:val="20"/>
                <w:color w:val="auto"/>
              </w:rPr>
            </w:pPr>
            <w:r>
              <w:rPr>
                <w:rFonts w:ascii="Arial" w:cs="Arial" w:eastAsia="Arial" w:hAnsi="Arial"/>
                <w:sz w:val="16"/>
                <w:szCs w:val="16"/>
                <w:color w:val="auto"/>
              </w:rPr>
              <w:t>not approved by security</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182"/>
        </w:trPr>
        <w:tc>
          <w:tcPr>
            <w:tcW w:w="2100" w:type="dxa"/>
            <w:vAlign w:val="bottom"/>
          </w:tcPr>
          <w:p>
            <w:pPr>
              <w:spacing w:after="0" w:line="182" w:lineRule="exact"/>
              <w:rPr>
                <w:sz w:val="20"/>
                <w:szCs w:val="20"/>
                <w:color w:val="auto"/>
              </w:rPr>
            </w:pPr>
            <w:r>
              <w:rPr>
                <w:rFonts w:ascii="Arial" w:cs="Arial" w:eastAsia="Arial" w:hAnsi="Arial"/>
                <w:sz w:val="16"/>
                <w:szCs w:val="16"/>
                <w:color w:val="auto"/>
              </w:rPr>
              <w:t>holders</w:t>
            </w:r>
          </w:p>
        </w:tc>
        <w:tc>
          <w:tcPr>
            <w:tcW w:w="2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5"/>
                <w:szCs w:val="15"/>
                <w:color w:val="auto"/>
              </w:rPr>
            </w:pPr>
          </w:p>
        </w:tc>
        <w:tc>
          <w:tcPr>
            <w:tcW w:w="208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5"/>
                <w:szCs w:val="15"/>
                <w:color w:val="auto"/>
              </w:rPr>
            </w:pPr>
          </w:p>
        </w:tc>
        <w:tc>
          <w:tcPr>
            <w:tcW w:w="210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6"/>
                <w:szCs w:val="16"/>
                <w:color w:val="auto"/>
                <w:w w:val="99"/>
              </w:rPr>
              <w:t>—</w:t>
            </w:r>
          </w:p>
        </w:tc>
      </w:tr>
      <w:tr>
        <w:trPr>
          <w:trHeight w:val="177"/>
        </w:trPr>
        <w:tc>
          <w:tcPr>
            <w:tcW w:w="2100" w:type="dxa"/>
            <w:vAlign w:val="bottom"/>
          </w:tcPr>
          <w:p>
            <w:pPr>
              <w:spacing w:after="0" w:line="178" w:lineRule="exact"/>
              <w:rPr>
                <w:sz w:val="20"/>
                <w:szCs w:val="20"/>
                <w:color w:val="auto"/>
              </w:rPr>
            </w:pPr>
            <w:r>
              <w:rPr>
                <w:rFonts w:ascii="Arial" w:cs="Arial" w:eastAsia="Arial" w:hAnsi="Arial"/>
                <w:sz w:val="16"/>
                <w:szCs w:val="16"/>
                <w:color w:val="auto"/>
              </w:rPr>
              <w:t>Total</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jc w:val="center"/>
              <w:spacing w:after="0" w:line="178" w:lineRule="exact"/>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5"/>
                <w:szCs w:val="15"/>
                <w:color w:val="auto"/>
              </w:rPr>
            </w:pPr>
          </w:p>
        </w:tc>
        <w:tc>
          <w:tcPr>
            <w:tcW w:w="2080" w:type="dxa"/>
            <w:vAlign w:val="bottom"/>
          </w:tcPr>
          <w:p>
            <w:pPr>
              <w:jc w:val="center"/>
              <w:spacing w:after="0" w:line="178" w:lineRule="exact"/>
              <w:rPr>
                <w:sz w:val="20"/>
                <w:szCs w:val="20"/>
                <w:color w:val="auto"/>
              </w:rPr>
            </w:pPr>
            <w:r>
              <w:rPr>
                <w:rFonts w:ascii="Arial" w:cs="Arial" w:eastAsia="Arial" w:hAnsi="Arial"/>
                <w:sz w:val="16"/>
                <w:szCs w:val="16"/>
                <w:color w:val="auto"/>
                <w:w w:val="99"/>
              </w:rPr>
              <w:t>—</w:t>
            </w:r>
          </w:p>
        </w:tc>
        <w:tc>
          <w:tcPr>
            <w:tcW w:w="2360" w:type="dxa"/>
            <w:vAlign w:val="bottom"/>
            <w:gridSpan w:val="2"/>
          </w:tcPr>
          <w:p>
            <w:pPr>
              <w:jc w:val="center"/>
              <w:ind w:left="200"/>
              <w:spacing w:after="0" w:line="178" w:lineRule="exact"/>
              <w:rPr>
                <w:sz w:val="20"/>
                <w:szCs w:val="20"/>
                <w:color w:val="auto"/>
              </w:rPr>
            </w:pPr>
            <w:r>
              <w:rPr>
                <w:rFonts w:ascii="Arial" w:cs="Arial" w:eastAsia="Arial" w:hAnsi="Arial"/>
                <w:sz w:val="16"/>
                <w:szCs w:val="16"/>
                <w:color w:val="auto"/>
              </w:rPr>
              <w:t>4,992,583</w:t>
            </w:r>
          </w:p>
        </w:tc>
      </w:tr>
      <w:tr>
        <w:trPr>
          <w:trHeight w:val="20"/>
        </w:trPr>
        <w:tc>
          <w:tcPr>
            <w:tcW w:w="2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r>
        <w:trPr>
          <w:trHeight w:val="76"/>
        </w:trPr>
        <w:tc>
          <w:tcPr>
            <w:tcW w:w="21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100" w:type="dxa"/>
            <w:vAlign w:val="bottom"/>
          </w:tcPr>
          <w:p>
            <w:pPr>
              <w:spacing w:after="0"/>
              <w:rPr>
                <w:sz w:val="6"/>
                <w:szCs w:val="6"/>
                <w:color w:val="auto"/>
              </w:rPr>
            </w:pPr>
          </w:p>
        </w:tc>
      </w:tr>
    </w:tbl>
    <w:p>
      <w:pPr>
        <w:spacing w:after="0" w:line="200" w:lineRule="exact"/>
        <w:rPr>
          <w:sz w:val="20"/>
          <w:szCs w:val="20"/>
          <w:color w:val="auto"/>
        </w:rPr>
      </w:pPr>
    </w:p>
    <w:p>
      <w:pPr>
        <w:ind w:left="1640" w:hanging="498"/>
        <w:spacing w:after="0"/>
        <w:tabs>
          <w:tab w:leader="none" w:pos="1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Shares available for issuance under the 2015 Equity Incentive Plan.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0ACD2"/>
        </w:rPr>
        <w:t>Summary of Federal Income Tax Consequences</w:t>
      </w:r>
    </w:p>
    <w:p>
      <w:pPr>
        <w:spacing w:after="0" w:line="218" w:lineRule="exact"/>
        <w:rPr>
          <w:sz w:val="20"/>
          <w:szCs w:val="20"/>
          <w:color w:val="auto"/>
        </w:rPr>
      </w:pPr>
    </w:p>
    <w:p>
      <w:pPr>
        <w:ind w:firstLine="621"/>
        <w:spacing w:after="0" w:line="247" w:lineRule="auto"/>
        <w:rPr>
          <w:sz w:val="20"/>
          <w:szCs w:val="20"/>
          <w:color w:val="auto"/>
        </w:rPr>
      </w:pPr>
      <w:r>
        <w:rPr>
          <w:rFonts w:ascii="Arial" w:cs="Arial" w:eastAsia="Arial" w:hAnsi="Arial"/>
          <w:sz w:val="16"/>
          <w:szCs w:val="16"/>
          <w:color w:val="auto"/>
        </w:rPr>
        <w:t>The following is only a summary of the effect of the United States income tax laws and regulations upon an employee and us with respect to an employee's participation in the ESPP. This summary does not purport to be a complete description of all federal tax implications of participation in the ESPP, nor does it discuss the income tax laws of any municipality, state or foreign country in which a participant may reside or otherwise be subject to tax.</w:t>
      </w:r>
    </w:p>
    <w:p>
      <w:pPr>
        <w:spacing w:after="0" w:line="184" w:lineRule="exact"/>
        <w:rPr>
          <w:sz w:val="20"/>
          <w:szCs w:val="20"/>
          <w:color w:val="auto"/>
        </w:rPr>
      </w:pPr>
    </w:p>
    <w:p>
      <w:pPr>
        <w:ind w:firstLine="615"/>
        <w:spacing w:after="0" w:line="253" w:lineRule="auto"/>
        <w:rPr>
          <w:sz w:val="20"/>
          <w:szCs w:val="20"/>
          <w:color w:val="auto"/>
        </w:rPr>
      </w:pPr>
      <w:r>
        <w:rPr>
          <w:rFonts w:ascii="Arial" w:cs="Arial" w:eastAsia="Arial" w:hAnsi="Arial"/>
          <w:sz w:val="16"/>
          <w:szCs w:val="16"/>
          <w:color w:val="auto"/>
        </w:rPr>
        <w:t>A participant in the ESPP recognizes no taxable income either as a result of participation in the ESPP or upon exercise of an option to purchase shares of our common stock under the terms of the ESPP.</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right="20" w:firstLine="624"/>
        <w:spacing w:after="0" w:line="243" w:lineRule="auto"/>
        <w:rPr>
          <w:sz w:val="20"/>
          <w:szCs w:val="20"/>
          <w:color w:val="auto"/>
        </w:rPr>
      </w:pPr>
      <w:r>
        <w:rPr>
          <w:rFonts w:ascii="Arial" w:cs="Arial" w:eastAsia="Arial" w:hAnsi="Arial"/>
          <w:sz w:val="16"/>
          <w:szCs w:val="16"/>
          <w:color w:val="auto"/>
        </w:rPr>
        <w:t>If a participant disposes of shares purchased upon exercise of an option granted under the ESPP within two years from the first day of the applicable offering period or within one year from the purchase date, which we refer to as a "disqualifying disposition," the participant will realize ordinary income in the year of that disposition equal to the amount by which the fair market value of the shares on the date the shares were purchased exceeds the purchase price. The amount of ordinary income will be added to the participant's basis in the shares, and any additional gain or resulting loss recognized on the disposition of the shares will be a capital gain or loss. A capital gain or loss will be long-term if the participant's holding period is more than 12 months, or short-term if the participant's holding period is 12 months or less.</w:t>
      </w:r>
    </w:p>
    <w:p>
      <w:pPr>
        <w:spacing w:after="0" w:line="189" w:lineRule="exact"/>
        <w:rPr>
          <w:sz w:val="20"/>
          <w:szCs w:val="20"/>
          <w:color w:val="auto"/>
        </w:rPr>
      </w:pPr>
    </w:p>
    <w:p>
      <w:pPr>
        <w:ind w:firstLine="624"/>
        <w:spacing w:after="0" w:line="243" w:lineRule="auto"/>
        <w:rPr>
          <w:sz w:val="20"/>
          <w:szCs w:val="20"/>
          <w:color w:val="auto"/>
        </w:rPr>
      </w:pPr>
      <w:r>
        <w:rPr>
          <w:rFonts w:ascii="Arial" w:cs="Arial" w:eastAsia="Arial" w:hAnsi="Arial"/>
          <w:sz w:val="16"/>
          <w:szCs w:val="16"/>
          <w:color w:val="auto"/>
        </w:rPr>
        <w:t>If the participant disposes of shares purchased upon exercise of an option granted under the ESPP at least two years after the first day of the applicable offering period and at least one year after the purchase date, the participant will realize ordinary income in the year of disposition equal to the lesser of (1) 15% of the fair market value of the common stock on the first day of the offering period in which the shares were purchased and (2) the excess of the amount actually received for the common stock over the amount paid. The amount of any ordinary income will be added to the participant's basis in the shares, and any additional gain recognized upon the disposition after that basis adjustment will be a long-term capital gain. If the fair market value of the shares on the date of disposition is less than the purchase price, there will be no ordinary income and any loss recognized will be a long-term capital loss.</w:t>
      </w:r>
    </w:p>
    <w:p>
      <w:pPr>
        <w:spacing w:after="0" w:line="189" w:lineRule="exact"/>
        <w:rPr>
          <w:sz w:val="20"/>
          <w:szCs w:val="20"/>
          <w:color w:val="auto"/>
        </w:rPr>
      </w:pPr>
    </w:p>
    <w:p>
      <w:pPr>
        <w:ind w:right="80" w:firstLine="621"/>
        <w:spacing w:after="0" w:line="253" w:lineRule="auto"/>
        <w:rPr>
          <w:sz w:val="20"/>
          <w:szCs w:val="20"/>
          <w:color w:val="auto"/>
        </w:rPr>
      </w:pPr>
      <w:r>
        <w:rPr>
          <w:rFonts w:ascii="Arial" w:cs="Arial" w:eastAsia="Arial" w:hAnsi="Arial"/>
          <w:sz w:val="16"/>
          <w:szCs w:val="16"/>
          <w:color w:val="auto"/>
        </w:rPr>
        <w:t>The Company is generally entitled to a tax deduction in the year of a disqualifying disposition equal to the amount of ordinary income recognized by the participant as a result of that disposition. In all other cases, the Company is not allowed a deduction.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111760</wp:posOffset>
            </wp:positionV>
            <wp:extent cx="5355590" cy="1417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355590" cy="1417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350" w:lineRule="exact"/>
        <w:rPr>
          <w:sz w:val="20"/>
          <w:szCs w:val="20"/>
          <w:color w:val="auto"/>
        </w:rPr>
      </w:pPr>
    </w:p>
    <w:p>
      <w:pPr>
        <w:ind w:left="4840"/>
        <w:spacing w:after="0"/>
        <w:rPr>
          <w:sz w:val="20"/>
          <w:szCs w:val="20"/>
          <w:color w:val="auto"/>
        </w:rPr>
      </w:pPr>
      <w:r>
        <w:rPr>
          <w:rFonts w:ascii="Arial" w:cs="Arial" w:eastAsia="Arial" w:hAnsi="Arial"/>
          <w:sz w:val="20"/>
          <w:szCs w:val="20"/>
          <w:b w:val="1"/>
          <w:bCs w:val="1"/>
          <w:color w:val="00ACD2"/>
        </w:rPr>
        <w:t>PROPOSAL NO. 4</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00ACD2"/>
        </w:rPr>
        <w:t>Amendment to Provide Stockholders With the Power to Amend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5868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9" w:lineRule="exact"/>
        <w:rPr>
          <w:sz w:val="20"/>
          <w:szCs w:val="20"/>
          <w:color w:val="auto"/>
        </w:rPr>
      </w:pPr>
    </w:p>
    <w:p>
      <w:pPr>
        <w:ind w:right="480" w:firstLine="624"/>
        <w:spacing w:after="0" w:line="245" w:lineRule="auto"/>
        <w:rPr>
          <w:sz w:val="20"/>
          <w:szCs w:val="20"/>
          <w:color w:val="auto"/>
        </w:rPr>
      </w:pPr>
      <w:r>
        <w:rPr>
          <w:rFonts w:ascii="Arial" w:cs="Arial" w:eastAsia="Arial" w:hAnsi="Arial"/>
          <w:sz w:val="16"/>
          <w:szCs w:val="16"/>
          <w:color w:val="auto"/>
        </w:rPr>
        <w:t>On May 1, 2017, the Board of Directors adopted an amendment to the Company's bylaws permitting stockholders of the Company to amend the Company's bylaws and resolved to submit an amendment to the Company's charter at the Annual Meeting that would conform the charter to the bylaws by providing stockholders of the Company with the power to amend the Company's bylaws (the "Proposed Charter Amendment"). The Board of Directors has declared advisable and recommends that stockholders approve the Proposed Charter Amendment.</w:t>
      </w:r>
    </w:p>
    <w:p>
      <w:pPr>
        <w:spacing w:after="0" w:line="186" w:lineRule="exact"/>
        <w:rPr>
          <w:sz w:val="20"/>
          <w:szCs w:val="20"/>
          <w:color w:val="auto"/>
        </w:rPr>
      </w:pPr>
    </w:p>
    <w:p>
      <w:pPr>
        <w:ind w:firstLine="624"/>
        <w:spacing w:after="0" w:line="242" w:lineRule="auto"/>
        <w:rPr>
          <w:sz w:val="20"/>
          <w:szCs w:val="20"/>
          <w:color w:val="auto"/>
        </w:rPr>
      </w:pPr>
      <w:r>
        <w:rPr>
          <w:rFonts w:ascii="Arial" w:cs="Arial" w:eastAsia="Arial" w:hAnsi="Arial"/>
          <w:sz w:val="16"/>
          <w:szCs w:val="16"/>
          <w:color w:val="auto"/>
        </w:rPr>
        <w:t>Currently, the Company's charter provides the Board with the exclusive power to amend the bylaws. The Board is committed to good corporate governance and monitors regularly our corporate governance policies and practices. The Board carefully considered the advantages and disadvantages of adopting a change to the Company's charter to allow for stockholders to amend the bylaws. The bylaws establish a number of fundamental corporate governance operating principles, including rules for meetings of directors and stockholders and the election and duties of directors and officers, among other provisions. In the past, the Board believed that the default position under Maryland General Corporation Law provided an effective means for the Board to ensure that any amendments to the bylaws were prudent and designed to protect and maximize long-term value for all stockholders. More recently, the Board considered the various positions for and against allowing stockholders to amend the bylaws. After weighing these considerations, the Board has determined to amend the charter to allow stockholders to amend the bylaws.</w:t>
      </w:r>
    </w:p>
    <w:p>
      <w:pPr>
        <w:spacing w:after="0" w:line="193" w:lineRule="exact"/>
        <w:rPr>
          <w:sz w:val="20"/>
          <w:szCs w:val="20"/>
          <w:color w:val="auto"/>
        </w:rPr>
      </w:pPr>
    </w:p>
    <w:p>
      <w:pPr>
        <w:ind w:right="20" w:firstLine="621"/>
        <w:spacing w:after="0" w:line="253" w:lineRule="auto"/>
        <w:rPr>
          <w:sz w:val="20"/>
          <w:szCs w:val="20"/>
          <w:color w:val="auto"/>
        </w:rPr>
      </w:pPr>
      <w:r>
        <w:rPr>
          <w:rFonts w:ascii="Arial" w:cs="Arial" w:eastAsia="Arial" w:hAnsi="Arial"/>
          <w:sz w:val="16"/>
          <w:szCs w:val="16"/>
          <w:color w:val="auto"/>
        </w:rPr>
        <w:t xml:space="preserve">The general description of the Proposed Charter Amendment set forth above is qualified in its entirety by reference to the text of the Proposed Charter Amendment, which is contained in the proposed Articles of Amendment attached as </w:t>
      </w:r>
      <w:r>
        <w:rPr>
          <w:rFonts w:ascii="Arial" w:cs="Arial" w:eastAsia="Arial" w:hAnsi="Arial"/>
          <w:sz w:val="16"/>
          <w:szCs w:val="16"/>
          <w:u w:val="single" w:color="auto"/>
          <w:color w:val="auto"/>
        </w:rPr>
        <w:t>Appendix C</w:t>
      </w:r>
      <w:r>
        <w:rPr>
          <w:rFonts w:ascii="Arial" w:cs="Arial" w:eastAsia="Arial" w:hAnsi="Arial"/>
          <w:sz w:val="16"/>
          <w:szCs w:val="16"/>
          <w:color w:val="auto"/>
        </w:rPr>
        <w:t xml:space="preserve"> to this Proxy Statement and is incorporated by reference herein.</w:t>
      </w:r>
    </w:p>
    <w:p>
      <w:pPr>
        <w:spacing w:after="0" w:line="179" w:lineRule="exact"/>
        <w:rPr>
          <w:sz w:val="20"/>
          <w:szCs w:val="20"/>
          <w:color w:val="auto"/>
        </w:rPr>
      </w:pPr>
    </w:p>
    <w:p>
      <w:pPr>
        <w:jc w:val="both"/>
        <w:ind w:right="200" w:firstLine="624"/>
        <w:spacing w:after="0" w:line="244" w:lineRule="auto"/>
        <w:rPr>
          <w:sz w:val="20"/>
          <w:szCs w:val="20"/>
          <w:color w:val="auto"/>
        </w:rPr>
      </w:pPr>
      <w:r>
        <w:rPr>
          <w:rFonts w:ascii="Arial" w:cs="Arial" w:eastAsia="Arial" w:hAnsi="Arial"/>
          <w:sz w:val="16"/>
          <w:szCs w:val="16"/>
          <w:color w:val="auto"/>
        </w:rPr>
        <w:t>If this proposal is approved by stockholders, we intend to promptly file the Proposed Charter Amendment with the State Department of Assessments and Taxation in Maryland (the "SDAT"). The Proposed Charter Amendment will become effective upon its filing with the SDAT, after which stockholders will be permitted to amend the bylaws by a majority of the votes cast at any duly called meeting of stockholders at which a quorum is present. If the Proposed Charter Amendment is not approved by the requisite vote, then the Proposed Charter Amendment will not be filed with the SDAT and the Board shall continue to have the exclusive power to adopt, alter or repeal any provision of the bylaws pursuant to the Company's charter.</w:t>
      </w:r>
    </w:p>
    <w:p>
      <w:pPr>
        <w:spacing w:after="0" w:line="167" w:lineRule="exact"/>
        <w:rPr>
          <w:sz w:val="20"/>
          <w:szCs w:val="20"/>
          <w:color w:val="auto"/>
        </w:rPr>
      </w:pPr>
    </w:p>
    <w:p>
      <w:pPr>
        <w:ind w:right="20" w:firstLine="621"/>
        <w:spacing w:after="0" w:line="279" w:lineRule="auto"/>
        <w:rPr>
          <w:sz w:val="20"/>
          <w:szCs w:val="20"/>
          <w:color w:val="auto"/>
        </w:rPr>
      </w:pPr>
      <w:r>
        <w:rPr>
          <w:rFonts w:ascii="Arial" w:cs="Arial" w:eastAsia="Arial" w:hAnsi="Arial"/>
          <w:sz w:val="16"/>
          <w:szCs w:val="16"/>
          <w:b w:val="1"/>
          <w:bCs w:val="1"/>
          <w:color w:val="auto"/>
        </w:rPr>
        <w:t xml:space="preserve">YOUR VOTE IS IMPORTANT. </w:t>
      </w:r>
      <w:r>
        <w:rPr>
          <w:rFonts w:ascii="Arial" w:cs="Arial" w:eastAsia="Arial" w:hAnsi="Arial"/>
          <w:sz w:val="16"/>
          <w:szCs w:val="16"/>
          <w:color w:val="auto"/>
        </w:rPr>
        <w:t>Approval of the Proposed Charter Amendment requires the affirmative vote of a majority of the shares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Your failure to vote on this matter will constitute a vote AGAINST this very important corporate governance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123825</wp:posOffset>
            </wp:positionV>
            <wp:extent cx="5355590" cy="1417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355590" cy="1417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350" w:lineRule="exact"/>
        <w:rPr>
          <w:sz w:val="20"/>
          <w:szCs w:val="20"/>
          <w:color w:val="auto"/>
        </w:rPr>
      </w:pPr>
    </w:p>
    <w:p>
      <w:pPr>
        <w:ind w:left="4840"/>
        <w:spacing w:after="0"/>
        <w:rPr>
          <w:sz w:val="20"/>
          <w:szCs w:val="20"/>
          <w:color w:val="auto"/>
        </w:rPr>
      </w:pPr>
      <w:r>
        <w:rPr>
          <w:rFonts w:ascii="Arial" w:cs="Arial" w:eastAsia="Arial" w:hAnsi="Arial"/>
          <w:sz w:val="20"/>
          <w:szCs w:val="20"/>
          <w:b w:val="1"/>
          <w:bCs w:val="1"/>
          <w:color w:val="00ACD2"/>
        </w:rPr>
        <w:t>PROPOSAL NO. 5</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00ACD2"/>
        </w:rPr>
        <w:t>Ratification of Selection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5868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9" w:lineRule="exact"/>
        <w:rPr>
          <w:sz w:val="20"/>
          <w:szCs w:val="20"/>
          <w:color w:val="auto"/>
        </w:rPr>
      </w:pPr>
    </w:p>
    <w:p>
      <w:pPr>
        <w:ind w:right="40" w:firstLine="621"/>
        <w:spacing w:after="0" w:line="244" w:lineRule="auto"/>
        <w:rPr>
          <w:sz w:val="20"/>
          <w:szCs w:val="20"/>
          <w:color w:val="auto"/>
        </w:rPr>
      </w:pPr>
      <w:r>
        <w:rPr>
          <w:rFonts w:ascii="Arial" w:cs="Arial" w:eastAsia="Arial" w:hAnsi="Arial"/>
          <w:sz w:val="16"/>
          <w:szCs w:val="16"/>
          <w:color w:val="auto"/>
        </w:rPr>
        <w:t>The Audit Committee is directly responsible for the appointment, compensation, retention, oversight and replacement of Uniti's independent registered public accountant. The Audit Committee has selected PricewaterhouseCoopers LLP ("PwC") to serve as Uniti's independent registered public accounting firm for the fiscal year ending December 31, 2018. Stockholders are being asked to ratify the selection of PwC at the Annual Meeting. Representatives of PwC are expected to attend the Annual Meeting and will have an opportunity to make a statement, if they desire to do so, and are expected to be available to respond to appropriate questions.</w:t>
      </w:r>
    </w:p>
    <w:p>
      <w:pPr>
        <w:spacing w:after="0" w:line="187" w:lineRule="exact"/>
        <w:rPr>
          <w:sz w:val="20"/>
          <w:szCs w:val="20"/>
          <w:color w:val="auto"/>
        </w:rPr>
      </w:pPr>
    </w:p>
    <w:p>
      <w:pPr>
        <w:ind w:right="120" w:firstLine="624"/>
        <w:spacing w:after="0" w:line="243" w:lineRule="auto"/>
        <w:rPr>
          <w:sz w:val="20"/>
          <w:szCs w:val="20"/>
          <w:color w:val="auto"/>
        </w:rPr>
      </w:pPr>
      <w:r>
        <w:rPr>
          <w:rFonts w:ascii="Arial" w:cs="Arial" w:eastAsia="Arial" w:hAnsi="Arial"/>
          <w:sz w:val="16"/>
          <w:szCs w:val="16"/>
          <w:color w:val="auto"/>
        </w:rPr>
        <w:t>PwC has served as Uniti's independent registered public accountant in connection with the audit of the Company's financial statements since its inception as a public company. In connection with its responsibility for the appointment and oversight of Uniti's independent registered public accountant, the Audit Committee annually reviews the qualifications, performance and independence of PwC and determines whether to re-engage PwC or consider other audit firms. The Audit Committee also reviews the performance of PwC's lead engagement partner and engagement team and confirms PwC's compliance with all applicable lead engagement partner rotation requirements. The Audit Committee intends to be involved in the selection process of each new lead engagement partner.</w:t>
      </w:r>
    </w:p>
    <w:p>
      <w:pPr>
        <w:spacing w:after="0" w:line="189" w:lineRule="exact"/>
        <w:rPr>
          <w:sz w:val="20"/>
          <w:szCs w:val="20"/>
          <w:color w:val="auto"/>
        </w:rPr>
      </w:pPr>
    </w:p>
    <w:p>
      <w:pPr>
        <w:ind w:firstLine="624"/>
        <w:spacing w:after="0" w:line="243" w:lineRule="auto"/>
        <w:rPr>
          <w:sz w:val="20"/>
          <w:szCs w:val="20"/>
          <w:color w:val="auto"/>
        </w:rPr>
      </w:pPr>
      <w:r>
        <w:rPr>
          <w:rFonts w:ascii="Arial" w:cs="Arial" w:eastAsia="Arial" w:hAnsi="Arial"/>
          <w:sz w:val="16"/>
          <w:szCs w:val="16"/>
          <w:color w:val="auto"/>
        </w:rPr>
        <w:t>In performing its annual review of PwC, the Audit Committee considers, among other things, the quality and efficiency of PwC's performance on Uniti's audit, PwC's familiarity with our operations, businesses, accounting policies and practices, and internal control over financial reporting, PwC's capability and expertise, the quality and candor of communications and discussions with PwC, the ability of PwC to remain independent (including engaging in dialogue with the auditor with respect to any disclosed relationships or services that may impact the objectivity and independence of the auditor), external data relating to audit quality and performance (including its most recent PCAOB Inspection Report and its internal and peer review reports of its adherence to quality practices and procedures), and the appropriateness of fees charged.</w:t>
      </w:r>
    </w:p>
    <w:p>
      <w:pPr>
        <w:spacing w:after="0" w:line="189" w:lineRule="exact"/>
        <w:rPr>
          <w:sz w:val="20"/>
          <w:szCs w:val="20"/>
          <w:color w:val="auto"/>
        </w:rPr>
      </w:pPr>
    </w:p>
    <w:p>
      <w:pPr>
        <w:ind w:right="180" w:firstLine="624"/>
        <w:spacing w:after="0" w:line="253" w:lineRule="auto"/>
        <w:rPr>
          <w:sz w:val="20"/>
          <w:szCs w:val="20"/>
          <w:color w:val="auto"/>
        </w:rPr>
      </w:pPr>
      <w:r>
        <w:rPr>
          <w:rFonts w:ascii="Arial" w:cs="Arial" w:eastAsia="Arial" w:hAnsi="Arial"/>
          <w:sz w:val="16"/>
          <w:szCs w:val="16"/>
          <w:color w:val="auto"/>
        </w:rPr>
        <w:t>Based on the reviews and considerations referred to above, the Board of Directors and the Audit Committee believe that the retention of PwC to serve as Uniti's independent registered public accountant for 2018 is in the best interests of Uniti and its stockholders.</w:t>
      </w:r>
    </w:p>
    <w:p>
      <w:pPr>
        <w:spacing w:after="0" w:line="179" w:lineRule="exact"/>
        <w:rPr>
          <w:sz w:val="20"/>
          <w:szCs w:val="20"/>
          <w:color w:val="auto"/>
        </w:rPr>
      </w:pPr>
    </w:p>
    <w:p>
      <w:pPr>
        <w:jc w:val="both"/>
        <w:ind w:right="260" w:firstLine="624"/>
        <w:spacing w:after="0" w:line="247" w:lineRule="auto"/>
        <w:rPr>
          <w:sz w:val="20"/>
          <w:szCs w:val="20"/>
          <w:color w:val="auto"/>
        </w:rPr>
      </w:pPr>
      <w:r>
        <w:rPr>
          <w:rFonts w:ascii="Arial" w:cs="Arial" w:eastAsia="Arial" w:hAnsi="Arial"/>
          <w:sz w:val="16"/>
          <w:szCs w:val="16"/>
          <w:color w:val="auto"/>
        </w:rPr>
        <w:t>If the stockholders fail to ratify the appointment of PwC as Uniti's independent registered public accountant, the Board of Directors will reconsider the appointment. However, even if the selection is ratified, the Audit Committee, in its sole discretion, may change the appointment at any time during the year if it determines that such a change would be in the best interests of Uniti and its stockholders.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78" w:lineRule="exact"/>
        <w:rPr>
          <w:sz w:val="20"/>
          <w:szCs w:val="20"/>
          <w:color w:val="auto"/>
        </w:rPr>
      </w:pPr>
    </w:p>
    <w:p>
      <w:pPr>
        <w:ind w:left="620"/>
        <w:spacing w:after="0"/>
        <w:tabs>
          <w:tab w:leader="none" w:pos="3140" w:val="left"/>
        </w:tabs>
        <w:rPr>
          <w:sz w:val="20"/>
          <w:szCs w:val="20"/>
          <w:color w:val="auto"/>
        </w:rPr>
      </w:pPr>
      <w:r>
        <w:rPr>
          <w:rFonts w:ascii="Arial" w:cs="Arial" w:eastAsia="Arial" w:hAnsi="Arial"/>
          <w:sz w:val="16"/>
          <w:szCs w:val="16"/>
          <w:b w:val="1"/>
          <w:bCs w:val="1"/>
          <w:color w:val="auto"/>
        </w:rPr>
        <w:t>Accounting Fees and Services.</w:t>
      </w:r>
      <w:r>
        <w:rPr>
          <w:sz w:val="20"/>
          <w:szCs w:val="20"/>
          <w:color w:val="auto"/>
        </w:rPr>
        <w:tab/>
      </w:r>
      <w:r>
        <w:rPr>
          <w:rFonts w:ascii="Arial" w:cs="Arial" w:eastAsia="Arial" w:hAnsi="Arial"/>
          <w:sz w:val="16"/>
          <w:szCs w:val="16"/>
          <w:color w:val="auto"/>
        </w:rPr>
        <w:t>Aggregate fees paid to PwC for professional services rendered during the years ended December 31, 2017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were:</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202"/>
        </w:trPr>
        <w:tc>
          <w:tcPr>
            <w:tcW w:w="21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177"/>
        </w:trPr>
        <w:tc>
          <w:tcPr>
            <w:tcW w:w="5600" w:type="dxa"/>
            <w:vAlign w:val="bottom"/>
            <w:gridSpan w:val="2"/>
          </w:tcPr>
          <w:p>
            <w:pPr>
              <w:spacing w:after="0" w:line="178" w:lineRule="exact"/>
              <w:rPr>
                <w:sz w:val="20"/>
                <w:szCs w:val="20"/>
                <w:color w:val="auto"/>
              </w:rPr>
            </w:pPr>
            <w:r>
              <w:rPr>
                <w:rFonts w:ascii="Arial" w:cs="Arial" w:eastAsia="Arial" w:hAnsi="Arial"/>
                <w:sz w:val="16"/>
                <w:szCs w:val="16"/>
                <w:color w:val="auto"/>
              </w:rPr>
              <w:t>Audit Fees (a)</w:t>
            </w:r>
          </w:p>
        </w:tc>
        <w:tc>
          <w:tcPr>
            <w:tcW w:w="200" w:type="dxa"/>
            <w:vAlign w:val="bottom"/>
          </w:tcPr>
          <w:p>
            <w:pPr>
              <w:jc w:val="right"/>
              <w:ind w:right="20"/>
              <w:spacing w:after="0" w:line="178" w:lineRule="exact"/>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40"/>
              <w:spacing w:after="0" w:line="178" w:lineRule="exact"/>
              <w:rPr>
                <w:sz w:val="20"/>
                <w:szCs w:val="20"/>
                <w:color w:val="auto"/>
              </w:rPr>
            </w:pPr>
            <w:r>
              <w:rPr>
                <w:rFonts w:ascii="Arial" w:cs="Arial" w:eastAsia="Arial" w:hAnsi="Arial"/>
                <w:sz w:val="16"/>
                <w:szCs w:val="16"/>
                <w:color w:val="auto"/>
              </w:rPr>
              <w:t>1,918,984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78" w:lineRule="exact"/>
              <w:rPr>
                <w:sz w:val="20"/>
                <w:szCs w:val="20"/>
                <w:color w:val="auto"/>
              </w:rPr>
            </w:pPr>
            <w:r>
              <w:rPr>
                <w:rFonts w:ascii="Arial" w:cs="Arial" w:eastAsia="Arial" w:hAnsi="Arial"/>
                <w:sz w:val="16"/>
                <w:szCs w:val="16"/>
                <w:color w:val="auto"/>
              </w:rPr>
              <w:t>1,163,000</w:t>
            </w:r>
          </w:p>
        </w:tc>
        <w:tc>
          <w:tcPr>
            <w:tcW w:w="0" w:type="dxa"/>
            <w:vAlign w:val="bottom"/>
          </w:tcPr>
          <w:p>
            <w:pPr>
              <w:spacing w:after="0"/>
              <w:rPr>
                <w:sz w:val="1"/>
                <w:szCs w:val="1"/>
                <w:color w:val="auto"/>
              </w:rPr>
            </w:pPr>
          </w:p>
        </w:tc>
      </w:tr>
      <w:tr>
        <w:trPr>
          <w:trHeight w:val="185"/>
        </w:trPr>
        <w:tc>
          <w:tcPr>
            <w:tcW w:w="5600" w:type="dxa"/>
            <w:vAlign w:val="bottom"/>
            <w:gridSpan w:val="2"/>
            <w:shd w:val="clear" w:color="auto" w:fill="BFBFBF"/>
          </w:tcPr>
          <w:p>
            <w:pPr>
              <w:spacing w:after="0"/>
              <w:rPr>
                <w:sz w:val="20"/>
                <w:szCs w:val="20"/>
                <w:color w:val="auto"/>
              </w:rPr>
            </w:pPr>
            <w:r>
              <w:rPr>
                <w:rFonts w:ascii="Arial" w:cs="Arial" w:eastAsia="Arial" w:hAnsi="Arial"/>
                <w:sz w:val="16"/>
                <w:szCs w:val="16"/>
                <w:color w:val="auto"/>
              </w:rPr>
              <w:t>Audit-Related Fees (b)</w:t>
            </w:r>
          </w:p>
        </w:tc>
        <w:tc>
          <w:tcPr>
            <w:tcW w:w="200" w:type="dxa"/>
            <w:vAlign w:val="bottom"/>
            <w:shd w:val="clear" w:color="auto" w:fill="BFBFBF"/>
          </w:tcPr>
          <w:p>
            <w:pPr>
              <w:spacing w:after="0"/>
              <w:rPr>
                <w:sz w:val="16"/>
                <w:szCs w:val="16"/>
                <w:color w:val="auto"/>
              </w:rPr>
            </w:pPr>
          </w:p>
        </w:tc>
        <w:tc>
          <w:tcPr>
            <w:tcW w:w="980" w:type="dxa"/>
            <w:vAlign w:val="bottom"/>
            <w:gridSpan w:val="2"/>
            <w:shd w:val="clear" w:color="auto" w:fill="BFBFBF"/>
          </w:tcPr>
          <w:p>
            <w:pPr>
              <w:jc w:val="right"/>
              <w:ind w:right="140"/>
              <w:spacing w:after="0"/>
              <w:rPr>
                <w:sz w:val="20"/>
                <w:szCs w:val="20"/>
                <w:color w:val="auto"/>
              </w:rPr>
            </w:pPr>
            <w:r>
              <w:rPr>
                <w:rFonts w:ascii="Arial" w:cs="Arial" w:eastAsia="Arial" w:hAnsi="Arial"/>
                <w:sz w:val="16"/>
                <w:szCs w:val="16"/>
                <w:color w:val="auto"/>
              </w:rPr>
              <w:t>88,324</w:t>
            </w:r>
          </w:p>
        </w:tc>
        <w:tc>
          <w:tcPr>
            <w:tcW w:w="220" w:type="dxa"/>
            <w:vAlign w:val="bottom"/>
            <w:shd w:val="clear" w:color="auto" w:fill="BFBFBF"/>
          </w:tcPr>
          <w:p>
            <w:pPr>
              <w:spacing w:after="0"/>
              <w:rPr>
                <w:sz w:val="16"/>
                <w:szCs w:val="16"/>
                <w:color w:val="auto"/>
              </w:rPr>
            </w:pPr>
          </w:p>
        </w:tc>
        <w:tc>
          <w:tcPr>
            <w:tcW w:w="8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837,970</w:t>
            </w:r>
          </w:p>
        </w:tc>
        <w:tc>
          <w:tcPr>
            <w:tcW w:w="0" w:type="dxa"/>
            <w:vAlign w:val="bottom"/>
          </w:tcPr>
          <w:p>
            <w:pPr>
              <w:spacing w:after="0"/>
              <w:rPr>
                <w:sz w:val="1"/>
                <w:szCs w:val="1"/>
                <w:color w:val="auto"/>
              </w:rPr>
            </w:pPr>
          </w:p>
        </w:tc>
      </w:tr>
      <w:tr>
        <w:trPr>
          <w:trHeight w:val="185"/>
        </w:trPr>
        <w:tc>
          <w:tcPr>
            <w:tcW w:w="5600" w:type="dxa"/>
            <w:vAlign w:val="bottom"/>
            <w:gridSpan w:val="2"/>
          </w:tcPr>
          <w:p>
            <w:pPr>
              <w:spacing w:after="0"/>
              <w:rPr>
                <w:sz w:val="20"/>
                <w:szCs w:val="20"/>
                <w:color w:val="auto"/>
              </w:rPr>
            </w:pPr>
            <w:r>
              <w:rPr>
                <w:rFonts w:ascii="Arial" w:cs="Arial" w:eastAsia="Arial" w:hAnsi="Arial"/>
                <w:sz w:val="16"/>
                <w:szCs w:val="16"/>
                <w:color w:val="auto"/>
              </w:rPr>
              <w:t>Tax Fees</w:t>
            </w:r>
          </w:p>
        </w:tc>
        <w:tc>
          <w:tcPr>
            <w:tcW w:w="2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5600" w:type="dxa"/>
            <w:vAlign w:val="bottom"/>
            <w:gridSpan w:val="2"/>
            <w:shd w:val="clear" w:color="auto" w:fill="BFBFBF"/>
          </w:tcPr>
          <w:p>
            <w:pPr>
              <w:spacing w:after="0"/>
              <w:rPr>
                <w:sz w:val="20"/>
                <w:szCs w:val="20"/>
                <w:color w:val="auto"/>
              </w:rPr>
            </w:pPr>
            <w:r>
              <w:rPr>
                <w:rFonts w:ascii="Arial" w:cs="Arial" w:eastAsia="Arial" w:hAnsi="Arial"/>
                <w:sz w:val="16"/>
                <w:szCs w:val="16"/>
                <w:color w:val="auto"/>
              </w:rPr>
              <w:t>All Other Fees (c)</w:t>
            </w:r>
          </w:p>
        </w:tc>
        <w:tc>
          <w:tcPr>
            <w:tcW w:w="200" w:type="dxa"/>
            <w:vAlign w:val="bottom"/>
            <w:shd w:val="clear" w:color="auto" w:fill="BFBFBF"/>
          </w:tcPr>
          <w:p>
            <w:pPr>
              <w:spacing w:after="0"/>
              <w:rPr>
                <w:sz w:val="16"/>
                <w:szCs w:val="16"/>
                <w:color w:val="auto"/>
              </w:rPr>
            </w:pPr>
          </w:p>
        </w:tc>
        <w:tc>
          <w:tcPr>
            <w:tcW w:w="980" w:type="dxa"/>
            <w:vAlign w:val="bottom"/>
            <w:gridSpan w:val="2"/>
            <w:shd w:val="clear" w:color="auto" w:fill="BFBFBF"/>
          </w:tcPr>
          <w:p>
            <w:pPr>
              <w:jc w:val="right"/>
              <w:ind w:right="140"/>
              <w:spacing w:after="0"/>
              <w:rPr>
                <w:sz w:val="20"/>
                <w:szCs w:val="20"/>
                <w:color w:val="auto"/>
              </w:rPr>
            </w:pPr>
            <w:r>
              <w:rPr>
                <w:rFonts w:ascii="Arial" w:cs="Arial" w:eastAsia="Arial" w:hAnsi="Arial"/>
                <w:sz w:val="16"/>
                <w:szCs w:val="16"/>
                <w:color w:val="auto"/>
              </w:rPr>
              <w:t>3,600</w:t>
            </w:r>
          </w:p>
        </w:tc>
        <w:tc>
          <w:tcPr>
            <w:tcW w:w="220" w:type="dxa"/>
            <w:vAlign w:val="bottom"/>
            <w:shd w:val="clear" w:color="auto" w:fill="BFBFBF"/>
          </w:tcPr>
          <w:p>
            <w:pPr>
              <w:spacing w:after="0"/>
              <w:rPr>
                <w:sz w:val="16"/>
                <w:szCs w:val="16"/>
                <w:color w:val="auto"/>
              </w:rPr>
            </w:pPr>
          </w:p>
        </w:tc>
        <w:tc>
          <w:tcPr>
            <w:tcW w:w="8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3,600</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6"/>
                <w:szCs w:val="16"/>
                <w:color w:val="auto"/>
              </w:rPr>
              <w:t>Total</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00" w:type="dxa"/>
            <w:vAlign w:val="bottom"/>
            <w:gridSpan w:val="2"/>
            <w:vMerge w:val="continue"/>
          </w:tcPr>
          <w:p>
            <w:pPr>
              <w:spacing w:after="0"/>
              <w:rPr>
                <w:sz w:val="16"/>
                <w:szCs w:val="16"/>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2,010,908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2,004,570</w:t>
            </w:r>
          </w:p>
        </w:tc>
        <w:tc>
          <w:tcPr>
            <w:tcW w:w="0" w:type="dxa"/>
            <w:vAlign w:val="bottom"/>
          </w:tcPr>
          <w:p>
            <w:pPr>
              <w:spacing w:after="0"/>
              <w:rPr>
                <w:sz w:val="1"/>
                <w:szCs w:val="1"/>
                <w:color w:val="auto"/>
              </w:rPr>
            </w:pPr>
          </w:p>
        </w:tc>
      </w:tr>
      <w:tr>
        <w:trPr>
          <w:trHeight w:val="88"/>
        </w:trPr>
        <w:tc>
          <w:tcPr>
            <w:tcW w:w="2100" w:type="dxa"/>
            <w:vAlign w:val="bottom"/>
            <w:tcBorders>
              <w:bottom w:val="single" w:sz="8" w:color="auto"/>
            </w:tcBorders>
          </w:tcPr>
          <w:p>
            <w:pPr>
              <w:spacing w:after="0"/>
              <w:rPr>
                <w:sz w:val="7"/>
                <w:szCs w:val="7"/>
                <w:color w:val="auto"/>
              </w:rPr>
            </w:pPr>
          </w:p>
        </w:tc>
        <w:tc>
          <w:tcPr>
            <w:tcW w:w="3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200" w:right="160" w:hanging="487"/>
        <w:spacing w:after="0" w:line="253" w:lineRule="auto"/>
        <w:tabs>
          <w:tab w:leader="none" w:pos="22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Audit fees include fees for the annual audit and quarterly reviews of the consolidated financial statements as well as consents in respect to SEC filings.</w:t>
      </w:r>
    </w:p>
    <w:p>
      <w:pPr>
        <w:spacing w:after="0" w:line="179" w:lineRule="exact"/>
        <w:rPr>
          <w:rFonts w:ascii="Arial" w:cs="Arial" w:eastAsia="Arial" w:hAnsi="Arial"/>
          <w:sz w:val="16"/>
          <w:szCs w:val="16"/>
          <w:color w:val="auto"/>
        </w:rPr>
      </w:pPr>
    </w:p>
    <w:p>
      <w:pPr>
        <w:ind w:left="2200" w:right="20" w:hanging="487"/>
        <w:spacing w:after="0" w:line="253" w:lineRule="auto"/>
        <w:tabs>
          <w:tab w:leader="none" w:pos="22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Audited-related fees include fees for assurance and related services that are reasonably related to the performance of the audit or review of the registrant's financial statements, and accounting and financial reporting consultations.</w:t>
      </w:r>
    </w:p>
    <w:p>
      <w:pPr>
        <w:spacing w:after="0" w:line="166" w:lineRule="exact"/>
        <w:rPr>
          <w:rFonts w:ascii="Arial" w:cs="Arial" w:eastAsia="Arial" w:hAnsi="Arial"/>
          <w:sz w:val="16"/>
          <w:szCs w:val="16"/>
          <w:color w:val="auto"/>
        </w:rPr>
      </w:pPr>
    </w:p>
    <w:p>
      <w:pPr>
        <w:ind w:left="2200" w:hanging="487"/>
        <w:spacing w:after="0"/>
        <w:tabs>
          <w:tab w:leader="none" w:pos="22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All other fees are comprised of fees for licensing PwC's web-based accounting research software program.</w:t>
      </w:r>
    </w:p>
    <w:p>
      <w:pPr>
        <w:spacing w:after="0" w:line="198" w:lineRule="exact"/>
        <w:rPr>
          <w:sz w:val="20"/>
          <w:szCs w:val="20"/>
          <w:color w:val="auto"/>
        </w:rPr>
      </w:pPr>
    </w:p>
    <w:p>
      <w:pPr>
        <w:ind w:firstLine="621"/>
        <w:spacing w:after="0" w:line="247" w:lineRule="auto"/>
        <w:rPr>
          <w:sz w:val="20"/>
          <w:szCs w:val="20"/>
          <w:color w:val="auto"/>
        </w:rPr>
      </w:pPr>
      <w:r>
        <w:rPr>
          <w:rFonts w:ascii="Arial" w:cs="Arial" w:eastAsia="Arial" w:hAnsi="Arial"/>
          <w:sz w:val="16"/>
          <w:szCs w:val="16"/>
          <w:color w:val="auto"/>
        </w:rPr>
        <w:t xml:space="preserve">The Audit Committee has the sole authority to pre-approve all audit engagement fees and terms as well as all non-audit engagements with PwC. In 2016 and 2017, all of the above services were pre-approved by the Audit Committee in accordance with this pre-approval policy and none were approved pursuant to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 provided in Rule 2-01(c)(7)(i)(C) of Regulation S-X promulgated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114935</wp:posOffset>
            </wp:positionV>
            <wp:extent cx="5355590" cy="1417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355590" cy="1417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0ACD2"/>
        </w:rPr>
        <w:t>ADDITIONAL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ACD2"/>
        </w:rPr>
        <w:t>Stockholder Proposals for the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5868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5" w:lineRule="exact"/>
        <w:rPr>
          <w:sz w:val="20"/>
          <w:szCs w:val="20"/>
          <w:color w:val="auto"/>
        </w:rPr>
      </w:pPr>
    </w:p>
    <w:p>
      <w:pPr>
        <w:ind w:right="180" w:firstLine="624"/>
        <w:spacing w:after="0" w:line="248" w:lineRule="auto"/>
        <w:rPr>
          <w:sz w:val="20"/>
          <w:szCs w:val="20"/>
          <w:color w:val="auto"/>
        </w:rPr>
      </w:pPr>
      <w:r>
        <w:rPr>
          <w:rFonts w:ascii="Arial" w:cs="Arial" w:eastAsia="Arial" w:hAnsi="Arial"/>
          <w:sz w:val="16"/>
          <w:szCs w:val="16"/>
          <w:color w:val="auto"/>
        </w:rPr>
        <w:t>Stockholders who intend to present proposals at the 2019 annual meeting of stockholders (the "2019 Annual Meeting"), and who wish to have those proposals included in Uniti's proxy statement for the 2019 Annual Meeting, must ensure that those proposals are received at Uniti's principal executive offices located at 10802 Executive Center Drive, Benton Building, Suite 300, Little Rock, Arkansas 72211, Attention: Daniel L. Heard, Executive Vice President – General Counsel and Secretary, no later than December [ · ], 2018. Such proposals must meet the requirements set forth in the rules and regulations of the SEC in order to be eligible for inclusion in the proxy statement for the 2019 Annual Meeting.</w:t>
      </w:r>
    </w:p>
    <w:p>
      <w:pPr>
        <w:spacing w:after="0" w:line="184" w:lineRule="exact"/>
        <w:rPr>
          <w:sz w:val="20"/>
          <w:szCs w:val="20"/>
          <w:color w:val="auto"/>
        </w:rPr>
      </w:pPr>
    </w:p>
    <w:p>
      <w:pPr>
        <w:ind w:right="200" w:firstLine="624"/>
        <w:spacing w:after="0" w:line="250" w:lineRule="auto"/>
        <w:rPr>
          <w:sz w:val="20"/>
          <w:szCs w:val="20"/>
          <w:color w:val="auto"/>
        </w:rPr>
      </w:pPr>
      <w:r>
        <w:rPr>
          <w:rFonts w:ascii="Arial" w:cs="Arial" w:eastAsia="Arial" w:hAnsi="Arial"/>
          <w:sz w:val="16"/>
          <w:szCs w:val="16"/>
          <w:color w:val="auto"/>
        </w:rPr>
        <w:t>In addition, under Uniti's bylaws, stockholders who intend to submit a proposal regarding a director nomination or other matter of business at the 2019 Annual Meeting, and who do not intend to have such proposal included in Uniti's proxy statement for the 2019 Annual Meeting, must ensure that notice of any such proposal is received by Uniti's Secretary, Daniel L. Heard, at the address set forth above no earlier than November [ · ], 2018 and not later than 5:00 p.m., Central time, on December [ · ], 2018. The stockholder notice must comply with the information requirements set forth in Uniti's bylaws.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00ACD2"/>
        </w:rPr>
        <w:t>Stockholder Communications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5868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5" w:lineRule="exact"/>
        <w:rPr>
          <w:sz w:val="20"/>
          <w:szCs w:val="20"/>
          <w:color w:val="auto"/>
        </w:rPr>
      </w:pPr>
    </w:p>
    <w:p>
      <w:pPr>
        <w:ind w:right="60" w:firstLine="624"/>
        <w:spacing w:after="0" w:line="243" w:lineRule="auto"/>
        <w:rPr>
          <w:sz w:val="20"/>
          <w:szCs w:val="20"/>
          <w:color w:val="auto"/>
        </w:rPr>
      </w:pPr>
      <w:r>
        <w:rPr>
          <w:rFonts w:ascii="Arial" w:cs="Arial" w:eastAsia="Arial" w:hAnsi="Arial"/>
          <w:sz w:val="16"/>
          <w:szCs w:val="16"/>
          <w:color w:val="auto"/>
        </w:rPr>
        <w:t>Stockholders and other interested parties may contact the Board of Directors, a Board Committee, a particular group of directors (e.g., our independent directors), or individual members of the board, including our Chairman, by mail addressed to the named individual, the committee, the group or the Board as a whole c/o Daniel L. Heard, Executive Vice President – General Counsel and Secretary, at 10802 Executive Center Drive, Benton Building, Suite 300, Little Rock, Arkansas 72211. In general, any communication delivered to the Company for forwarding to the Board, a Board committee, a particular group of directors or specified Board members will be forwarded in accordance with the stockholder's instruction, except that we reserve the right not to forward any abusive, threatening or otherwise inappropriate materials.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00ACD2"/>
        </w:rPr>
        <w:t>Relationships and Certain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5868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00ACD2"/>
        </w:rPr>
        <w:t>Our Relationship with Windstream</w:t>
      </w:r>
    </w:p>
    <w:p>
      <w:pPr>
        <w:spacing w:after="0" w:line="198" w:lineRule="exact"/>
        <w:rPr>
          <w:sz w:val="20"/>
          <w:szCs w:val="20"/>
          <w:color w:val="auto"/>
        </w:rPr>
      </w:pPr>
    </w:p>
    <w:p>
      <w:pPr>
        <w:ind w:right="40" w:firstLine="624"/>
        <w:spacing w:after="0" w:line="247" w:lineRule="auto"/>
        <w:rPr>
          <w:sz w:val="20"/>
          <w:szCs w:val="20"/>
          <w:color w:val="auto"/>
        </w:rPr>
      </w:pPr>
      <w:r>
        <w:rPr>
          <w:rFonts w:ascii="Arial" w:cs="Arial" w:eastAsia="Arial" w:hAnsi="Arial"/>
          <w:sz w:val="16"/>
          <w:szCs w:val="16"/>
          <w:color w:val="auto"/>
        </w:rPr>
        <w:t>On April 24, 2015, Uniti was separated and spun-off from Windstream and, in connection therewith, Windstream contributed certain telecommunications network assets, including certain of its fiber and copper networks, to Uniti. The current Chief Financial Officer of Windstream (Bob Gunderman) is the brother of our President and Chief Executive Officer (Kenneth Gunderman).</w:t>
      </w:r>
    </w:p>
    <w:p>
      <w:pPr>
        <w:spacing w:after="0" w:line="184" w:lineRule="exact"/>
        <w:rPr>
          <w:sz w:val="20"/>
          <w:szCs w:val="20"/>
          <w:color w:val="auto"/>
        </w:rPr>
      </w:pPr>
    </w:p>
    <w:p>
      <w:pPr>
        <w:ind w:firstLine="624"/>
        <w:spacing w:after="0" w:line="245" w:lineRule="auto"/>
        <w:rPr>
          <w:sz w:val="20"/>
          <w:szCs w:val="20"/>
          <w:color w:val="auto"/>
        </w:rPr>
      </w:pPr>
      <w:r>
        <w:rPr>
          <w:rFonts w:ascii="Arial" w:cs="Arial" w:eastAsia="Arial" w:hAnsi="Arial"/>
          <w:sz w:val="16"/>
          <w:szCs w:val="16"/>
          <w:color w:val="auto"/>
        </w:rPr>
        <w:t>In connection with the spin-off and while we were still controlled by Windstream, Uniti entered into a long-term triple-net master lease with Windstream to lease back the telecommunications network assets now owned by Uniti. Under the terms of the master lease, Windstream has the exclusive right to use the telecommunications network assets for an initial term of 15 years with up to four, five-year renewal options. During 2017, Uniti collected approximately $653.5 million in rent under the lease. The annual rent to be paid by Windstream during 2018 will be approximately $655.7 million.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00ACD2"/>
        </w:rPr>
        <w:t>Procedures for Approval of Related Party Transactions</w:t>
      </w:r>
    </w:p>
    <w:p>
      <w:pPr>
        <w:spacing w:after="0" w:line="198" w:lineRule="exact"/>
        <w:rPr>
          <w:sz w:val="20"/>
          <w:szCs w:val="20"/>
          <w:color w:val="auto"/>
        </w:rPr>
      </w:pPr>
    </w:p>
    <w:p>
      <w:pPr>
        <w:ind w:firstLine="624"/>
        <w:spacing w:after="0" w:line="244" w:lineRule="auto"/>
        <w:rPr>
          <w:sz w:val="20"/>
          <w:szCs w:val="20"/>
          <w:color w:val="auto"/>
        </w:rPr>
      </w:pPr>
      <w:r>
        <w:rPr>
          <w:rFonts w:ascii="Arial" w:cs="Arial" w:eastAsia="Arial" w:hAnsi="Arial"/>
          <w:sz w:val="16"/>
          <w:szCs w:val="16"/>
          <w:color w:val="auto"/>
        </w:rPr>
        <w:t>Our Board of Directors adopted a written policy regarding the review and approval of any related party transaction required to be disclosed under SEC rules. The Audit Committee of the Board of Directors is responsible for the review and approval of transactions covered by the policy. As provided in the policy and the Audit Committee's charter, no related party transaction will be approved unless it is (a) deemed commercially reasonable, fair and in, or not inconsistent with, the best interest of Uniti; and (b) determined to have terms comparable to those that could be obtained in an arm's-length transaction with an unrelated third party.</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Except as noted above, there were no commercial transactions between related parties and Uniti that required disclosure in this Proxy Statement.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0ACD2"/>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5868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5" w:lineRule="exact"/>
        <w:rPr>
          <w:sz w:val="20"/>
          <w:szCs w:val="20"/>
          <w:color w:val="auto"/>
        </w:rPr>
      </w:pPr>
    </w:p>
    <w:p>
      <w:pPr>
        <w:ind w:firstLine="624"/>
        <w:spacing w:after="0" w:line="253" w:lineRule="auto"/>
        <w:rPr>
          <w:sz w:val="20"/>
          <w:szCs w:val="20"/>
          <w:color w:val="auto"/>
        </w:rPr>
      </w:pPr>
      <w:r>
        <w:rPr>
          <w:rFonts w:ascii="Arial" w:cs="Arial" w:eastAsia="Arial" w:hAnsi="Arial"/>
          <w:sz w:val="16"/>
          <w:szCs w:val="16"/>
          <w:color w:val="auto"/>
        </w:rPr>
        <w:t>Section 16(a) of the Exchange Act requires Uniti's directors and executive officers, and persons who own more than 10% of Uniti's common stock, to file reports of ownership and changes in ownership with the SEC. The Company currently knows of no person who owns 10% or more of our common stock.</w:t>
      </w:r>
    </w:p>
    <w:p>
      <w:pPr>
        <w:spacing w:after="0" w:line="179" w:lineRule="exact"/>
        <w:rPr>
          <w:sz w:val="20"/>
          <w:szCs w:val="20"/>
          <w:color w:val="auto"/>
        </w:rPr>
      </w:pPr>
    </w:p>
    <w:p>
      <w:pPr>
        <w:ind w:right="320" w:firstLine="624"/>
        <w:spacing w:after="0" w:line="247" w:lineRule="auto"/>
        <w:rPr>
          <w:sz w:val="20"/>
          <w:szCs w:val="20"/>
          <w:color w:val="auto"/>
        </w:rPr>
      </w:pPr>
      <w:r>
        <w:rPr>
          <w:rFonts w:ascii="Arial" w:cs="Arial" w:eastAsia="Arial" w:hAnsi="Arial"/>
          <w:sz w:val="16"/>
          <w:szCs w:val="16"/>
          <w:color w:val="auto"/>
        </w:rPr>
        <w:t>Based solely upon a review of copies of reports furnished to us and written representations from our directors and executive officers that no other reports were required with respect to the year ended December 31, 2017, we believe that all Section 16(a) filing requirements applicable to our directors and executive officers were met during the last fiscal year, except that a Form 4 for Mr. Gunderman to report an open market purchase was filed late.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0ACD2"/>
        </w:rPr>
        <w:t>Annual Report/Householding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5868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5" w:lineRule="exact"/>
        <w:rPr>
          <w:sz w:val="20"/>
          <w:szCs w:val="20"/>
          <w:color w:val="auto"/>
        </w:rPr>
      </w:pPr>
    </w:p>
    <w:p>
      <w:pPr>
        <w:ind w:right="140" w:firstLine="624"/>
        <w:spacing w:after="0" w:line="243" w:lineRule="auto"/>
        <w:rPr>
          <w:sz w:val="20"/>
          <w:szCs w:val="20"/>
          <w:color w:val="auto"/>
        </w:rPr>
      </w:pPr>
      <w:r>
        <w:rPr>
          <w:rFonts w:ascii="Arial" w:cs="Arial" w:eastAsia="Arial" w:hAnsi="Arial"/>
          <w:sz w:val="16"/>
          <w:szCs w:val="16"/>
          <w:color w:val="auto"/>
        </w:rPr>
        <w:t>Some banks, brokers and other nominee record stockholders may be participating in the practice of "householding" proxy statements and annual reports. This means that only one set of these documents may have been sent to multiple stockholders at a shared address. Additional copies of this Proxy Statement and our Annual Report on Form 10-K are available upon request by contacting Broadridge Householding Department by mail at 51 Mercedes Way, Edgewood, NY 11717, or by calling 1-800-542-1061, and providing your name, the name of each of your brokerage firms or banks where your shares are held, and your account numbers. If this option is not available to you, please contact your custodian bank or broker directly. Any stockholder who wants to receive separate copies of our proxy statement and annual report in the future, or any stockholder who is receiving multiple copies and would like to receive only one copy per household, should contact his, her or its bank, broker or other nominee record stockholder.</w:t>
      </w:r>
    </w:p>
    <w:p>
      <w:pPr>
        <w:spacing w:after="0" w:line="188" w:lineRule="exact"/>
        <w:rPr>
          <w:sz w:val="20"/>
          <w:szCs w:val="20"/>
          <w:color w:val="auto"/>
        </w:rPr>
      </w:pPr>
    </w:p>
    <w:p>
      <w:pPr>
        <w:jc w:val="both"/>
        <w:ind w:right="20" w:firstLine="624"/>
        <w:spacing w:after="0" w:line="247" w:lineRule="auto"/>
        <w:rPr>
          <w:sz w:val="20"/>
          <w:szCs w:val="20"/>
          <w:color w:val="auto"/>
        </w:rPr>
      </w:pPr>
      <w:r>
        <w:rPr>
          <w:rFonts w:ascii="Arial" w:cs="Arial" w:eastAsia="Arial" w:hAnsi="Arial"/>
          <w:sz w:val="16"/>
          <w:szCs w:val="16"/>
          <w:color w:val="auto"/>
        </w:rPr>
        <w:t xml:space="preserve">If you would like to receive an extra copy of the Annual Report or this Proxy Statement, we will send a copy to you by mail upon request to Uniti Investor Relations, 10802 Executive Center Drive, Benton Building, Suite 300, Little Rock, Arkansas 72211 or by calling (501) 850-0820. Each document is also available in digital form for download or review in the "Investors—SEC Filings—Annual Reports" section of our website at </w:t>
      </w:r>
      <w:r>
        <w:rPr>
          <w:rFonts w:ascii="Arial" w:cs="Arial" w:eastAsia="Arial" w:hAnsi="Arial"/>
          <w:sz w:val="16"/>
          <w:szCs w:val="16"/>
          <w:b w:val="1"/>
          <w:bCs w:val="1"/>
          <w:color w:val="00ACD2"/>
        </w:rPr>
        <w:t>www.uniti.com</w:t>
      </w:r>
      <w:r>
        <w:rPr>
          <w:rFonts w:ascii="Arial" w:cs="Arial" w:eastAsia="Arial" w:hAnsi="Arial"/>
          <w:sz w:val="16"/>
          <w:szCs w:val="16"/>
          <w:color w:val="auto"/>
        </w:rPr>
        <w: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0ACD2"/>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5868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35" w:lineRule="exact"/>
        <w:rPr>
          <w:sz w:val="20"/>
          <w:szCs w:val="20"/>
          <w:color w:val="auto"/>
        </w:rPr>
      </w:pPr>
    </w:p>
    <w:p>
      <w:pPr>
        <w:ind w:right="140" w:firstLine="621"/>
        <w:spacing w:after="0" w:line="247" w:lineRule="auto"/>
        <w:rPr>
          <w:sz w:val="20"/>
          <w:szCs w:val="20"/>
          <w:color w:val="auto"/>
        </w:rPr>
      </w:pPr>
      <w:r>
        <w:rPr>
          <w:rFonts w:ascii="Arial" w:cs="Arial" w:eastAsia="Arial" w:hAnsi="Arial"/>
          <w:sz w:val="16"/>
          <w:szCs w:val="16"/>
          <w:color w:val="auto"/>
        </w:rPr>
        <w:t>The management and the Board of Directors of Uniti do not know of any other matters that may come before the meeting. If any other matters properly come before the meeting, however, it is the intention of the persons named in the accompanying form of proxy to vote the proxy in accordance with their judgment on those matters. Discretionary authority to vote on other matters is included in the proxy.</w:t>
      </w:r>
    </w:p>
    <w:p>
      <w:pPr>
        <w:spacing w:after="0" w:line="184" w:lineRule="exact"/>
        <w:rPr>
          <w:sz w:val="20"/>
          <w:szCs w:val="20"/>
          <w:color w:val="auto"/>
        </w:rPr>
      </w:pPr>
    </w:p>
    <w:p>
      <w:pPr>
        <w:ind w:firstLine="624"/>
        <w:spacing w:after="0" w:line="247" w:lineRule="auto"/>
        <w:rPr>
          <w:sz w:val="20"/>
          <w:szCs w:val="20"/>
          <w:color w:val="auto"/>
        </w:rPr>
      </w:pPr>
      <w:r>
        <w:rPr>
          <w:rFonts w:ascii="Arial" w:cs="Arial" w:eastAsia="Arial" w:hAnsi="Arial"/>
          <w:sz w:val="16"/>
          <w:szCs w:val="16"/>
          <w:color w:val="auto"/>
        </w:rPr>
        <w:t>Uniti will bear the cost of solicitation of proxies. In addition to the use of the mail, proxies may be solicited by officers, directors and employees of Uniti, personally or by telephone or electronic means. In the event the management of Uniti deems it advisable, Uniti may engage the services of an independent proxy solicitation firm to aid in the solicitation of proxies.</w:t>
      </w:r>
    </w:p>
    <w:p>
      <w:pPr>
        <w:spacing w:after="0" w:line="164" w:lineRule="exact"/>
        <w:rPr>
          <w:sz w:val="20"/>
          <w:szCs w:val="20"/>
          <w:color w:val="auto"/>
        </w:rPr>
      </w:pPr>
    </w:p>
    <w:p>
      <w:pPr>
        <w:ind w:right="580" w:firstLine="621"/>
        <w:spacing w:after="0" w:line="260" w:lineRule="auto"/>
        <w:rPr>
          <w:sz w:val="20"/>
          <w:szCs w:val="20"/>
          <w:color w:val="auto"/>
        </w:rPr>
      </w:pPr>
      <w:r>
        <w:rPr>
          <w:rFonts w:ascii="Arial" w:cs="Arial" w:eastAsia="Arial" w:hAnsi="Arial"/>
          <w:sz w:val="16"/>
          <w:szCs w:val="16"/>
          <w:color w:val="auto"/>
        </w:rPr>
        <w:t>The material referred to in this Proxy Statement under the caption "</w:t>
      </w:r>
      <w:r>
        <w:rPr>
          <w:rFonts w:ascii="Arial" w:cs="Arial" w:eastAsia="Arial" w:hAnsi="Arial"/>
          <w:sz w:val="16"/>
          <w:szCs w:val="16"/>
          <w:b w:val="1"/>
          <w:bCs w:val="1"/>
          <w:color w:val="00ACD2"/>
        </w:rPr>
        <w:t>Audit Committee Report</w:t>
      </w:r>
      <w:r>
        <w:rPr>
          <w:rFonts w:ascii="Arial" w:cs="Arial" w:eastAsia="Arial" w:hAnsi="Arial"/>
          <w:sz w:val="16"/>
          <w:szCs w:val="16"/>
          <w:color w:val="auto"/>
        </w:rPr>
        <w:t>" and the "</w:t>
      </w:r>
      <w:r>
        <w:rPr>
          <w:rFonts w:ascii="Arial" w:cs="Arial" w:eastAsia="Arial" w:hAnsi="Arial"/>
          <w:sz w:val="16"/>
          <w:szCs w:val="16"/>
          <w:b w:val="1"/>
          <w:bCs w:val="1"/>
          <w:color w:val="00ACD2"/>
        </w:rPr>
        <w:t>Compensation Committee Report on</w:t>
      </w:r>
      <w:r>
        <w:rPr>
          <w:rFonts w:ascii="Arial" w:cs="Arial" w:eastAsia="Arial" w:hAnsi="Arial"/>
          <w:sz w:val="16"/>
          <w:szCs w:val="16"/>
          <w:color w:val="auto"/>
        </w:rPr>
        <w:t xml:space="preserve"> </w:t>
      </w:r>
      <w:r>
        <w:rPr>
          <w:rFonts w:ascii="Arial" w:cs="Arial" w:eastAsia="Arial" w:hAnsi="Arial"/>
          <w:sz w:val="16"/>
          <w:szCs w:val="16"/>
          <w:b w:val="1"/>
          <w:bCs w:val="1"/>
          <w:color w:val="00ACD2"/>
        </w:rPr>
        <w:t>Executive Compensation</w:t>
      </w:r>
      <w:r>
        <w:rPr>
          <w:rFonts w:ascii="Arial" w:cs="Arial" w:eastAsia="Arial" w:hAnsi="Arial"/>
          <w:sz w:val="16"/>
          <w:szCs w:val="16"/>
          <w:color w:val="000000"/>
        </w:rPr>
        <w:t>" shall not be deemed soliciting material or otherwise deemed filed and shall not be deemed to be incorporated by any general</w:t>
      </w:r>
      <w:r>
        <w:rPr>
          <w:rFonts w:ascii="Arial" w:cs="Arial" w:eastAsia="Arial" w:hAnsi="Arial"/>
          <w:sz w:val="16"/>
          <w:szCs w:val="16"/>
          <w:b w:val="1"/>
          <w:bCs w:val="1"/>
          <w:color w:val="00ACD2"/>
        </w:rPr>
        <w:t xml:space="preserve"> </w:t>
      </w:r>
      <w:r>
        <w:rPr>
          <w:rFonts w:ascii="Arial" w:cs="Arial" w:eastAsia="Arial" w:hAnsi="Arial"/>
          <w:sz w:val="16"/>
          <w:szCs w:val="16"/>
          <w:color w:val="000000"/>
        </w:rPr>
        <w:t>statement of incorporation by reference in any filings made under the Securities Act of 1933 or the Exchange Act.</w:t>
      </w:r>
    </w:p>
    <w:p>
      <w:pPr>
        <w:spacing w:after="0" w:line="174"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139700</wp:posOffset>
            </wp:positionV>
            <wp:extent cx="1652270" cy="5403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5227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740"/>
        <w:spacing w:after="0"/>
        <w:rPr>
          <w:sz w:val="20"/>
          <w:szCs w:val="20"/>
          <w:color w:val="auto"/>
        </w:rPr>
      </w:pPr>
      <w:r>
        <w:rPr>
          <w:rFonts w:ascii="Arial" w:cs="Arial" w:eastAsia="Arial" w:hAnsi="Arial"/>
          <w:sz w:val="16"/>
          <w:szCs w:val="16"/>
          <w:color w:val="00ACD2"/>
        </w:rPr>
        <w:t>Daniel L. Heard</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Executive Vice President – General Counsel</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and Secretary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00ACD2"/>
        </w:rPr>
        <w:t>Little Rock, Arkansas</w:t>
      </w:r>
    </w:p>
    <w:p>
      <w:pPr>
        <w:spacing w:after="0" w:line="1" w:lineRule="exact"/>
        <w:rPr>
          <w:sz w:val="20"/>
          <w:szCs w:val="20"/>
          <w:color w:val="auto"/>
        </w:rPr>
      </w:pPr>
    </w:p>
    <w:p>
      <w:pPr>
        <w:spacing w:after="0"/>
        <w:tabs>
          <w:tab w:leader="none" w:pos="560" w:val="left"/>
          <w:tab w:leader="none" w:pos="780" w:val="left"/>
        </w:tabs>
        <w:rPr>
          <w:sz w:val="20"/>
          <w:szCs w:val="20"/>
          <w:color w:val="auto"/>
        </w:rPr>
      </w:pPr>
      <w:r>
        <w:rPr>
          <w:rFonts w:ascii="Arial" w:cs="Arial" w:eastAsia="Arial" w:hAnsi="Arial"/>
          <w:sz w:val="16"/>
          <w:szCs w:val="16"/>
          <w:color w:val="00ACD2"/>
        </w:rPr>
        <w:t>April [</w:t>
      </w:r>
      <w:r>
        <w:rPr>
          <w:sz w:val="20"/>
          <w:szCs w:val="20"/>
          <w:color w:val="auto"/>
        </w:rPr>
        <w:tab/>
      </w:r>
      <w:r>
        <w:rPr>
          <w:rFonts w:ascii="Arial" w:cs="Arial" w:eastAsia="Arial" w:hAnsi="Arial"/>
          <w:sz w:val="16"/>
          <w:szCs w:val="16"/>
          <w:color w:val="00ACD2"/>
        </w:rPr>
        <w:t>·</w:t>
      </w:r>
      <w:r>
        <w:rPr>
          <w:sz w:val="20"/>
          <w:szCs w:val="20"/>
          <w:color w:val="auto"/>
        </w:rPr>
        <w:tab/>
      </w:r>
      <w:r>
        <w:rPr>
          <w:rFonts w:ascii="Arial" w:cs="Arial" w:eastAsia="Arial" w:hAnsi="Arial"/>
          <w:sz w:val="16"/>
          <w:szCs w:val="16"/>
          <w:color w:val="00ACD2"/>
        </w:rPr>
        <w:t>],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7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ACD2"/>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5868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RECONCILIATION OF CONSOLIDATED NORMALIZED AFFO</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Year Ended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December 31,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2"/>
          </w:tcPr>
          <w:p>
            <w:pPr>
              <w:ind w:left="40"/>
              <w:spacing w:after="0"/>
              <w:rPr>
                <w:sz w:val="20"/>
                <w:szCs w:val="20"/>
                <w:color w:val="auto"/>
              </w:rPr>
            </w:pPr>
            <w:r>
              <w:rPr>
                <w:rFonts w:ascii="Arial" w:cs="Arial" w:eastAsia="Arial" w:hAnsi="Arial"/>
                <w:sz w:val="16"/>
                <w:szCs w:val="16"/>
                <w:b w:val="1"/>
                <w:bCs w:val="1"/>
                <w:color w:val="auto"/>
              </w:rPr>
              <w:t>Per Diluted</w:t>
            </w:r>
          </w:p>
        </w:tc>
        <w:tc>
          <w:tcPr>
            <w:tcW w:w="0" w:type="dxa"/>
            <w:vAlign w:val="bottom"/>
          </w:tcPr>
          <w:p>
            <w:pPr>
              <w:spacing w:after="0"/>
              <w:rPr>
                <w:sz w:val="1"/>
                <w:szCs w:val="1"/>
                <w:color w:val="auto"/>
              </w:rPr>
            </w:pPr>
          </w:p>
        </w:tc>
      </w:tr>
      <w:tr>
        <w:trPr>
          <w:trHeight w:val="202"/>
        </w:trPr>
        <w:tc>
          <w:tcPr>
            <w:tcW w:w="7140" w:type="dxa"/>
            <w:vAlign w:val="bottom"/>
            <w:gridSpan w:val="2"/>
          </w:tcPr>
          <w:p>
            <w:pPr>
              <w:ind w:left="1140"/>
              <w:spacing w:after="0"/>
              <w:rPr>
                <w:sz w:val="20"/>
                <w:szCs w:val="20"/>
                <w:color w:val="auto"/>
              </w:rPr>
            </w:pPr>
            <w:r>
              <w:rPr>
                <w:rFonts w:ascii="Arial" w:cs="Arial" w:eastAsia="Arial" w:hAnsi="Arial"/>
                <w:sz w:val="16"/>
                <w:szCs w:val="16"/>
                <w:b w:val="1"/>
                <w:bCs w:val="1"/>
                <w:color w:val="auto"/>
              </w:rPr>
              <w:t>(Thousands)</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8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Shares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6000" w:type="dxa"/>
            <w:vAlign w:val="bottom"/>
            <w:shd w:val="clear" w:color="auto" w:fill="BFBFBF"/>
          </w:tcPr>
          <w:p>
            <w:pPr>
              <w:spacing w:after="0" w:line="178" w:lineRule="exact"/>
              <w:rPr>
                <w:sz w:val="20"/>
                <w:szCs w:val="20"/>
                <w:color w:val="auto"/>
              </w:rPr>
            </w:pPr>
            <w:r>
              <w:rPr>
                <w:rFonts w:ascii="Arial" w:cs="Arial" w:eastAsia="Arial" w:hAnsi="Arial"/>
                <w:sz w:val="16"/>
                <w:szCs w:val="16"/>
                <w:b w:val="1"/>
                <w:bCs w:val="1"/>
                <w:color w:val="auto"/>
              </w:rPr>
              <w:t>Net (loss) income attributable to common shareholders</w:t>
            </w:r>
          </w:p>
        </w:tc>
        <w:tc>
          <w:tcPr>
            <w:tcW w:w="300" w:type="dxa"/>
            <w:vAlign w:val="bottom"/>
            <w:gridSpan w:val="2"/>
            <w:shd w:val="clear" w:color="auto" w:fill="BFBFBF"/>
          </w:tcPr>
          <w:p>
            <w:pPr>
              <w:jc w:val="right"/>
              <w:spacing w:after="0" w:line="178" w:lineRule="exact"/>
              <w:rPr>
                <w:sz w:val="20"/>
                <w:szCs w:val="20"/>
                <w:color w:val="auto"/>
              </w:rPr>
            </w:pPr>
            <w:r>
              <w:rPr>
                <w:rFonts w:ascii="Arial" w:cs="Arial" w:eastAsia="Arial" w:hAnsi="Arial"/>
                <w:sz w:val="16"/>
                <w:szCs w:val="16"/>
                <w:color w:val="auto"/>
              </w:rPr>
              <w:t>$</w:t>
            </w:r>
          </w:p>
        </w:tc>
        <w:tc>
          <w:tcPr>
            <w:tcW w:w="1460" w:type="dxa"/>
            <w:vAlign w:val="bottom"/>
            <w:gridSpan w:val="2"/>
            <w:shd w:val="clear" w:color="auto" w:fill="BFBFBF"/>
          </w:tcPr>
          <w:p>
            <w:pPr>
              <w:jc w:val="right"/>
              <w:ind w:right="40"/>
              <w:spacing w:after="0" w:line="178" w:lineRule="exact"/>
              <w:rPr>
                <w:sz w:val="20"/>
                <w:szCs w:val="20"/>
                <w:color w:val="auto"/>
              </w:rPr>
            </w:pPr>
            <w:r>
              <w:rPr>
                <w:rFonts w:ascii="Arial" w:cs="Arial" w:eastAsia="Arial" w:hAnsi="Arial"/>
                <w:sz w:val="16"/>
                <w:szCs w:val="16"/>
                <w:color w:val="auto"/>
              </w:rPr>
              <w:t>(16,552)</w:t>
            </w:r>
          </w:p>
        </w:tc>
        <w:tc>
          <w:tcPr>
            <w:tcW w:w="60" w:type="dxa"/>
            <w:vAlign w:val="bottom"/>
            <w:shd w:val="clear" w:color="auto" w:fill="BFBFBF"/>
          </w:tcPr>
          <w:p>
            <w:pPr>
              <w:spacing w:after="0"/>
              <w:rPr>
                <w:sz w:val="15"/>
                <w:szCs w:val="15"/>
                <w:color w:val="auto"/>
              </w:rPr>
            </w:pPr>
          </w:p>
        </w:tc>
        <w:tc>
          <w:tcPr>
            <w:tcW w:w="120" w:type="dxa"/>
            <w:vAlign w:val="bottom"/>
            <w:shd w:val="clear" w:color="auto" w:fill="BFBFBF"/>
          </w:tcPr>
          <w:p>
            <w:pPr>
              <w:spacing w:after="0"/>
              <w:rPr>
                <w:sz w:val="15"/>
                <w:szCs w:val="15"/>
                <w:color w:val="auto"/>
              </w:rPr>
            </w:pPr>
          </w:p>
        </w:tc>
        <w:tc>
          <w:tcPr>
            <w:tcW w:w="1060" w:type="dxa"/>
            <w:vAlign w:val="bottom"/>
            <w:shd w:val="clear" w:color="auto" w:fill="BFBFBF"/>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auto"/>
              </w:rPr>
              <w:t>Real estate depreciation and amortization</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373,449</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6000" w:type="dxa"/>
            <w:vAlign w:val="bottom"/>
            <w:shd w:val="clear" w:color="auto" w:fill="BFBFBF"/>
          </w:tcPr>
          <w:p>
            <w:pPr>
              <w:ind w:left="160"/>
              <w:spacing w:after="0"/>
              <w:rPr>
                <w:sz w:val="20"/>
                <w:szCs w:val="20"/>
                <w:color w:val="auto"/>
              </w:rPr>
            </w:pPr>
            <w:r>
              <w:rPr>
                <w:rFonts w:ascii="Arial" w:cs="Arial" w:eastAsia="Arial" w:hAnsi="Arial"/>
                <w:sz w:val="16"/>
                <w:szCs w:val="16"/>
                <w:color w:val="auto"/>
              </w:rPr>
              <w:t>Participating securities share in earnings</w:t>
            </w:r>
          </w:p>
        </w:tc>
        <w:tc>
          <w:tcPr>
            <w:tcW w:w="140" w:type="dxa"/>
            <w:vAlign w:val="bottom"/>
            <w:shd w:val="clear" w:color="auto" w:fill="BFBFBF"/>
          </w:tcPr>
          <w:p>
            <w:pPr>
              <w:spacing w:after="0"/>
              <w:rPr>
                <w:sz w:val="16"/>
                <w:szCs w:val="16"/>
                <w:color w:val="auto"/>
              </w:rPr>
            </w:pPr>
          </w:p>
        </w:tc>
        <w:tc>
          <w:tcPr>
            <w:tcW w:w="160" w:type="dxa"/>
            <w:vAlign w:val="bottom"/>
            <w:shd w:val="clear" w:color="auto" w:fill="BFBFBF"/>
          </w:tcPr>
          <w:p>
            <w:pPr>
              <w:spacing w:after="0"/>
              <w:rPr>
                <w:sz w:val="16"/>
                <w:szCs w:val="16"/>
                <w:color w:val="auto"/>
              </w:rPr>
            </w:pPr>
          </w:p>
        </w:tc>
        <w:tc>
          <w:tcPr>
            <w:tcW w:w="13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1,509</w:t>
            </w:r>
          </w:p>
        </w:tc>
        <w:tc>
          <w:tcPr>
            <w:tcW w:w="100" w:type="dxa"/>
            <w:vAlign w:val="bottom"/>
            <w:shd w:val="clear" w:color="auto" w:fill="BFBFBF"/>
          </w:tcPr>
          <w:p>
            <w:pPr>
              <w:spacing w:after="0"/>
              <w:rPr>
                <w:sz w:val="16"/>
                <w:szCs w:val="16"/>
                <w:color w:val="auto"/>
              </w:rPr>
            </w:pPr>
          </w:p>
        </w:tc>
        <w:tc>
          <w:tcPr>
            <w:tcW w:w="6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1060" w:type="dxa"/>
            <w:vAlign w:val="bottom"/>
            <w:shd w:val="clear" w:color="auto" w:fill="BFBFBF"/>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auto"/>
              </w:rPr>
              <w:t>Participating securities share in FFO</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(1,509)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6000" w:type="dxa"/>
            <w:vAlign w:val="bottom"/>
            <w:shd w:val="clear" w:color="auto" w:fill="BFBFBF"/>
          </w:tcPr>
          <w:p>
            <w:pPr>
              <w:ind w:left="160"/>
              <w:spacing w:after="0"/>
              <w:rPr>
                <w:sz w:val="20"/>
                <w:szCs w:val="20"/>
                <w:color w:val="auto"/>
              </w:rPr>
            </w:pPr>
            <w:r>
              <w:rPr>
                <w:rFonts w:ascii="Arial" w:cs="Arial" w:eastAsia="Arial" w:hAnsi="Arial"/>
                <w:sz w:val="16"/>
                <w:szCs w:val="16"/>
                <w:color w:val="auto"/>
              </w:rPr>
              <w:t>Adjustments for noncontrolling interests</w:t>
            </w:r>
          </w:p>
        </w:tc>
        <w:tc>
          <w:tcPr>
            <w:tcW w:w="140" w:type="dxa"/>
            <w:vAlign w:val="bottom"/>
            <w:shd w:val="clear" w:color="auto" w:fill="BFBFBF"/>
          </w:tcPr>
          <w:p>
            <w:pPr>
              <w:spacing w:after="0"/>
              <w:rPr>
                <w:sz w:val="16"/>
                <w:szCs w:val="16"/>
                <w:color w:val="auto"/>
              </w:rPr>
            </w:pPr>
          </w:p>
        </w:tc>
        <w:tc>
          <w:tcPr>
            <w:tcW w:w="160" w:type="dxa"/>
            <w:vAlign w:val="bottom"/>
            <w:shd w:val="clear" w:color="auto" w:fill="BFBFBF"/>
          </w:tcPr>
          <w:p>
            <w:pPr>
              <w:spacing w:after="0"/>
              <w:rPr>
                <w:sz w:val="16"/>
                <w:szCs w:val="16"/>
                <w:color w:val="auto"/>
              </w:rPr>
            </w:pPr>
          </w:p>
        </w:tc>
        <w:tc>
          <w:tcPr>
            <w:tcW w:w="1460" w:type="dxa"/>
            <w:vAlign w:val="bottom"/>
            <w:gridSpan w:val="2"/>
            <w:shd w:val="clear" w:color="auto" w:fill="BFBFBF"/>
          </w:tcPr>
          <w:p>
            <w:pPr>
              <w:jc w:val="right"/>
              <w:ind w:right="40"/>
              <w:spacing w:after="0"/>
              <w:rPr>
                <w:sz w:val="20"/>
                <w:szCs w:val="20"/>
                <w:color w:val="auto"/>
              </w:rPr>
            </w:pPr>
            <w:r>
              <w:rPr>
                <w:rFonts w:ascii="Arial" w:cs="Arial" w:eastAsia="Arial" w:hAnsi="Arial"/>
                <w:sz w:val="16"/>
                <w:szCs w:val="16"/>
                <w:color w:val="auto"/>
              </w:rPr>
              <w:t>(4,420)</w:t>
            </w:r>
          </w:p>
        </w:tc>
        <w:tc>
          <w:tcPr>
            <w:tcW w:w="6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1060" w:type="dxa"/>
            <w:vAlign w:val="bottom"/>
            <w:shd w:val="clear" w:color="auto" w:fill="BFBFBF"/>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vMerge w:val="restart"/>
          </w:tcPr>
          <w:p>
            <w:pPr>
              <w:spacing w:after="0"/>
              <w:rPr>
                <w:sz w:val="20"/>
                <w:szCs w:val="20"/>
                <w:color w:val="auto"/>
              </w:rPr>
            </w:pPr>
            <w:r>
              <w:rPr>
                <w:rFonts w:ascii="Arial" w:cs="Arial" w:eastAsia="Arial" w:hAnsi="Arial"/>
                <w:sz w:val="16"/>
                <w:szCs w:val="16"/>
                <w:b w:val="1"/>
                <w:bCs w:val="1"/>
                <w:color w:val="auto"/>
              </w:rPr>
              <w:t>FFO applicable to common shareholders</w:t>
            </w: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6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jc w:val="right"/>
              <w:spacing w:after="0" w:line="178" w:lineRule="exact"/>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line="178" w:lineRule="exact"/>
              <w:rPr>
                <w:sz w:val="20"/>
                <w:szCs w:val="20"/>
                <w:color w:val="auto"/>
              </w:rPr>
            </w:pPr>
            <w:r>
              <w:rPr>
                <w:rFonts w:ascii="Arial" w:cs="Arial" w:eastAsia="Arial" w:hAnsi="Arial"/>
                <w:sz w:val="16"/>
                <w:szCs w:val="16"/>
                <w:color w:val="auto"/>
              </w:rPr>
              <w:t>352,477</w:t>
            </w:r>
          </w:p>
        </w:tc>
        <w:tc>
          <w:tcPr>
            <w:tcW w:w="100" w:type="dxa"/>
            <w:vAlign w:val="bottom"/>
          </w:tcPr>
          <w:p>
            <w:pPr>
              <w:spacing w:after="0"/>
              <w:rPr>
                <w:sz w:val="15"/>
                <w:szCs w:val="15"/>
                <w:color w:val="auto"/>
              </w:rPr>
            </w:pPr>
          </w:p>
        </w:tc>
        <w:tc>
          <w:tcPr>
            <w:tcW w:w="18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78" w:lineRule="exact"/>
              <w:rPr>
                <w:sz w:val="20"/>
                <w:szCs w:val="20"/>
                <w:color w:val="auto"/>
              </w:rPr>
            </w:pPr>
            <w:r>
              <w:rPr>
                <w:rFonts w:ascii="Arial" w:cs="Arial" w:eastAsia="Arial" w:hAnsi="Arial"/>
                <w:sz w:val="16"/>
                <w:szCs w:val="16"/>
                <w:color w:val="auto"/>
              </w:rPr>
              <w:t>2.09</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6000" w:type="dxa"/>
            <w:vAlign w:val="bottom"/>
            <w:shd w:val="clear" w:color="auto" w:fill="BFBFBF"/>
          </w:tcPr>
          <w:p>
            <w:pPr>
              <w:spacing w:after="0"/>
              <w:rPr>
                <w:sz w:val="20"/>
                <w:szCs w:val="20"/>
                <w:color w:val="auto"/>
              </w:rPr>
            </w:pPr>
            <w:r>
              <w:rPr>
                <w:rFonts w:ascii="Arial" w:cs="Arial" w:eastAsia="Arial" w:hAnsi="Arial"/>
                <w:sz w:val="16"/>
                <w:szCs w:val="16"/>
                <w:color w:val="auto"/>
              </w:rPr>
              <w:t>Transaction related costs</w:t>
            </w:r>
          </w:p>
        </w:tc>
        <w:tc>
          <w:tcPr>
            <w:tcW w:w="140" w:type="dxa"/>
            <w:vAlign w:val="bottom"/>
            <w:shd w:val="clear" w:color="auto" w:fill="BFBFBF"/>
          </w:tcPr>
          <w:p>
            <w:pPr>
              <w:spacing w:after="0"/>
              <w:rPr>
                <w:sz w:val="16"/>
                <w:szCs w:val="16"/>
                <w:color w:val="auto"/>
              </w:rPr>
            </w:pPr>
          </w:p>
        </w:tc>
        <w:tc>
          <w:tcPr>
            <w:tcW w:w="160" w:type="dxa"/>
            <w:vAlign w:val="bottom"/>
            <w:shd w:val="clear" w:color="auto" w:fill="BFBFBF"/>
          </w:tcPr>
          <w:p>
            <w:pPr>
              <w:spacing w:after="0"/>
              <w:rPr>
                <w:sz w:val="16"/>
                <w:szCs w:val="16"/>
                <w:color w:val="auto"/>
              </w:rPr>
            </w:pPr>
          </w:p>
        </w:tc>
        <w:tc>
          <w:tcPr>
            <w:tcW w:w="13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38,005</w:t>
            </w:r>
          </w:p>
        </w:tc>
        <w:tc>
          <w:tcPr>
            <w:tcW w:w="100" w:type="dxa"/>
            <w:vAlign w:val="bottom"/>
            <w:shd w:val="clear" w:color="auto" w:fill="BFBFBF"/>
          </w:tcPr>
          <w:p>
            <w:pPr>
              <w:spacing w:after="0"/>
              <w:rPr>
                <w:sz w:val="16"/>
                <w:szCs w:val="16"/>
                <w:color w:val="auto"/>
              </w:rPr>
            </w:pPr>
          </w:p>
        </w:tc>
        <w:tc>
          <w:tcPr>
            <w:tcW w:w="6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1060" w:type="dxa"/>
            <w:vAlign w:val="bottom"/>
            <w:shd w:val="clear" w:color="auto" w:fill="BFBFBF"/>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140" w:type="dxa"/>
            <w:vAlign w:val="bottom"/>
            <w:gridSpan w:val="2"/>
          </w:tcPr>
          <w:p>
            <w:pPr>
              <w:ind w:left="1140"/>
              <w:spacing w:after="0"/>
              <w:rPr>
                <w:sz w:val="20"/>
                <w:szCs w:val="20"/>
                <w:color w:val="auto"/>
              </w:rPr>
            </w:pPr>
            <w:r>
              <w:rPr>
                <w:rFonts w:ascii="Arial" w:cs="Arial" w:eastAsia="Arial" w:hAnsi="Arial"/>
                <w:sz w:val="16"/>
                <w:szCs w:val="16"/>
                <w:color w:val="auto"/>
              </w:rPr>
              <w:t>Changes in fair value of contingent consideration</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10,736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6000" w:type="dxa"/>
            <w:vAlign w:val="bottom"/>
            <w:shd w:val="clear" w:color="auto" w:fill="BFBFBF"/>
          </w:tcPr>
          <w:p>
            <w:pPr>
              <w:spacing w:after="0"/>
              <w:rPr>
                <w:sz w:val="20"/>
                <w:szCs w:val="20"/>
                <w:color w:val="auto"/>
              </w:rPr>
            </w:pPr>
            <w:r>
              <w:rPr>
                <w:rFonts w:ascii="Arial" w:cs="Arial" w:eastAsia="Arial" w:hAnsi="Arial"/>
                <w:sz w:val="16"/>
                <w:szCs w:val="16"/>
                <w:color w:val="auto"/>
              </w:rPr>
              <w:t>Amortization of deferred financing costs and debt discount</w:t>
            </w:r>
          </w:p>
        </w:tc>
        <w:tc>
          <w:tcPr>
            <w:tcW w:w="140" w:type="dxa"/>
            <w:vAlign w:val="bottom"/>
            <w:shd w:val="clear" w:color="auto" w:fill="BFBFBF"/>
          </w:tcPr>
          <w:p>
            <w:pPr>
              <w:spacing w:after="0"/>
              <w:rPr>
                <w:sz w:val="16"/>
                <w:szCs w:val="16"/>
                <w:color w:val="auto"/>
              </w:rPr>
            </w:pPr>
          </w:p>
        </w:tc>
        <w:tc>
          <w:tcPr>
            <w:tcW w:w="160" w:type="dxa"/>
            <w:vAlign w:val="bottom"/>
            <w:shd w:val="clear" w:color="auto" w:fill="BFBFBF"/>
          </w:tcPr>
          <w:p>
            <w:pPr>
              <w:spacing w:after="0"/>
              <w:rPr>
                <w:sz w:val="16"/>
                <w:szCs w:val="16"/>
                <w:color w:val="auto"/>
              </w:rPr>
            </w:pPr>
          </w:p>
        </w:tc>
        <w:tc>
          <w:tcPr>
            <w:tcW w:w="13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23,102</w:t>
            </w:r>
          </w:p>
        </w:tc>
        <w:tc>
          <w:tcPr>
            <w:tcW w:w="100" w:type="dxa"/>
            <w:vAlign w:val="bottom"/>
            <w:shd w:val="clear" w:color="auto" w:fill="BFBFBF"/>
          </w:tcPr>
          <w:p>
            <w:pPr>
              <w:spacing w:after="0"/>
              <w:rPr>
                <w:sz w:val="16"/>
                <w:szCs w:val="16"/>
                <w:color w:val="auto"/>
              </w:rPr>
            </w:pPr>
          </w:p>
        </w:tc>
        <w:tc>
          <w:tcPr>
            <w:tcW w:w="6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1060" w:type="dxa"/>
            <w:vAlign w:val="bottom"/>
            <w:shd w:val="clear" w:color="auto" w:fill="BFBFBF"/>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140" w:type="dxa"/>
            <w:vAlign w:val="bottom"/>
            <w:gridSpan w:val="2"/>
          </w:tcPr>
          <w:p>
            <w:pPr>
              <w:ind w:left="1140"/>
              <w:spacing w:after="0"/>
              <w:rPr>
                <w:sz w:val="20"/>
                <w:szCs w:val="20"/>
                <w:color w:val="auto"/>
              </w:rPr>
            </w:pPr>
            <w:r>
              <w:rPr>
                <w:rFonts w:ascii="Arial" w:cs="Arial" w:eastAsia="Arial" w:hAnsi="Arial"/>
                <w:sz w:val="16"/>
                <w:szCs w:val="16"/>
                <w:color w:val="auto"/>
              </w:rPr>
              <w:t>Stock based compensation</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7,713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6000" w:type="dxa"/>
            <w:vAlign w:val="bottom"/>
            <w:shd w:val="clear" w:color="auto" w:fill="BFBFBF"/>
          </w:tcPr>
          <w:p>
            <w:pPr>
              <w:spacing w:after="0"/>
              <w:rPr>
                <w:sz w:val="20"/>
                <w:szCs w:val="20"/>
                <w:color w:val="auto"/>
              </w:rPr>
            </w:pPr>
            <w:r>
              <w:rPr>
                <w:rFonts w:ascii="Arial" w:cs="Arial" w:eastAsia="Arial" w:hAnsi="Arial"/>
                <w:sz w:val="16"/>
                <w:szCs w:val="16"/>
                <w:color w:val="auto"/>
              </w:rPr>
              <w:t>Non-real estate depreciation and amortization</w:t>
            </w:r>
          </w:p>
        </w:tc>
        <w:tc>
          <w:tcPr>
            <w:tcW w:w="140" w:type="dxa"/>
            <w:vAlign w:val="bottom"/>
            <w:shd w:val="clear" w:color="auto" w:fill="BFBFBF"/>
          </w:tcPr>
          <w:p>
            <w:pPr>
              <w:spacing w:after="0"/>
              <w:rPr>
                <w:sz w:val="16"/>
                <w:szCs w:val="16"/>
                <w:color w:val="auto"/>
              </w:rPr>
            </w:pPr>
          </w:p>
        </w:tc>
        <w:tc>
          <w:tcPr>
            <w:tcW w:w="160" w:type="dxa"/>
            <w:vAlign w:val="bottom"/>
            <w:shd w:val="clear" w:color="auto" w:fill="BFBFBF"/>
          </w:tcPr>
          <w:p>
            <w:pPr>
              <w:spacing w:after="0"/>
              <w:rPr>
                <w:sz w:val="16"/>
                <w:szCs w:val="16"/>
                <w:color w:val="auto"/>
              </w:rPr>
            </w:pPr>
          </w:p>
        </w:tc>
        <w:tc>
          <w:tcPr>
            <w:tcW w:w="13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60,756</w:t>
            </w:r>
          </w:p>
        </w:tc>
        <w:tc>
          <w:tcPr>
            <w:tcW w:w="100" w:type="dxa"/>
            <w:vAlign w:val="bottom"/>
            <w:shd w:val="clear" w:color="auto" w:fill="BFBFBF"/>
          </w:tcPr>
          <w:p>
            <w:pPr>
              <w:spacing w:after="0"/>
              <w:rPr>
                <w:sz w:val="16"/>
                <w:szCs w:val="16"/>
                <w:color w:val="auto"/>
              </w:rPr>
            </w:pPr>
          </w:p>
        </w:tc>
        <w:tc>
          <w:tcPr>
            <w:tcW w:w="6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1060" w:type="dxa"/>
            <w:vAlign w:val="bottom"/>
            <w:shd w:val="clear" w:color="auto" w:fill="BFBFBF"/>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140" w:type="dxa"/>
            <w:vAlign w:val="bottom"/>
            <w:gridSpan w:val="2"/>
          </w:tcPr>
          <w:p>
            <w:pPr>
              <w:ind w:left="1140"/>
              <w:spacing w:after="0"/>
              <w:rPr>
                <w:sz w:val="20"/>
                <w:szCs w:val="20"/>
                <w:color w:val="auto"/>
              </w:rPr>
            </w:pPr>
            <w:r>
              <w:rPr>
                <w:rFonts w:ascii="Arial" w:cs="Arial" w:eastAsia="Arial" w:hAnsi="Arial"/>
                <w:sz w:val="16"/>
                <w:szCs w:val="16"/>
                <w:color w:val="auto"/>
              </w:rPr>
              <w:t>Straight-line revenue</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(15,136)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6000" w:type="dxa"/>
            <w:vAlign w:val="bottom"/>
            <w:shd w:val="clear" w:color="auto" w:fill="BFBFBF"/>
          </w:tcPr>
          <w:p>
            <w:pPr>
              <w:spacing w:after="0"/>
              <w:rPr>
                <w:sz w:val="20"/>
                <w:szCs w:val="20"/>
                <w:color w:val="auto"/>
              </w:rPr>
            </w:pPr>
            <w:r>
              <w:rPr>
                <w:rFonts w:ascii="Arial" w:cs="Arial" w:eastAsia="Arial" w:hAnsi="Arial"/>
                <w:sz w:val="16"/>
                <w:szCs w:val="16"/>
                <w:color w:val="auto"/>
              </w:rPr>
              <w:t>Maintenance capital expenditures</w:t>
            </w:r>
          </w:p>
        </w:tc>
        <w:tc>
          <w:tcPr>
            <w:tcW w:w="140" w:type="dxa"/>
            <w:vAlign w:val="bottom"/>
            <w:shd w:val="clear" w:color="auto" w:fill="BFBFBF"/>
          </w:tcPr>
          <w:p>
            <w:pPr>
              <w:spacing w:after="0"/>
              <w:rPr>
                <w:sz w:val="16"/>
                <w:szCs w:val="16"/>
                <w:color w:val="auto"/>
              </w:rPr>
            </w:pPr>
          </w:p>
        </w:tc>
        <w:tc>
          <w:tcPr>
            <w:tcW w:w="160" w:type="dxa"/>
            <w:vAlign w:val="bottom"/>
            <w:shd w:val="clear" w:color="auto" w:fill="BFBFBF"/>
          </w:tcPr>
          <w:p>
            <w:pPr>
              <w:spacing w:after="0"/>
              <w:rPr>
                <w:sz w:val="16"/>
                <w:szCs w:val="16"/>
                <w:color w:val="auto"/>
              </w:rPr>
            </w:pPr>
          </w:p>
        </w:tc>
        <w:tc>
          <w:tcPr>
            <w:tcW w:w="1460" w:type="dxa"/>
            <w:vAlign w:val="bottom"/>
            <w:gridSpan w:val="2"/>
            <w:shd w:val="clear" w:color="auto" w:fill="BFBFBF"/>
          </w:tcPr>
          <w:p>
            <w:pPr>
              <w:jc w:val="right"/>
              <w:ind w:right="40"/>
              <w:spacing w:after="0"/>
              <w:rPr>
                <w:sz w:val="20"/>
                <w:szCs w:val="20"/>
                <w:color w:val="auto"/>
              </w:rPr>
            </w:pPr>
            <w:r>
              <w:rPr>
                <w:rFonts w:ascii="Arial" w:cs="Arial" w:eastAsia="Arial" w:hAnsi="Arial"/>
                <w:sz w:val="16"/>
                <w:szCs w:val="16"/>
                <w:color w:val="auto"/>
              </w:rPr>
              <w:t>(4,434)</w:t>
            </w:r>
          </w:p>
        </w:tc>
        <w:tc>
          <w:tcPr>
            <w:tcW w:w="6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1060" w:type="dxa"/>
            <w:vAlign w:val="bottom"/>
            <w:shd w:val="clear" w:color="auto" w:fill="BFBFBF"/>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140" w:type="dxa"/>
            <w:vAlign w:val="bottom"/>
            <w:gridSpan w:val="2"/>
          </w:tcPr>
          <w:p>
            <w:pPr>
              <w:ind w:left="1140"/>
              <w:spacing w:after="0"/>
              <w:rPr>
                <w:sz w:val="20"/>
                <w:szCs w:val="20"/>
                <w:color w:val="auto"/>
              </w:rPr>
            </w:pPr>
            <w:r>
              <w:rPr>
                <w:rFonts w:ascii="Arial" w:cs="Arial" w:eastAsia="Arial" w:hAnsi="Arial"/>
                <w:sz w:val="16"/>
                <w:szCs w:val="16"/>
                <w:color w:val="auto"/>
              </w:rPr>
              <w:t>Amortization of discount on convertible preferred stock</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2,980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6000" w:type="dxa"/>
            <w:vAlign w:val="bottom"/>
            <w:shd w:val="clear" w:color="auto" w:fill="BFBFBF"/>
          </w:tcPr>
          <w:p>
            <w:pPr>
              <w:spacing w:after="0"/>
              <w:rPr>
                <w:sz w:val="20"/>
                <w:szCs w:val="20"/>
                <w:color w:val="auto"/>
              </w:rPr>
            </w:pPr>
            <w:r>
              <w:rPr>
                <w:rFonts w:ascii="Arial" w:cs="Arial" w:eastAsia="Arial" w:hAnsi="Arial"/>
                <w:sz w:val="16"/>
                <w:szCs w:val="16"/>
                <w:color w:val="auto"/>
              </w:rPr>
              <w:t>Adjustment to valuation allowance</w:t>
            </w:r>
          </w:p>
        </w:tc>
        <w:tc>
          <w:tcPr>
            <w:tcW w:w="140" w:type="dxa"/>
            <w:vAlign w:val="bottom"/>
            <w:shd w:val="clear" w:color="auto" w:fill="BFBFBF"/>
          </w:tcPr>
          <w:p>
            <w:pPr>
              <w:spacing w:after="0"/>
              <w:rPr>
                <w:sz w:val="16"/>
                <w:szCs w:val="16"/>
                <w:color w:val="auto"/>
              </w:rPr>
            </w:pPr>
          </w:p>
        </w:tc>
        <w:tc>
          <w:tcPr>
            <w:tcW w:w="160" w:type="dxa"/>
            <w:vAlign w:val="bottom"/>
            <w:shd w:val="clear" w:color="auto" w:fill="BFBFBF"/>
          </w:tcPr>
          <w:p>
            <w:pPr>
              <w:spacing w:after="0"/>
              <w:rPr>
                <w:sz w:val="16"/>
                <w:szCs w:val="16"/>
                <w:color w:val="auto"/>
              </w:rPr>
            </w:pPr>
          </w:p>
        </w:tc>
        <w:tc>
          <w:tcPr>
            <w:tcW w:w="1460" w:type="dxa"/>
            <w:vAlign w:val="bottom"/>
            <w:gridSpan w:val="2"/>
            <w:shd w:val="clear" w:color="auto" w:fill="BFBFBF"/>
          </w:tcPr>
          <w:p>
            <w:pPr>
              <w:jc w:val="right"/>
              <w:ind w:right="40"/>
              <w:spacing w:after="0"/>
              <w:rPr>
                <w:sz w:val="20"/>
                <w:szCs w:val="20"/>
                <w:color w:val="auto"/>
              </w:rPr>
            </w:pPr>
            <w:r>
              <w:rPr>
                <w:rFonts w:ascii="Arial" w:cs="Arial" w:eastAsia="Arial" w:hAnsi="Arial"/>
                <w:sz w:val="16"/>
                <w:szCs w:val="16"/>
                <w:color w:val="auto"/>
              </w:rPr>
              <w:t>(36,240)</w:t>
            </w:r>
          </w:p>
        </w:tc>
        <w:tc>
          <w:tcPr>
            <w:tcW w:w="6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1060" w:type="dxa"/>
            <w:vAlign w:val="bottom"/>
            <w:shd w:val="clear" w:color="auto" w:fill="BFBFBF"/>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140" w:type="dxa"/>
            <w:vAlign w:val="bottom"/>
            <w:gridSpan w:val="2"/>
          </w:tcPr>
          <w:p>
            <w:pPr>
              <w:ind w:left="1140"/>
              <w:spacing w:after="0"/>
              <w:rPr>
                <w:sz w:val="20"/>
                <w:szCs w:val="20"/>
                <w:color w:val="auto"/>
              </w:rPr>
            </w:pPr>
            <w:r>
              <w:rPr>
                <w:rFonts w:ascii="Arial" w:cs="Arial" w:eastAsia="Arial" w:hAnsi="Arial"/>
                <w:sz w:val="16"/>
                <w:szCs w:val="16"/>
                <w:color w:val="auto"/>
              </w:rPr>
              <w:t>Other non-cash revenue, net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(14,871)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6000" w:type="dxa"/>
            <w:vAlign w:val="bottom"/>
            <w:shd w:val="clear" w:color="auto" w:fill="BFBFBF"/>
          </w:tcPr>
          <w:p>
            <w:pPr>
              <w:spacing w:after="0"/>
              <w:rPr>
                <w:sz w:val="20"/>
                <w:szCs w:val="20"/>
                <w:color w:val="auto"/>
              </w:rPr>
            </w:pPr>
            <w:r>
              <w:rPr>
                <w:rFonts w:ascii="Arial" w:cs="Arial" w:eastAsia="Arial" w:hAnsi="Arial"/>
                <w:sz w:val="16"/>
                <w:szCs w:val="16"/>
                <w:color w:val="auto"/>
              </w:rPr>
              <w:t>Adjustments for noncontrolling interests</w:t>
            </w:r>
          </w:p>
        </w:tc>
        <w:tc>
          <w:tcPr>
            <w:tcW w:w="140" w:type="dxa"/>
            <w:vAlign w:val="bottom"/>
            <w:shd w:val="clear" w:color="auto" w:fill="BFBFBF"/>
          </w:tcPr>
          <w:p>
            <w:pPr>
              <w:spacing w:after="0"/>
              <w:rPr>
                <w:sz w:val="16"/>
                <w:szCs w:val="16"/>
                <w:color w:val="auto"/>
              </w:rPr>
            </w:pPr>
          </w:p>
        </w:tc>
        <w:tc>
          <w:tcPr>
            <w:tcW w:w="160" w:type="dxa"/>
            <w:vAlign w:val="bottom"/>
            <w:shd w:val="clear" w:color="auto" w:fill="BFBFBF"/>
          </w:tcPr>
          <w:p>
            <w:pPr>
              <w:spacing w:after="0"/>
              <w:rPr>
                <w:sz w:val="16"/>
                <w:szCs w:val="16"/>
                <w:color w:val="auto"/>
              </w:rPr>
            </w:pPr>
          </w:p>
        </w:tc>
        <w:tc>
          <w:tcPr>
            <w:tcW w:w="1460" w:type="dxa"/>
            <w:vAlign w:val="bottom"/>
            <w:gridSpan w:val="2"/>
            <w:shd w:val="clear" w:color="auto" w:fill="BFBFBF"/>
          </w:tcPr>
          <w:p>
            <w:pPr>
              <w:jc w:val="right"/>
              <w:ind w:right="40"/>
              <w:spacing w:after="0"/>
              <w:rPr>
                <w:sz w:val="20"/>
                <w:szCs w:val="20"/>
                <w:color w:val="auto"/>
              </w:rPr>
            </w:pPr>
            <w:r>
              <w:rPr>
                <w:rFonts w:ascii="Arial" w:cs="Arial" w:eastAsia="Arial" w:hAnsi="Arial"/>
                <w:sz w:val="16"/>
                <w:szCs w:val="16"/>
                <w:color w:val="auto"/>
              </w:rPr>
              <w:t>(264)</w:t>
            </w:r>
          </w:p>
        </w:tc>
        <w:tc>
          <w:tcPr>
            <w:tcW w:w="6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1060" w:type="dxa"/>
            <w:vAlign w:val="bottom"/>
            <w:shd w:val="clear" w:color="auto" w:fill="BFBFBF"/>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vMerge w:val="restart"/>
          </w:tcPr>
          <w:p>
            <w:pPr>
              <w:spacing w:after="0"/>
              <w:rPr>
                <w:sz w:val="20"/>
                <w:szCs w:val="20"/>
                <w:color w:val="auto"/>
              </w:rPr>
            </w:pPr>
            <w:r>
              <w:rPr>
                <w:rFonts w:ascii="Arial" w:cs="Arial" w:eastAsia="Arial" w:hAnsi="Arial"/>
                <w:sz w:val="16"/>
                <w:szCs w:val="16"/>
                <w:b w:val="1"/>
                <w:bCs w:val="1"/>
                <w:color w:val="auto"/>
              </w:rPr>
              <w:t>AFFO applicable to common shareholders</w:t>
            </w: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6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jc w:val="right"/>
              <w:spacing w:after="0" w:line="178" w:lineRule="exact"/>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line="178" w:lineRule="exact"/>
              <w:rPr>
                <w:sz w:val="20"/>
                <w:szCs w:val="20"/>
                <w:color w:val="auto"/>
              </w:rPr>
            </w:pPr>
            <w:r>
              <w:rPr>
                <w:rFonts w:ascii="Arial" w:cs="Arial" w:eastAsia="Arial" w:hAnsi="Arial"/>
                <w:sz w:val="16"/>
                <w:szCs w:val="16"/>
                <w:color w:val="auto"/>
              </w:rPr>
              <w:t>424,824</w:t>
            </w:r>
          </w:p>
        </w:tc>
        <w:tc>
          <w:tcPr>
            <w:tcW w:w="100" w:type="dxa"/>
            <w:vAlign w:val="bottom"/>
          </w:tcPr>
          <w:p>
            <w:pPr>
              <w:spacing w:after="0"/>
              <w:rPr>
                <w:sz w:val="15"/>
                <w:szCs w:val="15"/>
                <w:color w:val="auto"/>
              </w:rPr>
            </w:pPr>
          </w:p>
        </w:tc>
        <w:tc>
          <w:tcPr>
            <w:tcW w:w="18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78" w:lineRule="exact"/>
              <w:rPr>
                <w:sz w:val="20"/>
                <w:szCs w:val="20"/>
                <w:color w:val="auto"/>
              </w:rPr>
            </w:pPr>
            <w:r>
              <w:rPr>
                <w:rFonts w:ascii="Arial" w:cs="Arial" w:eastAsia="Arial" w:hAnsi="Arial"/>
                <w:sz w:val="16"/>
                <w:szCs w:val="16"/>
                <w:color w:val="auto"/>
              </w:rPr>
              <w:t>2.51</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6000" w:type="dxa"/>
            <w:vAlign w:val="bottom"/>
            <w:shd w:val="clear" w:color="auto" w:fill="BFBFBF"/>
          </w:tcPr>
          <w:p>
            <w:pPr>
              <w:spacing w:after="0"/>
              <w:rPr>
                <w:sz w:val="20"/>
                <w:szCs w:val="20"/>
                <w:color w:val="auto"/>
              </w:rPr>
            </w:pPr>
            <w:r>
              <w:rPr>
                <w:rFonts w:ascii="Arial" w:cs="Arial" w:eastAsia="Arial" w:hAnsi="Arial"/>
                <w:sz w:val="16"/>
                <w:szCs w:val="16"/>
                <w:color w:val="auto"/>
              </w:rPr>
              <w:t>Hunt and Southern Light acquisition impact</w:t>
            </w:r>
          </w:p>
        </w:tc>
        <w:tc>
          <w:tcPr>
            <w:tcW w:w="140" w:type="dxa"/>
            <w:vAlign w:val="bottom"/>
            <w:shd w:val="clear" w:color="auto" w:fill="BFBFBF"/>
          </w:tcPr>
          <w:p>
            <w:pPr>
              <w:spacing w:after="0"/>
              <w:rPr>
                <w:sz w:val="16"/>
                <w:szCs w:val="16"/>
                <w:color w:val="auto"/>
              </w:rPr>
            </w:pPr>
          </w:p>
        </w:tc>
        <w:tc>
          <w:tcPr>
            <w:tcW w:w="160" w:type="dxa"/>
            <w:vAlign w:val="bottom"/>
            <w:shd w:val="clear" w:color="auto" w:fill="BFBFBF"/>
          </w:tcPr>
          <w:p>
            <w:pPr>
              <w:spacing w:after="0"/>
              <w:rPr>
                <w:sz w:val="16"/>
                <w:szCs w:val="16"/>
                <w:color w:val="auto"/>
              </w:rPr>
            </w:pPr>
          </w:p>
        </w:tc>
        <w:tc>
          <w:tcPr>
            <w:tcW w:w="1460" w:type="dxa"/>
            <w:vAlign w:val="bottom"/>
            <w:gridSpan w:val="2"/>
            <w:shd w:val="clear" w:color="auto" w:fill="BFBFBF"/>
          </w:tcPr>
          <w:p>
            <w:pPr>
              <w:jc w:val="right"/>
              <w:ind w:right="40"/>
              <w:spacing w:after="0"/>
              <w:rPr>
                <w:sz w:val="20"/>
                <w:szCs w:val="20"/>
                <w:color w:val="auto"/>
              </w:rPr>
            </w:pPr>
            <w:r>
              <w:rPr>
                <w:rFonts w:ascii="Arial" w:cs="Arial" w:eastAsia="Arial" w:hAnsi="Arial"/>
                <w:sz w:val="16"/>
                <w:szCs w:val="16"/>
                <w:color w:val="auto"/>
              </w:rPr>
              <w:t>(25,427)</w:t>
            </w:r>
          </w:p>
        </w:tc>
        <w:tc>
          <w:tcPr>
            <w:tcW w:w="6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10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(0.15)</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140" w:type="dxa"/>
            <w:vAlign w:val="bottom"/>
            <w:gridSpan w:val="2"/>
          </w:tcPr>
          <w:p>
            <w:pPr>
              <w:ind w:left="1140"/>
              <w:spacing w:after="0"/>
              <w:rPr>
                <w:sz w:val="20"/>
                <w:szCs w:val="20"/>
                <w:color w:val="auto"/>
              </w:rPr>
            </w:pPr>
            <w:r>
              <w:rPr>
                <w:rFonts w:ascii="Arial" w:cs="Arial" w:eastAsia="Arial" w:hAnsi="Arial"/>
                <w:sz w:val="16"/>
                <w:szCs w:val="16"/>
                <w:color w:val="auto"/>
              </w:rPr>
              <w:t>Debt issuance impact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5,067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0.03</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6000" w:type="dxa"/>
            <w:vAlign w:val="bottom"/>
            <w:shd w:val="clear" w:color="auto" w:fill="BFBFBF"/>
          </w:tcPr>
          <w:p>
            <w:pPr>
              <w:spacing w:after="0"/>
              <w:rPr>
                <w:sz w:val="20"/>
                <w:szCs w:val="20"/>
                <w:color w:val="auto"/>
              </w:rPr>
            </w:pPr>
            <w:r>
              <w:rPr>
                <w:rFonts w:ascii="Arial" w:cs="Arial" w:eastAsia="Arial" w:hAnsi="Arial"/>
                <w:sz w:val="16"/>
                <w:szCs w:val="16"/>
                <w:color w:val="auto"/>
              </w:rPr>
              <w:t>Equity issuance impact</w:t>
            </w:r>
          </w:p>
        </w:tc>
        <w:tc>
          <w:tcPr>
            <w:tcW w:w="140" w:type="dxa"/>
            <w:vAlign w:val="bottom"/>
            <w:shd w:val="clear" w:color="auto" w:fill="BFBFBF"/>
          </w:tcPr>
          <w:p>
            <w:pPr>
              <w:spacing w:after="0"/>
              <w:rPr>
                <w:sz w:val="16"/>
                <w:szCs w:val="16"/>
                <w:color w:val="auto"/>
              </w:rPr>
            </w:pPr>
          </w:p>
        </w:tc>
        <w:tc>
          <w:tcPr>
            <w:tcW w:w="160" w:type="dxa"/>
            <w:vAlign w:val="bottom"/>
            <w:shd w:val="clear" w:color="auto" w:fill="BFBFBF"/>
          </w:tcPr>
          <w:p>
            <w:pPr>
              <w:spacing w:after="0"/>
              <w:rPr>
                <w:sz w:val="16"/>
                <w:szCs w:val="16"/>
                <w:color w:val="auto"/>
              </w:rPr>
            </w:pPr>
          </w:p>
        </w:tc>
        <w:tc>
          <w:tcPr>
            <w:tcW w:w="1460" w:type="dxa"/>
            <w:vAlign w:val="bottom"/>
            <w:gridSpan w:val="2"/>
            <w:shd w:val="clear" w:color="auto" w:fill="BFBFB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BFBFBF"/>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10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0.22</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vMerge w:val="restart"/>
          </w:tcPr>
          <w:p>
            <w:pPr>
              <w:spacing w:after="0"/>
              <w:rPr>
                <w:sz w:val="20"/>
                <w:szCs w:val="20"/>
                <w:color w:val="auto"/>
              </w:rPr>
            </w:pPr>
            <w:r>
              <w:rPr>
                <w:rFonts w:ascii="Arial" w:cs="Arial" w:eastAsia="Arial" w:hAnsi="Arial"/>
                <w:sz w:val="16"/>
                <w:szCs w:val="16"/>
                <w:b w:val="1"/>
                <w:bCs w:val="1"/>
                <w:color w:val="auto"/>
              </w:rPr>
              <w:t>Consolidated Normalized AFFO</w:t>
            </w: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6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jc w:val="right"/>
              <w:spacing w:after="0" w:line="178" w:lineRule="exact"/>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line="178" w:lineRule="exact"/>
              <w:rPr>
                <w:sz w:val="20"/>
                <w:szCs w:val="20"/>
                <w:color w:val="auto"/>
              </w:rPr>
            </w:pPr>
            <w:r>
              <w:rPr>
                <w:rFonts w:ascii="Arial" w:cs="Arial" w:eastAsia="Arial" w:hAnsi="Arial"/>
                <w:sz w:val="16"/>
                <w:szCs w:val="16"/>
                <w:color w:val="auto"/>
              </w:rPr>
              <w:t>404,464</w:t>
            </w:r>
          </w:p>
        </w:tc>
        <w:tc>
          <w:tcPr>
            <w:tcW w:w="100" w:type="dxa"/>
            <w:vAlign w:val="bottom"/>
          </w:tcPr>
          <w:p>
            <w:pPr>
              <w:spacing w:after="0"/>
              <w:rPr>
                <w:sz w:val="15"/>
                <w:szCs w:val="15"/>
                <w:color w:val="auto"/>
              </w:rPr>
            </w:pPr>
          </w:p>
        </w:tc>
        <w:tc>
          <w:tcPr>
            <w:tcW w:w="18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78" w:lineRule="exact"/>
              <w:rPr>
                <w:sz w:val="20"/>
                <w:szCs w:val="20"/>
                <w:color w:val="auto"/>
              </w:rPr>
            </w:pPr>
            <w:r>
              <w:rPr>
                <w:rFonts w:ascii="Arial" w:cs="Arial" w:eastAsia="Arial" w:hAnsi="Arial"/>
                <w:sz w:val="16"/>
                <w:szCs w:val="16"/>
                <w:color w:val="auto"/>
              </w:rPr>
              <w:t>2.61</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40" w:type="dxa"/>
            <w:vAlign w:val="bottom"/>
          </w:tcPr>
          <w:p>
            <w:pPr>
              <w:spacing w:after="0"/>
              <w:rPr>
                <w:sz w:val="14"/>
                <w:szCs w:val="14"/>
                <w:color w:val="auto"/>
              </w:rPr>
            </w:pPr>
          </w:p>
        </w:tc>
        <w:tc>
          <w:tcPr>
            <w:tcW w:w="6000" w:type="dxa"/>
            <w:vAlign w:val="bottom"/>
            <w:shd w:val="clear" w:color="auto" w:fill="BFBFBF"/>
          </w:tcPr>
          <w:p>
            <w:pPr>
              <w:spacing w:after="0" w:line="165" w:lineRule="exact"/>
              <w:rPr>
                <w:sz w:val="20"/>
                <w:szCs w:val="20"/>
                <w:color w:val="auto"/>
              </w:rPr>
            </w:pPr>
            <w:r>
              <w:rPr>
                <w:rFonts w:ascii="Arial" w:cs="Arial" w:eastAsia="Arial" w:hAnsi="Arial"/>
                <w:sz w:val="16"/>
                <w:szCs w:val="16"/>
                <w:color w:val="auto"/>
              </w:rPr>
              <w:t>Weighted average common shares used to calculate diluted AFFO per common</w:t>
            </w:r>
          </w:p>
        </w:tc>
        <w:tc>
          <w:tcPr>
            <w:tcW w:w="140" w:type="dxa"/>
            <w:vAlign w:val="bottom"/>
            <w:shd w:val="clear" w:color="auto" w:fill="BFBFBF"/>
          </w:tcPr>
          <w:p>
            <w:pPr>
              <w:spacing w:after="0"/>
              <w:rPr>
                <w:sz w:val="14"/>
                <w:szCs w:val="14"/>
                <w:color w:val="auto"/>
              </w:rPr>
            </w:pPr>
          </w:p>
        </w:tc>
        <w:tc>
          <w:tcPr>
            <w:tcW w:w="160" w:type="dxa"/>
            <w:vAlign w:val="bottom"/>
            <w:shd w:val="clear" w:color="auto" w:fill="BFBFBF"/>
          </w:tcPr>
          <w:p>
            <w:pPr>
              <w:spacing w:after="0"/>
              <w:rPr>
                <w:sz w:val="14"/>
                <w:szCs w:val="14"/>
                <w:color w:val="auto"/>
              </w:rPr>
            </w:pPr>
          </w:p>
        </w:tc>
        <w:tc>
          <w:tcPr>
            <w:tcW w:w="1360" w:type="dxa"/>
            <w:vAlign w:val="bottom"/>
            <w:shd w:val="clear" w:color="auto" w:fill="BFBFBF"/>
          </w:tcPr>
          <w:p>
            <w:pPr>
              <w:spacing w:after="0"/>
              <w:rPr>
                <w:sz w:val="14"/>
                <w:szCs w:val="14"/>
                <w:color w:val="auto"/>
              </w:rPr>
            </w:pPr>
          </w:p>
        </w:tc>
        <w:tc>
          <w:tcPr>
            <w:tcW w:w="100" w:type="dxa"/>
            <w:vAlign w:val="bottom"/>
            <w:shd w:val="clear" w:color="auto" w:fill="BFBFBF"/>
          </w:tcPr>
          <w:p>
            <w:pPr>
              <w:spacing w:after="0"/>
              <w:rPr>
                <w:sz w:val="14"/>
                <w:szCs w:val="14"/>
                <w:color w:val="auto"/>
              </w:rPr>
            </w:pPr>
          </w:p>
        </w:tc>
        <w:tc>
          <w:tcPr>
            <w:tcW w:w="60" w:type="dxa"/>
            <w:vAlign w:val="bottom"/>
            <w:shd w:val="clear" w:color="auto" w:fill="BFBFBF"/>
          </w:tcPr>
          <w:p>
            <w:pPr>
              <w:spacing w:after="0"/>
              <w:rPr>
                <w:sz w:val="14"/>
                <w:szCs w:val="14"/>
                <w:color w:val="auto"/>
              </w:rPr>
            </w:pPr>
          </w:p>
        </w:tc>
        <w:tc>
          <w:tcPr>
            <w:tcW w:w="120" w:type="dxa"/>
            <w:vAlign w:val="bottom"/>
            <w:shd w:val="clear" w:color="auto" w:fill="BFBFBF"/>
          </w:tcPr>
          <w:p>
            <w:pPr>
              <w:spacing w:after="0"/>
              <w:rPr>
                <w:sz w:val="14"/>
                <w:szCs w:val="14"/>
                <w:color w:val="auto"/>
              </w:rPr>
            </w:pPr>
          </w:p>
        </w:tc>
        <w:tc>
          <w:tcPr>
            <w:tcW w:w="1060" w:type="dxa"/>
            <w:vAlign w:val="bottom"/>
            <w:shd w:val="clear" w:color="auto" w:fill="BFBFBF"/>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6000" w:type="dxa"/>
            <w:vAlign w:val="bottom"/>
            <w:shd w:val="clear" w:color="auto" w:fill="BFBFBF"/>
          </w:tcPr>
          <w:p>
            <w:pPr>
              <w:ind w:left="160"/>
              <w:spacing w:after="0" w:line="182" w:lineRule="exact"/>
              <w:rPr>
                <w:sz w:val="20"/>
                <w:szCs w:val="20"/>
                <w:color w:val="auto"/>
              </w:rPr>
            </w:pPr>
            <w:r>
              <w:rPr>
                <w:rFonts w:ascii="Arial" w:cs="Arial" w:eastAsia="Arial" w:hAnsi="Arial"/>
                <w:sz w:val="16"/>
                <w:szCs w:val="16"/>
                <w:color w:val="auto"/>
              </w:rPr>
              <w:t>share</w:t>
            </w:r>
          </w:p>
        </w:tc>
        <w:tc>
          <w:tcPr>
            <w:tcW w:w="140" w:type="dxa"/>
            <w:vAlign w:val="bottom"/>
            <w:shd w:val="clear" w:color="auto" w:fill="BFBFBF"/>
          </w:tcPr>
          <w:p>
            <w:pPr>
              <w:spacing w:after="0"/>
              <w:rPr>
                <w:sz w:val="15"/>
                <w:szCs w:val="15"/>
                <w:color w:val="auto"/>
              </w:rPr>
            </w:pPr>
          </w:p>
        </w:tc>
        <w:tc>
          <w:tcPr>
            <w:tcW w:w="160" w:type="dxa"/>
            <w:vAlign w:val="bottom"/>
            <w:shd w:val="clear" w:color="auto" w:fill="BFBFBF"/>
          </w:tcPr>
          <w:p>
            <w:pPr>
              <w:spacing w:after="0"/>
              <w:rPr>
                <w:sz w:val="15"/>
                <w:szCs w:val="15"/>
                <w:color w:val="auto"/>
              </w:rPr>
            </w:pPr>
          </w:p>
        </w:tc>
        <w:tc>
          <w:tcPr>
            <w:tcW w:w="1360" w:type="dxa"/>
            <w:vAlign w:val="bottom"/>
            <w:shd w:val="clear" w:color="auto" w:fill="BFBFBF"/>
          </w:tcPr>
          <w:p>
            <w:pPr>
              <w:jc w:val="right"/>
              <w:spacing w:after="0" w:line="182" w:lineRule="exact"/>
              <w:rPr>
                <w:sz w:val="20"/>
                <w:szCs w:val="20"/>
                <w:color w:val="auto"/>
              </w:rPr>
            </w:pPr>
            <w:r>
              <w:rPr>
                <w:rFonts w:ascii="Arial" w:cs="Arial" w:eastAsia="Arial" w:hAnsi="Arial"/>
                <w:sz w:val="16"/>
                <w:szCs w:val="16"/>
                <w:color w:val="auto"/>
              </w:rPr>
              <w:t>168,989</w:t>
            </w:r>
          </w:p>
        </w:tc>
        <w:tc>
          <w:tcPr>
            <w:tcW w:w="100" w:type="dxa"/>
            <w:vAlign w:val="bottom"/>
            <w:shd w:val="clear" w:color="auto" w:fill="BFBFBF"/>
          </w:tcPr>
          <w:p>
            <w:pPr>
              <w:spacing w:after="0"/>
              <w:rPr>
                <w:sz w:val="15"/>
                <w:szCs w:val="15"/>
                <w:color w:val="auto"/>
              </w:rPr>
            </w:pPr>
          </w:p>
        </w:tc>
        <w:tc>
          <w:tcPr>
            <w:tcW w:w="60" w:type="dxa"/>
            <w:vAlign w:val="bottom"/>
            <w:shd w:val="clear" w:color="auto" w:fill="BFBFBF"/>
          </w:tcPr>
          <w:p>
            <w:pPr>
              <w:spacing w:after="0"/>
              <w:rPr>
                <w:sz w:val="15"/>
                <w:szCs w:val="15"/>
                <w:color w:val="auto"/>
              </w:rPr>
            </w:pPr>
          </w:p>
        </w:tc>
        <w:tc>
          <w:tcPr>
            <w:tcW w:w="120" w:type="dxa"/>
            <w:vAlign w:val="bottom"/>
            <w:shd w:val="clear" w:color="auto" w:fill="BFBFBF"/>
          </w:tcPr>
          <w:p>
            <w:pPr>
              <w:spacing w:after="0"/>
              <w:rPr>
                <w:sz w:val="15"/>
                <w:szCs w:val="15"/>
                <w:color w:val="auto"/>
              </w:rPr>
            </w:pPr>
          </w:p>
        </w:tc>
        <w:tc>
          <w:tcPr>
            <w:tcW w:w="1060" w:type="dxa"/>
            <w:vAlign w:val="bottom"/>
            <w:shd w:val="clear" w:color="auto" w:fill="BFBFBF"/>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140" w:type="dxa"/>
            <w:vAlign w:val="bottom"/>
            <w:gridSpan w:val="2"/>
          </w:tcPr>
          <w:p>
            <w:pPr>
              <w:ind w:left="1140"/>
              <w:spacing w:after="0"/>
              <w:rPr>
                <w:sz w:val="20"/>
                <w:szCs w:val="20"/>
                <w:color w:val="auto"/>
              </w:rPr>
            </w:pPr>
            <w:r>
              <w:rPr>
                <w:rFonts w:ascii="Arial" w:cs="Arial" w:eastAsia="Arial" w:hAnsi="Arial"/>
                <w:sz w:val="16"/>
                <w:szCs w:val="16"/>
                <w:color w:val="auto"/>
              </w:rPr>
              <w:t>Weighted average common shares used to calculate diluted Normalized AFFO per</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auto"/>
              </w:rPr>
              <w:t>common share</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155,264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1140" w:type="dxa"/>
            <w:vAlign w:val="bottom"/>
            <w:tcBorders>
              <w:bottom w:val="single" w:sz="8" w:color="808080"/>
            </w:tcBorders>
          </w:tcPr>
          <w:p>
            <w:pPr>
              <w:spacing w:after="0"/>
              <w:rPr>
                <w:sz w:val="8"/>
                <w:szCs w:val="8"/>
                <w:color w:val="auto"/>
              </w:rPr>
            </w:pPr>
          </w:p>
        </w:tc>
        <w:tc>
          <w:tcPr>
            <w:tcW w:w="60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350" w:lineRule="exact"/>
        <w:rPr>
          <w:sz w:val="20"/>
          <w:szCs w:val="20"/>
          <w:color w:val="auto"/>
        </w:rPr>
      </w:pPr>
    </w:p>
    <w:p>
      <w:pPr>
        <w:ind w:left="2640"/>
        <w:spacing w:after="0"/>
        <w:rPr>
          <w:sz w:val="20"/>
          <w:szCs w:val="20"/>
          <w:color w:val="auto"/>
        </w:rPr>
      </w:pPr>
      <w:r>
        <w:rPr>
          <w:rFonts w:ascii="Arial" w:cs="Arial" w:eastAsia="Arial" w:hAnsi="Arial"/>
          <w:sz w:val="20"/>
          <w:szCs w:val="20"/>
          <w:b w:val="1"/>
          <w:bCs w:val="1"/>
          <w:color w:val="auto"/>
        </w:rPr>
        <w:t>RECONCILIATION OF CONSOLIDATED 4Q17 ADJUSTED EBITDA</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85"/>
        </w:trPr>
        <w:tc>
          <w:tcPr>
            <w:tcW w:w="2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2"/>
        </w:trPr>
        <w:tc>
          <w:tcPr>
            <w:tcW w:w="21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December 31, 2018</w:t>
            </w:r>
          </w:p>
        </w:tc>
        <w:tc>
          <w:tcPr>
            <w:tcW w:w="0" w:type="dxa"/>
            <w:vAlign w:val="bottom"/>
          </w:tcPr>
          <w:p>
            <w:pPr>
              <w:spacing w:after="0"/>
              <w:rPr>
                <w:sz w:val="1"/>
                <w:szCs w:val="1"/>
                <w:color w:val="auto"/>
              </w:rPr>
            </w:pPr>
          </w:p>
        </w:tc>
      </w:tr>
      <w:tr>
        <w:trPr>
          <w:trHeight w:val="177"/>
        </w:trPr>
        <w:tc>
          <w:tcPr>
            <w:tcW w:w="5720" w:type="dxa"/>
            <w:vAlign w:val="bottom"/>
            <w:gridSpan w:val="2"/>
            <w:shd w:val="clear" w:color="auto" w:fill="BFBFBF"/>
          </w:tcPr>
          <w:p>
            <w:pPr>
              <w:spacing w:after="0" w:line="178" w:lineRule="exact"/>
              <w:rPr>
                <w:sz w:val="20"/>
                <w:szCs w:val="20"/>
                <w:color w:val="auto"/>
              </w:rPr>
            </w:pPr>
            <w:r>
              <w:rPr>
                <w:rFonts w:ascii="Arial" w:cs="Arial" w:eastAsia="Arial" w:hAnsi="Arial"/>
                <w:sz w:val="16"/>
                <w:szCs w:val="16"/>
                <w:b w:val="1"/>
                <w:bCs w:val="1"/>
                <w:color w:val="auto"/>
              </w:rPr>
              <w:t>Net income</w:t>
            </w:r>
          </w:p>
        </w:tc>
        <w:tc>
          <w:tcPr>
            <w:tcW w:w="180" w:type="dxa"/>
            <w:vAlign w:val="bottom"/>
            <w:tcBorders>
              <w:top w:val="single" w:sz="8" w:color="auto"/>
            </w:tcBorders>
            <w:shd w:val="clear" w:color="auto" w:fill="BFBFBF"/>
          </w:tcPr>
          <w:p>
            <w:pPr>
              <w:jc w:val="right"/>
              <w:spacing w:after="0" w:line="178" w:lineRule="exact"/>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shd w:val="clear" w:color="auto" w:fill="BFBFBF"/>
          </w:tcPr>
          <w:p>
            <w:pPr>
              <w:jc w:val="right"/>
              <w:spacing w:after="0" w:line="178" w:lineRule="exact"/>
              <w:rPr>
                <w:sz w:val="20"/>
                <w:szCs w:val="20"/>
                <w:color w:val="auto"/>
              </w:rPr>
            </w:pPr>
            <w:r>
              <w:rPr>
                <w:rFonts w:ascii="Arial" w:cs="Arial" w:eastAsia="Arial" w:hAnsi="Arial"/>
                <w:sz w:val="16"/>
                <w:szCs w:val="16"/>
                <w:color w:val="auto"/>
              </w:rPr>
              <w:t>22,797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72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116,801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20" w:type="dxa"/>
            <w:vAlign w:val="bottom"/>
            <w:gridSpan w:val="2"/>
            <w:shd w:val="clear" w:color="auto" w:fill="BFBFBF"/>
          </w:tcPr>
          <w:p>
            <w:pPr>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BFBFBF"/>
          </w:tcPr>
          <w:p>
            <w:pPr>
              <w:spacing w:after="0"/>
              <w:rPr>
                <w:sz w:val="16"/>
                <w:szCs w:val="16"/>
                <w:color w:val="auto"/>
              </w:rPr>
            </w:pPr>
          </w:p>
        </w:tc>
        <w:tc>
          <w:tcPr>
            <w:tcW w:w="19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78,759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20" w:type="dxa"/>
            <w:vAlign w:val="bottom"/>
            <w:gridSpan w:val="2"/>
          </w:tcPr>
          <w:p>
            <w:pPr>
              <w:spacing w:after="0"/>
              <w:rPr>
                <w:sz w:val="20"/>
                <w:szCs w:val="20"/>
                <w:color w:val="auto"/>
              </w:rPr>
            </w:pPr>
            <w:r>
              <w:rPr>
                <w:rFonts w:ascii="Arial" w:cs="Arial" w:eastAsia="Arial" w:hAnsi="Arial"/>
                <w:sz w:val="16"/>
                <w:szCs w:val="16"/>
                <w:color w:val="auto"/>
              </w:rPr>
              <w:t>Income tax benefit</w:t>
            </w:r>
          </w:p>
        </w:tc>
        <w:tc>
          <w:tcPr>
            <w:tcW w:w="180" w:type="dxa"/>
            <w:vAlign w:val="bottom"/>
          </w:tcPr>
          <w:p>
            <w:pPr>
              <w:spacing w:after="0"/>
              <w:rPr>
                <w:sz w:val="16"/>
                <w:szCs w:val="16"/>
                <w:color w:val="auto"/>
              </w:rPr>
            </w:pP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(29,873)</w:t>
            </w:r>
          </w:p>
        </w:tc>
        <w:tc>
          <w:tcPr>
            <w:tcW w:w="0" w:type="dxa"/>
            <w:vAlign w:val="bottom"/>
          </w:tcPr>
          <w:p>
            <w:pPr>
              <w:spacing w:after="0"/>
              <w:rPr>
                <w:sz w:val="1"/>
                <w:szCs w:val="1"/>
                <w:color w:val="auto"/>
              </w:rPr>
            </w:pPr>
          </w:p>
        </w:tc>
      </w:tr>
      <w:tr>
        <w:trPr>
          <w:trHeight w:val="177"/>
        </w:trPr>
        <w:tc>
          <w:tcPr>
            <w:tcW w:w="5720" w:type="dxa"/>
            <w:vAlign w:val="bottom"/>
            <w:gridSpan w:val="2"/>
            <w:shd w:val="clear" w:color="auto" w:fill="BFBFBF"/>
          </w:tcPr>
          <w:p>
            <w:pPr>
              <w:spacing w:after="0" w:line="178" w:lineRule="exact"/>
              <w:rPr>
                <w:sz w:val="20"/>
                <w:szCs w:val="20"/>
                <w:color w:val="auto"/>
              </w:rPr>
            </w:pPr>
            <w:r>
              <w:rPr>
                <w:rFonts w:ascii="Arial" w:cs="Arial" w:eastAsia="Arial" w:hAnsi="Arial"/>
                <w:sz w:val="16"/>
                <w:szCs w:val="16"/>
                <w:b w:val="1"/>
                <w:bCs w:val="1"/>
                <w:color w:val="auto"/>
              </w:rPr>
              <w:t>EBITDA</w:t>
            </w:r>
          </w:p>
        </w:tc>
        <w:tc>
          <w:tcPr>
            <w:tcW w:w="180" w:type="dxa"/>
            <w:vAlign w:val="bottom"/>
            <w:tcBorders>
              <w:top w:val="single" w:sz="8" w:color="auto"/>
            </w:tcBorders>
            <w:shd w:val="clear" w:color="auto" w:fill="BFBFBF"/>
          </w:tcPr>
          <w:p>
            <w:pPr>
              <w:spacing w:after="0"/>
              <w:rPr>
                <w:sz w:val="15"/>
                <w:szCs w:val="15"/>
                <w:color w:val="auto"/>
              </w:rPr>
            </w:pPr>
          </w:p>
        </w:tc>
        <w:tc>
          <w:tcPr>
            <w:tcW w:w="1940" w:type="dxa"/>
            <w:vAlign w:val="bottom"/>
            <w:tcBorders>
              <w:top w:val="single" w:sz="8" w:color="auto"/>
            </w:tcBorders>
            <w:shd w:val="clear" w:color="auto" w:fill="BFBFBF"/>
          </w:tcPr>
          <w:p>
            <w:pPr>
              <w:jc w:val="right"/>
              <w:spacing w:after="0" w:line="178" w:lineRule="exact"/>
              <w:rPr>
                <w:sz w:val="20"/>
                <w:szCs w:val="20"/>
                <w:color w:val="auto"/>
              </w:rPr>
            </w:pPr>
            <w:r>
              <w:rPr>
                <w:rFonts w:ascii="Arial" w:cs="Arial" w:eastAsia="Arial" w:hAnsi="Arial"/>
                <w:sz w:val="16"/>
                <w:szCs w:val="16"/>
                <w:color w:val="auto"/>
              </w:rPr>
              <w:t>188,484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720" w:type="dxa"/>
            <w:vAlign w:val="bottom"/>
            <w:gridSpan w:val="2"/>
          </w:tcPr>
          <w:p>
            <w:pPr>
              <w:spacing w:after="0"/>
              <w:rPr>
                <w:sz w:val="20"/>
                <w:szCs w:val="20"/>
                <w:color w:val="auto"/>
              </w:rPr>
            </w:pPr>
            <w:r>
              <w:rPr>
                <w:rFonts w:ascii="Arial" w:cs="Arial" w:eastAsia="Arial" w:hAnsi="Arial"/>
                <w:sz w:val="16"/>
                <w:szCs w:val="16"/>
                <w:color w:val="auto"/>
              </w:rPr>
              <w:t>Stock based compensation</w:t>
            </w:r>
          </w:p>
        </w:tc>
        <w:tc>
          <w:tcPr>
            <w:tcW w:w="18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2,092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20" w:type="dxa"/>
            <w:vAlign w:val="bottom"/>
            <w:gridSpan w:val="2"/>
            <w:shd w:val="clear" w:color="auto" w:fill="BFBFBF"/>
          </w:tcPr>
          <w:p>
            <w:pPr>
              <w:spacing w:after="0"/>
              <w:rPr>
                <w:sz w:val="20"/>
                <w:szCs w:val="20"/>
                <w:color w:val="auto"/>
              </w:rPr>
            </w:pPr>
            <w:r>
              <w:rPr>
                <w:rFonts w:ascii="Arial" w:cs="Arial" w:eastAsia="Arial" w:hAnsi="Arial"/>
                <w:sz w:val="16"/>
                <w:szCs w:val="16"/>
                <w:color w:val="auto"/>
              </w:rPr>
              <w:t>Other expense</w:t>
            </w:r>
          </w:p>
        </w:tc>
        <w:tc>
          <w:tcPr>
            <w:tcW w:w="180" w:type="dxa"/>
            <w:vAlign w:val="bottom"/>
            <w:shd w:val="clear" w:color="auto" w:fill="BFBFBF"/>
          </w:tcPr>
          <w:p>
            <w:pPr>
              <w:spacing w:after="0"/>
              <w:rPr>
                <w:sz w:val="16"/>
                <w:szCs w:val="16"/>
                <w:color w:val="auto"/>
              </w:rPr>
            </w:pPr>
          </w:p>
        </w:tc>
        <w:tc>
          <w:tcPr>
            <w:tcW w:w="19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1,646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720" w:type="dxa"/>
            <w:vAlign w:val="bottom"/>
            <w:gridSpan w:val="2"/>
          </w:tcPr>
          <w:p>
            <w:pPr>
              <w:spacing w:after="0"/>
              <w:rPr>
                <w:sz w:val="20"/>
                <w:szCs w:val="20"/>
                <w:color w:val="auto"/>
              </w:rPr>
            </w:pPr>
            <w:r>
              <w:rPr>
                <w:rFonts w:ascii="Arial" w:cs="Arial" w:eastAsia="Arial" w:hAnsi="Arial"/>
                <w:sz w:val="16"/>
                <w:szCs w:val="16"/>
                <w:color w:val="auto"/>
              </w:rPr>
              <w:t>Transaction related costs</w:t>
            </w:r>
          </w:p>
        </w:tc>
        <w:tc>
          <w:tcPr>
            <w:tcW w:w="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720" w:type="dxa"/>
            <w:vAlign w:val="bottom"/>
            <w:gridSpan w:val="2"/>
            <w:shd w:val="clear" w:color="auto" w:fill="BFBFBF"/>
          </w:tcPr>
          <w:p>
            <w:pPr>
              <w:spacing w:after="0" w:line="178" w:lineRule="exact"/>
              <w:rPr>
                <w:sz w:val="20"/>
                <w:szCs w:val="20"/>
                <w:color w:val="auto"/>
              </w:rPr>
            </w:pPr>
            <w:r>
              <w:rPr>
                <w:rFonts w:ascii="Arial" w:cs="Arial" w:eastAsia="Arial" w:hAnsi="Arial"/>
                <w:sz w:val="16"/>
                <w:szCs w:val="16"/>
                <w:b w:val="1"/>
                <w:bCs w:val="1"/>
                <w:color w:val="auto"/>
              </w:rPr>
              <w:t>Adjusted EBITDA</w:t>
            </w:r>
          </w:p>
        </w:tc>
        <w:tc>
          <w:tcPr>
            <w:tcW w:w="180" w:type="dxa"/>
            <w:vAlign w:val="bottom"/>
            <w:tcBorders>
              <w:bottom w:val="single" w:sz="8" w:color="auto"/>
            </w:tcBorders>
            <w:shd w:val="clear" w:color="auto" w:fill="BFBFBF"/>
          </w:tcPr>
          <w:p>
            <w:pPr>
              <w:jc w:val="right"/>
              <w:spacing w:after="0" w:line="178" w:lineRule="exact"/>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BFBFBF"/>
          </w:tcPr>
          <w:p>
            <w:pPr>
              <w:jc w:val="right"/>
              <w:spacing w:after="0" w:line="178" w:lineRule="exact"/>
              <w:rPr>
                <w:sz w:val="20"/>
                <w:szCs w:val="20"/>
                <w:color w:val="auto"/>
              </w:rPr>
            </w:pPr>
            <w:r>
              <w:rPr>
                <w:rFonts w:ascii="Arial" w:cs="Arial" w:eastAsia="Arial" w:hAnsi="Arial"/>
                <w:sz w:val="16"/>
                <w:szCs w:val="16"/>
                <w:color w:val="auto"/>
              </w:rPr>
              <w:t>198,014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line="238" w:lineRule="exact"/>
              <w:rPr>
                <w:sz w:val="20"/>
                <w:szCs w:val="20"/>
                <w:color w:val="auto"/>
              </w:rPr>
            </w:pPr>
            <w:r>
              <w:rPr>
                <w:rFonts w:ascii="Arial" w:cs="Arial" w:eastAsia="Arial" w:hAnsi="Arial"/>
                <w:sz w:val="16"/>
                <w:szCs w:val="16"/>
                <w:b w:val="1"/>
                <w:bCs w:val="1"/>
                <w:color w:val="auto"/>
              </w:rPr>
              <w:t>Annualized Adjusted EBITDA</w:t>
            </w:r>
            <w:r>
              <w:rPr>
                <w:rFonts w:ascii="Arial" w:cs="Arial" w:eastAsia="Arial" w:hAnsi="Arial"/>
                <w:sz w:val="26"/>
                <w:szCs w:val="26"/>
                <w:color w:val="auto"/>
                <w:vertAlign w:val="superscript"/>
              </w:rPr>
              <w:t>(1)</w:t>
            </w: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720" w:type="dxa"/>
            <w:vAlign w:val="bottom"/>
            <w:gridSpan w:val="2"/>
            <w:vMerge w:val="continue"/>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792,056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100" w:type="dxa"/>
            <w:vAlign w:val="bottom"/>
            <w:tcBorders>
              <w:bottom w:val="single" w:sz="8" w:color="auto"/>
            </w:tcBorders>
          </w:tcPr>
          <w:p>
            <w:pPr>
              <w:spacing w:after="0"/>
              <w:rPr>
                <w:sz w:val="6"/>
                <w:szCs w:val="6"/>
                <w:color w:val="auto"/>
              </w:rPr>
            </w:pPr>
          </w:p>
        </w:tc>
        <w:tc>
          <w:tcPr>
            <w:tcW w:w="3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200" w:hanging="487"/>
        <w:spacing w:after="0" w:line="253" w:lineRule="auto"/>
        <w:tabs>
          <w:tab w:leader="none" w:pos="22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Calculated as Adjusted EBITDA for the most recently reported three-month period, multiplied by four. Annualized Adjusted EBITDA has not been prepared on a pro forma basis in accordance with Article 11 of Regulation 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109855</wp:posOffset>
            </wp:positionV>
            <wp:extent cx="7263130" cy="20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0840"/>
          </w:cols>
          <w:pgMar w:left="240" w:top="142" w:right="81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7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ACD2"/>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5868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UNITI GROUP INC.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EMPLOYEE STOCK PURCHASE PLAN</w:t>
      </w:r>
    </w:p>
    <w:p>
      <w:pPr>
        <w:spacing w:after="0" w:line="178" w:lineRule="exact"/>
        <w:rPr>
          <w:sz w:val="20"/>
          <w:szCs w:val="20"/>
          <w:color w:val="auto"/>
        </w:rPr>
      </w:pPr>
    </w:p>
    <w:p>
      <w:pPr>
        <w:ind w:right="20" w:firstLine="624"/>
        <w:spacing w:after="0" w:line="253" w:lineRule="auto"/>
        <w:rPr>
          <w:sz w:val="20"/>
          <w:szCs w:val="20"/>
          <w:color w:val="auto"/>
        </w:rPr>
      </w:pPr>
      <w:r>
        <w:rPr>
          <w:rFonts w:ascii="Arial" w:cs="Arial" w:eastAsia="Arial" w:hAnsi="Arial"/>
          <w:sz w:val="16"/>
          <w:szCs w:val="16"/>
          <w:b w:val="1"/>
          <w:bCs w:val="1"/>
          <w:color w:val="auto"/>
        </w:rPr>
        <w:t>Section 1</w:t>
      </w:r>
      <w:r>
        <w:rPr>
          <w:rFonts w:ascii="Arial" w:cs="Arial" w:eastAsia="Arial" w:hAnsi="Arial"/>
          <w:sz w:val="16"/>
          <w:szCs w:val="16"/>
          <w:color w:val="auto"/>
        </w:rPr>
        <w:t>.</w:t>
      </w:r>
      <w:r>
        <w:rPr>
          <w:rFonts w:ascii="Arial" w:cs="Arial" w:eastAsia="Arial" w:hAnsi="Arial"/>
          <w:sz w:val="16"/>
          <w:szCs w:val="16"/>
          <w:b w:val="1"/>
          <w:bCs w:val="1"/>
          <w:color w:val="auto"/>
        </w:rPr>
        <w:t xml:space="preserve"> Purpose of the Plan</w:t>
      </w:r>
      <w:r>
        <w:rPr>
          <w:rFonts w:ascii="Arial" w:cs="Arial" w:eastAsia="Arial" w:hAnsi="Arial"/>
          <w:sz w:val="16"/>
          <w:szCs w:val="16"/>
          <w:color w:val="auto"/>
        </w:rPr>
        <w:t>. The purpose of the Plan is to provide a method whereby employees of the Company or of any Qualified 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(as defined below) will have an opportunity to acquire a proprietary interest in the Company through the purchase of Shares (as defined below) pursuant to a plan which is intended to qualify as an "employee stock purchase plan" within the meaning of Section 423(b) of the Internal Revenue Code of 1986, as amended. The provisions of the Plan shall be construed so as to extend and limit participation in a manner consistent with the requirements of Section 423 of the Code.</w:t>
      </w:r>
    </w:p>
    <w:p>
      <w:pPr>
        <w:spacing w:after="0" w:line="161" w:lineRule="exact"/>
        <w:rPr>
          <w:sz w:val="20"/>
          <w:szCs w:val="20"/>
          <w:color w:val="auto"/>
        </w:rPr>
      </w:pPr>
    </w:p>
    <w:p>
      <w:pPr>
        <w:ind w:left="620"/>
        <w:spacing w:after="0"/>
        <w:tabs>
          <w:tab w:leader="none" w:pos="1540" w:val="left"/>
        </w:tabs>
        <w:rPr>
          <w:sz w:val="20"/>
          <w:szCs w:val="20"/>
          <w:color w:val="auto"/>
        </w:rPr>
      </w:pPr>
      <w:r>
        <w:rPr>
          <w:rFonts w:ascii="Arial" w:cs="Arial" w:eastAsia="Arial" w:hAnsi="Arial"/>
          <w:sz w:val="16"/>
          <w:szCs w:val="16"/>
          <w:b w:val="1"/>
          <w:bCs w:val="1"/>
          <w:color w:val="auto"/>
        </w:rPr>
        <w:t>Section 2</w:t>
      </w:r>
      <w:r>
        <w:rPr>
          <w:rFonts w:ascii="Arial" w:cs="Arial" w:eastAsia="Arial" w:hAnsi="Arial"/>
          <w:sz w:val="16"/>
          <w:szCs w:val="16"/>
          <w:color w:val="auto"/>
        </w:rPr>
        <w:t>.</w:t>
      </w:r>
      <w:r>
        <w:rPr>
          <w:sz w:val="20"/>
          <w:szCs w:val="20"/>
          <w:color w:val="auto"/>
        </w:rPr>
        <w:tab/>
      </w:r>
      <w:r>
        <w:rPr>
          <w:rFonts w:ascii="Arial" w:cs="Arial" w:eastAsia="Arial" w:hAnsi="Arial"/>
          <w:sz w:val="15"/>
          <w:szCs w:val="15"/>
          <w:b w:val="1"/>
          <w:bCs w:val="1"/>
          <w:color w:val="auto"/>
        </w:rPr>
        <w:t>Definitions</w:t>
      </w:r>
      <w:r>
        <w:rPr>
          <w:rFonts w:ascii="Arial" w:cs="Arial" w:eastAsia="Arial" w:hAnsi="Arial"/>
          <w:sz w:val="15"/>
          <w:szCs w:val="15"/>
          <w:color w:val="auto"/>
        </w:rPr>
        <w:t>.</w:t>
      </w:r>
    </w:p>
    <w:p>
      <w:pPr>
        <w:spacing w:after="0" w:line="202" w:lineRule="exact"/>
        <w:rPr>
          <w:sz w:val="20"/>
          <w:szCs w:val="20"/>
          <w:color w:val="auto"/>
        </w:rPr>
      </w:pPr>
    </w:p>
    <w:p>
      <w:pPr>
        <w:ind w:left="980" w:right="480" w:firstLine="624"/>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Administrator</w:t>
      </w:r>
      <w:r>
        <w:rPr>
          <w:rFonts w:ascii="Arial" w:cs="Arial" w:eastAsia="Arial" w:hAnsi="Arial"/>
          <w:sz w:val="16"/>
          <w:szCs w:val="16"/>
          <w:color w:val="auto"/>
        </w:rPr>
        <w:t>" shall mean the Compensation Committee of the Board which has been appointed to administer this Plan pursuant to Section 15 hereof.</w:t>
      </w:r>
    </w:p>
    <w:p>
      <w:pPr>
        <w:spacing w:after="0" w:line="147"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Board</w:t>
      </w:r>
      <w:r>
        <w:rPr>
          <w:rFonts w:ascii="Arial" w:cs="Arial" w:eastAsia="Arial" w:hAnsi="Arial"/>
          <w:sz w:val="16"/>
          <w:szCs w:val="16"/>
          <w:color w:val="auto"/>
        </w:rPr>
        <w:t>" shall mean the Board of Directors of the Company.</w:t>
      </w:r>
    </w:p>
    <w:p>
      <w:pPr>
        <w:spacing w:after="0" w:line="198"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shall mean the Internal Revenue Code of 1986, as amended, as currently in effect or as may be amended in the future.</w:t>
      </w:r>
    </w:p>
    <w:p>
      <w:pPr>
        <w:spacing w:after="0" w:line="198"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shall mean Uniti Group Inc., and any successor by merger, consolidation or otherwise.</w:t>
      </w:r>
    </w:p>
    <w:p>
      <w:pPr>
        <w:spacing w:after="0" w:line="198"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Compensation</w:t>
      </w:r>
      <w:r>
        <w:rPr>
          <w:rFonts w:ascii="Arial" w:cs="Arial" w:eastAsia="Arial" w:hAnsi="Arial"/>
          <w:sz w:val="16"/>
          <w:szCs w:val="16"/>
          <w:color w:val="auto"/>
        </w:rPr>
        <w:t>" shall mean all gross compensation paid by the Company or a Qualified Subsidiary to a Participating Employee.</w:t>
      </w:r>
    </w:p>
    <w:p>
      <w:pPr>
        <w:spacing w:after="0" w:line="198"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Effective Date</w:t>
      </w:r>
      <w:r>
        <w:rPr>
          <w:rFonts w:ascii="Arial" w:cs="Arial" w:eastAsia="Arial" w:hAnsi="Arial"/>
          <w:sz w:val="16"/>
          <w:szCs w:val="16"/>
          <w:color w:val="auto"/>
        </w:rPr>
        <w:t>" shall mean July 1, 2018, or such later date as the Plan may be approved by the stockholders of the Company.</w:t>
      </w:r>
    </w:p>
    <w:p>
      <w:pPr>
        <w:spacing w:after="0" w:line="198" w:lineRule="exact"/>
        <w:rPr>
          <w:sz w:val="20"/>
          <w:szCs w:val="20"/>
          <w:color w:val="auto"/>
        </w:rPr>
      </w:pPr>
    </w:p>
    <w:p>
      <w:pPr>
        <w:ind w:left="980" w:right="60" w:firstLine="624"/>
        <w:spacing w:after="0" w:line="24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Eligible Employee</w:t>
      </w:r>
      <w:r>
        <w:rPr>
          <w:rFonts w:ascii="Arial" w:cs="Arial" w:eastAsia="Arial" w:hAnsi="Arial"/>
          <w:sz w:val="16"/>
          <w:szCs w:val="16"/>
          <w:color w:val="auto"/>
        </w:rPr>
        <w:t xml:space="preserve"> " means any person who is employed as a common law employee and classified as working in the regular service of the Company or a Qualified Subsidiary; provided, however, such term shall not include any person who is a member of a collective bargaining unit and who is covered by a collective bargaining agreement which does not provide for coverage of such person under this Plan. For purposes of this definition, the existence of the employment relationship between and individual and the Company or Participating Affiliate will be determined under Treasury Regulation Section 1.421-1(h).</w:t>
      </w:r>
    </w:p>
    <w:p>
      <w:pPr>
        <w:spacing w:after="0" w:line="168"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Enrollment Date</w:t>
      </w:r>
      <w:r>
        <w:rPr>
          <w:rFonts w:ascii="Arial" w:cs="Arial" w:eastAsia="Arial" w:hAnsi="Arial"/>
          <w:sz w:val="16"/>
          <w:szCs w:val="16"/>
          <w:color w:val="auto"/>
        </w:rPr>
        <w:t>" shall mean the first day of each Offering Period.</w:t>
      </w:r>
    </w:p>
    <w:p>
      <w:pPr>
        <w:spacing w:after="0" w:line="198"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shall mean, as of any date, the value of the Shares determined as follows:</w:t>
      </w:r>
    </w:p>
    <w:p>
      <w:pPr>
        <w:spacing w:after="0" w:line="214" w:lineRule="exact"/>
        <w:rPr>
          <w:sz w:val="20"/>
          <w:szCs w:val="20"/>
          <w:color w:val="auto"/>
        </w:rPr>
      </w:pPr>
    </w:p>
    <w:p>
      <w:pPr>
        <w:jc w:val="both"/>
        <w:ind w:left="1980" w:right="20" w:firstLine="615"/>
        <w:spacing w:after="0" w:line="247" w:lineRule="auto"/>
        <w:tabs>
          <w:tab w:leader="none" w:pos="2933" w:val="left"/>
        </w:tabs>
        <w:numPr>
          <w:ilvl w:val="0"/>
          <w:numId w:val="64"/>
        </w:numPr>
        <w:rPr>
          <w:rFonts w:ascii="Arial" w:cs="Arial" w:eastAsia="Arial" w:hAnsi="Arial"/>
          <w:sz w:val="16"/>
          <w:szCs w:val="16"/>
          <w:color w:val="auto"/>
        </w:rPr>
      </w:pPr>
      <w:r>
        <w:rPr>
          <w:rFonts w:ascii="Arial" w:cs="Arial" w:eastAsia="Arial" w:hAnsi="Arial"/>
          <w:sz w:val="16"/>
          <w:szCs w:val="16"/>
          <w:color w:val="auto"/>
        </w:rPr>
        <w:t>Where the Shares are not purchased in the open market, the closing sales price per share of the Shares (or the closing bid price, if no such sales were reported) on the Nasdaq's National Market System ("NMS"), or such stock exchange or other national market system on which the Shares are listed or traded, on the Purchase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63130" cy="20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980" w:right="300" w:firstLine="615"/>
        <w:spacing w:after="0" w:line="253" w:lineRule="auto"/>
        <w:tabs>
          <w:tab w:leader="none" w:pos="2933" w:val="left"/>
        </w:tabs>
        <w:numPr>
          <w:ilvl w:val="0"/>
          <w:numId w:val="65"/>
        </w:numPr>
        <w:rPr>
          <w:rFonts w:ascii="Arial" w:cs="Arial" w:eastAsia="Arial" w:hAnsi="Arial"/>
          <w:sz w:val="16"/>
          <w:szCs w:val="16"/>
          <w:color w:val="auto"/>
        </w:rPr>
      </w:pPr>
      <w:r>
        <w:rPr>
          <w:rFonts w:ascii="Arial" w:cs="Arial" w:eastAsia="Arial" w:hAnsi="Arial"/>
          <w:sz w:val="16"/>
          <w:szCs w:val="16"/>
          <w:color w:val="auto"/>
        </w:rPr>
        <w:t>Where the Shares are purchased in the open market, the average of the actual prices, if such actual prices vary, at which the Shares were purchased on the Purchase Date.</w:t>
      </w:r>
    </w:p>
    <w:p>
      <w:pPr>
        <w:spacing w:after="0" w:line="179" w:lineRule="exact"/>
        <w:rPr>
          <w:rFonts w:ascii="Arial" w:cs="Arial" w:eastAsia="Arial" w:hAnsi="Arial"/>
          <w:sz w:val="16"/>
          <w:szCs w:val="16"/>
          <w:color w:val="auto"/>
        </w:rPr>
      </w:pPr>
    </w:p>
    <w:p>
      <w:pPr>
        <w:ind w:left="1980" w:right="160" w:firstLine="615"/>
        <w:spacing w:after="0" w:line="253" w:lineRule="auto"/>
        <w:tabs>
          <w:tab w:leader="none" w:pos="2924"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 the event that the foregoing valuation methods are not practicable, such other reasonable valuation method as the Administrator shall, in its discretion, select and apply in good faith as of such date.</w:t>
      </w:r>
    </w:p>
    <w:p>
      <w:pPr>
        <w:spacing w:after="0" w:line="163" w:lineRule="exact"/>
        <w:rPr>
          <w:sz w:val="20"/>
          <w:szCs w:val="20"/>
          <w:color w:val="auto"/>
        </w:rPr>
      </w:pPr>
    </w:p>
    <w:p>
      <w:pPr>
        <w:ind w:left="980" w:firstLine="62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Offering Period</w:t>
      </w:r>
      <w:r>
        <w:rPr>
          <w:rFonts w:ascii="Arial" w:cs="Arial" w:eastAsia="Arial" w:hAnsi="Arial"/>
          <w:sz w:val="16"/>
          <w:szCs w:val="16"/>
          <w:color w:val="auto"/>
        </w:rPr>
        <w:t>" shall mean, subject to Section 4, the period commencing on each first day of January (the first Offering Period) year and each first day of July (the second Offering Period) and terminating on the Purchase Date. The duration and timing of Offering Periods may be changed pursuant to Section 4 of the Plan.</w:t>
      </w:r>
    </w:p>
    <w:p>
      <w:pPr>
        <w:spacing w:after="0" w:line="161"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Participating Employee</w:t>
      </w:r>
      <w:r>
        <w:rPr>
          <w:rFonts w:ascii="Arial" w:cs="Arial" w:eastAsia="Arial" w:hAnsi="Arial"/>
          <w:sz w:val="16"/>
          <w:szCs w:val="16"/>
          <w:color w:val="auto"/>
        </w:rPr>
        <w:t>" shall mean an Eligible Employee who participates in the Plan.</w:t>
      </w:r>
    </w:p>
    <w:p>
      <w:pPr>
        <w:spacing w:after="0" w:line="198"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Plan</w:t>
      </w:r>
      <w:r>
        <w:rPr>
          <w:rFonts w:ascii="Arial" w:cs="Arial" w:eastAsia="Arial" w:hAnsi="Arial"/>
          <w:sz w:val="16"/>
          <w:szCs w:val="16"/>
          <w:color w:val="auto"/>
        </w:rPr>
        <w:t>" shall mean this Uniti Group, Inc. Employee Stock Purchase Plan.</w:t>
      </w:r>
    </w:p>
    <w:p>
      <w:pPr>
        <w:spacing w:after="0" w:line="198" w:lineRule="exact"/>
        <w:rPr>
          <w:sz w:val="20"/>
          <w:szCs w:val="20"/>
          <w:color w:val="auto"/>
        </w:rPr>
      </w:pPr>
    </w:p>
    <w:p>
      <w:pPr>
        <w:ind w:left="980" w:right="20" w:firstLine="624"/>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Purchase Date</w:t>
      </w:r>
      <w:r>
        <w:rPr>
          <w:rFonts w:ascii="Arial" w:cs="Arial" w:eastAsia="Arial" w:hAnsi="Arial"/>
          <w:sz w:val="16"/>
          <w:szCs w:val="16"/>
          <w:color w:val="auto"/>
        </w:rPr>
        <w:t>" shall mean, with respect to the first Offering Period, the last day of June, and with respect to the second Offering Period, the last day of December. If the last day of any Offering Period falls on a day on which Nasdaq or the national stock exchanges are not open for trading, the Purchase Date shall be the trading day next following the last day. The timing of the Purchase Date may be changed pursuant to Section 4 of the Plan.</w:t>
      </w:r>
    </w:p>
    <w:p>
      <w:pPr>
        <w:spacing w:after="0" w:line="164" w:lineRule="exact"/>
        <w:rPr>
          <w:sz w:val="20"/>
          <w:szCs w:val="20"/>
          <w:color w:val="auto"/>
        </w:rPr>
      </w:pPr>
    </w:p>
    <w:p>
      <w:pPr>
        <w:ind w:left="980" w:right="20" w:firstLine="624"/>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Purchase Price</w:t>
      </w:r>
      <w:r>
        <w:rPr>
          <w:rFonts w:ascii="Arial" w:cs="Arial" w:eastAsia="Arial" w:hAnsi="Arial"/>
          <w:sz w:val="16"/>
          <w:szCs w:val="16"/>
          <w:color w:val="auto"/>
        </w:rPr>
        <w:t>" shall mean an amount not less than 85% or greater than 100% of the Fair Market Value of a Share on the Enrollment Date or the Purchase Date, whichever is less, as determined from time to time by the Board or by the Administrator pursuant to Section 15 hereof. In the absence of such a determination by the Board or Administrator, the Purchase Price shall be 85% of the Fair Market Value of a Share on the Enrollment Date or the Purchase Date, whichever is less.</w:t>
      </w:r>
    </w:p>
    <w:p>
      <w:pPr>
        <w:spacing w:after="0" w:line="164" w:lineRule="exact"/>
        <w:rPr>
          <w:sz w:val="20"/>
          <w:szCs w:val="20"/>
          <w:color w:val="auto"/>
        </w:rPr>
      </w:pPr>
    </w:p>
    <w:p>
      <w:pPr>
        <w:ind w:left="980" w:right="180" w:firstLine="62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Subsidiary</w:t>
      </w:r>
      <w:r>
        <w:rPr>
          <w:rFonts w:ascii="Arial" w:cs="Arial" w:eastAsia="Arial" w:hAnsi="Arial"/>
          <w:sz w:val="16"/>
          <w:szCs w:val="16"/>
          <w:color w:val="auto"/>
        </w:rPr>
        <w:t>" shall mean all Subsidiaries of the Company in existence as of the Effective Date or which may exist in the future. The Board or the Administrator may initiate or terminate the designation of a Subsidiary as a Qualified Subsidiary without the approval of the stockholders of the Company.</w:t>
      </w:r>
    </w:p>
    <w:p>
      <w:pPr>
        <w:spacing w:after="0" w:line="161"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Shares</w:t>
      </w:r>
      <w:r>
        <w:rPr>
          <w:rFonts w:ascii="Arial" w:cs="Arial" w:eastAsia="Arial" w:hAnsi="Arial"/>
          <w:sz w:val="16"/>
          <w:szCs w:val="16"/>
          <w:color w:val="auto"/>
        </w:rPr>
        <w:t>" shall mean the common stock of the Company, $0.0001 par value.</w:t>
      </w:r>
    </w:p>
    <w:p>
      <w:pPr>
        <w:spacing w:after="0" w:line="198" w:lineRule="exact"/>
        <w:rPr>
          <w:sz w:val="20"/>
          <w:szCs w:val="20"/>
          <w:color w:val="auto"/>
        </w:rPr>
      </w:pPr>
    </w:p>
    <w:p>
      <w:pPr>
        <w:ind w:left="980" w:right="340" w:firstLine="624"/>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shall mean any domestic entity of which not less than 50% of the voting rights are held by the Company or a Subsidiary, whether or not such entity now exists or is hereafter organized or acquired by the Company or a Subsidiary.</w:t>
      </w:r>
    </w:p>
    <w:p>
      <w:pPr>
        <w:spacing w:after="0" w:line="143" w:lineRule="exact"/>
        <w:rPr>
          <w:sz w:val="20"/>
          <w:szCs w:val="20"/>
          <w:color w:val="auto"/>
        </w:rPr>
      </w:pPr>
    </w:p>
    <w:p>
      <w:pPr>
        <w:ind w:left="620"/>
        <w:spacing w:after="0"/>
        <w:tabs>
          <w:tab w:leader="none" w:pos="1540" w:val="left"/>
        </w:tabs>
        <w:rPr>
          <w:sz w:val="20"/>
          <w:szCs w:val="20"/>
          <w:color w:val="auto"/>
        </w:rPr>
      </w:pPr>
      <w:r>
        <w:rPr>
          <w:rFonts w:ascii="Arial" w:cs="Arial" w:eastAsia="Arial" w:hAnsi="Arial"/>
          <w:sz w:val="16"/>
          <w:szCs w:val="16"/>
          <w:b w:val="1"/>
          <w:bCs w:val="1"/>
          <w:color w:val="auto"/>
        </w:rPr>
        <w:t>Section 3</w:t>
      </w:r>
      <w:r>
        <w:rPr>
          <w:rFonts w:ascii="Arial" w:cs="Arial" w:eastAsia="Arial" w:hAnsi="Arial"/>
          <w:sz w:val="16"/>
          <w:szCs w:val="16"/>
          <w:color w:val="auto"/>
        </w:rPr>
        <w:t>.</w:t>
      </w:r>
      <w:r>
        <w:rPr>
          <w:rFonts w:ascii="Arial" w:cs="Arial" w:eastAsia="Arial" w:hAnsi="Arial"/>
          <w:sz w:val="16"/>
          <w:szCs w:val="16"/>
          <w:b w:val="1"/>
          <w:bCs w:val="1"/>
          <w:color w:val="auto"/>
        </w:rPr>
        <w:tab/>
        <w:t>Eligibility</w:t>
      </w:r>
      <w:r>
        <w:rPr>
          <w:rFonts w:ascii="Arial" w:cs="Arial" w:eastAsia="Arial" w:hAnsi="Arial"/>
          <w:sz w:val="16"/>
          <w:szCs w:val="16"/>
          <w:color w:val="auto"/>
        </w:rPr>
        <w:t>.</w:t>
      </w:r>
    </w:p>
    <w:p>
      <w:pPr>
        <w:spacing w:after="0" w:line="218" w:lineRule="exact"/>
        <w:rPr>
          <w:sz w:val="20"/>
          <w:szCs w:val="20"/>
          <w:color w:val="auto"/>
        </w:rPr>
      </w:pPr>
    </w:p>
    <w:p>
      <w:pPr>
        <w:ind w:left="980" w:right="280" w:firstLine="629"/>
        <w:spacing w:after="0" w:line="247" w:lineRule="auto"/>
        <w:tabs>
          <w:tab w:leader="none" w:pos="1924"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Eligible Employee who is employed by the Company or a Qualified Subsidiary on the first day of any Offering Period shall be eligible to participate in the Plan during such Offering Period, subject to the requirements of Section 5 and the limitations imposed by Section 423(b)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63130" cy="20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jc w:val="both"/>
        <w:ind w:left="980" w:right="480" w:firstLine="629"/>
        <w:spacing w:after="0" w:line="247" w:lineRule="auto"/>
        <w:tabs>
          <w:tab w:leader="none" w:pos="1933" w:val="left"/>
        </w:tabs>
        <w:numPr>
          <w:ilvl w:val="0"/>
          <w:numId w:val="67"/>
        </w:numPr>
        <w:rPr>
          <w:rFonts w:ascii="Arial" w:cs="Arial" w:eastAsia="Arial" w:hAnsi="Arial"/>
          <w:sz w:val="16"/>
          <w:szCs w:val="16"/>
          <w:color w:val="auto"/>
        </w:rPr>
      </w:pPr>
      <w:r>
        <w:rPr>
          <w:rFonts w:ascii="Arial" w:cs="Arial" w:eastAsia="Arial" w:hAnsi="Arial"/>
          <w:sz w:val="16"/>
          <w:szCs w:val="16"/>
          <w:color w:val="auto"/>
        </w:rPr>
        <w:t>Each employee who first becomes an Eligible Employee subsequent to the first day of a given Offering Period will be eligible to become a Participating Employee in the Plan on the first day of the first Offering Period following the day on which such person becomes an Eligible Employee, subject to the requirements of Section 5 and the limitations imposed by Section 423(b) of the Code.</w:t>
      </w:r>
    </w:p>
    <w:p>
      <w:pPr>
        <w:spacing w:after="0" w:line="184" w:lineRule="exact"/>
        <w:rPr>
          <w:rFonts w:ascii="Arial" w:cs="Arial" w:eastAsia="Arial" w:hAnsi="Arial"/>
          <w:sz w:val="16"/>
          <w:szCs w:val="16"/>
          <w:color w:val="auto"/>
        </w:rPr>
      </w:pPr>
    </w:p>
    <w:p>
      <w:pPr>
        <w:ind w:left="980" w:right="120" w:firstLine="629"/>
        <w:spacing w:after="0" w:line="245" w:lineRule="auto"/>
        <w:tabs>
          <w:tab w:leader="none" w:pos="1924"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 Eligible Employee shall be granted an option under the Plan to the extent that his or her right to purchase Shares under all Section 423 employee stock purchase plans of the Company and its Subsidiaries accrues at a rate which exceeds $25,000 worth of stock (determined at the fair market value of the shares at the time such option is granted) for each calendar year in which such option is outstanding at any time. This limitation shall be applied in accordance with Section 423(b)(8) of the Code and the Treasury Regulations thereunder.</w:t>
      </w:r>
    </w:p>
    <w:p>
      <w:pPr>
        <w:spacing w:after="0" w:line="166" w:lineRule="exact"/>
        <w:rPr>
          <w:sz w:val="20"/>
          <w:szCs w:val="20"/>
          <w:color w:val="auto"/>
        </w:rPr>
      </w:pPr>
    </w:p>
    <w:p>
      <w:pPr>
        <w:ind w:right="280" w:firstLine="624"/>
        <w:spacing w:after="0" w:line="253" w:lineRule="auto"/>
        <w:rPr>
          <w:sz w:val="20"/>
          <w:szCs w:val="20"/>
          <w:color w:val="auto"/>
        </w:rPr>
      </w:pPr>
      <w:r>
        <w:rPr>
          <w:rFonts w:ascii="Arial" w:cs="Arial" w:eastAsia="Arial" w:hAnsi="Arial"/>
          <w:sz w:val="16"/>
          <w:szCs w:val="16"/>
          <w:b w:val="1"/>
          <w:bCs w:val="1"/>
          <w:color w:val="auto"/>
        </w:rPr>
        <w:t>Section 4</w:t>
      </w:r>
      <w:r>
        <w:rPr>
          <w:rFonts w:ascii="Arial" w:cs="Arial" w:eastAsia="Arial" w:hAnsi="Arial"/>
          <w:sz w:val="16"/>
          <w:szCs w:val="16"/>
          <w:color w:val="auto"/>
        </w:rPr>
        <w:t>.</w:t>
      </w:r>
      <w:r>
        <w:rPr>
          <w:rFonts w:ascii="Arial" w:cs="Arial" w:eastAsia="Arial" w:hAnsi="Arial"/>
          <w:sz w:val="16"/>
          <w:szCs w:val="16"/>
          <w:b w:val="1"/>
          <w:bCs w:val="1"/>
          <w:color w:val="auto"/>
        </w:rPr>
        <w:t xml:space="preserve"> Offering Periods</w:t>
      </w:r>
      <w:r>
        <w:rPr>
          <w:rFonts w:ascii="Arial" w:cs="Arial" w:eastAsia="Arial" w:hAnsi="Arial"/>
          <w:sz w:val="16"/>
          <w:szCs w:val="16"/>
          <w:color w:val="auto"/>
        </w:rPr>
        <w:t>. The Plan shall be implemented by consecutive Offering Periods which shall continue until the Plan expires or is</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terminated in accordance with Section 20 hereof. Subject to Section 20, Offering Periods shall be six month in duration, unless a longer period (not to exceed 27 months) is otherwise specified by the Administrator. The Administrator shall have the power to change the duration of Offering Periods (including the commencement dates thereof) and Purchase Dates with respect to future offerings without stockholder approval.</w:t>
      </w:r>
    </w:p>
    <w:p>
      <w:pPr>
        <w:spacing w:after="0" w:line="161" w:lineRule="exact"/>
        <w:rPr>
          <w:sz w:val="20"/>
          <w:szCs w:val="20"/>
          <w:color w:val="auto"/>
        </w:rPr>
      </w:pPr>
    </w:p>
    <w:p>
      <w:pPr>
        <w:ind w:left="620"/>
        <w:spacing w:after="0"/>
        <w:tabs>
          <w:tab w:leader="none" w:pos="1540" w:val="left"/>
        </w:tabs>
        <w:rPr>
          <w:sz w:val="20"/>
          <w:szCs w:val="20"/>
          <w:color w:val="auto"/>
        </w:rPr>
      </w:pPr>
      <w:r>
        <w:rPr>
          <w:rFonts w:ascii="Arial" w:cs="Arial" w:eastAsia="Arial" w:hAnsi="Arial"/>
          <w:sz w:val="16"/>
          <w:szCs w:val="16"/>
          <w:b w:val="1"/>
          <w:bCs w:val="1"/>
          <w:color w:val="auto"/>
        </w:rPr>
        <w:t>Section 5</w:t>
      </w:r>
      <w:r>
        <w:rPr>
          <w:rFonts w:ascii="Arial" w:cs="Arial" w:eastAsia="Arial" w:hAnsi="Arial"/>
          <w:sz w:val="16"/>
          <w:szCs w:val="16"/>
          <w:color w:val="auto"/>
        </w:rPr>
        <w:t>.</w:t>
      </w:r>
      <w:r>
        <w:rPr>
          <w:rFonts w:ascii="Arial" w:cs="Arial" w:eastAsia="Arial" w:hAnsi="Arial"/>
          <w:sz w:val="16"/>
          <w:szCs w:val="16"/>
          <w:b w:val="1"/>
          <w:bCs w:val="1"/>
          <w:color w:val="auto"/>
        </w:rPr>
        <w:tab/>
        <w:t>Participation</w:t>
      </w:r>
      <w:r>
        <w:rPr>
          <w:rFonts w:ascii="Arial" w:cs="Arial" w:eastAsia="Arial" w:hAnsi="Arial"/>
          <w:sz w:val="16"/>
          <w:szCs w:val="16"/>
          <w:color w:val="auto"/>
        </w:rPr>
        <w:t>.</w:t>
      </w:r>
    </w:p>
    <w:p>
      <w:pPr>
        <w:spacing w:after="0" w:line="218" w:lineRule="exact"/>
        <w:rPr>
          <w:sz w:val="20"/>
          <w:szCs w:val="20"/>
          <w:color w:val="auto"/>
        </w:rPr>
      </w:pPr>
    </w:p>
    <w:p>
      <w:pPr>
        <w:ind w:left="980" w:right="660" w:firstLine="629"/>
        <w:spacing w:after="0" w:line="253" w:lineRule="auto"/>
        <w:tabs>
          <w:tab w:leader="none" w:pos="1924"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 Eligible Employee may become a Participating Employee in the Plan as soon as administratively practicable following the completion of an enrollment form and the filing of such form with the Company.</w:t>
      </w:r>
    </w:p>
    <w:p>
      <w:pPr>
        <w:spacing w:after="0" w:line="179" w:lineRule="exact"/>
        <w:rPr>
          <w:rFonts w:ascii="Arial" w:cs="Arial" w:eastAsia="Arial" w:hAnsi="Arial"/>
          <w:sz w:val="16"/>
          <w:szCs w:val="16"/>
          <w:color w:val="auto"/>
        </w:rPr>
      </w:pPr>
    </w:p>
    <w:p>
      <w:pPr>
        <w:ind w:left="980" w:right="200" w:firstLine="629"/>
        <w:spacing w:after="0" w:line="247" w:lineRule="auto"/>
        <w:tabs>
          <w:tab w:leader="none" w:pos="1933" w:val="left"/>
        </w:tabs>
        <w:numPr>
          <w:ilvl w:val="0"/>
          <w:numId w:val="68"/>
        </w:numPr>
        <w:rPr>
          <w:rFonts w:ascii="Arial" w:cs="Arial" w:eastAsia="Arial" w:hAnsi="Arial"/>
          <w:sz w:val="16"/>
          <w:szCs w:val="16"/>
          <w:color w:val="auto"/>
        </w:rPr>
      </w:pPr>
      <w:r>
        <w:rPr>
          <w:rFonts w:ascii="Arial" w:cs="Arial" w:eastAsia="Arial" w:hAnsi="Arial"/>
          <w:sz w:val="16"/>
          <w:szCs w:val="16"/>
          <w:color w:val="auto"/>
        </w:rPr>
        <w:t>Payroll deductions or contributions for a Participating Employee shall commence on the first payroll following the first day of the Offering Period and shall end on the last payroll in the Offering Period to which such authorization is applicable, unless terminated sooner by the Participating Employee as provided in Section 11 hereof.</w:t>
      </w:r>
    </w:p>
    <w:p>
      <w:pPr>
        <w:spacing w:after="0" w:line="184" w:lineRule="exact"/>
        <w:rPr>
          <w:rFonts w:ascii="Arial" w:cs="Arial" w:eastAsia="Arial" w:hAnsi="Arial"/>
          <w:sz w:val="16"/>
          <w:szCs w:val="16"/>
          <w:color w:val="auto"/>
        </w:rPr>
      </w:pPr>
    </w:p>
    <w:p>
      <w:pPr>
        <w:ind w:left="980" w:firstLine="629"/>
        <w:spacing w:after="0" w:line="242" w:lineRule="auto"/>
        <w:tabs>
          <w:tab w:leader="none" w:pos="1924" w:val="left"/>
        </w:tabs>
        <w:numPr>
          <w:ilvl w:val="0"/>
          <w:numId w:val="68"/>
        </w:numPr>
        <w:rPr>
          <w:rFonts w:ascii="Arial" w:cs="Arial" w:eastAsia="Arial" w:hAnsi="Arial"/>
          <w:sz w:val="16"/>
          <w:szCs w:val="16"/>
          <w:color w:val="auto"/>
        </w:rPr>
      </w:pPr>
      <w:r>
        <w:rPr>
          <w:rFonts w:ascii="Arial" w:cs="Arial" w:eastAsia="Arial" w:hAnsi="Arial"/>
          <w:sz w:val="16"/>
          <w:szCs w:val="16"/>
          <w:color w:val="auto"/>
        </w:rPr>
        <w:t>During a leave of absence approved by the Company or a Subsidiary and as long as the requirements of Treasury Regulations Section 1.421-1(h)(2) are met, a Participating Employee may continue to participate in the Plan by making cash payments to the Company on each payday equal to the amount of the Participating Employee's payroll deductions or contributions under the Plan for the payday immediately preceding the first day of such Participating Employee's leave of absence. If a leave of absence is unapproved or fails to meet the requirements of Treasury Regulations Section 1.421-1(h)(2), the Participating Employee will automatically cease to participate in the Plan. In such event, the Company will automatically cease to deduct the Participating Employee's payroll under the Plan. The Company will pay to the Participating Employee his or her total payroll deductions for the Offering Period, in cash and in one lump sum, without interest, as soon as practicable after the Participating Employee ceases to participate in the Plan.</w:t>
      </w:r>
    </w:p>
    <w:p>
      <w:pPr>
        <w:spacing w:after="0" w:line="192" w:lineRule="exact"/>
        <w:rPr>
          <w:rFonts w:ascii="Arial" w:cs="Arial" w:eastAsia="Arial" w:hAnsi="Arial"/>
          <w:sz w:val="16"/>
          <w:szCs w:val="16"/>
          <w:color w:val="auto"/>
        </w:rPr>
      </w:pPr>
    </w:p>
    <w:p>
      <w:pPr>
        <w:jc w:val="both"/>
        <w:ind w:left="980" w:right="140" w:firstLine="629"/>
        <w:spacing w:after="0" w:line="247" w:lineRule="auto"/>
        <w:tabs>
          <w:tab w:leader="none" w:pos="1924"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Participating Employee's completion of an enrollment form will enroll such Participating Employee in the Plan for each successive and subsequent Offering Period on the terms contained therein until the Participating Employee either submits a new enrollment form, Withdraws from participation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63130" cy="20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as provided in Section 11 hereof, or otherwise becomes ineligible to participate in the Plan.</w:t>
      </w:r>
    </w:p>
    <w:p>
      <w:pPr>
        <w:spacing w:after="0" w:line="178" w:lineRule="exact"/>
        <w:rPr>
          <w:sz w:val="20"/>
          <w:szCs w:val="20"/>
          <w:color w:val="auto"/>
        </w:rPr>
      </w:pPr>
    </w:p>
    <w:p>
      <w:pPr>
        <w:ind w:left="620"/>
        <w:spacing w:after="0"/>
        <w:tabs>
          <w:tab w:leader="none" w:pos="1540" w:val="left"/>
        </w:tabs>
        <w:rPr>
          <w:sz w:val="20"/>
          <w:szCs w:val="20"/>
          <w:color w:val="auto"/>
        </w:rPr>
      </w:pPr>
      <w:r>
        <w:rPr>
          <w:rFonts w:ascii="Arial" w:cs="Arial" w:eastAsia="Arial" w:hAnsi="Arial"/>
          <w:sz w:val="16"/>
          <w:szCs w:val="16"/>
          <w:b w:val="1"/>
          <w:bCs w:val="1"/>
          <w:color w:val="auto"/>
        </w:rPr>
        <w:t>Section 6</w:t>
      </w:r>
      <w:r>
        <w:rPr>
          <w:rFonts w:ascii="Arial" w:cs="Arial" w:eastAsia="Arial" w:hAnsi="Arial"/>
          <w:sz w:val="16"/>
          <w:szCs w:val="16"/>
          <w:color w:val="auto"/>
        </w:rPr>
        <w:t>.</w:t>
      </w:r>
      <w:r>
        <w:rPr>
          <w:rFonts w:ascii="Arial" w:cs="Arial" w:eastAsia="Arial" w:hAnsi="Arial"/>
          <w:sz w:val="16"/>
          <w:szCs w:val="16"/>
          <w:b w:val="1"/>
          <w:bCs w:val="1"/>
          <w:color w:val="auto"/>
        </w:rPr>
        <w:tab/>
        <w:t>Payroll Deductions and Contributions</w:t>
      </w:r>
      <w:r>
        <w:rPr>
          <w:rFonts w:ascii="Arial" w:cs="Arial" w:eastAsia="Arial" w:hAnsi="Arial"/>
          <w:sz w:val="16"/>
          <w:szCs w:val="16"/>
          <w:color w:val="auto"/>
        </w:rPr>
        <w:t>.</w:t>
      </w:r>
    </w:p>
    <w:p>
      <w:pPr>
        <w:spacing w:after="0" w:line="218" w:lineRule="exact"/>
        <w:rPr>
          <w:sz w:val="20"/>
          <w:szCs w:val="20"/>
          <w:color w:val="auto"/>
        </w:rPr>
      </w:pPr>
    </w:p>
    <w:p>
      <w:pPr>
        <w:jc w:val="both"/>
        <w:ind w:left="980" w:right="220" w:firstLine="629"/>
        <w:spacing w:after="0" w:line="247" w:lineRule="auto"/>
        <w:tabs>
          <w:tab w:leader="none" w:pos="1924" w:val="left"/>
        </w:tabs>
        <w:numPr>
          <w:ilvl w:val="0"/>
          <w:numId w:val="69"/>
        </w:numPr>
        <w:rPr>
          <w:rFonts w:ascii="Arial" w:cs="Arial" w:eastAsia="Arial" w:hAnsi="Arial"/>
          <w:sz w:val="16"/>
          <w:szCs w:val="16"/>
          <w:color w:val="auto"/>
        </w:rPr>
      </w:pPr>
      <w:r>
        <w:rPr>
          <w:rFonts w:ascii="Arial" w:cs="Arial" w:eastAsia="Arial" w:hAnsi="Arial"/>
          <w:sz w:val="16"/>
          <w:szCs w:val="16"/>
          <w:color w:val="auto"/>
        </w:rPr>
        <w:t>At the time a Participating Employee files his or her enrollment form, he or she shall elect to have payroll deductions made on each payday during an Offering Period in an amount not less than 1% and not more than 15% (or such other maximum percentage as the Board may establish from time to time before an Enrollment Date) of such participant's Compensation on each payday during the Offering Period.</w:t>
      </w:r>
    </w:p>
    <w:p>
      <w:pPr>
        <w:spacing w:after="0" w:line="184" w:lineRule="exact"/>
        <w:rPr>
          <w:rFonts w:ascii="Arial" w:cs="Arial" w:eastAsia="Arial" w:hAnsi="Arial"/>
          <w:sz w:val="16"/>
          <w:szCs w:val="16"/>
          <w:color w:val="auto"/>
        </w:rPr>
      </w:pPr>
    </w:p>
    <w:p>
      <w:pPr>
        <w:ind w:left="980" w:right="180" w:firstLine="629"/>
        <w:spacing w:after="0" w:line="253" w:lineRule="auto"/>
        <w:tabs>
          <w:tab w:leader="none" w:pos="1924" w:val="left"/>
        </w:tabs>
        <w:numPr>
          <w:ilvl w:val="0"/>
          <w:numId w:val="69"/>
        </w:numPr>
        <w:rPr>
          <w:rFonts w:ascii="Arial" w:cs="Arial" w:eastAsia="Arial" w:hAnsi="Arial"/>
          <w:sz w:val="16"/>
          <w:szCs w:val="16"/>
          <w:color w:val="auto"/>
        </w:rPr>
      </w:pPr>
      <w:r>
        <w:rPr>
          <w:rFonts w:ascii="Arial" w:cs="Arial" w:eastAsia="Arial" w:hAnsi="Arial"/>
          <w:sz w:val="16"/>
          <w:szCs w:val="16"/>
          <w:color w:val="auto"/>
        </w:rPr>
        <w:t>All payroll deductions and contributions made for a Participating Employee shall be credited to his or her Payroll Deduction Account (as defined in Section 7) under the Plan. A Participating Employee may not make any additional payments into such account.</w:t>
      </w:r>
    </w:p>
    <w:p>
      <w:pPr>
        <w:spacing w:after="0" w:line="179" w:lineRule="exact"/>
        <w:rPr>
          <w:rFonts w:ascii="Arial" w:cs="Arial" w:eastAsia="Arial" w:hAnsi="Arial"/>
          <w:sz w:val="16"/>
          <w:szCs w:val="16"/>
          <w:color w:val="auto"/>
        </w:rPr>
      </w:pPr>
    </w:p>
    <w:p>
      <w:pPr>
        <w:ind w:left="980" w:right="100" w:firstLine="629"/>
        <w:spacing w:after="0" w:line="245" w:lineRule="auto"/>
        <w:tabs>
          <w:tab w:leader="none" w:pos="1915" w:val="left"/>
        </w:tabs>
        <w:numPr>
          <w:ilvl w:val="0"/>
          <w:numId w:val="69"/>
        </w:numPr>
        <w:rPr>
          <w:rFonts w:ascii="Arial" w:cs="Arial" w:eastAsia="Arial" w:hAnsi="Arial"/>
          <w:sz w:val="16"/>
          <w:szCs w:val="16"/>
          <w:color w:val="auto"/>
        </w:rPr>
      </w:pPr>
      <w:r>
        <w:rPr>
          <w:rFonts w:ascii="Arial" w:cs="Arial" w:eastAsia="Arial" w:hAnsi="Arial"/>
          <w:sz w:val="16"/>
          <w:szCs w:val="16"/>
          <w:color w:val="auto"/>
        </w:rPr>
        <w:t>A Participating Employee may discontinue his or her participation in the Plan as provided in Section 11 hereof or may increase or decrease the rate of his or her payroll deductions or contributions during the Offering Period by completing a revised enrollment form authorizing a change in payroll deduction or contribution and filing it with the Company. An election to increase or decrease a Participating Employee's payroll deductions or contributions shall be permitted no more than once every 30 days.</w:t>
      </w:r>
    </w:p>
    <w:p>
      <w:pPr>
        <w:spacing w:after="0" w:line="185" w:lineRule="exact"/>
        <w:rPr>
          <w:rFonts w:ascii="Arial" w:cs="Arial" w:eastAsia="Arial" w:hAnsi="Arial"/>
          <w:sz w:val="16"/>
          <w:szCs w:val="16"/>
          <w:color w:val="auto"/>
        </w:rPr>
      </w:pPr>
    </w:p>
    <w:p>
      <w:pPr>
        <w:ind w:left="980" w:right="500" w:firstLine="629"/>
        <w:spacing w:after="0" w:line="253" w:lineRule="auto"/>
        <w:tabs>
          <w:tab w:leader="none" w:pos="1933" w:val="left"/>
        </w:tabs>
        <w:numPr>
          <w:ilvl w:val="0"/>
          <w:numId w:val="69"/>
        </w:numPr>
        <w:rPr>
          <w:rFonts w:ascii="Arial" w:cs="Arial" w:eastAsia="Arial" w:hAnsi="Arial"/>
          <w:sz w:val="16"/>
          <w:szCs w:val="16"/>
          <w:color w:val="auto"/>
        </w:rPr>
      </w:pPr>
      <w:r>
        <w:rPr>
          <w:rFonts w:ascii="Arial" w:cs="Arial" w:eastAsia="Arial" w:hAnsi="Arial"/>
          <w:sz w:val="16"/>
          <w:szCs w:val="16"/>
          <w:color w:val="auto"/>
        </w:rPr>
        <w:t>Notwithstanding the foregoing, to the extent necessary to comply with Section 423(b)(8) of the Code and Section 3(c) hereof, a Participating Employee's payroll deductions may be decreased to 0% at any time during an Offering Period.</w:t>
      </w:r>
    </w:p>
    <w:p>
      <w:pPr>
        <w:spacing w:after="0" w:line="179" w:lineRule="exact"/>
        <w:rPr>
          <w:rFonts w:ascii="Arial" w:cs="Arial" w:eastAsia="Arial" w:hAnsi="Arial"/>
          <w:sz w:val="16"/>
          <w:szCs w:val="16"/>
          <w:color w:val="auto"/>
        </w:rPr>
      </w:pPr>
    </w:p>
    <w:p>
      <w:pPr>
        <w:ind w:left="980" w:right="20" w:firstLine="629"/>
        <w:spacing w:after="0" w:line="243" w:lineRule="auto"/>
        <w:tabs>
          <w:tab w:leader="none" w:pos="1924" w:val="left"/>
        </w:tabs>
        <w:numPr>
          <w:ilvl w:val="0"/>
          <w:numId w:val="69"/>
        </w:numPr>
        <w:rPr>
          <w:rFonts w:ascii="Arial" w:cs="Arial" w:eastAsia="Arial" w:hAnsi="Arial"/>
          <w:sz w:val="16"/>
          <w:szCs w:val="16"/>
          <w:color w:val="auto"/>
        </w:rPr>
      </w:pPr>
      <w:r>
        <w:rPr>
          <w:rFonts w:ascii="Arial" w:cs="Arial" w:eastAsia="Arial" w:hAnsi="Arial"/>
          <w:sz w:val="16"/>
          <w:szCs w:val="16"/>
          <w:color w:val="auto"/>
        </w:rPr>
        <w:t>At the time the option is exercised, in whole or in part, or at the time some or all of the Shares issued under the Plan are disposed of, the Participating Employee must make adequate provision for the Company's or Subsidiary's federal, national, state, local municipal, or other tax or Social Security withholding obligations, if any, which arise upon the exercise of the option or the disposition of the Shares. At any time, the Company or any Subsidiary may, but shall not be obligated to, withhold from the Participating Employee's Compensation the amount necessary for the Company or the Subsidiary to meet applicable withholding obligations, including any withholding required to make available to the Company any tax deductions or benefits attributable to sale or early disposition of the Shares by a Participating Employee.</w:t>
      </w:r>
    </w:p>
    <w:p>
      <w:pPr>
        <w:spacing w:after="0" w:line="169" w:lineRule="exact"/>
        <w:rPr>
          <w:sz w:val="20"/>
          <w:szCs w:val="20"/>
          <w:color w:val="auto"/>
        </w:rPr>
      </w:pPr>
    </w:p>
    <w:p>
      <w:pPr>
        <w:ind w:firstLine="624"/>
        <w:spacing w:after="0" w:line="260" w:lineRule="auto"/>
        <w:rPr>
          <w:sz w:val="20"/>
          <w:szCs w:val="20"/>
          <w:color w:val="auto"/>
        </w:rPr>
      </w:pPr>
      <w:r>
        <w:rPr>
          <w:rFonts w:ascii="Arial" w:cs="Arial" w:eastAsia="Arial" w:hAnsi="Arial"/>
          <w:sz w:val="16"/>
          <w:szCs w:val="16"/>
          <w:b w:val="1"/>
          <w:bCs w:val="1"/>
          <w:color w:val="auto"/>
        </w:rPr>
        <w:t>Section 7</w:t>
      </w:r>
      <w:r>
        <w:rPr>
          <w:rFonts w:ascii="Arial" w:cs="Arial" w:eastAsia="Arial" w:hAnsi="Arial"/>
          <w:sz w:val="16"/>
          <w:szCs w:val="16"/>
          <w:color w:val="auto"/>
        </w:rPr>
        <w:t>.</w:t>
      </w:r>
      <w:r>
        <w:rPr>
          <w:rFonts w:ascii="Arial" w:cs="Arial" w:eastAsia="Arial" w:hAnsi="Arial"/>
          <w:sz w:val="16"/>
          <w:szCs w:val="16"/>
          <w:b w:val="1"/>
          <w:bCs w:val="1"/>
          <w:color w:val="auto"/>
        </w:rPr>
        <w:t xml:space="preserve"> Payroll Deduction Account</w:t>
      </w:r>
      <w:r>
        <w:rPr>
          <w:rFonts w:ascii="Arial" w:cs="Arial" w:eastAsia="Arial" w:hAnsi="Arial"/>
          <w:sz w:val="16"/>
          <w:szCs w:val="16"/>
          <w:color w:val="auto"/>
        </w:rPr>
        <w:t>. The Company shall establish a payroll deduction account ("Payroll Deduction Account") for each</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Participating Employee and shall credit all payroll deductions and contributions made on behalf of each Participating Employee pursuant to Section 6 to his or her Payroll Deduction Account.</w:t>
      </w:r>
    </w:p>
    <w:p>
      <w:pPr>
        <w:spacing w:after="0" w:line="154" w:lineRule="exact"/>
        <w:rPr>
          <w:sz w:val="20"/>
          <w:szCs w:val="20"/>
          <w:color w:val="auto"/>
        </w:rPr>
      </w:pPr>
    </w:p>
    <w:p>
      <w:pPr>
        <w:ind w:right="160" w:firstLine="624"/>
        <w:spacing w:after="0" w:line="250" w:lineRule="auto"/>
        <w:rPr>
          <w:sz w:val="20"/>
          <w:szCs w:val="20"/>
          <w:color w:val="auto"/>
        </w:rPr>
      </w:pPr>
      <w:r>
        <w:rPr>
          <w:rFonts w:ascii="Arial" w:cs="Arial" w:eastAsia="Arial" w:hAnsi="Arial"/>
          <w:sz w:val="16"/>
          <w:szCs w:val="16"/>
          <w:b w:val="1"/>
          <w:bCs w:val="1"/>
          <w:color w:val="auto"/>
        </w:rPr>
        <w:t>Section 8</w:t>
      </w:r>
      <w:r>
        <w:rPr>
          <w:rFonts w:ascii="Arial" w:cs="Arial" w:eastAsia="Arial" w:hAnsi="Arial"/>
          <w:sz w:val="16"/>
          <w:szCs w:val="16"/>
          <w:color w:val="auto"/>
        </w:rPr>
        <w:t>.</w:t>
      </w:r>
      <w:r>
        <w:rPr>
          <w:rFonts w:ascii="Arial" w:cs="Arial" w:eastAsia="Arial" w:hAnsi="Arial"/>
          <w:sz w:val="16"/>
          <w:szCs w:val="16"/>
          <w:b w:val="1"/>
          <w:bCs w:val="1"/>
          <w:color w:val="auto"/>
        </w:rPr>
        <w:t xml:space="preserve"> Grant of Option</w:t>
      </w:r>
      <w:r>
        <w:rPr>
          <w:rFonts w:ascii="Arial" w:cs="Arial" w:eastAsia="Arial" w:hAnsi="Arial"/>
          <w:sz w:val="16"/>
          <w:szCs w:val="16"/>
          <w:color w:val="auto"/>
        </w:rPr>
        <w:t>. On the Enrollment Date of each Offering Period, each Eligible Employee participating in such Offering Period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an option to purchase on each Purchase Date during such Offering Period (at the applicable Purchase Price) up to a number of Shares determined by dividing such Participating Employee's payroll deductions accumulated on such Purchase Date and retained in the Participating Employee's Payroll Deduction Account as of the Purchase Date by the applicable Purchase Price. Exercise of the option shall occur as provided in Section 9 hereof, unless the Participating Employee has Withdrawn pursuant to Section 11 hereof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63130" cy="20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becomes ineligible to participate in the Plan. The option shall expire on the last day of the Offering Period.</w:t>
      </w:r>
    </w:p>
    <w:p>
      <w:pPr>
        <w:spacing w:after="0" w:line="178" w:lineRule="exact"/>
        <w:rPr>
          <w:sz w:val="20"/>
          <w:szCs w:val="20"/>
          <w:color w:val="auto"/>
        </w:rPr>
      </w:pPr>
    </w:p>
    <w:p>
      <w:pPr>
        <w:ind w:left="620"/>
        <w:spacing w:after="0"/>
        <w:tabs>
          <w:tab w:leader="none" w:pos="1540" w:val="left"/>
        </w:tabs>
        <w:rPr>
          <w:sz w:val="20"/>
          <w:szCs w:val="20"/>
          <w:color w:val="auto"/>
        </w:rPr>
      </w:pPr>
      <w:r>
        <w:rPr>
          <w:rFonts w:ascii="Arial" w:cs="Arial" w:eastAsia="Arial" w:hAnsi="Arial"/>
          <w:sz w:val="16"/>
          <w:szCs w:val="16"/>
          <w:b w:val="1"/>
          <w:bCs w:val="1"/>
          <w:color w:val="auto"/>
        </w:rPr>
        <w:t>Section 9</w:t>
      </w:r>
      <w:r>
        <w:rPr>
          <w:rFonts w:ascii="Arial" w:cs="Arial" w:eastAsia="Arial" w:hAnsi="Arial"/>
          <w:sz w:val="16"/>
          <w:szCs w:val="16"/>
          <w:color w:val="auto"/>
        </w:rPr>
        <w:t>.</w:t>
      </w:r>
      <w:r>
        <w:rPr>
          <w:rFonts w:ascii="Arial" w:cs="Arial" w:eastAsia="Arial" w:hAnsi="Arial"/>
          <w:sz w:val="16"/>
          <w:szCs w:val="16"/>
          <w:b w:val="1"/>
          <w:bCs w:val="1"/>
          <w:color w:val="auto"/>
        </w:rPr>
        <w:tab/>
        <w:t>Exercise of Option</w:t>
      </w:r>
      <w:r>
        <w:rPr>
          <w:rFonts w:ascii="Arial" w:cs="Arial" w:eastAsia="Arial" w:hAnsi="Arial"/>
          <w:sz w:val="16"/>
          <w:szCs w:val="16"/>
          <w:color w:val="auto"/>
        </w:rPr>
        <w:t>.</w:t>
      </w:r>
    </w:p>
    <w:p>
      <w:pPr>
        <w:spacing w:after="0" w:line="218" w:lineRule="exact"/>
        <w:rPr>
          <w:sz w:val="20"/>
          <w:szCs w:val="20"/>
          <w:color w:val="auto"/>
        </w:rPr>
      </w:pPr>
    </w:p>
    <w:p>
      <w:pPr>
        <w:jc w:val="both"/>
        <w:ind w:left="980" w:right="380" w:firstLine="629"/>
        <w:spacing w:after="0" w:line="247" w:lineRule="auto"/>
        <w:tabs>
          <w:tab w:leader="none" w:pos="1933" w:val="left"/>
        </w:tabs>
        <w:numPr>
          <w:ilvl w:val="1"/>
          <w:numId w:val="70"/>
        </w:numPr>
        <w:rPr>
          <w:rFonts w:ascii="Arial" w:cs="Arial" w:eastAsia="Arial" w:hAnsi="Arial"/>
          <w:sz w:val="16"/>
          <w:szCs w:val="16"/>
          <w:color w:val="auto"/>
        </w:rPr>
      </w:pPr>
      <w:r>
        <w:rPr>
          <w:rFonts w:ascii="Arial" w:cs="Arial" w:eastAsia="Arial" w:hAnsi="Arial"/>
          <w:sz w:val="16"/>
          <w:szCs w:val="16"/>
          <w:color w:val="auto"/>
        </w:rPr>
        <w:t>By the Purchase Date, the Company shall cause a statement of the balance in each Participating Employee's Payroll Deduction Account to be forwarded to the securities brokerage firm as set forth in Section 10 for purchase on his or her account of the number of Shares determined under subparagraphs (b) and (c) of this Section.</w:t>
      </w:r>
    </w:p>
    <w:p>
      <w:pPr>
        <w:spacing w:after="0" w:line="184" w:lineRule="exact"/>
        <w:rPr>
          <w:rFonts w:ascii="Arial" w:cs="Arial" w:eastAsia="Arial" w:hAnsi="Arial"/>
          <w:sz w:val="16"/>
          <w:szCs w:val="16"/>
          <w:color w:val="auto"/>
        </w:rPr>
      </w:pPr>
    </w:p>
    <w:p>
      <w:pPr>
        <w:ind w:left="980" w:firstLine="629"/>
        <w:spacing w:after="0" w:line="244" w:lineRule="auto"/>
        <w:tabs>
          <w:tab w:leader="none" w:pos="1933" w:val="left"/>
        </w:tabs>
        <w:numPr>
          <w:ilvl w:val="1"/>
          <w:numId w:val="70"/>
        </w:numPr>
        <w:rPr>
          <w:rFonts w:ascii="Arial" w:cs="Arial" w:eastAsia="Arial" w:hAnsi="Arial"/>
          <w:sz w:val="16"/>
          <w:szCs w:val="16"/>
          <w:color w:val="auto"/>
        </w:rPr>
      </w:pPr>
      <w:r>
        <w:rPr>
          <w:rFonts w:ascii="Arial" w:cs="Arial" w:eastAsia="Arial" w:hAnsi="Arial"/>
          <w:sz w:val="16"/>
          <w:szCs w:val="16"/>
          <w:color w:val="auto"/>
        </w:rPr>
        <w:t>Unless a Participating Employee Withdraws from the Plan as provided in Section 11 hereof or otherwise becomes ineligible to participate in the Plan, his or her option for the purchase of Shares shall be exercised automatically on the Purchase Date, and the maximum number of full Shares and fractional Shares subject to the option shall be purchased for such Participating Employee at the applicable Purchase Price with the accumulated payroll deductions in his or her account. During a Participating Employee's lifetime, a Participating Employee's option to purchase Shares hereunder is exercisable only by him or her.</w:t>
      </w:r>
    </w:p>
    <w:p>
      <w:pPr>
        <w:spacing w:after="0" w:line="186" w:lineRule="exact"/>
        <w:rPr>
          <w:rFonts w:ascii="Arial" w:cs="Arial" w:eastAsia="Arial" w:hAnsi="Arial"/>
          <w:sz w:val="16"/>
          <w:szCs w:val="16"/>
          <w:color w:val="auto"/>
        </w:rPr>
      </w:pPr>
    </w:p>
    <w:p>
      <w:pPr>
        <w:ind w:left="980" w:right="340" w:firstLine="629"/>
        <w:spacing w:after="0" w:line="241" w:lineRule="auto"/>
        <w:tabs>
          <w:tab w:leader="none" w:pos="1924" w:val="left"/>
        </w:tabs>
        <w:numPr>
          <w:ilvl w:val="1"/>
          <w:numId w:val="70"/>
        </w:numPr>
        <w:rPr>
          <w:rFonts w:ascii="Arial" w:cs="Arial" w:eastAsia="Arial" w:hAnsi="Arial"/>
          <w:sz w:val="16"/>
          <w:szCs w:val="16"/>
          <w:color w:val="auto"/>
        </w:rPr>
      </w:pPr>
      <w:r>
        <w:rPr>
          <w:rFonts w:ascii="Arial" w:cs="Arial" w:eastAsia="Arial" w:hAnsi="Arial"/>
          <w:sz w:val="16"/>
          <w:szCs w:val="16"/>
          <w:color w:val="auto"/>
        </w:rPr>
        <w:t>If the Administrator determines that, on a given Purchase Date, the number of Shares with respect to which options are to be exercised may exceed (i) the number of Shares that were available for sale under the Plan on the first day of the applicable Offering Period, or</w:t>
      </w:r>
    </w:p>
    <w:p>
      <w:pPr>
        <w:ind w:left="980" w:right="320" w:firstLine="5"/>
        <w:spacing w:after="0" w:line="245" w:lineRule="auto"/>
        <w:tabs>
          <w:tab w:leader="none" w:pos="1202"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number of shares available for sale under the Plan on such Purchase Date, the Administrator shall allocate the available Shares among such Participating Employees in as uniform a manner as shall be practicable. The balance of the amount credited to the account of each Participating Employee which has not been applied to the purchase of Shares shall be paid to such Participating Employee in one lump sum in cash as soon as reasonably practicable after the Exercise Date, without any interest thereon.</w:t>
      </w:r>
    </w:p>
    <w:p>
      <w:pPr>
        <w:spacing w:after="0" w:line="185" w:lineRule="exact"/>
        <w:rPr>
          <w:rFonts w:ascii="Arial" w:cs="Arial" w:eastAsia="Arial" w:hAnsi="Arial"/>
          <w:sz w:val="16"/>
          <w:szCs w:val="16"/>
          <w:color w:val="auto"/>
        </w:rPr>
      </w:pPr>
    </w:p>
    <w:p>
      <w:pPr>
        <w:ind w:left="980" w:right="20" w:firstLine="629"/>
        <w:spacing w:after="0" w:line="253" w:lineRule="auto"/>
        <w:tabs>
          <w:tab w:leader="none" w:pos="1933" w:val="left"/>
        </w:tabs>
        <w:numPr>
          <w:ilvl w:val="1"/>
          <w:numId w:val="71"/>
        </w:numPr>
        <w:rPr>
          <w:rFonts w:ascii="Arial" w:cs="Arial" w:eastAsia="Arial" w:hAnsi="Arial"/>
          <w:sz w:val="16"/>
          <w:szCs w:val="16"/>
          <w:color w:val="auto"/>
        </w:rPr>
      </w:pPr>
      <w:r>
        <w:rPr>
          <w:rFonts w:ascii="Arial" w:cs="Arial" w:eastAsia="Arial" w:hAnsi="Arial"/>
          <w:sz w:val="16"/>
          <w:szCs w:val="16"/>
          <w:color w:val="auto"/>
        </w:rPr>
        <w:t>Unless otherwise determined by the Administrator, Participating Employees are required to hold Shares acquired under the Plan for a holding period that ends on the second anniversary of the Enrollment Date for the Offering Period under which the Shares were purchased.</w:t>
      </w:r>
    </w:p>
    <w:p>
      <w:pPr>
        <w:spacing w:after="0" w:line="159" w:lineRule="exact"/>
        <w:rPr>
          <w:sz w:val="20"/>
          <w:szCs w:val="20"/>
          <w:color w:val="auto"/>
        </w:rPr>
      </w:pPr>
    </w:p>
    <w:p>
      <w:pPr>
        <w:ind w:firstLine="624"/>
        <w:spacing w:after="0" w:line="247" w:lineRule="auto"/>
        <w:rPr>
          <w:sz w:val="20"/>
          <w:szCs w:val="20"/>
          <w:color w:val="auto"/>
        </w:rPr>
      </w:pPr>
      <w:r>
        <w:rPr>
          <w:rFonts w:ascii="Arial" w:cs="Arial" w:eastAsia="Arial" w:hAnsi="Arial"/>
          <w:sz w:val="16"/>
          <w:szCs w:val="16"/>
          <w:b w:val="1"/>
          <w:bCs w:val="1"/>
          <w:color w:val="auto"/>
        </w:rPr>
        <w:t>Section 10</w:t>
      </w:r>
      <w:r>
        <w:rPr>
          <w:rFonts w:ascii="Arial" w:cs="Arial" w:eastAsia="Arial" w:hAnsi="Arial"/>
          <w:sz w:val="16"/>
          <w:szCs w:val="16"/>
          <w:color w:val="auto"/>
        </w:rPr>
        <w:t>.</w:t>
      </w:r>
      <w:r>
        <w:rPr>
          <w:rFonts w:ascii="Arial" w:cs="Arial" w:eastAsia="Arial" w:hAnsi="Arial"/>
          <w:sz w:val="16"/>
          <w:szCs w:val="16"/>
          <w:b w:val="1"/>
          <w:bCs w:val="1"/>
          <w:color w:val="auto"/>
        </w:rPr>
        <w:t xml:space="preserve"> Brokerage Accounts</w:t>
      </w:r>
      <w:r>
        <w:rPr>
          <w:rFonts w:ascii="Arial" w:cs="Arial" w:eastAsia="Arial" w:hAnsi="Arial"/>
          <w:sz w:val="16"/>
          <w:szCs w:val="16"/>
          <w:color w:val="auto"/>
        </w:rPr>
        <w:t>. By enrolling in the Plan, each Eligible Employee shall be deemed to have authorized the establishment of a</w:t>
      </w:r>
      <w:r>
        <w:rPr>
          <w:rFonts w:ascii="Arial" w:cs="Arial" w:eastAsia="Arial" w:hAnsi="Arial"/>
          <w:sz w:val="16"/>
          <w:szCs w:val="16"/>
          <w:b w:val="1"/>
          <w:bCs w:val="1"/>
          <w:color w:val="auto"/>
        </w:rPr>
        <w:t xml:space="preserve"> </w:t>
      </w:r>
      <w:r>
        <w:rPr>
          <w:rFonts w:ascii="Arial" w:cs="Arial" w:eastAsia="Arial" w:hAnsi="Arial"/>
          <w:sz w:val="16"/>
          <w:szCs w:val="16"/>
          <w:color w:val="auto"/>
        </w:rPr>
        <w:t>brokerage account ("Brokerage Account") on his or her behalf at a securities brokerage firm to be selected from time to time by the Administrator. The Brokerage Account shall be governed by, and shall be subject to, the terms and conditions of the Plan and of a written agreement between the Company and the securities brokerage firm and, if applicable, the Participating Employee and the securities brokerage firm. As promptly as practicable after each Purchase Date on which a purchase of Shares occurs, the Company may arrange for the deposit into each Participating Employee's Brokerage Account of the number of Shares purchased upon exercise of his or her option. Shares purchased on behalf of any Participating Employee pursuant to the Plan shall be held in the Participating Employee's Brokerage Account in his or her name.</w:t>
      </w:r>
    </w:p>
    <w:p>
      <w:pPr>
        <w:spacing w:after="0" w:line="167" w:lineRule="exact"/>
        <w:rPr>
          <w:sz w:val="20"/>
          <w:szCs w:val="20"/>
          <w:color w:val="auto"/>
        </w:rPr>
      </w:pPr>
    </w:p>
    <w:p>
      <w:pPr>
        <w:ind w:left="620"/>
        <w:spacing w:after="0"/>
        <w:tabs>
          <w:tab w:leader="none" w:pos="1620" w:val="left"/>
        </w:tabs>
        <w:rPr>
          <w:sz w:val="20"/>
          <w:szCs w:val="20"/>
          <w:color w:val="auto"/>
        </w:rPr>
      </w:pPr>
      <w:r>
        <w:rPr>
          <w:rFonts w:ascii="Arial" w:cs="Arial" w:eastAsia="Arial" w:hAnsi="Arial"/>
          <w:sz w:val="16"/>
          <w:szCs w:val="16"/>
          <w:b w:val="1"/>
          <w:bCs w:val="1"/>
          <w:color w:val="auto"/>
        </w:rPr>
        <w:t>Section 11</w:t>
      </w:r>
      <w:r>
        <w:rPr>
          <w:rFonts w:ascii="Arial" w:cs="Arial" w:eastAsia="Arial" w:hAnsi="Arial"/>
          <w:sz w:val="16"/>
          <w:szCs w:val="16"/>
          <w:color w:val="auto"/>
        </w:rPr>
        <w:t>.</w:t>
      </w:r>
      <w:r>
        <w:rPr>
          <w:rFonts w:ascii="Arial" w:cs="Arial" w:eastAsia="Arial" w:hAnsi="Arial"/>
          <w:sz w:val="16"/>
          <w:szCs w:val="16"/>
          <w:b w:val="1"/>
          <w:bCs w:val="1"/>
          <w:color w:val="auto"/>
        </w:rPr>
        <w:tab/>
        <w:t>Withdrawal</w:t>
      </w:r>
      <w:r>
        <w:rPr>
          <w:rFonts w:ascii="Arial" w:cs="Arial" w:eastAsia="Arial" w:hAnsi="Arial"/>
          <w:sz w:val="16"/>
          <w:szCs w:val="16"/>
          <w:color w:val="auto"/>
        </w:rPr>
        <w:t>.</w:t>
      </w:r>
    </w:p>
    <w:p>
      <w:pPr>
        <w:spacing w:after="0" w:line="218" w:lineRule="exact"/>
        <w:rPr>
          <w:sz w:val="20"/>
          <w:szCs w:val="20"/>
          <w:color w:val="auto"/>
        </w:rPr>
      </w:pPr>
    </w:p>
    <w:p>
      <w:pPr>
        <w:ind w:left="980" w:right="40" w:firstLine="629"/>
        <w:spacing w:after="0" w:line="253" w:lineRule="auto"/>
        <w:tabs>
          <w:tab w:leader="none" w:pos="1924"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Participating Employee may Withdraw all but not less than all of the payroll deductions or contributions credited to his or her Payroll Deduction Account and not yet used to exercise his or her option under the Plan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109855</wp:posOffset>
            </wp:positionV>
            <wp:extent cx="7263130" cy="20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980" w:right="60"/>
        <w:spacing w:after="0" w:line="242" w:lineRule="auto"/>
        <w:rPr>
          <w:sz w:val="20"/>
          <w:szCs w:val="20"/>
          <w:color w:val="auto"/>
        </w:rPr>
      </w:pPr>
      <w:r>
        <w:rPr>
          <w:rFonts w:ascii="Arial" w:cs="Arial" w:eastAsia="Arial" w:hAnsi="Arial"/>
          <w:sz w:val="16"/>
          <w:szCs w:val="16"/>
          <w:color w:val="auto"/>
        </w:rPr>
        <w:t>prior to a Purchase Date by giving written notice to the Company authorizing payroll deductions ("Withdraw" or "Withdrawal"). All of the Participating Employee's payroll deductions or contributions credited to his or her account during the Offering Period shall be paid to such Participating Employee as soon as practicable after receipt of the notice of Withdrawal. Thereafter, such Participating Employee's option for the Offering Period shall be automatically terminated, and no further payroll deductions for the purchase of Shares shall be made for such Offering Period. If a Participating Employee Withdraws from an Offering Period, payroll deductions or contributions shall not resume at the beginning of any succeeding Offering Periods unless the Participating Employee delivers to the Company a new enrollment form; provided, however, that any Eligible Employee who is deemed to be an "executive officer" of the Company as defined by Section 16b-3 of the Securities Exchange Act of 1934 shall not renew his or her participation in the Plan until at least six months have elapsed since the date of Withdrawal.</w:t>
      </w:r>
    </w:p>
    <w:p>
      <w:pPr>
        <w:spacing w:after="0" w:line="193" w:lineRule="exact"/>
        <w:rPr>
          <w:sz w:val="20"/>
          <w:szCs w:val="20"/>
          <w:color w:val="auto"/>
        </w:rPr>
      </w:pPr>
    </w:p>
    <w:p>
      <w:pPr>
        <w:ind w:left="980" w:right="80" w:firstLine="629"/>
        <w:spacing w:after="0" w:line="253" w:lineRule="auto"/>
        <w:tabs>
          <w:tab w:leader="none" w:pos="1924"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Participating Employee's Withdrawal from an Offering Period shall not have any effect upon his or her eligibility to participate in any similar plan which may hereafter be adopted by the Company or in succeeding Offering Periods.</w:t>
      </w:r>
    </w:p>
    <w:p>
      <w:pPr>
        <w:spacing w:after="0" w:line="159" w:lineRule="exact"/>
        <w:rPr>
          <w:sz w:val="20"/>
          <w:szCs w:val="20"/>
          <w:color w:val="auto"/>
        </w:rPr>
      </w:pPr>
    </w:p>
    <w:p>
      <w:pPr>
        <w:ind w:right="20" w:firstLine="624"/>
        <w:spacing w:after="0" w:line="246" w:lineRule="auto"/>
        <w:rPr>
          <w:sz w:val="20"/>
          <w:szCs w:val="20"/>
          <w:color w:val="auto"/>
        </w:rPr>
      </w:pPr>
      <w:r>
        <w:rPr>
          <w:rFonts w:ascii="Arial" w:cs="Arial" w:eastAsia="Arial" w:hAnsi="Arial"/>
          <w:sz w:val="16"/>
          <w:szCs w:val="16"/>
          <w:b w:val="1"/>
          <w:bCs w:val="1"/>
          <w:color w:val="auto"/>
        </w:rPr>
        <w:t>Section 12</w:t>
      </w:r>
      <w:r>
        <w:rPr>
          <w:rFonts w:ascii="Arial" w:cs="Arial" w:eastAsia="Arial" w:hAnsi="Arial"/>
          <w:sz w:val="16"/>
          <w:szCs w:val="16"/>
          <w:color w:val="auto"/>
        </w:rPr>
        <w:t>.</w:t>
      </w:r>
      <w:r>
        <w:rPr>
          <w:rFonts w:ascii="Arial" w:cs="Arial" w:eastAsia="Arial" w:hAnsi="Arial"/>
          <w:sz w:val="16"/>
          <w:szCs w:val="16"/>
          <w:b w:val="1"/>
          <w:bCs w:val="1"/>
          <w:color w:val="auto"/>
        </w:rPr>
        <w:t xml:space="preserve"> Termination of Employment</w:t>
      </w:r>
      <w:r>
        <w:rPr>
          <w:rFonts w:ascii="Arial" w:cs="Arial" w:eastAsia="Arial" w:hAnsi="Arial"/>
          <w:sz w:val="16"/>
          <w:szCs w:val="16"/>
          <w:color w:val="auto"/>
        </w:rPr>
        <w:t>. Upon (a) a Participating Employee's ceasing to be an Eligible Employee for any reason,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employment, disability or death or (b) a Participating Employee's being granted a leave of absence and failing to return to active employment upon the expiration of his or her leave in accordance with the Company's policy with respect to permitted absences, he or she shall be deemed to have elected to Withdraw from the Plan, the payroll deductions on behalf of the Participating Employee shall be discontinued, and any amounts credited to such Participating Employee's Payroll Deduction Account during the Offering Period shall be paid to such Participating Employee or, in the case of his or her death, to the person or persons entitled thereto under Section 16 hereof, as soon as reasonably practicable, and such Participating Employee's option for the Offering Period shall be automatically terminated. A transfer of a Participating Employee's employment between or among the Company and any Qualified Subsidiary shall not be treated as a termination of employment for purposes of the Plan.</w:t>
      </w:r>
    </w:p>
    <w:p>
      <w:pPr>
        <w:spacing w:after="0" w:line="168" w:lineRule="exact"/>
        <w:rPr>
          <w:sz w:val="20"/>
          <w:szCs w:val="20"/>
          <w:color w:val="auto"/>
        </w:rPr>
      </w:pPr>
    </w:p>
    <w:p>
      <w:pPr>
        <w:ind w:left="620"/>
        <w:spacing w:after="0"/>
        <w:tabs>
          <w:tab w:leader="none" w:pos="1620" w:val="left"/>
          <w:tab w:leader="none" w:pos="2420" w:val="left"/>
        </w:tabs>
        <w:rPr>
          <w:sz w:val="20"/>
          <w:szCs w:val="20"/>
          <w:color w:val="auto"/>
        </w:rPr>
      </w:pPr>
      <w:r>
        <w:rPr>
          <w:rFonts w:ascii="Arial" w:cs="Arial" w:eastAsia="Arial" w:hAnsi="Arial"/>
          <w:sz w:val="16"/>
          <w:szCs w:val="16"/>
          <w:b w:val="1"/>
          <w:bCs w:val="1"/>
          <w:color w:val="auto"/>
        </w:rPr>
        <w:t>Section 13</w:t>
      </w:r>
      <w:r>
        <w:rPr>
          <w:rFonts w:ascii="Arial" w:cs="Arial" w:eastAsia="Arial" w:hAnsi="Arial"/>
          <w:sz w:val="16"/>
          <w:szCs w:val="16"/>
          <w:color w:val="auto"/>
        </w:rPr>
        <w:t>.</w:t>
      </w:r>
      <w:r>
        <w:rPr>
          <w:rFonts w:ascii="Arial" w:cs="Arial" w:eastAsia="Arial" w:hAnsi="Arial"/>
          <w:sz w:val="16"/>
          <w:szCs w:val="16"/>
          <w:b w:val="1"/>
          <w:bCs w:val="1"/>
          <w:color w:val="auto"/>
        </w:rPr>
        <w:tab/>
        <w:t>Interest</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No interest shall accrue on the payroll deductions or contributions of a Participating Employee in the Plan.</w:t>
      </w:r>
    </w:p>
    <w:p>
      <w:pPr>
        <w:spacing w:after="0" w:line="198" w:lineRule="exact"/>
        <w:rPr>
          <w:sz w:val="20"/>
          <w:szCs w:val="20"/>
          <w:color w:val="auto"/>
        </w:rPr>
      </w:pPr>
    </w:p>
    <w:p>
      <w:pPr>
        <w:ind w:left="620"/>
        <w:spacing w:after="0"/>
        <w:tabs>
          <w:tab w:leader="none" w:pos="1620" w:val="left"/>
        </w:tabs>
        <w:rPr>
          <w:sz w:val="20"/>
          <w:szCs w:val="20"/>
          <w:color w:val="auto"/>
        </w:rPr>
      </w:pPr>
      <w:r>
        <w:rPr>
          <w:rFonts w:ascii="Arial" w:cs="Arial" w:eastAsia="Arial" w:hAnsi="Arial"/>
          <w:sz w:val="16"/>
          <w:szCs w:val="16"/>
          <w:b w:val="1"/>
          <w:bCs w:val="1"/>
          <w:color w:val="auto"/>
        </w:rPr>
        <w:t>Section 14</w:t>
      </w:r>
      <w:r>
        <w:rPr>
          <w:rFonts w:ascii="Arial" w:cs="Arial" w:eastAsia="Arial" w:hAnsi="Arial"/>
          <w:sz w:val="16"/>
          <w:szCs w:val="16"/>
          <w:color w:val="auto"/>
        </w:rPr>
        <w:t>.</w:t>
      </w:r>
      <w:r>
        <w:rPr>
          <w:rFonts w:ascii="Arial" w:cs="Arial" w:eastAsia="Arial" w:hAnsi="Arial"/>
          <w:sz w:val="16"/>
          <w:szCs w:val="16"/>
          <w:b w:val="1"/>
          <w:bCs w:val="1"/>
          <w:color w:val="auto"/>
        </w:rPr>
        <w:tab/>
        <w:t>Shares Subject to Plan</w:t>
      </w:r>
      <w:r>
        <w:rPr>
          <w:rFonts w:ascii="Arial" w:cs="Arial" w:eastAsia="Arial" w:hAnsi="Arial"/>
          <w:sz w:val="16"/>
          <w:szCs w:val="16"/>
          <w:color w:val="auto"/>
        </w:rPr>
        <w:t>.</w:t>
      </w:r>
    </w:p>
    <w:p>
      <w:pPr>
        <w:spacing w:after="0" w:line="218" w:lineRule="exact"/>
        <w:rPr>
          <w:sz w:val="20"/>
          <w:szCs w:val="20"/>
          <w:color w:val="auto"/>
        </w:rPr>
      </w:pPr>
    </w:p>
    <w:p>
      <w:pPr>
        <w:ind w:left="980" w:right="40" w:firstLine="629"/>
        <w:spacing w:after="0" w:line="244" w:lineRule="auto"/>
        <w:tabs>
          <w:tab w:leader="none" w:pos="1933" w:val="left"/>
        </w:tabs>
        <w:numPr>
          <w:ilvl w:val="0"/>
          <w:numId w:val="74"/>
        </w:numPr>
        <w:rPr>
          <w:rFonts w:ascii="Arial" w:cs="Arial" w:eastAsia="Arial" w:hAnsi="Arial"/>
          <w:sz w:val="16"/>
          <w:szCs w:val="16"/>
          <w:color w:val="auto"/>
        </w:rPr>
      </w:pPr>
      <w:r>
        <w:rPr>
          <w:rFonts w:ascii="Arial" w:cs="Arial" w:eastAsia="Arial" w:hAnsi="Arial"/>
          <w:sz w:val="16"/>
          <w:szCs w:val="16"/>
          <w:color w:val="auto"/>
        </w:rPr>
        <w:t>Subject to adjustment upon changes in capitalization of the Company as provided in Section 19 hereof, the maximum number of Shares which shall initially be made available for sale under the Plan shall be 2,000,000. If any right granted under the Plan shall for any reason terminate without having been exercised, the Shares not purchased under such right may, in the sole discretion of the Administrator, become available for issuance under the Plan. The Shares subject to the Plan may be authorized but unissued Shares or reacquired Shares, bought on the market or otherwise.</w:t>
      </w:r>
    </w:p>
    <w:p>
      <w:pPr>
        <w:spacing w:after="0" w:line="186" w:lineRule="exact"/>
        <w:rPr>
          <w:rFonts w:ascii="Arial" w:cs="Arial" w:eastAsia="Arial" w:hAnsi="Arial"/>
          <w:sz w:val="16"/>
          <w:szCs w:val="16"/>
          <w:color w:val="auto"/>
        </w:rPr>
      </w:pPr>
    </w:p>
    <w:p>
      <w:pPr>
        <w:ind w:left="980" w:firstLine="629"/>
        <w:spacing w:after="0" w:line="247" w:lineRule="auto"/>
        <w:tabs>
          <w:tab w:leader="none" w:pos="1933" w:val="left"/>
        </w:tabs>
        <w:numPr>
          <w:ilvl w:val="0"/>
          <w:numId w:val="74"/>
        </w:numPr>
        <w:rPr>
          <w:rFonts w:ascii="Arial" w:cs="Arial" w:eastAsia="Arial" w:hAnsi="Arial"/>
          <w:sz w:val="16"/>
          <w:szCs w:val="16"/>
          <w:color w:val="auto"/>
        </w:rPr>
      </w:pPr>
      <w:r>
        <w:rPr>
          <w:rFonts w:ascii="Arial" w:cs="Arial" w:eastAsia="Arial" w:hAnsi="Arial"/>
          <w:sz w:val="16"/>
          <w:szCs w:val="16"/>
          <w:color w:val="auto"/>
        </w:rPr>
        <w:t>With respect to Shares subject to an option granted under the Plan, a Participating Employee shall not be deemed to be a stockholder of the Company, and the Participating Employee shall not have any of the rights or privileges of a stockholder, until such Shares have been issued to the Participating Employee or his or her nominee following exercise of the Participating Employee's option.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63130" cy="20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980"/>
        <w:spacing w:after="0" w:line="247" w:lineRule="auto"/>
        <w:rPr>
          <w:sz w:val="20"/>
          <w:szCs w:val="20"/>
          <w:color w:val="auto"/>
        </w:rPr>
      </w:pPr>
      <w:r>
        <w:rPr>
          <w:rFonts w:ascii="Arial" w:cs="Arial" w:eastAsia="Arial" w:hAnsi="Arial"/>
          <w:sz w:val="16"/>
          <w:szCs w:val="16"/>
          <w:color w:val="auto"/>
        </w:rPr>
        <w:t>Participating Employee shall have rights as a stockholder with respect to all Shares which are purchased under the Plan for such Participating Employee's account; provided, however, that a Participating Employee shall have no right to vote any fractional interest in a Share credited to his or her account.</w:t>
      </w:r>
    </w:p>
    <w:p>
      <w:pPr>
        <w:spacing w:after="0" w:line="164" w:lineRule="exact"/>
        <w:rPr>
          <w:sz w:val="20"/>
          <w:szCs w:val="20"/>
          <w:color w:val="auto"/>
        </w:rPr>
      </w:pPr>
    </w:p>
    <w:p>
      <w:pPr>
        <w:ind w:left="620"/>
        <w:spacing w:after="0"/>
        <w:tabs>
          <w:tab w:leader="none" w:pos="1620" w:val="left"/>
        </w:tabs>
        <w:rPr>
          <w:sz w:val="20"/>
          <w:szCs w:val="20"/>
          <w:color w:val="auto"/>
        </w:rPr>
      </w:pPr>
      <w:r>
        <w:rPr>
          <w:rFonts w:ascii="Arial" w:cs="Arial" w:eastAsia="Arial" w:hAnsi="Arial"/>
          <w:sz w:val="16"/>
          <w:szCs w:val="16"/>
          <w:b w:val="1"/>
          <w:bCs w:val="1"/>
          <w:color w:val="auto"/>
        </w:rPr>
        <w:t>Section 15</w:t>
      </w:r>
      <w:r>
        <w:rPr>
          <w:rFonts w:ascii="Arial" w:cs="Arial" w:eastAsia="Arial" w:hAnsi="Arial"/>
          <w:sz w:val="16"/>
          <w:szCs w:val="16"/>
          <w:color w:val="auto"/>
        </w:rPr>
        <w:t>.</w:t>
      </w:r>
      <w:r>
        <w:rPr>
          <w:rFonts w:ascii="Arial" w:cs="Arial" w:eastAsia="Arial" w:hAnsi="Arial"/>
          <w:sz w:val="16"/>
          <w:szCs w:val="16"/>
          <w:b w:val="1"/>
          <w:bCs w:val="1"/>
          <w:color w:val="auto"/>
        </w:rPr>
        <w:tab/>
        <w:t>Administration</w:t>
      </w:r>
      <w:r>
        <w:rPr>
          <w:rFonts w:ascii="Arial" w:cs="Arial" w:eastAsia="Arial" w:hAnsi="Arial"/>
          <w:sz w:val="16"/>
          <w:szCs w:val="16"/>
          <w:color w:val="auto"/>
        </w:rPr>
        <w:t>.</w:t>
      </w:r>
    </w:p>
    <w:p>
      <w:pPr>
        <w:spacing w:after="0" w:line="218" w:lineRule="exact"/>
        <w:rPr>
          <w:sz w:val="20"/>
          <w:szCs w:val="20"/>
          <w:color w:val="auto"/>
        </w:rPr>
      </w:pPr>
    </w:p>
    <w:p>
      <w:pPr>
        <w:ind w:left="980" w:right="160" w:firstLine="629"/>
        <w:spacing w:after="0" w:line="247" w:lineRule="auto"/>
        <w:tabs>
          <w:tab w:leader="none" w:pos="193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Administrator shall have, in connection with the administration of the Plan, the powers theretofore possessed by the Board, including the power to delegate to a subcommittee any of the administrative powers the Administrator is authorized to exercise, subject, however, to such resolutions, not inconsistent with the provisions of the Plan, as may be adopted from time to time by the Board.</w:t>
      </w:r>
    </w:p>
    <w:p>
      <w:pPr>
        <w:spacing w:after="0" w:line="184" w:lineRule="exact"/>
        <w:rPr>
          <w:rFonts w:ascii="Arial" w:cs="Arial" w:eastAsia="Arial" w:hAnsi="Arial"/>
          <w:sz w:val="16"/>
          <w:szCs w:val="16"/>
          <w:color w:val="auto"/>
        </w:rPr>
      </w:pPr>
    </w:p>
    <w:p>
      <w:pPr>
        <w:ind w:left="980" w:firstLine="629"/>
        <w:spacing w:after="0" w:line="242" w:lineRule="auto"/>
        <w:tabs>
          <w:tab w:leader="none" w:pos="1933" w:val="left"/>
        </w:tabs>
        <w:numPr>
          <w:ilvl w:val="0"/>
          <w:numId w:val="75"/>
        </w:numPr>
        <w:rPr>
          <w:rFonts w:ascii="Arial" w:cs="Arial" w:eastAsia="Arial" w:hAnsi="Arial"/>
          <w:sz w:val="16"/>
          <w:szCs w:val="16"/>
          <w:color w:val="auto"/>
        </w:rPr>
      </w:pPr>
      <w:r>
        <w:rPr>
          <w:rFonts w:ascii="Arial" w:cs="Arial" w:eastAsia="Arial" w:hAnsi="Arial"/>
          <w:sz w:val="16"/>
          <w:szCs w:val="16"/>
          <w:color w:val="auto"/>
        </w:rPr>
        <w:t>It shall be the duty of the Administrator to conduct the general administration of the Plan in accordance with the provisions of the Plan. The Administrator shall have the power to interpret the Plan and the terms of the options and to adopt such rules for the administration, interpretation and application of the Plan as are consistent therewith and to interpret, amend or revoke any such rules. All determinations by the Administrator in carrying out and administering the Plan and in construing and interpreting the Plan shall be final, binding and conclusive for all purposes and upon all persons interested. The Administrator at its option may utilize the services of such other persons as are necessary to assist in the proper administration of the Plan. The Administrator may select a securities brokerage firm to assist with the purchase of the Shares and the maintenance of Brokerage Accounts for Participating Employees in the Plan. In its absolute discretion, the Board may at any time and from time to time exercise any and all rights and duties of the Administrator under the Plan.</w:t>
      </w:r>
    </w:p>
    <w:p>
      <w:pPr>
        <w:spacing w:after="0" w:line="192" w:lineRule="exact"/>
        <w:rPr>
          <w:rFonts w:ascii="Arial" w:cs="Arial" w:eastAsia="Arial" w:hAnsi="Arial"/>
          <w:sz w:val="16"/>
          <w:szCs w:val="16"/>
          <w:color w:val="auto"/>
        </w:rPr>
      </w:pPr>
    </w:p>
    <w:p>
      <w:pPr>
        <w:ind w:left="980" w:right="20" w:firstLine="629"/>
        <w:spacing w:after="0" w:line="243" w:lineRule="auto"/>
        <w:tabs>
          <w:tab w:leader="none" w:pos="1915" w:val="left"/>
        </w:tabs>
        <w:numPr>
          <w:ilvl w:val="0"/>
          <w:numId w:val="75"/>
        </w:numPr>
        <w:rPr>
          <w:rFonts w:ascii="Arial" w:cs="Arial" w:eastAsia="Arial" w:hAnsi="Arial"/>
          <w:sz w:val="16"/>
          <w:szCs w:val="16"/>
          <w:color w:val="auto"/>
        </w:rPr>
      </w:pPr>
      <w:r>
        <w:rPr>
          <w:rFonts w:ascii="Arial" w:cs="Arial" w:eastAsia="Arial" w:hAnsi="Arial"/>
          <w:sz w:val="16"/>
          <w:szCs w:val="16"/>
          <w:color w:val="auto"/>
        </w:rPr>
        <w:t>All expenses and liabilities incurred by the Administrator in connection with the administration of the Plan shall be borne by the Company and its Qualified Subsidiaries; provided, however, that all sales commissions incurred upon sale by a Participating Employee of Shares out of his or her Brokerage Account shall be borne by the Participating Employee. The Administrator may, with the approval of the Board, employ attorneys, consultants, accountants, appraisers, or such other persons as the Administrator deems necessary or appropriate to carry out its duties under the Plan. The Administrator, the Company and its officers and directors shall be entitled to rely upon the advice, opinions or valuations of any such persons so employed by the Administrator.</w:t>
      </w:r>
    </w:p>
    <w:p>
      <w:pPr>
        <w:spacing w:after="0" w:line="169" w:lineRule="exact"/>
        <w:rPr>
          <w:sz w:val="20"/>
          <w:szCs w:val="20"/>
          <w:color w:val="auto"/>
        </w:rPr>
      </w:pPr>
    </w:p>
    <w:p>
      <w:pPr>
        <w:ind w:left="620"/>
        <w:spacing w:after="0"/>
        <w:tabs>
          <w:tab w:leader="none" w:pos="1620" w:val="left"/>
        </w:tabs>
        <w:rPr>
          <w:sz w:val="20"/>
          <w:szCs w:val="20"/>
          <w:color w:val="auto"/>
        </w:rPr>
      </w:pPr>
      <w:r>
        <w:rPr>
          <w:rFonts w:ascii="Arial" w:cs="Arial" w:eastAsia="Arial" w:hAnsi="Arial"/>
          <w:sz w:val="16"/>
          <w:szCs w:val="16"/>
          <w:b w:val="1"/>
          <w:bCs w:val="1"/>
          <w:color w:val="auto"/>
        </w:rPr>
        <w:t>Section 16</w:t>
      </w:r>
      <w:r>
        <w:rPr>
          <w:rFonts w:ascii="Arial" w:cs="Arial" w:eastAsia="Arial" w:hAnsi="Arial"/>
          <w:sz w:val="16"/>
          <w:szCs w:val="16"/>
          <w:color w:val="auto"/>
        </w:rPr>
        <w:t>.</w:t>
      </w:r>
      <w:r>
        <w:rPr>
          <w:sz w:val="20"/>
          <w:szCs w:val="20"/>
          <w:color w:val="auto"/>
        </w:rPr>
        <w:tab/>
      </w:r>
      <w:r>
        <w:rPr>
          <w:rFonts w:ascii="Arial" w:cs="Arial" w:eastAsia="Arial" w:hAnsi="Arial"/>
          <w:sz w:val="15"/>
          <w:szCs w:val="15"/>
          <w:b w:val="1"/>
          <w:bCs w:val="1"/>
          <w:color w:val="auto"/>
        </w:rPr>
        <w:t>Designation of Beneficiaries/Transferability</w:t>
      </w:r>
      <w:r>
        <w:rPr>
          <w:rFonts w:ascii="Arial" w:cs="Arial" w:eastAsia="Arial" w:hAnsi="Arial"/>
          <w:sz w:val="15"/>
          <w:szCs w:val="15"/>
          <w:color w:val="auto"/>
        </w:rPr>
        <w:t>.</w:t>
      </w:r>
    </w:p>
    <w:p>
      <w:pPr>
        <w:spacing w:after="0" w:line="218" w:lineRule="exact"/>
        <w:rPr>
          <w:sz w:val="20"/>
          <w:szCs w:val="20"/>
          <w:color w:val="auto"/>
        </w:rPr>
      </w:pPr>
    </w:p>
    <w:p>
      <w:pPr>
        <w:ind w:left="980" w:right="140" w:firstLine="629"/>
        <w:spacing w:after="0" w:line="245" w:lineRule="auto"/>
        <w:tabs>
          <w:tab w:leader="none" w:pos="1924" w:val="left"/>
        </w:tabs>
        <w:numPr>
          <w:ilvl w:val="0"/>
          <w:numId w:val="76"/>
        </w:numPr>
        <w:rPr>
          <w:rFonts w:ascii="Arial" w:cs="Arial" w:eastAsia="Arial" w:hAnsi="Arial"/>
          <w:sz w:val="16"/>
          <w:szCs w:val="16"/>
          <w:color w:val="auto"/>
        </w:rPr>
      </w:pPr>
      <w:r>
        <w:rPr>
          <w:rFonts w:ascii="Arial" w:cs="Arial" w:eastAsia="Arial" w:hAnsi="Arial"/>
          <w:sz w:val="16"/>
          <w:szCs w:val="16"/>
          <w:color w:val="auto"/>
        </w:rPr>
        <w:t>A Participating Employee may file a written beneficiary designation naming those persons who are to receive any cash from the Participating Employee's Payroll Deduction Account, together with any Shares and/or cash from the Participating Employee's Brokerage Account, in the event of the Participating Employee's death. If a Participating Employee is married and the designated beneficiary is not the Participating Employee's spouse, spousal consent may be required for such designation to be effective.</w:t>
      </w:r>
    </w:p>
    <w:p>
      <w:pPr>
        <w:spacing w:after="0" w:line="185" w:lineRule="exact"/>
        <w:rPr>
          <w:rFonts w:ascii="Arial" w:cs="Arial" w:eastAsia="Arial" w:hAnsi="Arial"/>
          <w:sz w:val="16"/>
          <w:szCs w:val="16"/>
          <w:color w:val="auto"/>
        </w:rPr>
      </w:pPr>
    </w:p>
    <w:p>
      <w:pPr>
        <w:ind w:left="980" w:right="40" w:firstLine="629"/>
        <w:spacing w:after="0" w:line="247" w:lineRule="auto"/>
        <w:tabs>
          <w:tab w:leader="none" w:pos="1933" w:val="left"/>
        </w:tabs>
        <w:numPr>
          <w:ilvl w:val="0"/>
          <w:numId w:val="76"/>
        </w:numPr>
        <w:rPr>
          <w:rFonts w:ascii="Arial" w:cs="Arial" w:eastAsia="Arial" w:hAnsi="Arial"/>
          <w:sz w:val="16"/>
          <w:szCs w:val="16"/>
          <w:color w:val="auto"/>
        </w:rPr>
      </w:pPr>
      <w:r>
        <w:rPr>
          <w:rFonts w:ascii="Arial" w:cs="Arial" w:eastAsia="Arial" w:hAnsi="Arial"/>
          <w:sz w:val="16"/>
          <w:szCs w:val="16"/>
          <w:color w:val="auto"/>
        </w:rPr>
        <w:t>Neither payroll deductions credited to a Participating Employee's Payroll Deduction Account nor any rights with regard to the exercise of an option or rights to receive Shares under the Plan may be assigned, transferred, pledged or otherwise disposed of in any way (other than by will, through the laws of descent and distribution, or as provided in by the Plan) by a Participating Employee.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63130" cy="20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acquired by a Participating Employee pursuant to the exercise of an option hereunder, however, are freely transferable.</w:t>
      </w:r>
    </w:p>
    <w:p>
      <w:pPr>
        <w:spacing w:after="0" w:line="178" w:lineRule="exact"/>
        <w:rPr>
          <w:sz w:val="20"/>
          <w:szCs w:val="20"/>
          <w:color w:val="auto"/>
        </w:rPr>
      </w:pPr>
    </w:p>
    <w:p>
      <w:pPr>
        <w:ind w:right="20" w:firstLine="624"/>
        <w:spacing w:after="0" w:line="279" w:lineRule="auto"/>
        <w:rPr>
          <w:sz w:val="20"/>
          <w:szCs w:val="20"/>
          <w:color w:val="auto"/>
        </w:rPr>
      </w:pPr>
      <w:r>
        <w:rPr>
          <w:rFonts w:ascii="Arial" w:cs="Arial" w:eastAsia="Arial" w:hAnsi="Arial"/>
          <w:sz w:val="16"/>
          <w:szCs w:val="16"/>
          <w:b w:val="1"/>
          <w:bCs w:val="1"/>
          <w:color w:val="auto"/>
        </w:rPr>
        <w:t>Section 17</w:t>
      </w:r>
      <w:r>
        <w:rPr>
          <w:rFonts w:ascii="Arial" w:cs="Arial" w:eastAsia="Arial" w:hAnsi="Arial"/>
          <w:sz w:val="16"/>
          <w:szCs w:val="16"/>
          <w:color w:val="auto"/>
        </w:rPr>
        <w:t>.</w:t>
      </w:r>
      <w:r>
        <w:rPr>
          <w:rFonts w:ascii="Arial" w:cs="Arial" w:eastAsia="Arial" w:hAnsi="Arial"/>
          <w:sz w:val="16"/>
          <w:szCs w:val="16"/>
          <w:b w:val="1"/>
          <w:bCs w:val="1"/>
          <w:color w:val="auto"/>
        </w:rPr>
        <w:t xml:space="preserve"> Use of Funds</w:t>
      </w:r>
      <w:r>
        <w:rPr>
          <w:rFonts w:ascii="Arial" w:cs="Arial" w:eastAsia="Arial" w:hAnsi="Arial"/>
          <w:sz w:val="16"/>
          <w:szCs w:val="16"/>
          <w:color w:val="auto"/>
        </w:rPr>
        <w:t>. All funds received or held by the Company under the Plan may be used by the Company for any corporate purpose.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not be obligated to segregate such funds unless required to in a country outside of the United States.</w:t>
      </w:r>
    </w:p>
    <w:p>
      <w:pPr>
        <w:spacing w:after="0" w:line="139" w:lineRule="exact"/>
        <w:rPr>
          <w:sz w:val="20"/>
          <w:szCs w:val="20"/>
          <w:color w:val="auto"/>
        </w:rPr>
      </w:pPr>
    </w:p>
    <w:p>
      <w:pPr>
        <w:ind w:right="360" w:firstLine="624"/>
        <w:spacing w:after="0" w:line="279" w:lineRule="auto"/>
        <w:rPr>
          <w:sz w:val="20"/>
          <w:szCs w:val="20"/>
          <w:color w:val="auto"/>
        </w:rPr>
      </w:pPr>
      <w:r>
        <w:rPr>
          <w:rFonts w:ascii="Arial" w:cs="Arial" w:eastAsia="Arial" w:hAnsi="Arial"/>
          <w:sz w:val="16"/>
          <w:szCs w:val="16"/>
          <w:b w:val="1"/>
          <w:bCs w:val="1"/>
          <w:color w:val="auto"/>
        </w:rPr>
        <w:t>Section 18</w:t>
      </w:r>
      <w:r>
        <w:rPr>
          <w:rFonts w:ascii="Arial" w:cs="Arial" w:eastAsia="Arial" w:hAnsi="Arial"/>
          <w:sz w:val="16"/>
          <w:szCs w:val="16"/>
          <w:color w:val="auto"/>
        </w:rPr>
        <w:t>.</w:t>
      </w:r>
      <w:r>
        <w:rPr>
          <w:rFonts w:ascii="Arial" w:cs="Arial" w:eastAsia="Arial" w:hAnsi="Arial"/>
          <w:sz w:val="16"/>
          <w:szCs w:val="16"/>
          <w:b w:val="1"/>
          <w:bCs w:val="1"/>
          <w:color w:val="auto"/>
        </w:rPr>
        <w:t xml:space="preserve"> Reports</w:t>
      </w:r>
      <w:r>
        <w:rPr>
          <w:rFonts w:ascii="Arial" w:cs="Arial" w:eastAsia="Arial" w:hAnsi="Arial"/>
          <w:sz w:val="16"/>
          <w:szCs w:val="16"/>
          <w:color w:val="auto"/>
        </w:rPr>
        <w:t>. Statements of account shall be provided to Participating Employees at least annually, which statements shall set forth the</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of payroll deductions, the Purchase Price(s), and the number of Shares purchased.</w:t>
      </w:r>
    </w:p>
    <w:p>
      <w:pPr>
        <w:spacing w:after="0" w:line="139" w:lineRule="exact"/>
        <w:rPr>
          <w:sz w:val="20"/>
          <w:szCs w:val="20"/>
          <w:color w:val="auto"/>
        </w:rPr>
      </w:pPr>
    </w:p>
    <w:p>
      <w:pPr>
        <w:ind w:left="620"/>
        <w:spacing w:after="0"/>
        <w:tabs>
          <w:tab w:leader="none" w:pos="1620" w:val="left"/>
        </w:tabs>
        <w:rPr>
          <w:sz w:val="20"/>
          <w:szCs w:val="20"/>
          <w:color w:val="auto"/>
        </w:rPr>
      </w:pPr>
      <w:r>
        <w:rPr>
          <w:rFonts w:ascii="Arial" w:cs="Arial" w:eastAsia="Arial" w:hAnsi="Arial"/>
          <w:sz w:val="16"/>
          <w:szCs w:val="16"/>
          <w:b w:val="1"/>
          <w:bCs w:val="1"/>
          <w:color w:val="auto"/>
        </w:rPr>
        <w:t>Section 19</w:t>
      </w:r>
      <w:r>
        <w:rPr>
          <w:rFonts w:ascii="Arial" w:cs="Arial" w:eastAsia="Arial" w:hAnsi="Arial"/>
          <w:sz w:val="16"/>
          <w:szCs w:val="16"/>
          <w:color w:val="auto"/>
        </w:rPr>
        <w:t>.</w:t>
      </w:r>
      <w:r>
        <w:rPr>
          <w:rFonts w:ascii="Arial" w:cs="Arial" w:eastAsia="Arial" w:hAnsi="Arial"/>
          <w:sz w:val="16"/>
          <w:szCs w:val="16"/>
          <w:b w:val="1"/>
          <w:bCs w:val="1"/>
          <w:color w:val="auto"/>
        </w:rPr>
        <w:tab/>
        <w:t>Adjustments Upon Changes in Outstanding Shares on Capitalization, Merger, Consolidation or Corporate</w:t>
      </w:r>
    </w:p>
    <w:p>
      <w:pPr>
        <w:spacing w:after="0" w:line="21"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b w:val="1"/>
          <w:bCs w:val="1"/>
          <w:color w:val="auto"/>
        </w:rPr>
        <w:t>Reorganization</w:t>
      </w:r>
      <w:r>
        <w:rPr>
          <w:rFonts w:ascii="Arial" w:cs="Arial" w:eastAsia="Arial" w:hAnsi="Arial"/>
          <w:sz w:val="16"/>
          <w:szCs w:val="16"/>
          <w:color w:val="auto"/>
        </w:rPr>
        <w:t>. Subject to any required action by the stockholders of the Company, the number of Shares which have been authorized for issuance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but not yet placed under option, the maximum number of Shares each Participating Employee may purchase each Offering Period (pursuant to Section 9), as well as the price per Share and the number of Shares covered by each option under the Plan which has not yet been exercised shall be automatically adjusted to give proper effect to any increase or decrease in the number of issued Shares resulting from a stock split, reverse stock split, stock dividend, combination or reclassification of the Shares, or any other increase or decrease in the number of Shares effected without receipt of consideration by the Company, or by reason of any merger, consolidation or other corporate reorganization in which the Company is the surviving corporation. Such adjustment shall be made by the Administrator, whose determination in that respect shall be final, binding and conclusive.</w:t>
      </w:r>
    </w:p>
    <w:p>
      <w:pPr>
        <w:spacing w:after="0" w:line="168" w:lineRule="exact"/>
        <w:rPr>
          <w:sz w:val="20"/>
          <w:szCs w:val="20"/>
          <w:color w:val="auto"/>
        </w:rPr>
      </w:pPr>
    </w:p>
    <w:p>
      <w:pPr>
        <w:ind w:left="620"/>
        <w:spacing w:after="0"/>
        <w:tabs>
          <w:tab w:leader="none" w:pos="1620" w:val="left"/>
        </w:tabs>
        <w:rPr>
          <w:sz w:val="20"/>
          <w:szCs w:val="20"/>
          <w:color w:val="auto"/>
        </w:rPr>
      </w:pPr>
      <w:r>
        <w:rPr>
          <w:rFonts w:ascii="Arial" w:cs="Arial" w:eastAsia="Arial" w:hAnsi="Arial"/>
          <w:sz w:val="16"/>
          <w:szCs w:val="16"/>
          <w:b w:val="1"/>
          <w:bCs w:val="1"/>
          <w:color w:val="auto"/>
        </w:rPr>
        <w:t>Section 20</w:t>
      </w:r>
      <w:r>
        <w:rPr>
          <w:rFonts w:ascii="Arial" w:cs="Arial" w:eastAsia="Arial" w:hAnsi="Arial"/>
          <w:sz w:val="16"/>
          <w:szCs w:val="16"/>
          <w:color w:val="auto"/>
        </w:rPr>
        <w:t>.</w:t>
      </w:r>
      <w:r>
        <w:rPr>
          <w:rFonts w:ascii="Arial" w:cs="Arial" w:eastAsia="Arial" w:hAnsi="Arial"/>
          <w:sz w:val="16"/>
          <w:szCs w:val="16"/>
          <w:b w:val="1"/>
          <w:bCs w:val="1"/>
          <w:color w:val="auto"/>
        </w:rPr>
        <w:tab/>
        <w:t>Amendment or Termination</w:t>
      </w:r>
      <w:r>
        <w:rPr>
          <w:rFonts w:ascii="Arial" w:cs="Arial" w:eastAsia="Arial" w:hAnsi="Arial"/>
          <w:sz w:val="16"/>
          <w:szCs w:val="16"/>
          <w:color w:val="auto"/>
        </w:rPr>
        <w:t>.</w:t>
      </w:r>
    </w:p>
    <w:p>
      <w:pPr>
        <w:spacing w:after="0" w:line="218" w:lineRule="exact"/>
        <w:rPr>
          <w:sz w:val="20"/>
          <w:szCs w:val="20"/>
          <w:color w:val="auto"/>
        </w:rPr>
      </w:pPr>
    </w:p>
    <w:p>
      <w:pPr>
        <w:ind w:left="980" w:firstLine="629"/>
        <w:spacing w:after="0" w:line="242" w:lineRule="auto"/>
        <w:tabs>
          <w:tab w:leader="none" w:pos="193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Board, the Administrator or an authorized subcommittee may, in its discretion and, to the extent necessary or desirable, at any time, and from time to time, modify or amend the Plan in any respect, including, but not limited to, (i) altering the Purchase Price for any Offering Period, including an Offering Period underway at the time of the change in Purchase Price, by setting the Purchase Price as an amount that is within the range of either 85% - 100% of the Fair Market Value of a Share on the Purchase Date, or 85% -100% of the Fair Market Value of a Share on the Enrollment Date, whichever is less; (ii) shortening or lengthening any Offering Period so that the Offering Period ends on a new Purchase Date, including an Offering Period underway at the time of the Board action; provided, however, that no Offering Period shall be shorter than one month or longer than 27 months; and allocating Shares as provided in Section 9(c). Such modifications or amendments shall not require stockholder approval or the consent of any Participating Employees, except that no amendment shall be made without the affirmative vote of stockholders holding at least a majority of the voting stock of the Company represented in person or by proxy at a duly held stockholders' meeting, if such amendment would:</w:t>
      </w:r>
    </w:p>
    <w:p>
      <w:pPr>
        <w:spacing w:after="0" w:line="191" w:lineRule="exact"/>
        <w:rPr>
          <w:rFonts w:ascii="Arial" w:cs="Arial" w:eastAsia="Arial" w:hAnsi="Arial"/>
          <w:sz w:val="16"/>
          <w:szCs w:val="16"/>
          <w:color w:val="auto"/>
        </w:rPr>
      </w:pPr>
    </w:p>
    <w:p>
      <w:pPr>
        <w:ind w:left="2900" w:hanging="305"/>
        <w:spacing w:after="0"/>
        <w:tabs>
          <w:tab w:leader="none" w:pos="29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materially increase the benefits accruing to Participating Employees under the Plan;</w:t>
      </w:r>
    </w:p>
    <w:p>
      <w:pPr>
        <w:spacing w:after="0" w:line="198" w:lineRule="exact"/>
        <w:rPr>
          <w:rFonts w:ascii="Arial" w:cs="Arial" w:eastAsia="Arial" w:hAnsi="Arial"/>
          <w:sz w:val="16"/>
          <w:szCs w:val="16"/>
          <w:color w:val="auto"/>
        </w:rPr>
      </w:pPr>
    </w:p>
    <w:p>
      <w:pPr>
        <w:ind w:left="2900" w:hanging="305"/>
        <w:spacing w:after="0"/>
        <w:tabs>
          <w:tab w:leader="none" w:pos="29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increase the number of Shares which may be issued under the Plan (other than as permitted under Section 19 hereof);</w:t>
      </w:r>
    </w:p>
    <w:p>
      <w:pPr>
        <w:ind w:left="1980"/>
        <w:spacing w:after="0"/>
        <w:rPr>
          <w:rFonts w:ascii="Arial" w:cs="Arial" w:eastAsia="Arial" w:hAnsi="Arial"/>
          <w:sz w:val="16"/>
          <w:szCs w:val="16"/>
          <w:color w:val="auto"/>
        </w:rPr>
      </w:pPr>
      <w:r>
        <w:rPr>
          <w:rFonts w:ascii="Arial" w:cs="Arial" w:eastAsia="Arial" w:hAnsi="Arial"/>
          <w:sz w:val="16"/>
          <w:szCs w:val="16"/>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263130" cy="20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980" w:right="960" w:firstLine="615"/>
        <w:spacing w:after="0" w:line="253" w:lineRule="auto"/>
        <w:tabs>
          <w:tab w:leader="none" w:pos="2916" w:val="left"/>
        </w:tabs>
        <w:numPr>
          <w:ilvl w:val="1"/>
          <w:numId w:val="78"/>
        </w:numPr>
        <w:rPr>
          <w:rFonts w:ascii="Arial" w:cs="Arial" w:eastAsia="Arial" w:hAnsi="Arial"/>
          <w:sz w:val="16"/>
          <w:szCs w:val="16"/>
          <w:color w:val="auto"/>
        </w:rPr>
      </w:pPr>
      <w:r>
        <w:rPr>
          <w:rFonts w:ascii="Arial" w:cs="Arial" w:eastAsia="Arial" w:hAnsi="Arial"/>
          <w:sz w:val="16"/>
          <w:szCs w:val="16"/>
          <w:color w:val="auto"/>
        </w:rPr>
        <w:t>materially modify the requirements as to eligibility for participation under the Plan, except as allowed under Section 423(b)(4) of the Code.</w:t>
      </w:r>
    </w:p>
    <w:p>
      <w:pPr>
        <w:spacing w:after="0" w:line="179" w:lineRule="exact"/>
        <w:rPr>
          <w:rFonts w:ascii="Arial" w:cs="Arial" w:eastAsia="Arial" w:hAnsi="Arial"/>
          <w:sz w:val="16"/>
          <w:szCs w:val="16"/>
          <w:color w:val="auto"/>
        </w:rPr>
      </w:pPr>
    </w:p>
    <w:p>
      <w:pPr>
        <w:ind w:left="980" w:firstLine="629"/>
        <w:spacing w:after="0" w:line="245" w:lineRule="auto"/>
        <w:tabs>
          <w:tab w:leader="none" w:pos="193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Plan and all rights of Participating Employees hereunder may be terminated at any time by the Administrator or by the Board or an authorized subcommittee. Upon termination of the Plan, all payroll deductions and contributions shall cease and all amounts then credited to the Participating Employees' Payroll Deduction Accounts shall be equitably applied to the purchase of whole Shares then available for sale, and any remaining amounts shall be promptly refunded to the Participating Employees.</w:t>
      </w:r>
    </w:p>
    <w:p>
      <w:pPr>
        <w:spacing w:after="0" w:line="166" w:lineRule="exact"/>
        <w:rPr>
          <w:sz w:val="20"/>
          <w:szCs w:val="20"/>
          <w:color w:val="auto"/>
        </w:rPr>
      </w:pPr>
    </w:p>
    <w:p>
      <w:pPr>
        <w:ind w:right="40" w:firstLine="624"/>
        <w:spacing w:after="0" w:line="260" w:lineRule="auto"/>
        <w:rPr>
          <w:sz w:val="20"/>
          <w:szCs w:val="20"/>
          <w:color w:val="auto"/>
        </w:rPr>
      </w:pPr>
      <w:r>
        <w:rPr>
          <w:rFonts w:ascii="Arial" w:cs="Arial" w:eastAsia="Arial" w:hAnsi="Arial"/>
          <w:sz w:val="16"/>
          <w:szCs w:val="16"/>
          <w:b w:val="1"/>
          <w:bCs w:val="1"/>
          <w:color w:val="auto"/>
        </w:rPr>
        <w:t>Section 21</w:t>
      </w:r>
      <w:r>
        <w:rPr>
          <w:rFonts w:ascii="Arial" w:cs="Arial" w:eastAsia="Arial" w:hAnsi="Arial"/>
          <w:sz w:val="16"/>
          <w:szCs w:val="16"/>
          <w:color w:val="auto"/>
        </w:rPr>
        <w:t>.</w:t>
      </w:r>
      <w:r>
        <w:rPr>
          <w:rFonts w:ascii="Arial" w:cs="Arial" w:eastAsia="Arial" w:hAnsi="Arial"/>
          <w:sz w:val="16"/>
          <w:szCs w:val="16"/>
          <w:b w:val="1"/>
          <w:bCs w:val="1"/>
          <w:color w:val="auto"/>
        </w:rPr>
        <w:t xml:space="preserve"> Notices</w:t>
      </w:r>
      <w:r>
        <w:rPr>
          <w:rFonts w:ascii="Arial" w:cs="Arial" w:eastAsia="Arial" w:hAnsi="Arial"/>
          <w:sz w:val="16"/>
          <w:szCs w:val="16"/>
          <w:color w:val="auto"/>
        </w:rPr>
        <w:t>. All notices or other communications by a Participating Employee to the Company under or in connection with the Plan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have been duly given when received in the form specified by the Company at the location, or by the person, designated by the Company for the receipt thereof.</w:t>
      </w:r>
    </w:p>
    <w:p>
      <w:pPr>
        <w:spacing w:after="0" w:line="154" w:lineRule="exact"/>
        <w:rPr>
          <w:sz w:val="20"/>
          <w:szCs w:val="20"/>
          <w:color w:val="auto"/>
        </w:rPr>
      </w:pPr>
    </w:p>
    <w:p>
      <w:pPr>
        <w:ind w:right="60" w:firstLine="624"/>
        <w:spacing w:after="0" w:line="250" w:lineRule="auto"/>
        <w:rPr>
          <w:sz w:val="20"/>
          <w:szCs w:val="20"/>
          <w:color w:val="auto"/>
        </w:rPr>
      </w:pPr>
      <w:r>
        <w:rPr>
          <w:rFonts w:ascii="Arial" w:cs="Arial" w:eastAsia="Arial" w:hAnsi="Arial"/>
          <w:sz w:val="16"/>
          <w:szCs w:val="16"/>
          <w:b w:val="1"/>
          <w:bCs w:val="1"/>
          <w:color w:val="auto"/>
        </w:rPr>
        <w:t>Section 22</w:t>
      </w:r>
      <w:r>
        <w:rPr>
          <w:rFonts w:ascii="Arial" w:cs="Arial" w:eastAsia="Arial" w:hAnsi="Arial"/>
          <w:sz w:val="16"/>
          <w:szCs w:val="16"/>
          <w:color w:val="auto"/>
        </w:rPr>
        <w:t>.</w:t>
      </w:r>
      <w:r>
        <w:rPr>
          <w:rFonts w:ascii="Arial" w:cs="Arial" w:eastAsia="Arial" w:hAnsi="Arial"/>
          <w:sz w:val="16"/>
          <w:szCs w:val="16"/>
          <w:b w:val="1"/>
          <w:bCs w:val="1"/>
          <w:color w:val="auto"/>
        </w:rPr>
        <w:t xml:space="preserve"> Conditions to Issuance of Shares/Dividends</w:t>
      </w:r>
      <w:r>
        <w:rPr>
          <w:rFonts w:ascii="Arial" w:cs="Arial" w:eastAsia="Arial" w:hAnsi="Arial"/>
          <w:sz w:val="16"/>
          <w:szCs w:val="16"/>
          <w:color w:val="auto"/>
        </w:rPr>
        <w:t>. Whole Shares purchased hereunder shall be issued as soon as practicable following a</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Participating Employee's written request, for which a reasonable charge may be made. Fractional interests in Shares shall be carried forward in a Participating Employee's Brokerage Account until they equal one whole Share or until termination of the Participating Employee's Brokerage Account, in which event an amount in cash equal to the value of such fractional interest shall be paid to him or her in cash. Any cash dividends payable on Shares held in a Participating Employee's Brokerage Account will be used to purchase additional Shares unless otherwise directed by the Participant.</w:t>
      </w:r>
    </w:p>
    <w:p>
      <w:pPr>
        <w:spacing w:after="0" w:line="164" w:lineRule="exact"/>
        <w:rPr>
          <w:sz w:val="20"/>
          <w:szCs w:val="20"/>
          <w:color w:val="auto"/>
        </w:rPr>
      </w:pPr>
    </w:p>
    <w:p>
      <w:pPr>
        <w:ind w:right="300" w:firstLine="624"/>
        <w:spacing w:after="0" w:line="279" w:lineRule="auto"/>
        <w:rPr>
          <w:sz w:val="20"/>
          <w:szCs w:val="20"/>
          <w:color w:val="auto"/>
        </w:rPr>
      </w:pPr>
      <w:r>
        <w:rPr>
          <w:rFonts w:ascii="Arial" w:cs="Arial" w:eastAsia="Arial" w:hAnsi="Arial"/>
          <w:sz w:val="16"/>
          <w:szCs w:val="16"/>
          <w:b w:val="1"/>
          <w:bCs w:val="1"/>
          <w:color w:val="auto"/>
        </w:rPr>
        <w:t>Section 23</w:t>
      </w:r>
      <w:r>
        <w:rPr>
          <w:rFonts w:ascii="Arial" w:cs="Arial" w:eastAsia="Arial" w:hAnsi="Arial"/>
          <w:sz w:val="16"/>
          <w:szCs w:val="16"/>
          <w:color w:val="auto"/>
        </w:rPr>
        <w:t>.</w:t>
      </w:r>
      <w:r>
        <w:rPr>
          <w:rFonts w:ascii="Arial" w:cs="Arial" w:eastAsia="Arial" w:hAnsi="Arial"/>
          <w:sz w:val="16"/>
          <w:szCs w:val="16"/>
          <w:b w:val="1"/>
          <w:bCs w:val="1"/>
          <w:color w:val="auto"/>
        </w:rPr>
        <w:t xml:space="preserve"> Term of Plan</w:t>
      </w:r>
      <w:r>
        <w:rPr>
          <w:rFonts w:ascii="Arial" w:cs="Arial" w:eastAsia="Arial" w:hAnsi="Arial"/>
          <w:sz w:val="16"/>
          <w:szCs w:val="16"/>
          <w:color w:val="auto"/>
        </w:rPr>
        <w:t>. The Plan shall become effective on the Effective Date and shall remain in effect for a term of 10 years, unless sooner</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terminated under Section 20 hereof.</w:t>
      </w:r>
    </w:p>
    <w:p>
      <w:pPr>
        <w:spacing w:after="0" w:line="139" w:lineRule="exact"/>
        <w:rPr>
          <w:sz w:val="20"/>
          <w:szCs w:val="20"/>
          <w:color w:val="auto"/>
        </w:rPr>
      </w:pPr>
    </w:p>
    <w:p>
      <w:pPr>
        <w:ind w:right="80" w:firstLine="624"/>
        <w:spacing w:after="0" w:line="250" w:lineRule="auto"/>
        <w:rPr>
          <w:sz w:val="20"/>
          <w:szCs w:val="20"/>
          <w:color w:val="auto"/>
        </w:rPr>
      </w:pPr>
      <w:r>
        <w:rPr>
          <w:rFonts w:ascii="Arial" w:cs="Arial" w:eastAsia="Arial" w:hAnsi="Arial"/>
          <w:sz w:val="16"/>
          <w:szCs w:val="16"/>
          <w:b w:val="1"/>
          <w:bCs w:val="1"/>
          <w:color w:val="auto"/>
        </w:rPr>
        <w:t>Section 24</w:t>
      </w:r>
      <w:r>
        <w:rPr>
          <w:rFonts w:ascii="Arial" w:cs="Arial" w:eastAsia="Arial" w:hAnsi="Arial"/>
          <w:sz w:val="16"/>
          <w:szCs w:val="16"/>
          <w:color w:val="auto"/>
        </w:rPr>
        <w:t>.</w:t>
      </w:r>
      <w:r>
        <w:rPr>
          <w:rFonts w:ascii="Arial" w:cs="Arial" w:eastAsia="Arial" w:hAnsi="Arial"/>
          <w:sz w:val="16"/>
          <w:szCs w:val="16"/>
          <w:b w:val="1"/>
          <w:bCs w:val="1"/>
          <w:color w:val="auto"/>
        </w:rPr>
        <w:t xml:space="preserve"> Equal Rights and Privileges</w:t>
      </w:r>
      <w:r>
        <w:rPr>
          <w:rFonts w:ascii="Arial" w:cs="Arial" w:eastAsia="Arial" w:hAnsi="Arial"/>
          <w:sz w:val="16"/>
          <w:szCs w:val="16"/>
          <w:color w:val="auto"/>
        </w:rPr>
        <w:t>. All Eligible Employees of the Company (or of any Qualified Subsidiary) will have equal rights and</w:t>
      </w:r>
      <w:r>
        <w:rPr>
          <w:rFonts w:ascii="Arial" w:cs="Arial" w:eastAsia="Arial" w:hAnsi="Arial"/>
          <w:sz w:val="16"/>
          <w:szCs w:val="16"/>
          <w:b w:val="1"/>
          <w:bCs w:val="1"/>
          <w:color w:val="auto"/>
        </w:rPr>
        <w:t xml:space="preserve"> </w:t>
      </w:r>
      <w:r>
        <w:rPr>
          <w:rFonts w:ascii="Arial" w:cs="Arial" w:eastAsia="Arial" w:hAnsi="Arial"/>
          <w:sz w:val="16"/>
          <w:szCs w:val="16"/>
          <w:color w:val="auto"/>
        </w:rPr>
        <w:t>privileges under the Plan so that the Plan qualifies as an "employee stock purchase plan" within the meaning of Section 423 of the Code or applicable Treasury Regulations thereunder. Any provision of the Plan that is inconsistent with Section 423 or applicable Treasury Regulations will, without further act or amendment by the Company, the Board or the Administrator, be reformed to comply with the equal rights and privileges requirement of Section 423 or applicable Treasury Regulations.</w:t>
      </w:r>
    </w:p>
    <w:p>
      <w:pPr>
        <w:spacing w:after="0" w:line="164" w:lineRule="exact"/>
        <w:rPr>
          <w:sz w:val="20"/>
          <w:szCs w:val="20"/>
          <w:color w:val="auto"/>
        </w:rPr>
      </w:pPr>
    </w:p>
    <w:p>
      <w:pPr>
        <w:ind w:right="60" w:firstLine="624"/>
        <w:spacing w:after="0" w:line="260" w:lineRule="auto"/>
        <w:rPr>
          <w:sz w:val="20"/>
          <w:szCs w:val="20"/>
          <w:color w:val="auto"/>
        </w:rPr>
      </w:pPr>
      <w:r>
        <w:rPr>
          <w:rFonts w:ascii="Arial" w:cs="Arial" w:eastAsia="Arial" w:hAnsi="Arial"/>
          <w:sz w:val="16"/>
          <w:szCs w:val="16"/>
          <w:b w:val="1"/>
          <w:bCs w:val="1"/>
          <w:color w:val="auto"/>
        </w:rPr>
        <w:t>Section 25</w:t>
      </w:r>
      <w:r>
        <w:rPr>
          <w:rFonts w:ascii="Arial" w:cs="Arial" w:eastAsia="Arial" w:hAnsi="Arial"/>
          <w:sz w:val="16"/>
          <w:szCs w:val="16"/>
          <w:color w:val="auto"/>
        </w:rPr>
        <w:t>.</w:t>
      </w:r>
      <w:r>
        <w:rPr>
          <w:rFonts w:ascii="Arial" w:cs="Arial" w:eastAsia="Arial" w:hAnsi="Arial"/>
          <w:sz w:val="16"/>
          <w:szCs w:val="16"/>
          <w:b w:val="1"/>
          <w:bCs w:val="1"/>
          <w:color w:val="auto"/>
        </w:rPr>
        <w:t xml:space="preserve"> No Employment Rights</w:t>
      </w:r>
      <w:r>
        <w:rPr>
          <w:rFonts w:ascii="Arial" w:cs="Arial" w:eastAsia="Arial" w:hAnsi="Arial"/>
          <w:sz w:val="16"/>
          <w:szCs w:val="16"/>
          <w:color w:val="auto"/>
        </w:rPr>
        <w:t>. Nothing in the Plan shall be construed to give any person (including any Eligible Employee or Participating</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the right to remain in the employ of the Company or a Subsidiary or to affect the right of the Company or any Subsidiary to terminate the employment of any person (including any Eligible Employee or Participating Employee) at any time, with or without cause.</w:t>
      </w:r>
    </w:p>
    <w:p>
      <w:pPr>
        <w:spacing w:after="0" w:line="154" w:lineRule="exact"/>
        <w:rPr>
          <w:sz w:val="20"/>
          <w:szCs w:val="20"/>
          <w:color w:val="auto"/>
        </w:rPr>
      </w:pPr>
    </w:p>
    <w:p>
      <w:pPr>
        <w:ind w:right="20" w:firstLine="624"/>
        <w:spacing w:after="0" w:line="279" w:lineRule="auto"/>
        <w:rPr>
          <w:sz w:val="20"/>
          <w:szCs w:val="20"/>
          <w:color w:val="auto"/>
        </w:rPr>
      </w:pPr>
      <w:r>
        <w:rPr>
          <w:rFonts w:ascii="Arial" w:cs="Arial" w:eastAsia="Arial" w:hAnsi="Arial"/>
          <w:sz w:val="16"/>
          <w:szCs w:val="16"/>
          <w:b w:val="1"/>
          <w:bCs w:val="1"/>
          <w:color w:val="auto"/>
        </w:rPr>
        <w:t>Section 26</w:t>
      </w:r>
      <w:r>
        <w:rPr>
          <w:rFonts w:ascii="Arial" w:cs="Arial" w:eastAsia="Arial" w:hAnsi="Arial"/>
          <w:sz w:val="16"/>
          <w:szCs w:val="16"/>
          <w:color w:val="auto"/>
        </w:rPr>
        <w:t>.</w:t>
      </w:r>
      <w:r>
        <w:rPr>
          <w:rFonts w:ascii="Arial" w:cs="Arial" w:eastAsia="Arial" w:hAnsi="Arial"/>
          <w:sz w:val="16"/>
          <w:szCs w:val="16"/>
          <w:b w:val="1"/>
          <w:bCs w:val="1"/>
          <w:color w:val="auto"/>
        </w:rPr>
        <w:t xml:space="preserve"> Governing Law</w:t>
      </w:r>
      <w:r>
        <w:rPr>
          <w:rFonts w:ascii="Arial" w:cs="Arial" w:eastAsia="Arial" w:hAnsi="Arial"/>
          <w:sz w:val="16"/>
          <w:szCs w:val="16"/>
          <w:color w:val="auto"/>
        </w:rPr>
        <w:t>. The internal laws of the State of Maryland shall govern all matters relating to the Plan except to the extent superseded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laws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97155</wp:posOffset>
            </wp:positionV>
            <wp:extent cx="7263130" cy="20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Table of Contents</w:t>
        </w:r>
      </w:hyperlink>
    </w:p>
    <w:p>
      <w:pPr>
        <w:spacing w:after="0" w:line="17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ACD2"/>
        </w:rPr>
        <w:t>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25868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8685" cy="7620"/>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ARTICLES OF AMENDMENT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jc w:val="center"/>
        <w:spacing w:after="0"/>
        <w:rPr>
          <w:sz w:val="20"/>
          <w:szCs w:val="20"/>
          <w:color w:val="auto"/>
        </w:rPr>
      </w:pPr>
      <w:r>
        <w:rPr>
          <w:rFonts w:ascii="Arial" w:cs="Arial" w:eastAsia="Arial" w:hAnsi="Arial"/>
          <w:sz w:val="20"/>
          <w:szCs w:val="20"/>
          <w:b w:val="1"/>
          <w:bCs w:val="1"/>
          <w:color w:val="auto"/>
        </w:rPr>
        <w:t>UNITI GROUP INC.</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 2018</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Uniti Group Inc., a Maryland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hereby certifies to the State Department of Assessments and Taxation of Maryland that:</w:t>
      </w:r>
    </w:p>
    <w:p>
      <w:pPr>
        <w:spacing w:after="0" w:line="198" w:lineRule="exact"/>
        <w:rPr>
          <w:sz w:val="20"/>
          <w:szCs w:val="20"/>
          <w:color w:val="auto"/>
        </w:rPr>
      </w:pPr>
    </w:p>
    <w:p>
      <w:pPr>
        <w:ind w:right="460" w:firstLine="624"/>
        <w:spacing w:after="0" w:line="253" w:lineRule="auto"/>
        <w:rPr>
          <w:sz w:val="20"/>
          <w:szCs w:val="20"/>
          <w:color w:val="auto"/>
        </w:rPr>
      </w:pPr>
      <w:r>
        <w:rPr>
          <w:rFonts w:ascii="Arial" w:cs="Arial" w:eastAsia="Arial" w:hAnsi="Arial"/>
          <w:sz w:val="16"/>
          <w:szCs w:val="16"/>
          <w:u w:val="single" w:color="auto"/>
          <w:color w:val="00ACD2"/>
        </w:rPr>
        <w:t>FIRST</w:t>
      </w:r>
      <w:r>
        <w:rPr>
          <w:rFonts w:ascii="Arial" w:cs="Arial" w:eastAsia="Arial" w:hAnsi="Arial"/>
          <w:sz w:val="16"/>
          <w:szCs w:val="16"/>
          <w:color w:val="00ACD2"/>
        </w:rPr>
        <w:t xml:space="preserve">: </w:t>
      </w:r>
      <w:r>
        <w:rPr>
          <w:rFonts w:ascii="Arial" w:cs="Arial" w:eastAsia="Arial" w:hAnsi="Arial"/>
          <w:sz w:val="16"/>
          <w:szCs w:val="16"/>
          <w:color w:val="000000"/>
        </w:rPr>
        <w:t>The Articles of Amendment and Restatement of the Corporation (the "</w:t>
      </w:r>
      <w:r>
        <w:rPr>
          <w:rFonts w:ascii="Arial" w:cs="Arial" w:eastAsia="Arial" w:hAnsi="Arial"/>
          <w:sz w:val="16"/>
          <w:szCs w:val="16"/>
          <w:u w:val="single" w:color="auto"/>
          <w:color w:val="000000"/>
        </w:rPr>
        <w:t>Articles</w:t>
      </w:r>
      <w:r>
        <w:rPr>
          <w:rFonts w:ascii="Arial" w:cs="Arial" w:eastAsia="Arial" w:hAnsi="Arial"/>
          <w:sz w:val="16"/>
          <w:szCs w:val="16"/>
          <w:color w:val="000000"/>
        </w:rPr>
        <w:t>") are hereby amended by deleting and replacing ARTICLE</w:t>
      </w:r>
      <w:r>
        <w:rPr>
          <w:rFonts w:ascii="Arial" w:cs="Arial" w:eastAsia="Arial" w:hAnsi="Arial"/>
          <w:sz w:val="16"/>
          <w:szCs w:val="16"/>
          <w:color w:val="00ACD2"/>
        </w:rPr>
        <w:t xml:space="preserve"> </w:t>
      </w:r>
      <w:r>
        <w:rPr>
          <w:rFonts w:ascii="Arial" w:cs="Arial" w:eastAsia="Arial" w:hAnsi="Arial"/>
          <w:sz w:val="16"/>
          <w:szCs w:val="16"/>
          <w:color w:val="000000"/>
        </w:rPr>
        <w:t>EIGHT in its entirety as follows: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EIGHT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OF BYLAWS</w:t>
      </w:r>
    </w:p>
    <w:p>
      <w:pPr>
        <w:spacing w:after="0" w:line="198" w:lineRule="exact"/>
        <w:rPr>
          <w:sz w:val="20"/>
          <w:szCs w:val="20"/>
          <w:color w:val="auto"/>
        </w:rPr>
      </w:pPr>
    </w:p>
    <w:p>
      <w:pPr>
        <w:ind w:right="180" w:firstLine="615"/>
        <w:spacing w:after="0" w:line="245" w:lineRule="auto"/>
        <w:rPr>
          <w:sz w:val="20"/>
          <w:szCs w:val="20"/>
          <w:color w:val="auto"/>
        </w:rPr>
      </w:pPr>
      <w:r>
        <w:rPr>
          <w:rFonts w:ascii="Arial" w:cs="Arial" w:eastAsia="Arial" w:hAnsi="Arial"/>
          <w:sz w:val="16"/>
          <w:szCs w:val="16"/>
          <w:color w:val="auto"/>
        </w:rPr>
        <w:t>Any and all provisions of the Bylaws may be repealed, altered, amended, or rescinded and new bylaws may be adopted (a) by the stockholders at any annual meeting of the stockholders or at any special meeting called for that purpose (provided that notice of such proposal is included in the notice of such meeting) and (b) by the Board of Directors at any regular or special meeting of the Board of Directors; provided, however, the Board of Directors does not have the power to alter or repeal any bylaw made by the stockholders.</w:t>
      </w:r>
    </w:p>
    <w:p>
      <w:pPr>
        <w:spacing w:after="0" w:line="186" w:lineRule="exact"/>
        <w:rPr>
          <w:sz w:val="20"/>
          <w:szCs w:val="20"/>
          <w:color w:val="auto"/>
        </w:rPr>
      </w:pPr>
    </w:p>
    <w:p>
      <w:pPr>
        <w:ind w:right="180" w:firstLine="624"/>
        <w:spacing w:after="0" w:line="253" w:lineRule="auto"/>
        <w:rPr>
          <w:sz w:val="20"/>
          <w:szCs w:val="20"/>
          <w:color w:val="auto"/>
        </w:rPr>
      </w:pPr>
      <w:r>
        <w:rPr>
          <w:rFonts w:ascii="Arial" w:cs="Arial" w:eastAsia="Arial" w:hAnsi="Arial"/>
          <w:sz w:val="16"/>
          <w:szCs w:val="16"/>
          <w:u w:val="single" w:color="auto"/>
          <w:color w:val="00ACD2"/>
        </w:rPr>
        <w:t>SECOND</w:t>
      </w:r>
      <w:r>
        <w:rPr>
          <w:rFonts w:ascii="Arial" w:cs="Arial" w:eastAsia="Arial" w:hAnsi="Arial"/>
          <w:sz w:val="16"/>
          <w:szCs w:val="16"/>
          <w:color w:val="00ACD2"/>
        </w:rPr>
        <w:t xml:space="preserve">: </w:t>
      </w:r>
      <w:r>
        <w:rPr>
          <w:rFonts w:ascii="Arial" w:cs="Arial" w:eastAsia="Arial" w:hAnsi="Arial"/>
          <w:sz w:val="16"/>
          <w:szCs w:val="16"/>
          <w:color w:val="000000"/>
        </w:rPr>
        <w:t>The foregoing amendment to the Articles has been duly approved and advised by the Board of Directors of the Corporation and approved</w:t>
      </w:r>
      <w:r>
        <w:rPr>
          <w:rFonts w:ascii="Arial" w:cs="Arial" w:eastAsia="Arial" w:hAnsi="Arial"/>
          <w:sz w:val="16"/>
          <w:szCs w:val="16"/>
          <w:color w:val="00ACD2"/>
        </w:rPr>
        <w:t xml:space="preserve"> </w:t>
      </w:r>
      <w:r>
        <w:rPr>
          <w:rFonts w:ascii="Arial" w:cs="Arial" w:eastAsia="Arial" w:hAnsi="Arial"/>
          <w:sz w:val="16"/>
          <w:szCs w:val="16"/>
          <w:color w:val="000000"/>
        </w:rPr>
        <w:t>by the stockholders of the Corporation as required by law.</w:t>
      </w:r>
    </w:p>
    <w:p>
      <w:pPr>
        <w:spacing w:after="0" w:line="153"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5380" w:type="dxa"/>
            <w:vAlign w:val="bottom"/>
            <w:gridSpan w:val="2"/>
          </w:tcPr>
          <w:p>
            <w:pPr>
              <w:spacing w:after="0"/>
              <w:rPr>
                <w:sz w:val="20"/>
                <w:szCs w:val="20"/>
                <w:color w:val="auto"/>
              </w:rPr>
            </w:pPr>
            <w:r>
              <w:rPr>
                <w:rFonts w:ascii="Arial" w:cs="Arial" w:eastAsia="Arial" w:hAnsi="Arial"/>
                <w:sz w:val="16"/>
                <w:szCs w:val="16"/>
                <w:color w:val="00ACD2"/>
              </w:rPr>
              <w:t xml:space="preserve">THIRD:  </w:t>
            </w:r>
            <w:r>
              <w:rPr>
                <w:rFonts w:ascii="Arial" w:cs="Arial" w:eastAsia="Arial" w:hAnsi="Arial"/>
                <w:sz w:val="16"/>
                <w:szCs w:val="16"/>
                <w:color w:val="000000"/>
              </w:rPr>
              <w:t>These Articles of Amendment shall become effective on</w:t>
            </w:r>
          </w:p>
        </w:tc>
        <w:tc>
          <w:tcPr>
            <w:tcW w:w="1200" w:type="dxa"/>
            <w:vAlign w:val="bottom"/>
          </w:tcPr>
          <w:p>
            <w:pPr>
              <w:jc w:val="right"/>
              <w:spacing w:after="0"/>
              <w:rPr>
                <w:sz w:val="20"/>
                <w:szCs w:val="20"/>
                <w:color w:val="auto"/>
              </w:rPr>
            </w:pPr>
            <w:r>
              <w:rPr>
                <w:rFonts w:ascii="Arial" w:cs="Arial" w:eastAsia="Arial" w:hAnsi="Arial"/>
                <w:sz w:val="16"/>
                <w:szCs w:val="16"/>
                <w:color w:val="auto"/>
              </w:rPr>
              <w:t>, 2018.</w:t>
            </w:r>
          </w:p>
        </w:tc>
      </w:tr>
      <w:tr>
        <w:trPr>
          <w:trHeight w:val="20"/>
        </w:trPr>
        <w:tc>
          <w:tcPr>
            <w:tcW w:w="500" w:type="dxa"/>
            <w:vAlign w:val="bottom"/>
            <w:shd w:val="clear" w:color="auto" w:fill="00ACD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20" w:firstLine="624"/>
        <w:spacing w:after="0" w:line="247" w:lineRule="auto"/>
        <w:rPr>
          <w:sz w:val="20"/>
          <w:szCs w:val="20"/>
          <w:color w:val="auto"/>
        </w:rPr>
      </w:pPr>
      <w:r>
        <w:rPr>
          <w:rFonts w:ascii="Arial" w:cs="Arial" w:eastAsia="Arial" w:hAnsi="Arial"/>
          <w:sz w:val="16"/>
          <w:szCs w:val="16"/>
          <w:u w:val="single" w:color="auto"/>
          <w:color w:val="00ACD2"/>
        </w:rPr>
        <w:t>FOURTH</w:t>
      </w:r>
      <w:r>
        <w:rPr>
          <w:rFonts w:ascii="Arial" w:cs="Arial" w:eastAsia="Arial" w:hAnsi="Arial"/>
          <w:sz w:val="16"/>
          <w:szCs w:val="16"/>
          <w:color w:val="00ACD2"/>
        </w:rPr>
        <w:t xml:space="preserve">: </w:t>
      </w:r>
      <w:r>
        <w:rPr>
          <w:rFonts w:ascii="Arial" w:cs="Arial" w:eastAsia="Arial" w:hAnsi="Arial"/>
          <w:sz w:val="16"/>
          <w:szCs w:val="16"/>
          <w:color w:val="000000"/>
        </w:rPr>
        <w:t>The undersigned officer of the Corporation acknowledges these Articles of Amendment to be the corporate act of the Corporation and, as to</w:t>
      </w:r>
      <w:r>
        <w:rPr>
          <w:rFonts w:ascii="Arial" w:cs="Arial" w:eastAsia="Arial" w:hAnsi="Arial"/>
          <w:sz w:val="16"/>
          <w:szCs w:val="16"/>
          <w:color w:val="00ACD2"/>
        </w:rPr>
        <w:t xml:space="preserve"> </w:t>
      </w:r>
      <w:r>
        <w:rPr>
          <w:rFonts w:ascii="Arial" w:cs="Arial" w:eastAsia="Arial" w:hAnsi="Arial"/>
          <w:sz w:val="16"/>
          <w:szCs w:val="16"/>
          <w:color w:val="000000"/>
        </w:rPr>
        <w:t>all matters or facts required to be verified under oath, the undersigned acknowledges that, to the best of his knowledge, information and belief, these matters are true in all material respects and that this statement is made under the penalties of perjury.</w:t>
      </w:r>
    </w:p>
    <w:p>
      <w:pPr>
        <w:spacing w:after="0" w:line="18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IN WITNESS WHEREOF, the Corporation has caused these Articles of Amendment to be signed in its name and on its behalf by its Chief Executive Officer and attested to by its Secretary as of the date first written above.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60" w:type="dxa"/>
            <w:vAlign w:val="bottom"/>
            <w:gridSpan w:val="2"/>
          </w:tcPr>
          <w:p>
            <w:pPr>
              <w:ind w:left="1140"/>
              <w:spacing w:after="0"/>
              <w:rPr>
                <w:sz w:val="20"/>
                <w:szCs w:val="20"/>
                <w:color w:val="auto"/>
              </w:rPr>
            </w:pPr>
            <w:r>
              <w:rPr>
                <w:rFonts w:ascii="Arial" w:cs="Arial" w:eastAsia="Arial" w:hAnsi="Arial"/>
                <w:sz w:val="16"/>
                <w:szCs w:val="16"/>
                <w:color w:val="auto"/>
              </w:rPr>
              <w:t>ATTEST:</w:t>
            </w:r>
          </w:p>
        </w:tc>
        <w:tc>
          <w:tcPr>
            <w:tcW w:w="3380" w:type="dxa"/>
            <w:vAlign w:val="bottom"/>
          </w:tcPr>
          <w:p>
            <w:pPr>
              <w:spacing w:after="0"/>
              <w:rPr>
                <w:sz w:val="16"/>
                <w:szCs w:val="16"/>
                <w:color w:val="auto"/>
              </w:rPr>
            </w:pPr>
          </w:p>
        </w:tc>
        <w:tc>
          <w:tcPr>
            <w:tcW w:w="5780" w:type="dxa"/>
            <w:vAlign w:val="bottom"/>
            <w:gridSpan w:val="4"/>
          </w:tcPr>
          <w:p>
            <w:pPr>
              <w:ind w:left="120"/>
              <w:spacing w:after="0"/>
              <w:rPr>
                <w:sz w:val="20"/>
                <w:szCs w:val="20"/>
                <w:color w:val="auto"/>
              </w:rPr>
            </w:pPr>
            <w:r>
              <w:rPr>
                <w:rFonts w:ascii="Arial" w:cs="Arial" w:eastAsia="Arial" w:hAnsi="Arial"/>
                <w:sz w:val="16"/>
                <w:szCs w:val="16"/>
                <w:color w:val="auto"/>
              </w:rPr>
              <w:t>UNITI GROUP INC.</w:t>
            </w:r>
          </w:p>
        </w:tc>
      </w:tr>
      <w:tr>
        <w:trPr>
          <w:trHeight w:val="407"/>
        </w:trPr>
        <w:tc>
          <w:tcPr>
            <w:tcW w:w="2260" w:type="dxa"/>
            <w:vAlign w:val="bottom"/>
            <w:gridSpan w:val="2"/>
          </w:tcPr>
          <w:p>
            <w:pPr>
              <w:ind w:left="1140"/>
              <w:spacing w:after="0"/>
              <w:rPr>
                <w:sz w:val="20"/>
                <w:szCs w:val="20"/>
                <w:color w:val="auto"/>
              </w:rPr>
            </w:pPr>
            <w:r>
              <w:rPr>
                <w:rFonts w:ascii="Arial" w:cs="Arial" w:eastAsia="Arial" w:hAnsi="Arial"/>
                <w:sz w:val="16"/>
                <w:szCs w:val="16"/>
                <w:color w:val="auto"/>
              </w:rPr>
              <w:t>By:</w:t>
            </w:r>
          </w:p>
        </w:tc>
        <w:tc>
          <w:tcPr>
            <w:tcW w:w="338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color w:val="auto"/>
              </w:rPr>
              <w:t>By:</w:t>
            </w:r>
          </w:p>
        </w:tc>
        <w:tc>
          <w:tcPr>
            <w:tcW w:w="3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5"/>
        </w:trPr>
        <w:tc>
          <w:tcPr>
            <w:tcW w:w="162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380" w:type="dxa"/>
            <w:vAlign w:val="bottom"/>
            <w:tcBorders>
              <w:bottom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400" w:type="dxa"/>
            <w:vAlign w:val="bottom"/>
            <w:tcBorders>
              <w:bottom w:val="single" w:sz="8" w:color="auto"/>
            </w:tcBorders>
          </w:tcPr>
          <w:p>
            <w:pPr>
              <w:spacing w:after="0"/>
              <w:rPr>
                <w:sz w:val="6"/>
                <w:szCs w:val="6"/>
                <w:color w:val="auto"/>
              </w:rPr>
            </w:pPr>
          </w:p>
        </w:tc>
        <w:tc>
          <w:tcPr>
            <w:tcW w:w="1120" w:type="dxa"/>
            <w:vAlign w:val="bottom"/>
          </w:tcPr>
          <w:p>
            <w:pPr>
              <w:spacing w:after="0"/>
              <w:rPr>
                <w:sz w:val="6"/>
                <w:szCs w:val="6"/>
                <w:color w:val="auto"/>
              </w:rPr>
            </w:pPr>
          </w:p>
        </w:tc>
      </w:tr>
      <w:tr>
        <w:trPr>
          <w:trHeight w:val="254"/>
        </w:trPr>
        <w:tc>
          <w:tcPr>
            <w:tcW w:w="2260" w:type="dxa"/>
            <w:vAlign w:val="bottom"/>
            <w:gridSpan w:val="2"/>
          </w:tcPr>
          <w:p>
            <w:pPr>
              <w:ind w:left="1620"/>
              <w:spacing w:after="0"/>
              <w:rPr>
                <w:sz w:val="20"/>
                <w:szCs w:val="20"/>
                <w:color w:val="auto"/>
              </w:rPr>
            </w:pPr>
            <w:r>
              <w:rPr>
                <w:rFonts w:ascii="Arial" w:cs="Arial" w:eastAsia="Arial" w:hAnsi="Arial"/>
                <w:sz w:val="16"/>
                <w:szCs w:val="16"/>
                <w:color w:val="auto"/>
              </w:rPr>
              <w:t>Name:</w:t>
            </w:r>
          </w:p>
        </w:tc>
        <w:tc>
          <w:tcPr>
            <w:tcW w:w="3380" w:type="dxa"/>
            <w:vAlign w:val="bottom"/>
          </w:tcPr>
          <w:p>
            <w:pPr>
              <w:ind w:left="160"/>
              <w:spacing w:after="0"/>
              <w:rPr>
                <w:sz w:val="20"/>
                <w:szCs w:val="20"/>
                <w:color w:val="auto"/>
              </w:rPr>
            </w:pPr>
            <w:r>
              <w:rPr>
                <w:rFonts w:ascii="Arial" w:cs="Arial" w:eastAsia="Arial" w:hAnsi="Arial"/>
                <w:sz w:val="16"/>
                <w:szCs w:val="16"/>
                <w:color w:val="auto"/>
              </w:rPr>
              <w:t>Daniel L. Heard</w:t>
            </w:r>
          </w:p>
        </w:tc>
        <w:tc>
          <w:tcPr>
            <w:tcW w:w="1260" w:type="dxa"/>
            <w:vAlign w:val="bottom"/>
            <w:gridSpan w:val="2"/>
          </w:tcPr>
          <w:p>
            <w:pPr>
              <w:ind w:left="620"/>
              <w:spacing w:after="0"/>
              <w:rPr>
                <w:sz w:val="20"/>
                <w:szCs w:val="20"/>
                <w:color w:val="auto"/>
              </w:rPr>
            </w:pPr>
            <w:r>
              <w:rPr>
                <w:rFonts w:ascii="Arial" w:cs="Arial" w:eastAsia="Arial" w:hAnsi="Arial"/>
                <w:sz w:val="16"/>
                <w:szCs w:val="16"/>
                <w:color w:val="auto"/>
              </w:rPr>
              <w:t>Name:</w:t>
            </w:r>
          </w:p>
        </w:tc>
        <w:tc>
          <w:tcPr>
            <w:tcW w:w="4520" w:type="dxa"/>
            <w:vAlign w:val="bottom"/>
            <w:gridSpan w:val="2"/>
          </w:tcPr>
          <w:p>
            <w:pPr>
              <w:ind w:left="180"/>
              <w:spacing w:after="0"/>
              <w:rPr>
                <w:sz w:val="20"/>
                <w:szCs w:val="20"/>
                <w:color w:val="auto"/>
              </w:rPr>
            </w:pPr>
            <w:r>
              <w:rPr>
                <w:rFonts w:ascii="Arial" w:cs="Arial" w:eastAsia="Arial" w:hAnsi="Arial"/>
                <w:sz w:val="16"/>
                <w:szCs w:val="16"/>
                <w:color w:val="auto"/>
              </w:rPr>
              <w:t>Kenneth A. Gunderman</w:t>
            </w:r>
          </w:p>
        </w:tc>
      </w:tr>
      <w:tr>
        <w:trPr>
          <w:trHeight w:val="185"/>
        </w:trPr>
        <w:tc>
          <w:tcPr>
            <w:tcW w:w="2260" w:type="dxa"/>
            <w:vAlign w:val="bottom"/>
            <w:gridSpan w:val="2"/>
          </w:tcPr>
          <w:p>
            <w:pPr>
              <w:ind w:left="1620"/>
              <w:spacing w:after="0"/>
              <w:rPr>
                <w:sz w:val="20"/>
                <w:szCs w:val="20"/>
                <w:color w:val="auto"/>
              </w:rPr>
            </w:pPr>
            <w:r>
              <w:rPr>
                <w:rFonts w:ascii="Arial" w:cs="Arial" w:eastAsia="Arial" w:hAnsi="Arial"/>
                <w:sz w:val="16"/>
                <w:szCs w:val="16"/>
                <w:color w:val="auto"/>
              </w:rPr>
              <w:t>Title:</w:t>
            </w:r>
          </w:p>
        </w:tc>
        <w:tc>
          <w:tcPr>
            <w:tcW w:w="3380" w:type="dxa"/>
            <w:vAlign w:val="bottom"/>
          </w:tcPr>
          <w:p>
            <w:pPr>
              <w:ind w:left="160"/>
              <w:spacing w:after="0"/>
              <w:rPr>
                <w:sz w:val="20"/>
                <w:szCs w:val="20"/>
                <w:color w:val="auto"/>
              </w:rPr>
            </w:pPr>
            <w:r>
              <w:rPr>
                <w:rFonts w:ascii="Arial" w:cs="Arial" w:eastAsia="Arial" w:hAnsi="Arial"/>
                <w:sz w:val="16"/>
                <w:szCs w:val="16"/>
                <w:color w:val="auto"/>
              </w:rPr>
              <w:t>Executive Vice President—General Counsel</w:t>
            </w:r>
          </w:p>
        </w:tc>
        <w:tc>
          <w:tcPr>
            <w:tcW w:w="1260" w:type="dxa"/>
            <w:vAlign w:val="bottom"/>
            <w:gridSpan w:val="2"/>
          </w:tcPr>
          <w:p>
            <w:pPr>
              <w:ind w:left="620"/>
              <w:spacing w:after="0"/>
              <w:rPr>
                <w:sz w:val="20"/>
                <w:szCs w:val="20"/>
                <w:color w:val="auto"/>
              </w:rPr>
            </w:pPr>
            <w:r>
              <w:rPr>
                <w:rFonts w:ascii="Arial" w:cs="Arial" w:eastAsia="Arial" w:hAnsi="Arial"/>
                <w:sz w:val="16"/>
                <w:szCs w:val="16"/>
                <w:color w:val="auto"/>
              </w:rPr>
              <w:t>Title:</w:t>
            </w:r>
          </w:p>
        </w:tc>
        <w:tc>
          <w:tcPr>
            <w:tcW w:w="4520" w:type="dxa"/>
            <w:vAlign w:val="bottom"/>
            <w:gridSpan w:val="2"/>
          </w:tcPr>
          <w:p>
            <w:pPr>
              <w:ind w:left="180"/>
              <w:spacing w:after="0"/>
              <w:rPr>
                <w:sz w:val="20"/>
                <w:szCs w:val="20"/>
                <w:color w:val="auto"/>
              </w:rPr>
            </w:pPr>
            <w:r>
              <w:rPr>
                <w:rFonts w:ascii="Arial" w:cs="Arial" w:eastAsia="Arial" w:hAnsi="Arial"/>
                <w:sz w:val="16"/>
                <w:szCs w:val="16"/>
                <w:color w:val="auto"/>
              </w:rPr>
              <w:t>President and Chief Executive Officer</w:t>
            </w:r>
          </w:p>
        </w:tc>
      </w:tr>
      <w:tr>
        <w:trPr>
          <w:trHeight w:val="193"/>
        </w:trPr>
        <w:tc>
          <w:tcPr>
            <w:tcW w:w="1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380" w:type="dxa"/>
            <w:vAlign w:val="bottom"/>
          </w:tcPr>
          <w:p>
            <w:pPr>
              <w:ind w:left="160"/>
              <w:spacing w:after="0"/>
              <w:rPr>
                <w:sz w:val="20"/>
                <w:szCs w:val="20"/>
                <w:color w:val="auto"/>
              </w:rPr>
            </w:pPr>
            <w:r>
              <w:rPr>
                <w:rFonts w:ascii="Arial" w:cs="Arial" w:eastAsia="Arial" w:hAnsi="Arial"/>
                <w:sz w:val="16"/>
                <w:szCs w:val="16"/>
                <w:color w:val="auto"/>
              </w:rPr>
              <w:t>and Secretary</w:t>
            </w: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96"/>
        </w:trPr>
        <w:tc>
          <w:tcPr>
            <w:tcW w:w="16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3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221615</wp:posOffset>
            </wp:positionV>
            <wp:extent cx="7315835" cy="94589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58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315835" cy="94272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272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o"/>
      <w:numFmt w:val="bullet"/>
      <w:start w:val="1"/>
    </w:lvl>
    <w:lvl w:ilvl="1">
      <w:lvlJc w:val="left"/>
      <w:lvlText w:val="(%2)"/>
      <w:numFmt w:val="decimal"/>
      <w:start w:val="1"/>
    </w:lvl>
  </w:abstractNum>
  <w:abstractNum w:abstractNumId="2">
    <w:nsid w:val="153EA438"/>
    <w:multiLevelType w:val="hybridMultilevel"/>
    <w:lvl w:ilvl="0">
      <w:lvlJc w:val="left"/>
      <w:lvlText w:val="%1."/>
      <w:numFmt w:val="decimal"/>
      <w:start w:val="1"/>
    </w:lvl>
  </w:abstractNum>
  <w:abstractNum w:abstractNumId="3">
    <w:nsid w:val="3855585C"/>
    <w:multiLevelType w:val="hybridMultilevel"/>
    <w:lvl w:ilvl="0">
      <w:lvlJc w:val="left"/>
      <w:lvlText w:val="%1:"/>
      <w:numFmt w:val="upperLetter"/>
      <w:start w:val="17"/>
    </w:lvl>
  </w:abstractNum>
  <w:abstractNum w:abstractNumId="4">
    <w:nsid w:val="70A64E2A"/>
    <w:multiLevelType w:val="hybridMultilevel"/>
    <w:lvl w:ilvl="0">
      <w:lvlJc w:val="left"/>
      <w:lvlText w:val="%1:"/>
      <w:numFmt w:val="upperLetter"/>
      <w:start w:val="1"/>
    </w:lvl>
    <w:lvl w:ilvl="1">
      <w:lvlJc w:val="left"/>
      <w:lvlText w:val="•"/>
      <w:numFmt w:val="bullet"/>
      <w:start w:val="1"/>
    </w:lvl>
  </w:abstractNum>
  <w:abstractNum w:abstractNumId="5">
    <w:nsid w:val="6A2342EC"/>
    <w:multiLevelType w:val="hybridMultilevel"/>
    <w:lvl w:ilvl="0">
      <w:lvlJc w:val="left"/>
      <w:lvlText w:val="%1:"/>
      <w:numFmt w:val="upperLetter"/>
      <w:start w:val="17"/>
    </w:lvl>
  </w:abstractNum>
  <w:abstractNum w:abstractNumId="6">
    <w:nsid w:val="2A487CB0"/>
    <w:multiLevelType w:val="hybridMultilevel"/>
    <w:lvl w:ilvl="0">
      <w:lvlJc w:val="left"/>
      <w:lvlText w:val="%1:"/>
      <w:numFmt w:val="upperLetter"/>
      <w:start w:val="1"/>
    </w:lvl>
    <w:lvl w:ilvl="1">
      <w:lvlJc w:val="left"/>
      <w:lvlText w:val="•"/>
      <w:numFmt w:val="bullet"/>
      <w:start w:val="1"/>
    </w:lvl>
  </w:abstractNum>
  <w:abstractNum w:abstractNumId="7">
    <w:nsid w:val="1D4ED43B"/>
    <w:multiLevelType w:val="hybridMultilevel"/>
    <w:lvl w:ilvl="0">
      <w:lvlJc w:val="left"/>
      <w:lvlText w:val="%1:"/>
      <w:numFmt w:val="upperLetter"/>
      <w:start w:val="17"/>
    </w:lvl>
  </w:abstractNum>
  <w:abstractNum w:abstractNumId="8">
    <w:nsid w:val="725A06FB"/>
    <w:multiLevelType w:val="hybridMultilevel"/>
    <w:lvl w:ilvl="0">
      <w:lvlJc w:val="left"/>
      <w:lvlText w:val="%1:"/>
      <w:numFmt w:val="upperLetter"/>
      <w:start w:val="1"/>
    </w:lvl>
    <w:lvl w:ilvl="1">
      <w:lvlJc w:val="left"/>
      <w:lvlText w:val="•"/>
      <w:numFmt w:val="bullet"/>
      <w:start w:val="1"/>
    </w:lvl>
  </w:abstractNum>
  <w:abstractNum w:abstractNumId="9">
    <w:nsid w:val="2CD89A32"/>
    <w:multiLevelType w:val="hybridMultilevel"/>
    <w:lvl w:ilvl="0">
      <w:lvlJc w:val="left"/>
      <w:lvlText w:val="%1:"/>
      <w:numFmt w:val="upperLetter"/>
      <w:start w:val="16"/>
    </w:lvl>
    <w:lvl w:ilvl="1">
      <w:lvlJc w:val="left"/>
      <w:lvlText w:val="•"/>
      <w:numFmt w:val="bullet"/>
      <w:start w:val="1"/>
    </w:lvl>
  </w:abstractNum>
  <w:abstractNum w:abstractNumId="10">
    <w:nsid w:val="57E4CCAF"/>
    <w:multiLevelType w:val="hybridMultilevel"/>
    <w:lvl w:ilvl="0">
      <w:lvlJc w:val="left"/>
      <w:lvlText w:val="%1:"/>
      <w:numFmt w:val="upperLetter"/>
      <w:start w:val="1"/>
    </w:lvl>
  </w:abstractNum>
  <w:abstractNum w:abstractNumId="11">
    <w:nsid w:val="7A6D8D3C"/>
    <w:multiLevelType w:val="hybridMultilevel"/>
    <w:lvl w:ilvl="0">
      <w:lvlJc w:val="left"/>
      <w:lvlText w:val="%1:"/>
      <w:numFmt w:val="upperLetter"/>
      <w:start w:val="17"/>
    </w:lvl>
  </w:abstractNum>
  <w:abstractNum w:abstractNumId="12">
    <w:nsid w:val="4B588F54"/>
    <w:multiLevelType w:val="hybridMultilevel"/>
    <w:lvl w:ilvl="0">
      <w:lvlJc w:val="left"/>
      <w:lvlText w:val="%1:"/>
      <w:numFmt w:val="upperLetter"/>
      <w:start w:val="1"/>
    </w:lvl>
  </w:abstractNum>
  <w:abstractNum w:abstractNumId="13">
    <w:nsid w:val="542289EC"/>
    <w:multiLevelType w:val="hybridMultilevel"/>
    <w:lvl w:ilvl="0">
      <w:lvlJc w:val="left"/>
      <w:lvlText w:val="%1:"/>
      <w:numFmt w:val="upperLetter"/>
      <w:start w:val="17"/>
    </w:lvl>
  </w:abstractNum>
  <w:abstractNum w:abstractNumId="14">
    <w:nsid w:val="6DE91B18"/>
    <w:multiLevelType w:val="hybridMultilevel"/>
    <w:lvl w:ilvl="0">
      <w:lvlJc w:val="left"/>
      <w:lvlText w:val="%1:"/>
      <w:numFmt w:val="upperLetter"/>
      <w:start w:val="1"/>
    </w:lvl>
  </w:abstractNum>
  <w:abstractNum w:abstractNumId="15">
    <w:nsid w:val="38437FDB"/>
    <w:multiLevelType w:val="hybridMultilevel"/>
    <w:lvl w:ilvl="0">
      <w:lvlJc w:val="left"/>
      <w:lvlText w:val="%1:"/>
      <w:numFmt w:val="upperLetter"/>
      <w:start w:val="17"/>
    </w:lvl>
  </w:abstractNum>
  <w:abstractNum w:abstractNumId="16">
    <w:nsid w:val="7644A45C"/>
    <w:multiLevelType w:val="hybridMultilevel"/>
    <w:lvl w:ilvl="0">
      <w:lvlJc w:val="left"/>
      <w:lvlText w:val="%1:"/>
      <w:numFmt w:val="upperLetter"/>
      <w:start w:val="1"/>
    </w:lvl>
  </w:abstractNum>
  <w:abstractNum w:abstractNumId="17">
    <w:nsid w:val="32FFF902"/>
    <w:multiLevelType w:val="hybridMultilevel"/>
    <w:lvl w:ilvl="0">
      <w:lvlJc w:val="left"/>
      <w:lvlText w:val="%1:"/>
      <w:numFmt w:val="upperLetter"/>
      <w:start w:val="17"/>
    </w:lvl>
  </w:abstractNum>
  <w:abstractNum w:abstractNumId="18">
    <w:nsid w:val="684A481A"/>
    <w:multiLevelType w:val="hybridMultilevel"/>
    <w:lvl w:ilvl="0">
      <w:lvlJc w:val="left"/>
      <w:lvlText w:val="%1:"/>
      <w:numFmt w:val="upperLetter"/>
      <w:start w:val="1"/>
    </w:lvl>
  </w:abstractNum>
  <w:abstractNum w:abstractNumId="19">
    <w:nsid w:val="579478FE"/>
    <w:multiLevelType w:val="hybridMultilevel"/>
    <w:lvl w:ilvl="0">
      <w:lvlJc w:val="left"/>
      <w:lvlText w:val="%1:"/>
      <w:numFmt w:val="upperLetter"/>
      <w:start w:val="17"/>
    </w:lvl>
  </w:abstractNum>
  <w:abstractNum w:abstractNumId="20">
    <w:nsid w:val="749ABB43"/>
    <w:multiLevelType w:val="hybridMultilevel"/>
    <w:lvl w:ilvl="0">
      <w:lvlJc w:val="left"/>
      <w:lvlText w:val="%1:"/>
      <w:numFmt w:val="upperLetter"/>
      <w:start w:val="1"/>
    </w:lvl>
  </w:abstractNum>
  <w:abstractNum w:abstractNumId="21">
    <w:nsid w:val="3DC240FB"/>
    <w:multiLevelType w:val="hybridMultilevel"/>
    <w:lvl w:ilvl="0">
      <w:lvlJc w:val="left"/>
      <w:lvlText w:val="%1:"/>
      <w:numFmt w:val="upperLetter"/>
      <w:start w:val="17"/>
    </w:lvl>
  </w:abstractNum>
  <w:abstractNum w:abstractNumId="22">
    <w:nsid w:val="1BA026FA"/>
    <w:multiLevelType w:val="hybridMultilevel"/>
    <w:lvl w:ilvl="0">
      <w:lvlJc w:val="left"/>
      <w:lvlText w:val="%1:"/>
      <w:numFmt w:val="upperLetter"/>
      <w:start w:val="1"/>
    </w:lvl>
  </w:abstractNum>
  <w:abstractNum w:abstractNumId="23">
    <w:nsid w:val="79A1DEAA"/>
    <w:multiLevelType w:val="hybridMultilevel"/>
    <w:lvl w:ilvl="0">
      <w:lvlJc w:val="left"/>
      <w:lvlText w:val="%1:"/>
      <w:numFmt w:val="upperLetter"/>
      <w:start w:val="17"/>
    </w:lvl>
  </w:abstractNum>
  <w:abstractNum w:abstractNumId="24">
    <w:nsid w:val="75C6C33A"/>
    <w:multiLevelType w:val="hybridMultilevel"/>
    <w:lvl w:ilvl="0">
      <w:lvlJc w:val="left"/>
      <w:lvlText w:val="%1:"/>
      <w:numFmt w:val="upperLetter"/>
      <w:start w:val="1"/>
    </w:lvl>
  </w:abstractNum>
  <w:abstractNum w:abstractNumId="25">
    <w:nsid w:val="12E685FB"/>
    <w:multiLevelType w:val="hybridMultilevel"/>
    <w:lvl w:ilvl="0">
      <w:lvlJc w:val="left"/>
      <w:lvlText w:val="%1:"/>
      <w:numFmt w:val="upperLetter"/>
      <w:start w:val="17"/>
    </w:lvl>
  </w:abstractNum>
  <w:abstractNum w:abstractNumId="26">
    <w:nsid w:val="70C6A529"/>
    <w:multiLevelType w:val="hybridMultilevel"/>
    <w:lvl w:ilvl="0">
      <w:lvlJc w:val="left"/>
      <w:lvlText w:val="%1:"/>
      <w:numFmt w:val="upperLetter"/>
      <w:start w:val="1"/>
    </w:lvl>
  </w:abstractNum>
  <w:abstractNum w:abstractNumId="27">
    <w:nsid w:val="520EEDD1"/>
    <w:multiLevelType w:val="hybridMultilevel"/>
    <w:lvl w:ilvl="0">
      <w:lvlJc w:val="left"/>
      <w:lvlText w:val="%1:"/>
      <w:numFmt w:val="upperLetter"/>
      <w:start w:val="17"/>
    </w:lvl>
  </w:abstractNum>
  <w:abstractNum w:abstractNumId="28">
    <w:nsid w:val="374A3FE6"/>
    <w:multiLevelType w:val="hybridMultilevel"/>
    <w:lvl w:ilvl="0">
      <w:lvlJc w:val="left"/>
      <w:lvlText w:val="%1:"/>
      <w:numFmt w:val="upperLetter"/>
      <w:start w:val="1"/>
    </w:lvl>
  </w:abstractNum>
  <w:abstractNum w:abstractNumId="29">
    <w:nsid w:val="4F4EF005"/>
    <w:multiLevelType w:val="hybridMultilevel"/>
    <w:lvl w:ilvl="0">
      <w:lvlJc w:val="left"/>
      <w:lvlText w:val="%1:"/>
      <w:numFmt w:val="upperLetter"/>
      <w:start w:val="17"/>
    </w:lvl>
  </w:abstractNum>
  <w:abstractNum w:abstractNumId="30">
    <w:nsid w:val="23F9C13C"/>
    <w:multiLevelType w:val="hybridMultilevel"/>
    <w:lvl w:ilvl="0">
      <w:lvlJc w:val="left"/>
      <w:lvlText w:val="%1:"/>
      <w:numFmt w:val="upperLetter"/>
      <w:start w:val="1"/>
    </w:lvl>
  </w:abstractNum>
  <w:abstractNum w:abstractNumId="31">
    <w:nsid w:val="649BB77C"/>
    <w:multiLevelType w:val="hybridMultilevel"/>
    <w:lvl w:ilvl="0">
      <w:lvlJc w:val="left"/>
      <w:lvlText w:val="%1:"/>
      <w:numFmt w:val="upperLetter"/>
      <w:start w:val="17"/>
    </w:lvl>
  </w:abstractNum>
  <w:abstractNum w:abstractNumId="32">
    <w:nsid w:val="275AC794"/>
    <w:multiLevelType w:val="hybridMultilevel"/>
    <w:lvl w:ilvl="0">
      <w:lvlJc w:val="left"/>
      <w:lvlText w:val="%1:"/>
      <w:numFmt w:val="upperLetter"/>
      <w:start w:val="1"/>
    </w:lvl>
  </w:abstractNum>
  <w:abstractNum w:abstractNumId="33">
    <w:nsid w:val="39386575"/>
    <w:multiLevelType w:val="hybridMultilevel"/>
    <w:lvl w:ilvl="0">
      <w:lvlJc w:val="left"/>
      <w:lvlText w:val="%1:"/>
      <w:numFmt w:val="upperLetter"/>
      <w:start w:val="17"/>
    </w:lvl>
  </w:abstractNum>
  <w:abstractNum w:abstractNumId="34">
    <w:nsid w:val="1CF10FD8"/>
    <w:multiLevelType w:val="hybridMultilevel"/>
    <w:lvl w:ilvl="0">
      <w:lvlJc w:val="left"/>
      <w:lvlText w:val="%1:"/>
      <w:numFmt w:val="upperLetter"/>
      <w:start w:val="1"/>
    </w:lvl>
  </w:abstractNum>
  <w:abstractNum w:abstractNumId="35">
    <w:nsid w:val="180115BE"/>
    <w:multiLevelType w:val="hybridMultilevel"/>
    <w:lvl w:ilvl="0">
      <w:lvlJc w:val="left"/>
      <w:lvlText w:val="(%1)"/>
      <w:numFmt w:val="decimal"/>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1)"/>
      <w:numFmt w:val="decimal"/>
      <w:start w:val="1"/>
    </w:lvl>
  </w:abstractNum>
  <w:abstractNum w:abstractNumId="39">
    <w:nsid w:val="15B5AF5C"/>
    <w:multiLevelType w:val="hybridMultilevel"/>
    <w:lvl w:ilvl="0">
      <w:lvlJc w:val="left"/>
      <w:lvlText w:val="%1."/>
      <w:numFmt w:val="decimal"/>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1)"/>
      <w:numFmt w:val="decimal"/>
      <w:start w:val="1"/>
    </w:lvl>
  </w:abstractNum>
  <w:abstractNum w:abstractNumId="44">
    <w:nsid w:val="61574095"/>
    <w:multiLevelType w:val="hybridMultilevel"/>
    <w:lvl w:ilvl="0">
      <w:lvlJc w:val="left"/>
      <w:lvlText w:val="(%1)"/>
      <w:numFmt w:val="decimal"/>
      <w:start w:val="1"/>
    </w:lvl>
  </w:abstractNum>
  <w:abstractNum w:abstractNumId="45">
    <w:nsid w:val="7E0C57B1"/>
    <w:multiLevelType w:val="hybridMultilevel"/>
    <w:lvl w:ilvl="0">
      <w:lvlJc w:val="left"/>
      <w:lvlText w:val="(%1)"/>
      <w:numFmt w:val="decimal"/>
      <w:start w:val="1"/>
    </w:lvl>
  </w:abstractNum>
  <w:abstractNum w:abstractNumId="46">
    <w:nsid w:val="77AE35EB"/>
    <w:multiLevelType w:val="hybridMultilevel"/>
    <w:lvl w:ilvl="0">
      <w:lvlJc w:val="left"/>
      <w:lvlText w:val="(%1)"/>
      <w:numFmt w:val="decimal"/>
      <w:start w:val="2"/>
    </w:lvl>
  </w:abstractNum>
  <w:abstractNum w:abstractNumId="47">
    <w:nsid w:val="579BE4F1"/>
    <w:multiLevelType w:val="hybridMultilevel"/>
    <w:lvl w:ilvl="0">
      <w:lvlJc w:val="left"/>
      <w:lvlText w:val="(%1)"/>
      <w:numFmt w:val="lowerRoman"/>
      <w:start w:val="3"/>
    </w:lvl>
  </w:abstractNum>
  <w:abstractNum w:abstractNumId="48">
    <w:nsid w:val="310C50B3"/>
    <w:multiLevelType w:val="hybridMultilevel"/>
    <w:lvl w:ilvl="0">
      <w:lvlJc w:val="left"/>
      <w:lvlText w:val="(%1)"/>
      <w:numFmt w:val="decimal"/>
      <w:start w:val="1"/>
    </w:lvl>
  </w:abstractNum>
  <w:abstractNum w:abstractNumId="49">
    <w:nsid w:val="5FF87E05"/>
    <w:multiLevelType w:val="hybridMultilevel"/>
    <w:lvl w:ilvl="0">
      <w:lvlJc w:val="left"/>
      <w:lvlText w:val="(%1)"/>
      <w:numFmt w:val="decimal"/>
      <w:start w:val="1"/>
    </w:lvl>
  </w:abstractNum>
  <w:abstractNum w:abstractNumId="50">
    <w:nsid w:val="2F305DEF"/>
    <w:multiLevelType w:val="hybridMultilevel"/>
    <w:lvl w:ilvl="0">
      <w:lvlJc w:val="left"/>
      <w:lvlText w:val="(%1)"/>
      <w:numFmt w:val="decimal"/>
      <w:start w:val="3"/>
    </w:lvl>
  </w:abstractNum>
  <w:abstractNum w:abstractNumId="51">
    <w:nsid w:val="25A70BF7"/>
    <w:multiLevelType w:val="hybridMultilevel"/>
    <w:lvl w:ilvl="0">
      <w:lvlJc w:val="left"/>
      <w:lvlText w:val="(%1)"/>
      <w:numFmt w:val="decimal"/>
      <w:start w:val="1"/>
    </w:lvl>
  </w:abstractNum>
  <w:abstractNum w:abstractNumId="52">
    <w:nsid w:val="1DBABF00"/>
    <w:multiLevelType w:val="hybridMultilevel"/>
    <w:lvl w:ilvl="0">
      <w:lvlJc w:val="left"/>
      <w:lvlText w:val="(%1)"/>
      <w:numFmt w:val="decimal"/>
      <w:start w:val="3"/>
    </w:lvl>
  </w:abstractNum>
  <w:abstractNum w:abstractNumId="53">
    <w:nsid w:val="4AD084E9"/>
    <w:multiLevelType w:val="hybridMultilevel"/>
    <w:lvl w:ilvl="0">
      <w:lvlJc w:val="left"/>
      <w:lvlText w:val="(%1)"/>
      <w:numFmt w:val="decimal"/>
      <w:start w:val="1"/>
    </w:lvl>
  </w:abstractNum>
  <w:abstractNum w:abstractNumId="54">
    <w:nsid w:val="1F48EAA1"/>
    <w:multiLevelType w:val="hybridMultilevel"/>
    <w:lvl w:ilvl="0">
      <w:lvlJc w:val="left"/>
      <w:lvlText w:val="(%1)"/>
      <w:numFmt w:val="lowerRoman"/>
      <w:start w:val="10"/>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1)"/>
      <w:numFmt w:val="decimal"/>
      <w:start w:val="1"/>
    </w:lvl>
  </w:abstractNum>
  <w:abstractNum w:abstractNumId="57">
    <w:nsid w:val="100F8FCA"/>
    <w:multiLevelType w:val="hybridMultilevel"/>
    <w:lvl w:ilvl="0">
      <w:lvlJc w:val="left"/>
      <w:lvlText w:val="(%1)"/>
      <w:numFmt w:val="decimal"/>
      <w:start w:val="1"/>
    </w:lvl>
  </w:abstractNum>
  <w:abstractNum w:abstractNumId="58">
    <w:nsid w:val="6590700B"/>
    <w:multiLevelType w:val="hybridMultilevel"/>
    <w:lvl w:ilvl="0">
      <w:lvlJc w:val="left"/>
      <w:lvlText w:val="(%1)"/>
      <w:numFmt w:val="decimal"/>
      <w:start w:val="1"/>
    </w:lvl>
  </w:abstractNum>
  <w:abstractNum w:abstractNumId="59">
    <w:nsid w:val="15014ACB"/>
    <w:multiLevelType w:val="hybridMultilevel"/>
    <w:lvl w:ilvl="0">
      <w:lvlJc w:val="left"/>
      <w:lvlText w:val="(%1)"/>
      <w:numFmt w:val="decimal"/>
      <w:start w:val="1"/>
    </w:lvl>
  </w:abstractNum>
  <w:abstractNum w:abstractNumId="60">
    <w:nsid w:val="5F5E7FD0"/>
    <w:multiLevelType w:val="hybridMultilevel"/>
    <w:lvl w:ilvl="0">
      <w:lvlJc w:val="left"/>
      <w:lvlText w:val="(%1)"/>
      <w:numFmt w:val="decimal"/>
      <w:start w:val="1"/>
    </w:lvl>
  </w:abstractNum>
  <w:abstractNum w:abstractNumId="61">
    <w:nsid w:val="98A3148"/>
    <w:multiLevelType w:val="hybridMultilevel"/>
    <w:lvl w:ilvl="0">
      <w:lvlJc w:val="left"/>
      <w:lvlText w:val="(%1)"/>
      <w:numFmt w:val="lowerLetter"/>
      <w:start w:val="1"/>
    </w:lvl>
  </w:abstractNum>
  <w:abstractNum w:abstractNumId="62">
    <w:nsid w:val="799D0247"/>
    <w:multiLevelType w:val="hybridMultilevel"/>
    <w:lvl w:ilvl="0">
      <w:lvlJc w:val="left"/>
      <w:lvlText w:val="(%1)"/>
      <w:numFmt w:val="decimal"/>
      <w:start w:val="1"/>
    </w:lvl>
  </w:abstractNum>
  <w:abstractNum w:abstractNumId="63">
    <w:nsid w:val="6B94764"/>
    <w:multiLevelType w:val="hybridMultilevel"/>
    <w:lvl w:ilvl="0">
      <w:lvlJc w:val="left"/>
      <w:lvlText w:val="(%1)"/>
      <w:numFmt w:val="lowerLetter"/>
      <w:start w:val="1"/>
    </w:lvl>
  </w:abstractNum>
  <w:abstractNum w:abstractNumId="64">
    <w:nsid w:val="42C296BD"/>
    <w:multiLevelType w:val="hybridMultilevel"/>
    <w:lvl w:ilvl="0">
      <w:lvlJc w:val="left"/>
      <w:lvlText w:val="(%1)"/>
      <w:numFmt w:val="lowerLetter"/>
      <w:start w:val="2"/>
    </w:lvl>
  </w:abstractNum>
  <w:abstractNum w:abstractNumId="65">
    <w:nsid w:val="168E121F"/>
    <w:multiLevelType w:val="hybridMultilevel"/>
    <w:lvl w:ilvl="0">
      <w:lvlJc w:val="left"/>
      <w:lvlText w:val="(%1)"/>
      <w:numFmt w:val="lowerLetter"/>
      <w:start w:val="1"/>
    </w:lvl>
  </w:abstractNum>
  <w:abstractNum w:abstractNumId="66">
    <w:nsid w:val="1EBA5D23"/>
    <w:multiLevelType w:val="hybridMultilevel"/>
    <w:lvl w:ilvl="0">
      <w:lvlJc w:val="left"/>
      <w:lvlText w:val="(%1)"/>
      <w:numFmt w:val="lowerLetter"/>
      <w:start w:val="2"/>
    </w:lvl>
  </w:abstractNum>
  <w:abstractNum w:abstractNumId="67">
    <w:nsid w:val="661E3F1E"/>
    <w:multiLevelType w:val="hybridMultilevel"/>
    <w:lvl w:ilvl="0">
      <w:lvlJc w:val="left"/>
      <w:lvlText w:val="(%1)"/>
      <w:numFmt w:val="lowerLetter"/>
      <w:start w:val="1"/>
    </w:lvl>
  </w:abstractNum>
  <w:abstractNum w:abstractNumId="68">
    <w:nsid w:val="5DC79EA8"/>
    <w:multiLevelType w:val="hybridMultilevel"/>
    <w:lvl w:ilvl="0">
      <w:lvlJc w:val="left"/>
      <w:lvlText w:val="(%1)"/>
      <w:numFmt w:val="lowerLetter"/>
      <w:start w:val="1"/>
    </w:lvl>
  </w:abstractNum>
  <w:abstractNum w:abstractNumId="69">
    <w:nsid w:val="540A471C"/>
    <w:multiLevelType w:val="hybridMultilevel"/>
    <w:lvl w:ilvl="0">
      <w:lvlJc w:val="left"/>
      <w:lvlText w:val="%1"/>
      <w:numFmt w:val="lowerLetter"/>
      <w:start w:val="1"/>
    </w:lvl>
    <w:lvl w:ilvl="1">
      <w:lvlJc w:val="left"/>
      <w:lvlText w:val="(%2)"/>
      <w:numFmt w:val="lowerLetter"/>
      <w:start w:val="1"/>
    </w:lvl>
  </w:abstractNum>
  <w:abstractNum w:abstractNumId="70">
    <w:nsid w:val="7BD3EE7B"/>
    <w:multiLevelType w:val="hybridMultilevel"/>
    <w:lvl w:ilvl="0">
      <w:lvlJc w:val="left"/>
      <w:lvlText w:val="(%1)"/>
      <w:numFmt w:val="lowerLetter"/>
      <w:start w:val="35"/>
    </w:lvl>
    <w:lvl w:ilvl="1">
      <w:lvlJc w:val="left"/>
      <w:lvlText w:val="(%2)"/>
      <w:numFmt w:val="lowerLetter"/>
      <w:start w:val="4"/>
    </w:lvl>
  </w:abstractNum>
  <w:abstractNum w:abstractNumId="71">
    <w:nsid w:val="51D9C564"/>
    <w:multiLevelType w:val="hybridMultilevel"/>
    <w:lvl w:ilvl="0">
      <w:lvlJc w:val="left"/>
      <w:lvlText w:val="(%1)"/>
      <w:numFmt w:val="lowerLetter"/>
      <w:start w:val="1"/>
    </w:lvl>
  </w:abstractNum>
  <w:abstractNum w:abstractNumId="72">
    <w:nsid w:val="613EFDC5"/>
    <w:multiLevelType w:val="hybridMultilevel"/>
    <w:lvl w:ilvl="0">
      <w:lvlJc w:val="left"/>
      <w:lvlText w:val="(%1)"/>
      <w:numFmt w:val="lowerLetter"/>
      <w:start w:val="2"/>
    </w:lvl>
  </w:abstractNum>
  <w:abstractNum w:abstractNumId="73">
    <w:nsid w:val="BF72B14"/>
    <w:multiLevelType w:val="hybridMultilevel"/>
    <w:lvl w:ilvl="0">
      <w:lvlJc w:val="left"/>
      <w:lvlText w:val="(%1)"/>
      <w:numFmt w:val="lowerLetter"/>
      <w:start w:val="1"/>
    </w:lvl>
  </w:abstractNum>
  <w:abstractNum w:abstractNumId="74">
    <w:nsid w:val="11447B73"/>
    <w:multiLevelType w:val="hybridMultilevel"/>
    <w:lvl w:ilvl="0">
      <w:lvlJc w:val="left"/>
      <w:lvlText w:val="(%1)"/>
      <w:numFmt w:val="lowerLetter"/>
      <w:start w:val="1"/>
    </w:lvl>
  </w:abstractNum>
  <w:abstractNum w:abstractNumId="75">
    <w:nsid w:val="42963E5A"/>
    <w:multiLevelType w:val="hybridMultilevel"/>
    <w:lvl w:ilvl="0">
      <w:lvlJc w:val="left"/>
      <w:lvlText w:val="(%1)"/>
      <w:numFmt w:val="lowerLetter"/>
      <w:start w:val="1"/>
    </w:lvl>
  </w:abstractNum>
  <w:abstractNum w:abstractNumId="76">
    <w:nsid w:val="A0382C5"/>
    <w:multiLevelType w:val="hybridMultilevel"/>
    <w:lvl w:ilvl="0">
      <w:lvlJc w:val="left"/>
      <w:lvlText w:val="(%1)"/>
      <w:numFmt w:val="lowerLetter"/>
      <w:start w:val="1"/>
    </w:lvl>
    <w:lvl w:ilvl="1">
      <w:lvlJc w:val="left"/>
      <w:lvlText w:val="(%2)"/>
      <w:numFmt w:val="upperLetter"/>
      <w:start w:val="1"/>
    </w:lvl>
  </w:abstractNum>
  <w:abstractNum w:abstractNumId="77">
    <w:nsid w:val="8F2B15E"/>
    <w:multiLevelType w:val="hybridMultilevel"/>
    <w:lvl w:ilvl="0">
      <w:lvlJc w:val="left"/>
      <w:lvlText w:val="%1"/>
      <w:numFmt w:val="lowerLetter"/>
      <w:start w:val="1"/>
    </w:lvl>
    <w:lvl w:ilvl="1">
      <w:lvlJc w:val="left"/>
      <w:lvlText w:val="(%2)"/>
      <w:numFmt w:val="upperLetter"/>
      <w:start w:val="3"/>
    </w:lvl>
  </w:abstractNum>
  <w:abstractNum w:abstractNumId="78">
    <w:nsid w:val="1A32234B"/>
    <w:multiLevelType w:val="hybridMultilevel"/>
    <w:lvl w:ilvl="0">
      <w:lvlJc w:val="left"/>
      <w:lvlText w:val="(%1)"/>
      <w:numFmt w:val="lowerLetter"/>
      <w:start w:val="2"/>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2019-12-08T12:24:32Z</dcterms:created>
  <dcterms:modified xsi:type="dcterms:W3CDTF">2019-12-08T12:24:32Z</dcterms:modified>
</cp:coreProperties>
</file>