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22, 2014</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Communications Sales &amp; Leasing,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0" w:type="dxa"/>
        <w:tblCellMar>
          <w:top w:w="0" w:type="dxa"/>
          <w:left w:w="0" w:type="dxa"/>
          <w:bottom w:w="0" w:type="dxa"/>
          <w:right w:w="0" w:type="dxa"/>
        </w:tblCellMar>
      </w:tblPr>
      <w:tr>
        <w:trPr>
          <w:trHeight w:val="212"/>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8"/>
              </w:rPr>
              <w:t>Maryland</w:t>
            </w:r>
          </w:p>
        </w:tc>
        <w:tc>
          <w:tcPr>
            <w:tcW w:w="1320" w:type="dxa"/>
            <w:vAlign w:val="bottom"/>
          </w:tcPr>
          <w:p>
            <w:pPr>
              <w:jc w:val="right"/>
              <w:ind w:right="57"/>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500" w:type="dxa"/>
            <w:vAlign w:val="bottom"/>
          </w:tcPr>
          <w:p>
            <w:pPr>
              <w:jc w:val="center"/>
              <w:ind w:right="341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500" w:type="dxa"/>
            <w:vAlign w:val="bottom"/>
          </w:tcPr>
          <w:p>
            <w:pPr>
              <w:jc w:val="center"/>
              <w:ind w:right="3414"/>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97"/>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0"/>
              </w:rPr>
              <w:t>4001 Rodney Parham Road</w:t>
            </w:r>
          </w:p>
        </w:tc>
        <w:tc>
          <w:tcPr>
            <w:tcW w:w="1320" w:type="dxa"/>
            <w:vAlign w:val="bottom"/>
          </w:tcPr>
          <w:p>
            <w:pPr>
              <w:spacing w:after="0"/>
              <w:rPr>
                <w:sz w:val="24"/>
                <w:szCs w:val="24"/>
                <w:color w:val="auto"/>
              </w:rPr>
            </w:pPr>
          </w:p>
        </w:tc>
      </w:tr>
      <w:tr>
        <w:trPr>
          <w:trHeight w:val="23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2"/>
              </w:rPr>
              <w:t>Little Rock, Arkansas</w:t>
            </w:r>
          </w:p>
        </w:tc>
        <w:tc>
          <w:tcPr>
            <w:tcW w:w="1320" w:type="dxa"/>
            <w:vAlign w:val="bottom"/>
          </w:tcPr>
          <w:p>
            <w:pPr>
              <w:jc w:val="right"/>
              <w:ind w:right="257"/>
              <w:spacing w:after="0"/>
              <w:rPr>
                <w:sz w:val="20"/>
                <w:szCs w:val="20"/>
                <w:color w:val="auto"/>
              </w:rPr>
            </w:pPr>
            <w:r>
              <w:rPr>
                <w:rFonts w:ascii="Arial" w:cs="Arial" w:eastAsia="Arial" w:hAnsi="Arial"/>
                <w:sz w:val="18"/>
                <w:szCs w:val="18"/>
                <w:b w:val="1"/>
                <w:bCs w:val="1"/>
                <w:color w:val="auto"/>
              </w:rPr>
              <w:t>72212</w:t>
            </w:r>
          </w:p>
        </w:tc>
      </w:tr>
      <w:tr>
        <w:trPr>
          <w:trHeight w:val="234"/>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32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00" w:type="dxa"/>
            <w:vAlign w:val="bottom"/>
          </w:tcPr>
          <w:p>
            <w:pPr>
              <w:jc w:val="center"/>
              <w:ind w:left="2054"/>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20" w:type="dxa"/>
            <w:vAlign w:val="bottom"/>
          </w:tcPr>
          <w:p>
            <w:pPr>
              <w:spacing w:after="0"/>
              <w:rPr>
                <w:sz w:val="24"/>
                <w:szCs w:val="24"/>
                <w:color w:val="auto"/>
              </w:rPr>
            </w:pPr>
          </w:p>
        </w:tc>
      </w:tr>
      <w:tr>
        <w:trPr>
          <w:trHeight w:val="234"/>
        </w:trPr>
        <w:tc>
          <w:tcPr>
            <w:tcW w:w="6500" w:type="dxa"/>
            <w:vAlign w:val="bottom"/>
          </w:tcPr>
          <w:p>
            <w:pPr>
              <w:jc w:val="right"/>
              <w:ind w:right="1534"/>
              <w:spacing w:after="0"/>
              <w:rPr>
                <w:sz w:val="20"/>
                <w:szCs w:val="20"/>
                <w:color w:val="auto"/>
              </w:rPr>
            </w:pPr>
            <w:r>
              <w:rPr>
                <w:rFonts w:ascii="Arial" w:cs="Arial" w:eastAsia="Arial" w:hAnsi="Arial"/>
                <w:sz w:val="18"/>
                <w:szCs w:val="18"/>
                <w:b w:val="1"/>
                <w:bCs w:val="1"/>
                <w:color w:val="auto"/>
              </w:rPr>
              <w:t>(501) 748-4491</w:t>
            </w:r>
          </w:p>
        </w:tc>
        <w:tc>
          <w:tcPr>
            <w:tcW w:w="13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jc w:val="center"/>
              <w:ind w:left="1339"/>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220" w:type="dxa"/>
            <w:vAlign w:val="bottom"/>
          </w:tcPr>
          <w:p>
            <w:pPr>
              <w:spacing w:after="0"/>
              <w:rPr>
                <w:sz w:val="16"/>
                <w:szCs w:val="16"/>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540" w:type="dxa"/>
            <w:vAlign w:val="bottom"/>
          </w:tcPr>
          <w:p>
            <w:pPr>
              <w:spacing w:after="0"/>
              <w:rPr>
                <w:sz w:val="20"/>
                <w:szCs w:val="20"/>
                <w:color w:val="auto"/>
              </w:rPr>
            </w:pPr>
            <w:r>
              <w:rPr>
                <w:rFonts w:ascii="Arial" w:cs="Arial" w:eastAsia="Arial" w:hAnsi="Arial"/>
                <w:sz w:val="18"/>
                <w:szCs w:val="18"/>
                <w:b w:val="1"/>
                <w:bCs w:val="1"/>
                <w:color w:val="auto"/>
              </w:rPr>
              <w:t>0.0001 per share</w:t>
            </w:r>
          </w:p>
        </w:tc>
        <w:tc>
          <w:tcPr>
            <w:tcW w:w="3880" w:type="dxa"/>
            <w:vAlign w:val="bottom"/>
            <w:gridSpan w:val="3"/>
          </w:tcPr>
          <w:p>
            <w:pPr>
              <w:jc w:val="center"/>
              <w:ind w:left="1339"/>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information required to be included in this Form 10 is incorporated by reference to specifically-identified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“Risk Factors,” “Cautionary Statement Regarding Forward-Looking Statements,” “The Spin-Off,” “Description of Financing and Material Indebtedness,” “Capitalization,” “Management’s Discussion and Analysis of Financial Condition and Results of Operations,” “Business and Properties,” “Certain Relationships and Related Person Transactions,” “Our Relationship with Windstream Following the Spin-Off,” “U.S. Federal Income Tax Considerations” and “Where You Can Find More Information.” Those sections are incorporated herein by reference.</w:t>
      </w:r>
    </w:p>
    <w:p>
      <w:pPr>
        <w:spacing w:after="0" w:line="3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 and “Cautionary Statement Regarding Forward-Looking Statements.”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“Management’s Discussion and Analysis of Financial Condition and Results of Operations.” Those sections are incorporated herein by reference.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“Management’s Discussion and Analysis of Financial Condition and Results of Operations” and “Business and Properties.” Those sections are incorporated herein by reference.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“Security Ownership of Certain Beneficial Owners and Management.”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and Properties—Legal Proceedings.” That section is incorporated herein by reference.</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“Dividend Policy,” “Management”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Indemnification of Directors and Executive Officers.”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“Index to Financial Statements” (and the financial statements and related notes referenced therein). Those sections and the financial statements and related notes referenced therein are incorporated herein by reference.</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“CS&amp;L’s Unaudited Pro Forma Combined Financial Data,” “Windstream Holdings’ Unaudited Pro Forma Combined Financial Data” and “Index to Financial Statements” (and the financial statements and related notes referenced therein). Those sections and the financial statements and related notes referenced therein are incorporated herein by reference.</w:t>
      </w:r>
    </w:p>
    <w:p>
      <w:pPr>
        <w:sectPr>
          <w:pgSz w:w="11900" w:h="16838" w:orient="portrait"/>
          <w:cols w:equalWidth="0" w:num="1">
            <w:col w:w="11300"/>
          </w:cols>
          <w:pgMar w:left="240" w:top="27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060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10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600" w:type="dxa"/>
            <w:vAlign w:val="bottom"/>
          </w:tcPr>
          <w:p>
            <w:pPr>
              <w:spacing w:after="0" w:line="189" w:lineRule="exact"/>
              <w:rPr>
                <w:sz w:val="20"/>
                <w:szCs w:val="20"/>
                <w:color w:val="auto"/>
              </w:rPr>
            </w:pPr>
            <w:r>
              <w:rPr>
                <w:rFonts w:ascii="Arial" w:cs="Arial" w:eastAsia="Arial" w:hAnsi="Arial"/>
                <w:sz w:val="18"/>
                <w:szCs w:val="18"/>
                <w:color w:val="auto"/>
              </w:rPr>
              <w:t>Form of Separation and Distribution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Articles of Amendment and Restatement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Amended and Restated Bylaws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Specimen Stock Certificate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Master Lease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Transition Services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Employee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Intellectual Property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Wholesale Reseller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Stockholder’s and Registration Rights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List of Subsidiaries of Communications Sales &amp; Leasing,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Preliminary Information Statement of Communications Sales &amp; Leasing, Inc., subject to completion, dated December 22,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76" w:lineRule="exact"/>
        <w:rPr>
          <w:sz w:val="20"/>
          <w:szCs w:val="20"/>
          <w:color w:val="auto"/>
        </w:rPr>
      </w:pPr>
    </w:p>
    <w:p>
      <w:pPr>
        <w:ind w:right="9040" w:firstLine="8"/>
        <w:spacing w:after="0" w:line="457" w:lineRule="auto"/>
        <w:tabs>
          <w:tab w:leader="none" w:pos="44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 ** Filed herewith.</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Sales &amp; Leasing, Inc.</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w:t>
      </w:r>
      <w:r>
        <w:rPr>
          <w:rFonts w:ascii="Arial" w:cs="Arial" w:eastAsia="Arial" w:hAnsi="Arial"/>
          <w:sz w:val="18"/>
          <w:szCs w:val="18"/>
          <w:color w:val="auto"/>
        </w:rPr>
        <w:t xml:space="preserve"> /s/ John P. Fletcher</w:t>
      </w:r>
    </w:p>
    <w:p>
      <w:pPr>
        <w:spacing w:after="0" w:line="27"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P.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both"/>
        <w:ind w:left="7240"/>
        <w:spacing w:after="0"/>
        <w:tabs>
          <w:tab w:leader="none" w:pos="7840" w:val="left"/>
        </w:tabs>
        <w:rPr>
          <w:sz w:val="20"/>
          <w:szCs w:val="20"/>
          <w:color w:val="auto"/>
        </w:rPr>
      </w:pPr>
      <w:r>
        <w:rPr>
          <w:rFonts w:ascii="Arial" w:cs="Arial" w:eastAsia="Arial" w:hAnsi="Arial"/>
          <w:sz w:val="18"/>
          <w:szCs w:val="18"/>
          <w:color w:val="auto"/>
        </w:rPr>
        <w:t>Title:</w:t>
        <w:tab/>
        <w:t>Executive Vice President, Secretary &amp; General</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2014</w:t>
      </w:r>
    </w:p>
    <w:p>
      <w:pPr>
        <w:sectPr>
          <w:pgSz w:w="11900" w:h="16838" w:orient="portrait"/>
          <w:cols w:equalWidth="0" w:num="1">
            <w:col w:w="11240"/>
          </w:cols>
          <w:pgMar w:left="240" w:top="270"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Preliminary and Subject to Completion, dated December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169545</wp:posOffset>
            </wp:positionV>
            <wp:extent cx="160337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 of Windstream Holdings, Inc.:</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pleased to inform you that the board of directors of Windstream Holdings, Inc. (“Windstream Holdings” and, together with its consolidated subsidiaries, “Windstream”) has approved a plan to spin off certain telecommunications network assets, including its fiber and copper networks and other real estate, into Communications Sales &amp; Leasing, Inc. (“CS&amp;L”), which will become, upon its election, an independent, publicly traded real estate investment trust.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9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Certain subsidiaries of CS&amp;L will lease the assets to Windstream Holdings through an exclusive long-term triple-net lease. Windstream will continue to operate and maintain the assets in order to deliver advanced communications and technology services to consumers and businesses. We believe that CS&amp;L will be positioned to provide an attractive dividend to shareholders and grow through acquisitions, capital investments and rent escalation.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transaction will be completed by way of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no less than 80.1 percent of the outstanding shares of CS&amp;L common stock to</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Windstream Holdings shareholders of record as of the close of business on , 2015, the record date for the spinoff. After giving effect to the interest in CS&amp;L retained by Windstream, each Windstream Holdings shareholder will receive one share of CS&amp;L common stock for every five shares of Windstream Holdings common stock held on the record date. The number of Windstream Holdings shares you own will not change as a result of the spinoff. CS&amp;L intends to list its common stock on the NASDAQ Global Select Market under the symbol “CSAL.” Windstream Holdings common stock will continue to be listed and traded on the NASDAQ Global Select Market under the symbol “WIN.”</w:t>
      </w:r>
    </w:p>
    <w:p>
      <w:pPr>
        <w:spacing w:after="0" w:line="19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If the distribution date is not on the record date of Windstream’s normal quarterly dividend, we intend to pay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to our shareholders based on the number of days elapsed in the quarter. Following the close of the transaction, Windstream initially expects to pay an annual dividend of $.10 per share and CS&amp;L initially expects to pay an annual dividend of $2.40 per share (which would be equivalent to a $.60 per share Windstream dividend per annum). After giving effect to the interest in CS&amp;L retained by Windstream, each shareholder at the time of the spinoff will receive the equivalent of a $.48 per share Windstream dividend per annum.</w:t>
      </w:r>
    </w:p>
    <w:p>
      <w:pPr>
        <w:spacing w:after="0" w:line="188"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No vote of Windstream Holdings’ shareholders is required in connection with the spinoff. You do not need to make any payment, surrender or exchange your shares of Windstream Holdings common stock or take any other action to receive your shares of CS&amp;L common stock.</w:t>
      </w:r>
    </w:p>
    <w:p>
      <w:pPr>
        <w:spacing w:after="0" w:line="124"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enclosed information statement, which is being made available to all Windstream Holdings shareholders, describes the spinoff in detail and contains important information about CS&amp;L and its business. We urge you to read the information statement carefully and in its entirety.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want to thank you for your continued support of Windstream, and we look forward to your support of CS&amp;L in the future.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Anthony W. Thomas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[CS&amp;L logo]</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Shareholder of Communications Sales &amp; Leasing, Inc.:</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It is our pleasure to welcome you as a shareholder of our company, Communications Sales &amp; Leasing, Inc. (“CS&amp;L”). Following the distribution of no less than 80.1 percent of the outstanding shares of CS&amp;L common stock by Windstream Holdings, Inc. to its shareholders, CS&amp;L will be an independent, publicly traded real estate investment trust that will own, acquire and lease distribution systems serving the communications infrastructure industry and potentially other industries. We will strive to be a significant provider of capital and financing to the communication industry.</w:t>
      </w:r>
    </w:p>
    <w:p>
      <w:pPr>
        <w:spacing w:after="0" w:line="17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Our initial properties will include, among other things, an extensive communications distribution system, comprised of approximately 66,000 route miles of fiber optic cable lines, 235,000 route miles of copper cable lines, and central office land and buildings across 37 states that are currently owned by Windstream. This distribution system will be leased to Windstream Holdings on a long-term, triple-net basis. We expect to diversify our tenant base in the future by acquiring additional properties and leasing them to other local, regional and national telecommunications providers. We also expect to grow and diversify our portfolio through the acquisition of properties in different geographic markets, and in different asset classes.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goal at CS&amp;L is to create value for our shareholders and we plan to accomplish this by growing our dividend distributions over time. CS&amp;L initially expects to pay an annual dividend of $2.40 per share.</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We invite you to learn more about CS&amp;L and its business by reviewing the enclosed information statement. We urge you to read the information statement carefully and in its entirety. We are excited by our future prospects, and look forward to your support as a holder of our common stock.</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CC062A"/>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CC062A"/>
        </w:rPr>
        <w:t>Preliminary and Subject to Completion, dated December 22, 2014</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STATEMENT</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38"/>
          <w:szCs w:val="38"/>
          <w:b w:val="1"/>
          <w:bCs w:val="1"/>
          <w:color w:val="auto"/>
        </w:rPr>
        <w:t>COMMUNICATIONS SALES &amp; LEASING, INC.</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Common Stock</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156210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0"/>
          <w:szCs w:val="20"/>
          <w:color w:val="auto"/>
        </w:rPr>
      </w:pPr>
    </w:p>
    <w:p>
      <w:pPr>
        <w:ind w:right="80" w:firstLine="342"/>
        <w:spacing w:after="0" w:line="271" w:lineRule="auto"/>
        <w:rPr>
          <w:sz w:val="20"/>
          <w:szCs w:val="20"/>
          <w:color w:val="auto"/>
        </w:rPr>
      </w:pPr>
      <w:r>
        <w:rPr>
          <w:rFonts w:ascii="Arial" w:cs="Arial" w:eastAsia="Arial" w:hAnsi="Arial"/>
          <w:sz w:val="16"/>
          <w:szCs w:val="16"/>
          <w:color w:val="auto"/>
        </w:rPr>
        <w:t xml:space="preserve">This information statement is being furnished in connection with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Inc. (“Windstream Holdings” and, together with its consolidated subsidiaries, “Windstream”) to its shareholders of no less than 80.1 percent of the outstanding shares of common stock of Communications Sales &amp; Leasing, Inc. (“CS&amp;L”). At the time of the distribution, certain of CS&amp;L’s subsidiaries will own approximately 66,000 route miles of fiber optic cable lines, 235,000 route miles of copper cable lines, central office land and buildings across 37 states and beneficial rights to permits, pole agreements and easements that are currently owned by Windstream (collectively, together with certain other rights, title and interests, the “Distribution Systems”).</w:t>
      </w:r>
    </w:p>
    <w:p>
      <w:pPr>
        <w:spacing w:after="0" w:line="82" w:lineRule="exact"/>
        <w:rPr>
          <w:sz w:val="20"/>
          <w:szCs w:val="20"/>
          <w:color w:val="auto"/>
        </w:rPr>
      </w:pPr>
    </w:p>
    <w:p>
      <w:pPr>
        <w:ind w:right="100" w:firstLine="342"/>
        <w:spacing w:after="0" w:line="270" w:lineRule="auto"/>
        <w:rPr>
          <w:sz w:val="20"/>
          <w:szCs w:val="20"/>
          <w:color w:val="auto"/>
        </w:rPr>
      </w:pPr>
      <w:r>
        <w:rPr>
          <w:rFonts w:ascii="Arial" w:cs="Arial" w:eastAsia="Arial" w:hAnsi="Arial"/>
          <w:sz w:val="16"/>
          <w:szCs w:val="16"/>
          <w:color w:val="auto"/>
        </w:rPr>
        <w:t xml:space="preserve">Prior to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to its shareholders of no less than 80.1 percent of the outstanding shares of CS&amp;L common stock, Windstream will effect a series of restructuring transactions, culminating with a distribution of no less than 80.1 percent of the outstanding shares of CS&amp;L common stock to Windstream Holdings by its wholly owned subsidiary (together with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to its shareholders of no less than 80.1 percent of the outstanding shares of CS&amp;L common stock,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82" w:lineRule="exact"/>
        <w:rPr>
          <w:sz w:val="20"/>
          <w:szCs w:val="20"/>
          <w:color w:val="auto"/>
        </w:rPr>
      </w:pPr>
    </w:p>
    <w:p>
      <w:pPr>
        <w:ind w:right="20" w:firstLine="342"/>
        <w:spacing w:after="0" w:line="293" w:lineRule="auto"/>
        <w:rPr>
          <w:sz w:val="20"/>
          <w:szCs w:val="20"/>
          <w:color w:val="auto"/>
        </w:rPr>
      </w:pPr>
      <w:r>
        <w:rPr>
          <w:rFonts w:ascii="Arial" w:cs="Arial" w:eastAsia="Arial" w:hAnsi="Arial"/>
          <w:sz w:val="16"/>
          <w:szCs w:val="16"/>
          <w:color w:val="auto"/>
        </w:rPr>
        <w:t>After the Spin-Off, certain of CS&amp;L’s subsidiaries will lease the Distribution Systems to Windstream Holdings on a long-term triple-net basis. The Spin-Off is intended to be tax-free to Windstream Holdings shareholders for U.S. federal income tax purposes, except for cash paid in lieu of fractional shares.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After giving effect to the interest retained in CS&amp;L by Windstream, you will receive one share of CS&amp;L common stock for every five shares of Windstream Holdings</w:t>
      </w:r>
    </w:p>
    <w:p>
      <w:pPr>
        <w:spacing w:after="0" w:line="34"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common stock held of record by you as of the close of business on , 2015 (the “record date”). You will receive cash in lieu of any fractional shares of CS&amp;L common stock which you would have otherwise received. The date on which the shares of CS&amp;L common stock will be distributed to you (the “distribution date”) is expected</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to be</w:t>
      </w:r>
      <w:r>
        <w:rPr>
          <w:sz w:val="20"/>
          <w:szCs w:val="20"/>
          <w:color w:val="auto"/>
        </w:rPr>
        <w:tab/>
      </w:r>
      <w:r>
        <w:rPr>
          <w:rFonts w:ascii="Arial" w:cs="Arial" w:eastAsia="Arial" w:hAnsi="Arial"/>
          <w:sz w:val="14"/>
          <w:szCs w:val="14"/>
          <w:color w:val="auto"/>
        </w:rPr>
        <w:t>, 2015. After the Spin-Off is completed, CS&amp;L will be an independent, publicly traded real estate investment trust.</w:t>
      </w:r>
    </w:p>
    <w:p>
      <w:pPr>
        <w:spacing w:after="0" w:line="119" w:lineRule="exact"/>
        <w:rPr>
          <w:sz w:val="20"/>
          <w:szCs w:val="20"/>
          <w:color w:val="auto"/>
        </w:rPr>
      </w:pPr>
    </w:p>
    <w:p>
      <w:pPr>
        <w:jc w:val="both"/>
        <w:ind w:right="220" w:firstLine="342"/>
        <w:spacing w:after="0" w:line="281" w:lineRule="auto"/>
        <w:rPr>
          <w:sz w:val="20"/>
          <w:szCs w:val="20"/>
          <w:color w:val="auto"/>
        </w:rPr>
      </w:pPr>
      <w:r>
        <w:rPr>
          <w:rFonts w:ascii="Arial" w:cs="Arial" w:eastAsia="Arial" w:hAnsi="Arial"/>
          <w:sz w:val="16"/>
          <w:szCs w:val="16"/>
          <w:b w:val="1"/>
          <w:bCs w:val="1"/>
          <w:color w:val="auto"/>
        </w:rPr>
        <w:t xml:space="preserve">No vote of Windstream Holdings’ shareholders is required in connection with the Spin-Off. </w:t>
      </w:r>
      <w:r>
        <w:rPr>
          <w:rFonts w:ascii="Arial" w:cs="Arial" w:eastAsia="Arial" w:hAnsi="Arial"/>
          <w:sz w:val="16"/>
          <w:szCs w:val="16"/>
          <w:color w:val="auto"/>
        </w:rPr>
        <w:t>Therefore, you are not being asked for a proxy, and you are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not to send us a proxy. You will not be required to make any payment, surrender or exchange your shares of Windstream Holdings common stock or take any other action to receive your shares of CS&amp;L common stock.</w:t>
      </w:r>
    </w:p>
    <w:p>
      <w:pPr>
        <w:spacing w:after="0" w:line="74" w:lineRule="exact"/>
        <w:rPr>
          <w:sz w:val="20"/>
          <w:szCs w:val="20"/>
          <w:color w:val="auto"/>
        </w:rPr>
      </w:pPr>
    </w:p>
    <w:p>
      <w:pPr>
        <w:ind w:firstLine="342"/>
        <w:spacing w:after="0" w:line="289" w:lineRule="auto"/>
        <w:rPr>
          <w:sz w:val="20"/>
          <w:szCs w:val="20"/>
          <w:color w:val="auto"/>
        </w:rPr>
      </w:pPr>
      <w:r>
        <w:rPr>
          <w:rFonts w:ascii="Arial" w:cs="Arial" w:eastAsia="Arial" w:hAnsi="Arial"/>
          <w:sz w:val="15"/>
          <w:szCs w:val="15"/>
          <w:color w:val="auto"/>
        </w:rPr>
        <w:t>There is no current trading market for CS&amp;L common stock.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CS&amp;L intends to apply to have its common stock authorized for listing on the NASDAQ Global Select Market (“NASDAQ”) under the symbol “CSAL.” As discussed under the caption “The Spin-Off—Listing and Trading of Our Shares,” if you sell your Windstream Holdings common stock in the “due-bills” market after the record date and before the distribution date, you also will be selling your right to receive shares of CS&amp;L common stock in connection with the Spin-Off. However, if you sell your Windstream Holdings common stock in the “ex-distribution” market before the distribution date, you will still receive shares of CS&amp;L common stock in the Spin-Off.</w:t>
      </w:r>
    </w:p>
    <w:p>
      <w:pPr>
        <w:spacing w:after="0" w:line="72" w:lineRule="exact"/>
        <w:rPr>
          <w:sz w:val="20"/>
          <w:szCs w:val="20"/>
          <w:color w:val="auto"/>
        </w:rPr>
      </w:pPr>
    </w:p>
    <w:p>
      <w:pPr>
        <w:ind w:right="40" w:firstLine="342"/>
        <w:spacing w:after="0" w:line="293" w:lineRule="auto"/>
        <w:rPr>
          <w:sz w:val="20"/>
          <w:szCs w:val="20"/>
          <w:color w:val="auto"/>
        </w:rPr>
      </w:pPr>
      <w:r>
        <w:rPr>
          <w:rFonts w:ascii="Arial" w:cs="Arial" w:eastAsia="Arial" w:hAnsi="Arial"/>
          <w:sz w:val="15"/>
          <w:szCs w:val="15"/>
          <w:color w:val="auto"/>
        </w:rPr>
        <w:t>CS&amp;L intends to elect to be taxed as a real estate investment trust (“REIT”) for U.S. federal income tax purposes commencing with its taxable year ending December 31, 2015. To assist CS&amp;L in qualifying as a REIT, among other purposes, CS&amp;L’s charter will contain certain restrictions relating to the ownership and transfer of its stock, including a provision generally restricting shareholders from owning more than 9.8% in value or in number, whichever is more restrictive, of the outstanding shares of CS&amp;L’s common stock or more than 9.8% in value of the aggregate of the outstanding shares of all classes and series of CS&amp;L stock, without the prior consent of CS&amp;L’s board of directors. See “Description of Our Capital Stock—Restrictions on Transfer and Ownership of CS&amp;L Stock.”</w:t>
      </w:r>
    </w:p>
    <w:p>
      <w:pPr>
        <w:spacing w:after="0" w:line="68" w:lineRule="exact"/>
        <w:rPr>
          <w:sz w:val="20"/>
          <w:szCs w:val="20"/>
          <w:color w:val="auto"/>
        </w:rPr>
      </w:pPr>
    </w:p>
    <w:p>
      <w:pPr>
        <w:ind w:right="20" w:firstLine="342"/>
        <w:spacing w:after="0" w:line="293" w:lineRule="auto"/>
        <w:rPr>
          <w:sz w:val="20"/>
          <w:szCs w:val="20"/>
          <w:color w:val="auto"/>
        </w:rPr>
      </w:pPr>
      <w:r>
        <w:rPr>
          <w:rFonts w:ascii="Arial" w:cs="Arial" w:eastAsia="Arial" w:hAnsi="Arial"/>
          <w:sz w:val="15"/>
          <w:szCs w:val="15"/>
          <w:color w:val="auto"/>
        </w:rPr>
        <w:t>CS&amp;L is an “emerging growth company,” as defined in the Jumpstart Our Business Startups Act of 2012 (the “JOBS Act”), and, as such, is allowed to provide in this information statement more limited disclosures than an issuer that would not so qualify. In addition, for so long as we remain an emerging growth company, we may also take advantage of certain limited exceptions from investor protection laws such as Sarbanes-Oxley Act of 2002, as amended (the “Sarbanes-Oxley Act”), and the Investor Protection and Securities Reform Act of 2010 for limited periods. However, we expect that we will cease to be an emerging growth company upon the issuance of debt prior to the consummation of the Spin-Off. See “Summary—Emerging Growth Company Status” and “Description of Financing and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57785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0"/>
          <w:szCs w:val="20"/>
          <w:color w:val="auto"/>
        </w:rPr>
      </w:pPr>
    </w:p>
    <w:p>
      <w:pPr>
        <w:ind w:right="280" w:firstLine="456"/>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In reviewing this information statement, you should carefully consider the matters described under the caption “</w:t>
      </w:r>
      <w:hyperlink w:anchor="page27">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18.</w:t>
      </w:r>
    </w:p>
    <w:p>
      <w:pPr>
        <w:spacing w:after="0" w:line="65" w:lineRule="exact"/>
        <w:rPr>
          <w:sz w:val="20"/>
          <w:szCs w:val="20"/>
          <w:color w:val="auto"/>
        </w:rPr>
      </w:pPr>
    </w:p>
    <w:p>
      <w:pPr>
        <w:ind w:right="120" w:firstLine="342"/>
        <w:spacing w:after="0" w:line="298"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This information statement does not constitute an offer to sell or the solicitation of an offer to buy any securities.</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6360" w:type="dxa"/>
            <w:vAlign w:val="bottom"/>
          </w:tcPr>
          <w:p>
            <w:pPr>
              <w:spacing w:after="0"/>
              <w:rPr>
                <w:sz w:val="20"/>
                <w:szCs w:val="20"/>
                <w:color w:val="auto"/>
              </w:rPr>
            </w:pPr>
            <w:r>
              <w:rPr>
                <w:rFonts w:ascii="Arial" w:cs="Arial" w:eastAsia="Arial" w:hAnsi="Arial"/>
                <w:sz w:val="16"/>
                <w:szCs w:val="16"/>
                <w:color w:val="auto"/>
                <w:w w:val="98"/>
              </w:rPr>
              <w:t>Windstream Holdings first mailed this information statement to its shareholders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343" w:lineRule="exact"/>
        <w:rPr>
          <w:sz w:val="20"/>
          <w:szCs w:val="20"/>
          <w:color w:val="auto"/>
        </w:rPr>
      </w:pPr>
    </w:p>
    <w:p>
      <w:pPr>
        <w:ind w:left="3660"/>
        <w:spacing w:after="0"/>
        <w:tabs>
          <w:tab w:leader="none" w:pos="7300" w:val="left"/>
        </w:tabs>
        <w:rPr>
          <w:sz w:val="20"/>
          <w:szCs w:val="20"/>
          <w:color w:val="auto"/>
        </w:rPr>
      </w:pPr>
      <w:r>
        <w:rPr>
          <w:rFonts w:ascii="Arial" w:cs="Arial" w:eastAsia="Arial" w:hAnsi="Arial"/>
          <w:sz w:val="16"/>
          <w:szCs w:val="16"/>
          <w:b w:val="1"/>
          <w:bCs w:val="1"/>
          <w:color w:val="auto"/>
        </w:rPr>
        <w:t>The date of this information statement is</w:t>
      </w:r>
      <w:r>
        <w:rPr>
          <w:sz w:val="20"/>
          <w:szCs w:val="20"/>
          <w:color w:val="auto"/>
        </w:rPr>
        <w:tab/>
      </w:r>
      <w:r>
        <w:rPr>
          <w:rFonts w:ascii="Arial" w:cs="Arial" w:eastAsia="Arial" w:hAnsi="Arial"/>
          <w:sz w:val="14"/>
          <w:szCs w:val="14"/>
          <w:b w:val="1"/>
          <w:bCs w:val="1"/>
          <w:color w:val="auto"/>
        </w:rPr>
        <w:t>, 2015.</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21"/>
            <w:vMerge w:val="restart"/>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2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4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SPIN-OFF</w:t>
              </w:r>
            </w:hyperlink>
          </w:p>
        </w:tc>
        <w:tc>
          <w:tcPr>
            <w:tcW w:w="4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FINANCING AND MATERIAL INDEBTEDNESS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CAPITALIZATION</w:t>
              </w:r>
            </w:hyperlink>
          </w:p>
        </w:tc>
        <w:tc>
          <w:tcPr>
            <w:tcW w:w="57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CS&amp;L’S UNAUDITED PRO FORMA COMBINED FINANCIAL DATA</w:t>
              </w:r>
            </w:hyperlink>
          </w:p>
        </w:tc>
        <w:tc>
          <w:tcPr>
            <w:tcW w:w="566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WINDSTREAM HOLDINGS’ UNAUDITED PRO FORMA COMBINED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SELECTED COMBINED HISTORICAL FINANCIAL DATA</w:t>
              </w:r>
            </w:hyperlink>
          </w:p>
        </w:tc>
        <w:tc>
          <w:tcPr>
            <w:tcW w:w="2400" w:type="dxa"/>
            <w:vAlign w:val="bottom"/>
            <w:tcBorders>
              <w:top w:val="single" w:sz="8" w:color="0000EE"/>
            </w:tcBorders>
            <w:gridSpan w:val="7"/>
          </w:tcPr>
          <w:p>
            <w:pPr>
              <w:spacing w:after="0"/>
              <w:rPr>
                <w:sz w:val="17"/>
                <w:szCs w:val="17"/>
                <w:color w:val="auto"/>
              </w:rPr>
            </w:pPr>
          </w:p>
        </w:tc>
        <w:tc>
          <w:tcPr>
            <w:tcW w:w="40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BUSINESS AND PROPERTIES</w:t>
              </w:r>
            </w:hyperlink>
          </w:p>
        </w:tc>
        <w:tc>
          <w:tcPr>
            <w:tcW w:w="20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MANAGEMENT</w:t>
              </w:r>
            </w:hyperlink>
          </w:p>
        </w:tc>
        <w:tc>
          <w:tcPr>
            <w:tcW w:w="86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SECURITY OWNERSHIP OF CERTAIN BENEFICIAL OWNERS AND MANAGEMENT</w:t>
              </w:r>
            </w:hyperlink>
          </w:p>
        </w:tc>
        <w:tc>
          <w:tcPr>
            <w:tcW w:w="42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PERSON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06">
              <w:r>
                <w:rPr>
                  <w:rFonts w:ascii="Arial" w:cs="Arial" w:eastAsia="Arial" w:hAnsi="Arial"/>
                  <w:sz w:val="18"/>
                  <w:szCs w:val="18"/>
                  <w:color w:val="0000EE"/>
                  <w:w w:val="96"/>
                </w:rPr>
                <w:t>OUR RELATIONSHIP WITH WINDSTREAM FOLLOWING THE SPIN-OFF</w:t>
              </w:r>
            </w:hyperlink>
          </w:p>
        </w:tc>
        <w:tc>
          <w:tcPr>
            <w:tcW w:w="51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DESCRIPTION OF OUR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U.S.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144">
              <w:r>
                <w:rPr>
                  <w:rFonts w:ascii="Arial" w:cs="Arial" w:eastAsia="Arial" w:hAnsi="Arial"/>
                  <w:sz w:val="18"/>
                  <w:szCs w:val="18"/>
                  <w:color w:val="0000EE"/>
                  <w:w w:val="99"/>
                </w:rPr>
                <w:t>WHERE YOU CAN FIND MORE INFORMATION</w:t>
              </w:r>
            </w:hyperlink>
          </w:p>
        </w:tc>
        <w:tc>
          <w:tcPr>
            <w:tcW w:w="70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INDEX TO FINANCIAL STATEMENTS</w:t>
              </w:r>
            </w:hyperlink>
          </w:p>
        </w:tc>
        <w:tc>
          <w:tcPr>
            <w:tcW w:w="71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The following is a summary of material information included in this information statement. This summary may not contain all of the details concerning the Spin-Off or other information that may be important to you. To better understand the Spin-Off and CS&amp;L’s business, you should carefully review this entire information statement.</w:t>
      </w:r>
    </w:p>
    <w:p>
      <w:pPr>
        <w:spacing w:after="0" w:line="181"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i w:val="1"/>
          <w:iCs w:val="1"/>
          <w:color w:val="auto"/>
        </w:rPr>
        <w:t>Unless the context otherwise requires, any references in this information statement to “we,” “our,” “us” and the “Company” refer to CS&amp;L and/or its consolidated subsidiaries. References in this information statement to “Windstream” generally refer to Windstream Holdings, Inc. and its consolidated subsidiaries (other than CS&amp;L and its consolidated subsidiaries after the Spin-Off), unless the context requires otherwise. Windstream Holdings, Inc. is a holding company with no direct operating assets, employees or revenues. All of its operations are conducted by its wholly owned subsidiary Windstream Corporation, which has its own management, employees and assets, and by Windstream Corporation’s direct and indirect wholly owned subsidiaries.</w:t>
      </w:r>
    </w:p>
    <w:p>
      <w:pPr>
        <w:spacing w:after="0" w:line="193"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Windstream Holdings intends to hold a special meeting of its shareholders on February 20, 2015 to seek shareholder approval of an amendment to the certificate of incorporation of Windstream Corporation to eliminate certain voting provisions contained therein in order to facilitate the Spin-Off without incurring a large tax liability. Subject to approval of such amendment by the shareholders of Windstream Holdings, Windstream Corporation will convert into a Delaware limited liability company. References to “Windstream Subsidiary” refer to Windstream Corporation or the Delaware limited liability company into which it will be converted, as applicable in the context.</w:t>
      </w:r>
    </w:p>
    <w:p>
      <w:pPr>
        <w:spacing w:after="0" w:line="188"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i w:val="1"/>
          <w:iCs w:val="1"/>
          <w:color w:val="auto"/>
        </w:rPr>
        <w:t>This information statement has been prepared on a prospective basis on the assumption that, among other things, the Spin-Off and the related transactions contemplated to occur prior to or contemporaneously with the Spin-Off will be consummated as contemplated by this information statement. There can be no assurance, however, that any or all of such transactions will occur or will occur as so contemplated.</w:t>
      </w:r>
    </w:p>
    <w:p>
      <w:pPr>
        <w:spacing w:after="0" w:line="166"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In particular, a number of matters contained in this information statement relate to agreements or arrangements that have not yet been finalized and expectations of what may occur. Prior to the Spin-Off, it is possible that these agreements, arrangements and expectations may change.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Following the Spin-Off, CS&amp;L will become, upon its election, a publicly traded, self-administered real estate investment trust (“REIT”) primarily engaged in the ownership, acquisition and leasing of communication distribution systems. CS&amp;L expects to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To our knowledge, CS&amp;L will be the first REIT focused on acquiring and building communication distribution systems, and expects to grow its portfolio by aggressively pursuing opportunities to acquire additional communications distribution systems to lease to communication service providers on a triple-net basis. CS&amp;L also anticipates diversifying its portfolio over time, including potentially acquiring other real property assets within or outside of the communications infrastructure industry to lease to third parties.</w:t>
      </w:r>
    </w:p>
    <w:p>
      <w:pPr>
        <w:spacing w:after="0" w:line="17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At the time of the Spin-Off, certain of CS&amp;L’s subsidiaries will own, among other things, the Distribution Systems. After the Spin-Off, the Distribution Systems will be leased to Windstream Holdings on a triple-net</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color w:val="auto"/>
        </w:rPr>
        <w:t>basis pursuant to a long-term exclusive lease agreement (the “Master Lease”) and CS&amp;L’s primary source of revenue will be rent payable under the Master Lease. See “Our Relationship with Windstream Following the Spin-Off—Master Lease.” Additionally, CS&amp;L will operate a small consumer competitive local exchange carrier (“CLEC”) business (the “Consumer CLEC Business”).</w:t>
      </w:r>
    </w:p>
    <w:p>
      <w:pPr>
        <w:spacing w:after="0" w:line="181"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Approximately 50 employees are expected to be employed by CS&amp;L following the Spin-Off. Many of these employees will be employed by Talk America Services, LLC, an indirect wholly owned subsidiary of CS&amp;L that will conduct the Consumer CLEC Business (“Talk America”), in connection with the operation of the Consumer CLEC Business.</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CS&amp;L intends to make an election on its U.S. federal income tax return for its taxable year ending on December 31, 2015 to be treated as a REIT. CS&amp;L and Talk America will jointly elect to treat Talk America as a “taxable REIT subsidiary” (“TRS”) effective on the first day of the first taxable year of CS&amp;L as a REIT.</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Spin-Off</w:t>
      </w:r>
    </w:p>
    <w:p>
      <w:pPr>
        <w:spacing w:after="0" w:line="121"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1060" w:right="520" w:hanging="431"/>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1060" w:right="180" w:hanging="431"/>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Windstream will accomplish the separation by contributing to CS&amp;L the Distribution Systems and the Consumer CLEC Business, and then distributing no less than 80.1 percent of the outstanding shares of CS&amp;L common stock to Windstream Holdings’ shareholders.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54" w:lineRule="exact"/>
        <w:rPr>
          <w:sz w:val="20"/>
          <w:szCs w:val="20"/>
          <w:color w:val="auto"/>
        </w:rPr>
      </w:pPr>
    </w:p>
    <w:p>
      <w:pPr>
        <w:jc w:val="both"/>
        <w:ind w:left="200" w:right="160" w:firstLine="443"/>
        <w:spacing w:after="0" w:line="264" w:lineRule="auto"/>
        <w:rPr>
          <w:sz w:val="20"/>
          <w:szCs w:val="20"/>
          <w:color w:val="auto"/>
        </w:rPr>
      </w:pPr>
      <w:r>
        <w:rPr>
          <w:rFonts w:ascii="Arial" w:cs="Arial" w:eastAsia="Arial" w:hAnsi="Arial"/>
          <w:sz w:val="18"/>
          <w:szCs w:val="18"/>
          <w:color w:val="auto"/>
        </w:rPr>
        <w:t>Immediately after the Spin-Off, we and Windstream Holdings will enter into the Master Lease, under which Windstream Holdings will lease the Distribution Systems on a triple-net basis. We will also enter into a number of other agreements with Windstream to govern the relationship between us and Windstream following the Spin-Off. See “Our Relationship with Windstream Following the Spin-Off.”</w:t>
      </w:r>
    </w:p>
    <w:p>
      <w:pPr>
        <w:spacing w:after="0" w:line="181" w:lineRule="exact"/>
        <w:rPr>
          <w:sz w:val="20"/>
          <w:szCs w:val="20"/>
          <w:color w:val="auto"/>
        </w:rPr>
      </w:pPr>
    </w:p>
    <w:p>
      <w:pPr>
        <w:jc w:val="both"/>
        <w:ind w:left="200" w:right="140" w:firstLine="443"/>
        <w:spacing w:after="0" w:line="291" w:lineRule="auto"/>
        <w:rPr>
          <w:sz w:val="20"/>
          <w:szCs w:val="20"/>
          <w:color w:val="auto"/>
        </w:rPr>
      </w:pPr>
      <w:r>
        <w:rPr>
          <w:rFonts w:ascii="Arial" w:cs="Arial" w:eastAsia="Arial" w:hAnsi="Arial"/>
          <w:sz w:val="16"/>
          <w:szCs w:val="16"/>
          <w:color w:val="auto"/>
        </w:rPr>
        <w:t>After giving effect to the interest in CS&amp;L retained by Windstream, Windstream will effect the Spin-Off by distributing to Windstream Holdings’ shareholders one share of CS&amp;L common stock for every five shares of Windstream Holdings common stock held at the close of business on</w:t>
      </w:r>
    </w:p>
    <w:p>
      <w:pPr>
        <w:ind w:left="200" w:firstLine="897"/>
        <w:spacing w:after="0" w:line="281" w:lineRule="auto"/>
        <w:tabs>
          <w:tab w:leader="none" w:pos="119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2015, the record date for the Spin-Off. Windstream Holdings’ shareholders will receive cash in lieu of any fractional shares of CS&amp;L common stock which they would have otherwise received. We expect the shares of CS&amp;L common stock to be distributed by Windstream Holdings on or</w:t>
      </w:r>
    </w:p>
    <w:p>
      <w:pPr>
        <w:spacing w:after="0" w:line="1"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about</w:t>
      </w:r>
      <w:r>
        <w:rPr>
          <w:rFonts w:ascii="Arial" w:cs="Arial" w:eastAsia="Arial" w:hAnsi="Arial"/>
          <w:sz w:val="16"/>
          <w:szCs w:val="16"/>
          <w:color w:val="auto"/>
        </w:rPr>
        <w:t>, 2015.</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9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Internal Revenue Code of 1986, as amended (the “Code”). As a result of its election to be taxed as a REIT for U.S. federal income tax purposes, in order to comply with certain REIT qualification requirements, CS&amp;L would be required to declare a dividend to its shareholders to distribute any accumulated earnings and profits attributable to any non-REIT years, including any earnings and profits allocated to CS&amp;L in connection with the Spin-Off (the “Purging Distribution”). CS&amp;L currently does not expect that any accumulated earnings and profits will be allocated to it in connection with the Spin-Off and, accordingly, does not expect that it will be required to make the Purging Distribution. In the event that a Purging Distribution is required, CS&amp;L expects that it would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182" w:lineRule="exact"/>
        <w:rPr>
          <w:sz w:val="20"/>
          <w:szCs w:val="20"/>
          <w:color w:val="auto"/>
        </w:rPr>
      </w:pPr>
    </w:p>
    <w:p>
      <w:pPr>
        <w:ind w:left="200" w:right="420" w:firstLine="443"/>
        <w:spacing w:after="0" w:line="264" w:lineRule="auto"/>
        <w:rPr>
          <w:sz w:val="20"/>
          <w:szCs w:val="20"/>
          <w:color w:val="auto"/>
        </w:rPr>
      </w:pPr>
      <w:r>
        <w:rPr>
          <w:rFonts w:ascii="Arial" w:cs="Arial" w:eastAsia="Arial" w:hAnsi="Arial"/>
          <w:sz w:val="18"/>
          <w:szCs w:val="18"/>
          <w:color w:val="auto"/>
        </w:rPr>
        <w:t>The Spin-Off is subject to the satisfaction or waiver of a number of conditions. See “The Spin-Off—Conditions to the Spin-Off.” In addition, Windstream Holdings’ board of directors has reserved the right, in its sole discretion, to amend, modify or abandon the Spin-Off or any related transaction at any time prior to the distribution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1060" w:right="12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1060" w:right="40" w:hanging="431"/>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29" w:lineRule="exact"/>
        <w:rPr>
          <w:rFonts w:ascii="Arial" w:cs="Arial" w:eastAsia="Arial" w:hAnsi="Arial"/>
          <w:sz w:val="16"/>
          <w:szCs w:val="16"/>
          <w:color w:val="auto"/>
        </w:rPr>
      </w:pPr>
    </w:p>
    <w:p>
      <w:pPr>
        <w:ind w:left="1060" w:hanging="4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1060" w:right="34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1060" w:right="78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Relationship with Windstream</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After the Spin-Off, CS&amp;L will be a separate and independent publicly traded, self-administered REIT. Windstream Holdings will be a separate and independent publicly traded company and, through its consolidated operating subsidiaries, will continue to provide advanced network communications and technology solutions to businesses and customers through its existing operations.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 Windstream will retain ownership of certain distribution systems in select states. Windstream will also continue to operate the distribution systems that it owns and those that it leases from parties other than CS&amp;L.</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Windstream has selected assets for inclusion in the Spin-Off which it believes provide CS&amp;L with sufficient scale and geographic diversity to meet the business purposes for the Spin-Off described above under “Reasons for the Spin-Off.”</w:t>
      </w:r>
    </w:p>
    <w:p>
      <w:pPr>
        <w:spacing w:after="0" w:line="170" w:lineRule="exact"/>
        <w:rPr>
          <w:sz w:val="20"/>
          <w:szCs w:val="20"/>
          <w:color w:val="auto"/>
        </w:rPr>
      </w:pPr>
    </w:p>
    <w:p>
      <w:pPr>
        <w:ind w:left="200" w:right="320" w:firstLine="443"/>
        <w:spacing w:after="0" w:line="288" w:lineRule="auto"/>
        <w:rPr>
          <w:sz w:val="20"/>
          <w:szCs w:val="20"/>
          <w:color w:val="auto"/>
        </w:rPr>
      </w:pPr>
      <w:r>
        <w:rPr>
          <w:rFonts w:ascii="Arial" w:cs="Arial" w:eastAsia="Arial" w:hAnsi="Arial"/>
          <w:sz w:val="16"/>
          <w:szCs w:val="16"/>
          <w:color w:val="auto"/>
        </w:rPr>
        <w:t>To govern their relationship after the Spin-Off, Windstream and the Company will enter into, among other arrangements: (1) a separation and distribution agreement setting forth the mechanics of the Spin-Off, certain organizational matters and other ongoing obligations of Windstream and CS&amp;L (the “Separation and Distribution Agreement”), (2) the Master Lease, (3) an agreement relating to tax matters (the “Tax Matters Agreement”),</w:t>
      </w:r>
    </w:p>
    <w:p>
      <w:pPr>
        <w:ind w:left="200" w:right="60" w:hanging="3"/>
        <w:spacing w:after="0" w:line="269" w:lineRule="auto"/>
        <w:tabs>
          <w:tab w:leader="none" w:pos="4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agreement pursuant to which Windstream will provide certain administrative and support services to CS&amp;L on a transitional basis (the “Transition Services Agreement”), (5) an agreement relating to employee matters (the “Employee Matters Agreement”), (6) a wholesale reseller agreement pursuant to which Windstream will provide services in support of the Consumer CLEC Business (the “Wholesale Reseller Agreement”), and (7) an agreement relating to intellectual property matters (the “Intellectual Property Matters Agreement”).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expect to put in place a capital structure that provides us with the flexibility to grow and a cost of debt capital that allows us to compete for investment opportunities. Our financing arrangements over time may include a revolving credit facility, bank debt, bonds and long-term mortgage financing. 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We expect that approximately $2.35 billion in principal amount of notes will be issued to Windstream Holdings’ wholly owned subsidiary, Windstream Subsidiary, as partial consideration for the contribution of the Distribution Systems and the Consumer CLEC Business assets to us by Windstream Subsidiary. We expect that Windstream Subsidiary will exchange these notes for outstanding debt of Windstream Subsidiary. The amount of CS&amp;L notes to be issued to Windstream Subsidiary was determined based on the desired capitalization of Windstream and CS&amp;L after the Spin-Off. It was not determined based on any appraisal or valuation of the properties to be owned by CS&amp;L after the Spin-Off. We expect that approximately $1.2 billion in cash from the proceeds of CS&amp;L’s long-term borrowings will be transferred to Windstream Subsidiary, together with CS&amp;L common stock and CS&amp;L debt securities, in connection with the contribution of the Distribution Systems and the Consumer CLEC Business assets to us by Windstream Subsidiary, and will be used to retire Windstream Subsidiary debt. The remaining proceeds of the debt issuance will be available to us for working capital purposes, to fund acquisitions and for general corporate purposes.</w:t>
      </w:r>
    </w:p>
    <w:p>
      <w:pPr>
        <w:spacing w:after="0" w:line="172" w:lineRule="exact"/>
        <w:rPr>
          <w:sz w:val="20"/>
          <w:szCs w:val="20"/>
          <w:color w:val="auto"/>
        </w:rPr>
      </w:pPr>
    </w:p>
    <w:p>
      <w:pPr>
        <w:ind w:left="200" w:right="100" w:firstLine="443"/>
        <w:spacing w:after="0" w:line="272" w:lineRule="auto"/>
        <w:rPr>
          <w:sz w:val="20"/>
          <w:szCs w:val="20"/>
          <w:color w:val="auto"/>
        </w:rPr>
      </w:pPr>
      <w:r>
        <w:rPr>
          <w:rFonts w:ascii="Arial" w:cs="Arial" w:eastAsia="Arial" w:hAnsi="Arial"/>
          <w:sz w:val="17"/>
          <w:szCs w:val="17"/>
          <w:color w:val="auto"/>
        </w:rPr>
        <w:t>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We have not yet entered into any commitments with respect to our financing arrangements, and, accordingly, the terms of such financing</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arrangements have not yet been determined, remain under discussion and are subject to change, including as a result of market conditions. For additional information concerning this indebtedness, see “Description of Financing and Material Indebtedness.”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Ownership and Transfer of Our Common Stock</w:t>
      </w:r>
    </w:p>
    <w:p>
      <w:pPr>
        <w:spacing w:after="0" w:line="121"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To assist us in complying with the limitations on the concentration of ownership of REIT stock imposed by the Code, among other purposes, our charter will provide for restrictions on ownership and transfer of our shares of stock, including, subject to certain exceptions, prohibitions on any person beneficially or constructively owning more than 9.8% in value or in number, whichever is more restrictive, of the outstanding shares of our common stock, or more than 9.8% in value of the aggregate of the outstanding shares of all classes and series of our stock. A person that did not acquire more than 9.8% of our outstanding stock may become subject to our charter restrictions if repurchases by us cause such person’s holdings to exceed 9.8% of our outstanding stock. Under certain circumstances, our board of directors may waive the ownership limits. Our charter will provide that shares of our capital stock acquired or held in excess of the ownership limit will be transferred to a trust for the benefit of a designated charitable beneficiary, and that any person who acquires shares of our capital stock in violation of the ownership limit will not be entitled to any dividends on the shares or be entitled to vote the shares or receive any proceeds from the subsequent sale of the shares in excess of the lesser of the price paid for the shares or the amount realized from the sale (net of any commissions and other expenses of sale). A transfer of shares of our capital stock in violation of the ownership limit will be void ab initio under certain circumstances. Our 9.8% ownership limitation may have the effect of delaying, deferring or preventing a change in control of us, including an extraordinary transaction (such as a merger, tender offer or sale of all or substantially all of our assets) that might provide a premium price for our shareholders. See “Description of Our Capital Stock—Restrictions on Transfer and Ownership of CS&amp;L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Tax Status</w:t>
      </w:r>
    </w:p>
    <w:p>
      <w:pPr>
        <w:spacing w:after="0" w:line="12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 In connection with the Spin-Off, we will receive an opinion of Skadden, Arps, Slate, Meagher &amp; Flom LLP, counsel to Windstream, to the effect that we have been organized in conformity with the requirements for qualification and taxation as a REIT under the Code, and that our proposed method of operation will enable us to meet the requirements for qualification and taxation as a REIT.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are an “emerging growth company” as defined in the JOBS Act. For as long as we remain an emerging growth company, we may take advantage of certain limited exemptions from various reporting requirements that are applicable to other public companies. These provisions include, but are not limited to:</w:t>
      </w:r>
    </w:p>
    <w:p>
      <w:pPr>
        <w:spacing w:after="0" w:line="87"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for up to five years;</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we expect that we will cease to be an emerging growth company upon the issuance of our notes prior to the consummation of the Spin-Off. Accordingly, we do not expect to take advantage of any of these exemptions other the reduced disclosure obligations regarding executive compensation in this information statement and in any other periodic reports, proxy statements and registration statements that pre-date the date on which we cease to be an emerging growth company. We cannot predict if investors will find our common stock less attractive due to the reduced disclosure regarding executive compensation in this information statement and in our other periodic reports, proxy statements and registration statements. If some investors find our common stock less attractive as a result, there may be a less active trading market for our common stock and our stock price may be more volatile and adversely affected.</w:t>
      </w:r>
    </w:p>
    <w:p>
      <w:pPr>
        <w:spacing w:after="0" w:line="189" w:lineRule="exact"/>
        <w:rPr>
          <w:sz w:val="20"/>
          <w:szCs w:val="20"/>
          <w:color w:val="auto"/>
        </w:rPr>
      </w:pPr>
    </w:p>
    <w:p>
      <w:pPr>
        <w:ind w:left="200" w:right="380" w:firstLine="443"/>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may take advantage of the extended transition period provided in Section 13(a) of the Exchange Act of 1934, as amended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88"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We will remain an emerging growth company until the earliest of (1) the last day of the first fiscal year in which our total annual gross revenues exceed $1 billion, (2) the date on which we are deemed to be a “large accelerated filer,” as defined in Rule 12b-2 under the Exchange Act or any successor statute, which would occur if the market value of our common stock that is held by non-affiliates exceeds $700 million as of the last business day of our most recently completed second fiscal quarter, (3) the date on which we have issued more than $1 billion in non-convertible debt during the preceding three-year period, and (4) the end of the fiscal year following the fifth anniversary of the date of the first sale of our common stock pursuant to an effective registration statement filed under the Securities Act of 1933, as amended (the “Securities Act”). Because we expect to issue more than $1 billion in debt prior to the consummation of the Spin-Off, we expect that we will cease to be an emerging growth company prior to the consummation of the Spin-Off.</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 and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Spin-Off and the related transactions pose a number of risks, including:</w:t>
      </w:r>
    </w:p>
    <w:p>
      <w:pPr>
        <w:spacing w:after="0" w:line="131" w:lineRule="exact"/>
        <w:rPr>
          <w:sz w:val="20"/>
          <w:szCs w:val="20"/>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achieve some or all of the benefits that we expect to achieve from the Spin-Off;</w:t>
      </w:r>
    </w:p>
    <w:p>
      <w:pPr>
        <w:spacing w:after="0" w:line="130" w:lineRule="exact"/>
        <w:rPr>
          <w:rFonts w:ascii="Arial" w:cs="Arial" w:eastAsia="Arial" w:hAnsi="Arial"/>
          <w:sz w:val="18"/>
          <w:szCs w:val="18"/>
          <w:color w:val="auto"/>
        </w:rPr>
      </w:pPr>
    </w:p>
    <w:p>
      <w:pPr>
        <w:ind w:left="1060" w:right="380" w:hanging="431"/>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agreements with Windstream may not reflect terms that would have resulted from negotiations with unaffiliated third parties;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historical and pro forma financial information included in this information statement may not be a reliable indicator of future results;</w:t>
      </w:r>
    </w:p>
    <w:p>
      <w:pPr>
        <w:spacing w:after="0" w:line="142"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Spin-Off could give rise to disputes or other unfavorable effects, which could materially and adversely affect our business, financial position or results of operation;</w:t>
      </w:r>
    </w:p>
    <w:p>
      <w:pPr>
        <w:spacing w:after="0" w:line="75" w:lineRule="exact"/>
        <w:rPr>
          <w:rFonts w:ascii="Arial" w:cs="Arial" w:eastAsia="Arial" w:hAnsi="Arial"/>
          <w:sz w:val="18"/>
          <w:szCs w:val="18"/>
          <w:color w:val="auto"/>
        </w:rPr>
      </w:pPr>
    </w:p>
    <w:p>
      <w:pPr>
        <w:ind w:left="1060" w:right="240" w:hanging="431"/>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29" w:lineRule="exact"/>
        <w:rPr>
          <w:rFonts w:ascii="Arial" w:cs="Arial" w:eastAsia="Arial" w:hAnsi="Arial"/>
          <w:sz w:val="16"/>
          <w:szCs w:val="16"/>
          <w:color w:val="auto"/>
        </w:rPr>
      </w:pPr>
    </w:p>
    <w:p>
      <w:pPr>
        <w:ind w:left="106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Complying with the REIT requirements may cause us to forego otherwise attractive acquisition opportunities or liquidate otherwise attractive investments;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47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247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w:t>
      </w:r>
    </w:p>
    <w:p>
      <w:pPr>
        <w:spacing w:after="0" w:line="86" w:lineRule="exact"/>
        <w:rPr>
          <w:rFonts w:ascii="Arial" w:cs="Arial" w:eastAsia="Arial" w:hAnsi="Arial"/>
          <w:sz w:val="18"/>
          <w:szCs w:val="18"/>
          <w:color w:val="auto"/>
        </w:rPr>
      </w:pPr>
    </w:p>
    <w:p>
      <w:pPr>
        <w:ind w:left="1060" w:right="12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could materially and adversely affect our financial position, including reducing funds available for other business purposes and reducing operational flexibility, and we may have future capital needs and may not be able to obtain additional financing on acceptable terms;</w:t>
      </w:r>
    </w:p>
    <w:p>
      <w:pPr>
        <w:spacing w:after="0" w:line="86" w:lineRule="exact"/>
        <w:rPr>
          <w:rFonts w:ascii="Arial" w:cs="Arial" w:eastAsia="Arial" w:hAnsi="Arial"/>
          <w:sz w:val="18"/>
          <w:szCs w:val="18"/>
          <w:color w:val="auto"/>
        </w:rPr>
      </w:pPr>
    </w:p>
    <w:p>
      <w:pPr>
        <w:ind w:left="1060" w:right="42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Covenants in our debt agreements may limit our operational flexibility, and a covenant breach or default could materially and adversely affect our business, financial position or results of operations; and</w:t>
      </w:r>
    </w:p>
    <w:p>
      <w:pPr>
        <w:spacing w:after="0" w:line="75"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government regulations and changes in current or future laws or regulations could restrict our ability to operate our business in the manner currently contemplated.</w:t>
      </w:r>
    </w:p>
    <w:p>
      <w:pPr>
        <w:spacing w:after="0" w:line="62"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These and other risks related to the Spin-Off and our business are discussed in greater detail under the heading “Risk Factors” in this information statement. You should read and consider all of these risks carefully.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20" w:firstLine="443"/>
        <w:spacing w:after="0" w:line="285" w:lineRule="auto"/>
        <w:rPr>
          <w:sz w:val="20"/>
          <w:szCs w:val="20"/>
          <w:color w:val="auto"/>
        </w:rPr>
      </w:pPr>
      <w:r>
        <w:rPr>
          <w:rFonts w:ascii="Arial" w:cs="Arial" w:eastAsia="Arial" w:hAnsi="Arial"/>
          <w:sz w:val="16"/>
          <w:szCs w:val="16"/>
          <w:color w:val="auto"/>
        </w:rPr>
        <w:t>We are a Maryland corporation and wholly owned subsidiary of Windstream. Prior to the Spin-Off, we will not have commenced any operations nor have any assets or liabilities. We will own substantially all of our properties, and conduct substantially all of our operations, other than the Consumer CLEC Business through our operating limited partnership, CSL National, LP (our “Operating Partnership”), the initial limited partner of which will be CSL Capital, LLC, a Delaware limited liability company wholly-owned by CS&amp;L (our “Holding Company”), and the general partner of which will be CSL National GP, LLC, a Delaware limited liability company wholly-owned by our Holding Company (our “GP LLC”). Our principal executive offices</w:t>
      </w:r>
    </w:p>
    <w:p>
      <w:pPr>
        <w:spacing w:after="0" w:line="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 xml:space="preserve">are located at and our telephone number is . We will maintain a website at </w:t>
      </w:r>
      <w:r>
        <w:rPr>
          <w:rFonts w:ascii="Arial" w:cs="Arial" w:eastAsia="Arial" w:hAnsi="Arial"/>
          <w:sz w:val="18"/>
          <w:szCs w:val="18"/>
          <w:i w:val="1"/>
          <w:iCs w:val="1"/>
          <w:color w:val="auto"/>
        </w:rPr>
        <w:t>www. .com</w:t>
      </w:r>
      <w:r>
        <w:rPr>
          <w:rFonts w:ascii="Arial" w:cs="Arial" w:eastAsia="Arial" w:hAnsi="Arial"/>
          <w:sz w:val="18"/>
          <w:szCs w:val="18"/>
          <w:color w:val="auto"/>
        </w:rPr>
        <w:t>. Information contained on or connected to our website or Windstream’s website does not and will not constitute part of this information statement or the registration statement on Form 10 of which this information statement is a part.</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CS&amp;L and the Separation</w:t>
      </w:r>
    </w:p>
    <w:p>
      <w:pPr>
        <w:sectPr>
          <w:pgSz w:w="11900" w:h="16838" w:orient="portrait"/>
          <w:cols w:equalWidth="0" w:num="1">
            <w:col w:w="11240"/>
          </w:cols>
          <w:pgMar w:left="240" w:top="459" w:right="419" w:bottom="1440" w:gutter="0" w:footer="0" w:header="0"/>
        </w:sectPr>
      </w:pPr>
    </w:p>
    <w:p>
      <w:pPr>
        <w:spacing w:after="0" w:line="256" w:lineRule="exact"/>
        <w:rPr>
          <w:sz w:val="20"/>
          <w:szCs w:val="20"/>
          <w:color w:val="auto"/>
        </w:rPr>
      </w:pPr>
    </w:p>
    <w:p>
      <w:pPr>
        <w:ind w:left="280" w:hanging="81"/>
        <w:spacing w:after="0" w:line="259" w:lineRule="auto"/>
        <w:rPr>
          <w:sz w:val="20"/>
          <w:szCs w:val="20"/>
          <w:color w:val="auto"/>
        </w:rPr>
      </w:pPr>
      <w:r>
        <w:rPr>
          <w:rFonts w:ascii="Arial" w:cs="Arial" w:eastAsia="Arial" w:hAnsi="Arial"/>
          <w:sz w:val="18"/>
          <w:szCs w:val="18"/>
          <w:b w:val="1"/>
          <w:bCs w:val="1"/>
          <w:i w:val="1"/>
          <w:iCs w:val="1"/>
          <w:color w:val="auto"/>
        </w:rPr>
        <w:t>What is CS&amp;L and how will the separation of Windstream’s Distribution Systems and the Consumer CLEC Business benefit the two companies and their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CS&amp;L is currently a newly-formed wholly owned subsidiary of Windstream Corporation, with no assets or liabilities. Prior to the Spin-Off, Windstream Subsidiary will transfer to us the assets currently held by Windstream comprising the Distribution Systems and Consumer CLEC Business in exchange for cash of approximately $1.2 billion, CS&amp;L common stock and CS&amp;L debt securities. Windstream Subsidiary intends to exchange CS&amp;L debt securities for outstanding Windstream Subsidiary debt. Windstream Subsidiary will distribute no less than 80.1 percent of the CS&amp;L common stock to Windstream Holdings and, immediately thereafter, Windstream Holdings will distribute no less than 80.1 percent of the CS&amp;L common stock to Windstream Holdings’ shareholders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separation of CS&amp;L from Windstream and the distribution of CS&amp;L common stock are intended to provide you with equity investments in two separate companies. Following the Spin-Off, Windstream will continue to provide advanced network communications and technology solutions to businesses and customers through its existing operations and CS&amp;L, through its subsidiaries, will own, acquire and lease distribution systems serving the communications infrastructure industry and potentially other industries, and will own and operate the Consumer</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509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098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reasons for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will CS&amp;L’s initial portfolio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CLEC Business.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Spin-Off also allows Windstream to retire approximately $3.4 billion in debt at the time of the Spin-Off and additional debt thereafter.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 is expected that the Spin-Off will:</w:t>
      </w:r>
    </w:p>
    <w:p>
      <w:pPr>
        <w:spacing w:after="0" w:line="144" w:lineRule="exact"/>
        <w:rPr>
          <w:sz w:val="20"/>
          <w:szCs w:val="20"/>
          <w:color w:val="auto"/>
        </w:rPr>
      </w:pPr>
    </w:p>
    <w:p>
      <w:pPr>
        <w:ind w:left="420" w:right="20" w:hanging="16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86" w:lineRule="exact"/>
        <w:rPr>
          <w:rFonts w:ascii="Arial" w:cs="Arial" w:eastAsia="Arial" w:hAnsi="Arial"/>
          <w:sz w:val="18"/>
          <w:szCs w:val="18"/>
          <w:color w:val="auto"/>
        </w:rPr>
      </w:pPr>
    </w:p>
    <w:p>
      <w:pPr>
        <w:ind w:left="420" w:hanging="162"/>
        <w:spacing w:after="0" w:line="25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92" w:lineRule="exact"/>
        <w:rPr>
          <w:rFonts w:ascii="Arial" w:cs="Arial" w:eastAsia="Arial" w:hAnsi="Arial"/>
          <w:sz w:val="18"/>
          <w:szCs w:val="18"/>
          <w:color w:val="auto"/>
        </w:rPr>
      </w:pPr>
    </w:p>
    <w:p>
      <w:pPr>
        <w:ind w:left="420" w:right="480" w:hanging="162"/>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opportunity to unlock shareholder value by creating two independent public companies with distinct investment characteristics;</w:t>
      </w:r>
    </w:p>
    <w:p>
      <w:pPr>
        <w:spacing w:after="0" w:line="75" w:lineRule="exact"/>
        <w:rPr>
          <w:rFonts w:ascii="Arial" w:cs="Arial" w:eastAsia="Arial" w:hAnsi="Arial"/>
          <w:sz w:val="18"/>
          <w:szCs w:val="18"/>
          <w:color w:val="auto"/>
        </w:rPr>
      </w:pPr>
    </w:p>
    <w:p>
      <w:pPr>
        <w:ind w:left="420" w:right="140" w:hanging="16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86" w:lineRule="exact"/>
        <w:rPr>
          <w:rFonts w:ascii="Arial" w:cs="Arial" w:eastAsia="Arial" w:hAnsi="Arial"/>
          <w:sz w:val="18"/>
          <w:szCs w:val="18"/>
          <w:color w:val="auto"/>
        </w:rPr>
      </w:pPr>
    </w:p>
    <w:p>
      <w:pPr>
        <w:ind w:left="420" w:hanging="162"/>
        <w:spacing w:after="0"/>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42" w:lineRule="exact"/>
        <w:rPr>
          <w:rFonts w:ascii="Arial" w:cs="Arial" w:eastAsia="Arial" w:hAnsi="Arial"/>
          <w:sz w:val="17"/>
          <w:szCs w:val="17"/>
          <w:color w:val="auto"/>
        </w:rPr>
      </w:pPr>
    </w:p>
    <w:p>
      <w:pPr>
        <w:ind w:left="420" w:right="340" w:hanging="162"/>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75" w:lineRule="exact"/>
        <w:rPr>
          <w:rFonts w:ascii="Arial" w:cs="Arial" w:eastAsia="Arial" w:hAnsi="Arial"/>
          <w:sz w:val="18"/>
          <w:szCs w:val="18"/>
          <w:color w:val="auto"/>
        </w:rPr>
      </w:pPr>
    </w:p>
    <w:p>
      <w:pPr>
        <w:ind w:left="420" w:right="300" w:hanging="162"/>
        <w:spacing w:after="0" w:line="286"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 See “The Spin-Off—Reasons for the Spin-Off.”</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the time of the Spin-Off, CS&amp;L will hold the assets currently held by Windstream comprising the Distribution Systems and the Consumer CLEC Business. At the time of the Spin-Off, CS&amp;L through its subsidiaries will own, among other things, approximately 66,000 route miles of fiber optic cable lines, 235,000 route miles of copper cable lines, central office land and buildings across 37 states and beneficial rights to permits, pole agreements and easements that are currently owned by Windstream.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27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Why is CS&amp;L referred to as a REIT, and what is a REIT?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Spin-Off, CS&amp;L intends to qualify and elect to be taxed as a REIT for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commencing with its taxable year ending December 31, 2015.</w:t>
      </w:r>
    </w:p>
    <w:p>
      <w:pPr>
        <w:spacing w:after="0" w:line="27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REIT is a company that derives most of its income from real property or real estate mortgages and has elected to be taxed as a REIT. If a corporation elects to be taxed and qualifies as a REIT, it will generally not be subject to U.S. federal corporate income taxes on income that it currently distributes to its shareholders. A company’s qualification as a REIT depends on its ability to meet, on a continuing basis, various complex requirements under the Code relating to, among other things, the sources of its gross income, the composition and values of its assets, its distribution levels to its shareholders and the concentration of ownership of its capital stock.</w:t>
      </w:r>
    </w:p>
    <w:p>
      <w:pPr>
        <w:spacing w:after="0" w:line="200" w:lineRule="exact"/>
        <w:rPr>
          <w:sz w:val="20"/>
          <w:szCs w:val="20"/>
          <w:color w:val="auto"/>
        </w:rPr>
      </w:pPr>
    </w:p>
    <w:p>
      <w:pPr>
        <w:sectPr>
          <w:pgSz w:w="11900" w:h="16838" w:orient="portrait"/>
          <w:cols w:equalWidth="0" w:num="2">
            <w:col w:w="3920" w:space="480"/>
            <w:col w:w="6840"/>
          </w:cols>
          <w:pgMar w:left="240" w:top="459" w:right="419" w:bottom="1440" w:gutter="0" w:footer="0" w:header="0"/>
          <w:type w:val="continuous"/>
        </w:sectPr>
      </w:pPr>
    </w:p>
    <w:p>
      <w:pPr>
        <w:spacing w:after="0" w:line="6"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b w:val="1"/>
          <w:bCs w:val="1"/>
          <w:i w:val="1"/>
          <w:iCs w:val="1"/>
          <w:color w:val="auto"/>
        </w:rPr>
        <w:t>Why is the separation of CS&amp;L structured as a distribution?</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the separation of CS&amp;L work?</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Windstream believes that a spin-off, or distribution, of CS&amp;L common stock to Windstream Holdings’ shareholders is an efficient way to separate the Distribution Systems and the Consumer CLEC Business from Windstream’s telecommunications business.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Windstream Holdings will distribute no less than 80.1 percent of the shares of CS&amp;L common stock to the holders of Windstream Holdings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Holders of Windstream Holdings common stock will receive cash in lieu of any fractional shares of CS&amp;L common stock which they would have otherwise received.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record date for the Spin-Off?</w:t>
      </w:r>
    </w:p>
    <w:p>
      <w:pPr>
        <w:spacing w:after="0" w:line="20" w:lineRule="exact"/>
        <w:rPr>
          <w:sz w:val="20"/>
          <w:szCs w:val="20"/>
          <w:color w:val="auto"/>
        </w:rPr>
      </w:pPr>
      <w:r>
        <w:rPr>
          <w:sz w:val="20"/>
          <w:szCs w:val="20"/>
          <w:color w:val="auto"/>
        </w:rPr>
        <w:br w:type="column"/>
      </w:r>
    </w:p>
    <w:p>
      <w:pPr>
        <w:ind w:right="100"/>
        <w:spacing w:after="0" w:line="274" w:lineRule="auto"/>
        <w:rPr>
          <w:sz w:val="20"/>
          <w:szCs w:val="20"/>
          <w:color w:val="auto"/>
        </w:rPr>
      </w:pPr>
      <w:r>
        <w:rPr>
          <w:rFonts w:ascii="Arial" w:cs="Arial" w:eastAsia="Arial" w:hAnsi="Arial"/>
          <w:sz w:val="17"/>
          <w:szCs w:val="17"/>
          <w:color w:val="auto"/>
        </w:rPr>
        <w:t>The record date for determining the holders of Windstream Holdings common stock who will receive shares of CS&amp;L common stock in the Spin-Off is the close of business on</w:t>
      </w:r>
    </w:p>
    <w:p>
      <w:pPr>
        <w:ind w:left="900"/>
        <w:spacing w:after="0"/>
        <w:rPr>
          <w:sz w:val="20"/>
          <w:szCs w:val="20"/>
          <w:color w:val="auto"/>
        </w:rPr>
      </w:pPr>
      <w:r>
        <w:rPr>
          <w:rFonts w:ascii="Arial" w:cs="Arial" w:eastAsia="Arial" w:hAnsi="Arial"/>
          <w:sz w:val="18"/>
          <w:szCs w:val="18"/>
          <w:color w:val="auto"/>
        </w:rPr>
        <w:t>, 2015.</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will the Spin-Off occur?</w:t>
      </w:r>
    </w:p>
    <w:p>
      <w:pPr>
        <w:spacing w:after="0" w:line="200" w:lineRule="exact"/>
        <w:rPr>
          <w:sz w:val="20"/>
          <w:szCs w:val="20"/>
          <w:color w:val="auto"/>
        </w:rPr>
      </w:pPr>
    </w:p>
    <w:p>
      <w:pPr>
        <w:spacing w:after="0" w:line="268"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Spin-Off?</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Spin-Off is expected to occur on or about , 2015, subject to certain conditions described under “The Spin-Off—Conditions to the Spin-Off.”</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 action is required on the part of shareholders. Shareholders who hold Windstream Holdings common stock as of the record date will not be required to take any action in order to receive shares of CS&amp;L common stock in the Spin-Off. </w:t>
      </w:r>
      <w:r>
        <w:rPr>
          <w:rFonts w:ascii="Arial" w:cs="Arial" w:eastAsia="Arial" w:hAnsi="Arial"/>
          <w:sz w:val="18"/>
          <w:szCs w:val="18"/>
          <w:b w:val="1"/>
          <w:bCs w:val="1"/>
          <w:color w:val="auto"/>
        </w:rPr>
        <w:t>No shareholder approval of the Spin-Off is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or sought. We are not asking you for a proxy, and you are requested not to send us a proxy.</w:t>
      </w:r>
    </w:p>
    <w:p>
      <w:pPr>
        <w:spacing w:after="0" w:line="200" w:lineRule="exact"/>
        <w:rPr>
          <w:sz w:val="20"/>
          <w:szCs w:val="20"/>
          <w:color w:val="auto"/>
        </w:rPr>
      </w:pPr>
    </w:p>
    <w:p>
      <w:pPr>
        <w:sectPr>
          <w:pgSz w:w="11900" w:h="16838" w:orient="portrait"/>
          <w:cols w:equalWidth="0" w:num="2">
            <w:col w:w="4120" w:space="280"/>
            <w:col w:w="6840"/>
          </w:cols>
          <w:pgMar w:left="240" w:top="459" w:right="419" w:bottom="1440" w:gutter="0" w:footer="0" w:header="0"/>
          <w:type w:val="continuous"/>
        </w:sectPr>
      </w:pPr>
    </w:p>
    <w:p>
      <w:pPr>
        <w:spacing w:after="0" w:line="15" w:lineRule="exact"/>
        <w:rPr>
          <w:sz w:val="20"/>
          <w:szCs w:val="20"/>
          <w:color w:val="auto"/>
        </w:rPr>
      </w:pPr>
    </w:p>
    <w:p>
      <w:pPr>
        <w:jc w:val="both"/>
        <w:ind w:left="280" w:hanging="81"/>
        <w:spacing w:after="0" w:line="340" w:lineRule="auto"/>
        <w:rPr>
          <w:sz w:val="20"/>
          <w:szCs w:val="20"/>
          <w:color w:val="auto"/>
        </w:rPr>
      </w:pPr>
      <w:r>
        <w:rPr>
          <w:rFonts w:ascii="Arial" w:cs="Arial" w:eastAsia="Arial" w:hAnsi="Arial"/>
          <w:sz w:val="15"/>
          <w:szCs w:val="15"/>
          <w:b w:val="1"/>
          <w:bCs w:val="1"/>
          <w:i w:val="1"/>
          <w:iCs w:val="1"/>
          <w:color w:val="auto"/>
        </w:rPr>
        <w:t>If I sell my shares of Windstream Holdings common stock prior to the Spin-Off, will I still be entitled to receive shares of CS&amp;L in the Spin-Off?</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If you hold shares of Windstream Holdings common stock as of the record date and decide to sell the shares prior to the distribution date, you may choose to sell such shares with or without your entitlement to receive shares of CS&amp;L common stock. If you sell your Windstream Holdings common stock in the “due-bills” market prior to the distribution date, you also will be selling your right to receive shares of CS&amp;L common stock in connection with the Spin-Off. However, if you sell your Windstream Holdings common stock in the “ex-distribution” market prior to the distribution date, you will still receive shares of CS&amp;L common stock in the Spin-Off.</w:t>
      </w:r>
    </w:p>
    <w:p>
      <w:pPr>
        <w:spacing w:after="0" w:line="200" w:lineRule="exact"/>
        <w:rPr>
          <w:sz w:val="20"/>
          <w:szCs w:val="20"/>
          <w:color w:val="auto"/>
        </w:rPr>
      </w:pPr>
    </w:p>
    <w:p>
      <w:pPr>
        <w:sectPr>
          <w:pgSz w:w="11900" w:h="16838" w:orient="portrait"/>
          <w:cols w:equalWidth="0" w:num="2">
            <w:col w:w="4080" w:space="320"/>
            <w:col w:w="6840"/>
          </w:cols>
          <w:pgMar w:left="240" w:top="459" w:right="419" w:bottom="1440" w:gutter="0" w:footer="0" w:header="0"/>
          <w:type w:val="continuous"/>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459" w:right="4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255" w:lineRule="auto"/>
        <w:rPr>
          <w:sz w:val="20"/>
          <w:szCs w:val="20"/>
          <w:color w:val="auto"/>
        </w:rPr>
      </w:pPr>
      <w:r>
        <w:rPr>
          <w:rFonts w:ascii="Arial" w:cs="Arial" w:eastAsia="Arial" w:hAnsi="Arial"/>
          <w:sz w:val="18"/>
          <w:szCs w:val="18"/>
          <w:color w:val="auto"/>
        </w:rPr>
        <w:t>If you sell your Windstream Holdings common stock prior to the distribution date, you should make sure your bank or broker understands whether you want to sell your Windstream Holdings common stock or the CS&amp;L common stock you will receive in the Spin-Off or both. You should consult your financial advisors, such as your bank, broker or tax advisor, to discuss your options and alternatives. See “The Spin-Off—Listing and Trading of Our Shares” for additional details.</w:t>
      </w:r>
    </w:p>
    <w:p>
      <w:pPr>
        <w:spacing w:after="0" w:line="220" w:lineRule="exact"/>
        <w:rPr>
          <w:sz w:val="20"/>
          <w:szCs w:val="20"/>
          <w:color w:val="auto"/>
        </w:rPr>
      </w:pPr>
    </w:p>
    <w:p>
      <w:pPr>
        <w:jc w:val="both"/>
        <w:ind w:left="4400" w:right="240" w:hanging="4197"/>
        <w:spacing w:after="0" w:line="312" w:lineRule="auto"/>
        <w:tabs>
          <w:tab w:leader="none" w:pos="4380" w:val="left"/>
        </w:tabs>
        <w:rPr>
          <w:sz w:val="20"/>
          <w:szCs w:val="20"/>
          <w:color w:val="auto"/>
        </w:rPr>
      </w:pPr>
      <w:r>
        <w:rPr>
          <w:rFonts w:ascii="Arial" w:cs="Arial" w:eastAsia="Arial" w:hAnsi="Arial"/>
          <w:sz w:val="18"/>
          <w:szCs w:val="18"/>
          <w:b w:val="1"/>
          <w:bCs w:val="1"/>
          <w:i w:val="1"/>
          <w:iCs w:val="1"/>
          <w:color w:val="auto"/>
        </w:rPr>
        <w:t>How will fractional shares be treated in the Spin-Off?</w:t>
      </w:r>
      <w:r>
        <w:rPr>
          <w:sz w:val="20"/>
          <w:szCs w:val="20"/>
          <w:color w:val="auto"/>
        </w:rPr>
        <w:tab/>
      </w:r>
      <w:r>
        <w:rPr>
          <w:rFonts w:ascii="Arial" w:cs="Arial" w:eastAsia="Arial" w:hAnsi="Arial"/>
          <w:sz w:val="16"/>
          <w:szCs w:val="16"/>
          <w:color w:val="auto"/>
        </w:rPr>
        <w:t>No fractional shares will be distributed in connection with the Spin-Off. Instead, holders of Windstream Holdings common stock will receive a cash payment equal to the value of such shares in lieu of fractional shares. See “The Spin-Off—Treatment of Fractional Shares.”</w:t>
      </w:r>
    </w:p>
    <w:p>
      <w:pPr>
        <w:sectPr>
          <w:pgSz w:w="11900" w:h="16838" w:orient="portrait"/>
          <w:cols w:equalWidth="0" w:num="1">
            <w:col w:w="11240"/>
          </w:cols>
          <w:pgMar w:left="240" w:top="459" w:right="419" w:bottom="1440" w:gutter="0" w:footer="0" w:header="0"/>
        </w:sectPr>
      </w:pPr>
    </w:p>
    <w:p>
      <w:pPr>
        <w:spacing w:after="0" w:line="174"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right="20" w:hanging="81"/>
        <w:spacing w:after="0" w:line="308" w:lineRule="auto"/>
        <w:rPr>
          <w:sz w:val="20"/>
          <w:szCs w:val="20"/>
          <w:color w:val="auto"/>
        </w:rPr>
      </w:pPr>
      <w:r>
        <w:rPr>
          <w:rFonts w:ascii="Arial" w:cs="Arial" w:eastAsia="Arial" w:hAnsi="Arial"/>
          <w:sz w:val="17"/>
          <w:szCs w:val="17"/>
          <w:b w:val="1"/>
          <w:bCs w:val="1"/>
          <w:i w:val="1"/>
          <w:iCs w:val="1"/>
          <w:color w:val="auto"/>
        </w:rPr>
        <w:t>Can Windstream decide to cancel the Spin-Off even if all the conditions have been satisfied?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Windstream has received a private letter ruling from the Internal Revenue Service (the “IRS”) to the effect that, on the basis of certain facts presented and representations and assumptions set forth in the request submitted to the IRS, the Spin-Off will qualify as tax-free under Sections 368(a)(1)(D) and 355 of the Code (the “IRS Ruling”). The IRS Ruling does not address certain requirements for tax-free treatment of the Spin-Off, and Windstream expects to receive opinions from Skadden, Arps, Slate, Meagher &amp; Flom LLP (collectively, the “Tax Opinion”) with respect to such requirements.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tax consequences to you of the Spin-Off depend on your individual situation. You are urged to consult with your tax advisor as to the particular tax consequences of the Spin-Off to you, including the applicability of any U.S. federal, state, local and non-U.S. tax laws. For additional details, see “The Spin-Off—U.S. Federal Income Tax Consequences of the Spin-Off” and “U.S. Federal Income Tax Considerations.”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Yes. 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w:t>
      </w:r>
    </w:p>
    <w:p>
      <w:pPr>
        <w:spacing w:after="0" w:line="200" w:lineRule="exact"/>
        <w:rPr>
          <w:sz w:val="20"/>
          <w:szCs w:val="20"/>
          <w:color w:val="auto"/>
        </w:rPr>
      </w:pPr>
    </w:p>
    <w:p>
      <w:pPr>
        <w:sectPr>
          <w:pgSz w:w="11900" w:h="16838" w:orient="portrait"/>
          <w:cols w:equalWidth="0" w:num="2">
            <w:col w:w="4200" w:space="200"/>
            <w:col w:w="6840"/>
          </w:cols>
          <w:pgMar w:left="240" w:top="459" w:right="41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are the conditions to the Spin-Off?</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The Spin-Off is subject to the satisfaction or waiver of a number of conditions, including, among others:</w:t>
      </w:r>
    </w:p>
    <w:p>
      <w:pPr>
        <w:spacing w:after="0" w:line="76" w:lineRule="exact"/>
        <w:rPr>
          <w:sz w:val="20"/>
          <w:szCs w:val="20"/>
          <w:color w:val="auto"/>
        </w:rPr>
      </w:pPr>
    </w:p>
    <w:p>
      <w:pPr>
        <w:ind w:left="420" w:right="180" w:hanging="162"/>
        <w:spacing w:after="0" w:line="276"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shall have been duly executed and delivered by the parties thereto;</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95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20" w:right="280" w:hanging="162"/>
        <w:spacing w:after="0" w:line="264" w:lineRule="auto"/>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86" w:lineRule="exact"/>
        <w:rPr>
          <w:rFonts w:ascii="Arial" w:cs="Arial" w:eastAsia="Arial" w:hAnsi="Arial"/>
          <w:sz w:val="18"/>
          <w:szCs w:val="18"/>
          <w:color w:val="auto"/>
        </w:rPr>
      </w:pPr>
    </w:p>
    <w:p>
      <w:pPr>
        <w:ind w:left="4820" w:right="420" w:hanging="162"/>
        <w:spacing w:after="0" w:line="264" w:lineRule="auto"/>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86" w:lineRule="exact"/>
        <w:rPr>
          <w:rFonts w:ascii="Arial" w:cs="Arial" w:eastAsia="Arial" w:hAnsi="Arial"/>
          <w:sz w:val="18"/>
          <w:szCs w:val="18"/>
          <w:color w:val="auto"/>
        </w:rPr>
      </w:pPr>
    </w:p>
    <w:p>
      <w:pPr>
        <w:ind w:left="4820" w:right="320" w:hanging="162"/>
        <w:spacing w:after="0" w:line="264" w:lineRule="auto"/>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86" w:lineRule="exact"/>
        <w:rPr>
          <w:rFonts w:ascii="Arial" w:cs="Arial" w:eastAsia="Arial" w:hAnsi="Arial"/>
          <w:sz w:val="18"/>
          <w:szCs w:val="18"/>
          <w:color w:val="auto"/>
        </w:rPr>
      </w:pPr>
    </w:p>
    <w:p>
      <w:pPr>
        <w:ind w:left="4820" w:right="20" w:hanging="162"/>
        <w:spacing w:after="0" w:line="297"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63" w:lineRule="exact"/>
        <w:rPr>
          <w:rFonts w:ascii="Arial" w:cs="Arial" w:eastAsia="Arial" w:hAnsi="Arial"/>
          <w:sz w:val="16"/>
          <w:szCs w:val="16"/>
          <w:color w:val="auto"/>
        </w:rPr>
      </w:pPr>
    </w:p>
    <w:p>
      <w:pPr>
        <w:ind w:left="4820" w:right="120" w:hanging="162"/>
        <w:spacing w:after="0" w:line="286" w:lineRule="auto"/>
        <w:tabs>
          <w:tab w:leader="none" w:pos="4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0" w:lineRule="exact"/>
        <w:rPr>
          <w:rFonts w:ascii="Arial" w:cs="Arial" w:eastAsia="Arial" w:hAnsi="Arial"/>
          <w:sz w:val="17"/>
          <w:szCs w:val="17"/>
          <w:color w:val="auto"/>
        </w:rPr>
      </w:pPr>
    </w:p>
    <w:p>
      <w:pPr>
        <w:ind w:left="4820" w:right="260" w:hanging="162"/>
        <w:spacing w:after="0" w:line="308" w:lineRule="auto"/>
        <w:tabs>
          <w:tab w:leader="none" w:pos="4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CS&amp;L common stock to be delivered in the Spin-Off shall have been accepted for listing on NASDAQ, subject to compliance with applicable listing requirements;</w:t>
      </w:r>
    </w:p>
    <w:p>
      <w:pPr>
        <w:spacing w:after="0" w:line="51" w:lineRule="exact"/>
        <w:rPr>
          <w:rFonts w:ascii="Arial" w:cs="Arial" w:eastAsia="Arial" w:hAnsi="Arial"/>
          <w:sz w:val="17"/>
          <w:szCs w:val="17"/>
          <w:color w:val="auto"/>
        </w:rPr>
      </w:pPr>
    </w:p>
    <w:p>
      <w:pPr>
        <w:ind w:left="4820" w:hanging="162"/>
        <w:spacing w:after="0" w:line="264" w:lineRule="auto"/>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86" w:lineRule="exact"/>
        <w:rPr>
          <w:rFonts w:ascii="Arial" w:cs="Arial" w:eastAsia="Arial" w:hAnsi="Arial"/>
          <w:sz w:val="18"/>
          <w:szCs w:val="18"/>
          <w:color w:val="auto"/>
        </w:rPr>
      </w:pPr>
    </w:p>
    <w:p>
      <w:pPr>
        <w:ind w:left="4820" w:right="180" w:hanging="162"/>
        <w:spacing w:after="0" w:line="277" w:lineRule="auto"/>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75" w:lineRule="exact"/>
        <w:rPr>
          <w:rFonts w:ascii="Arial" w:cs="Arial" w:eastAsia="Arial" w:hAnsi="Arial"/>
          <w:sz w:val="18"/>
          <w:szCs w:val="18"/>
          <w:color w:val="auto"/>
        </w:rPr>
      </w:pPr>
    </w:p>
    <w:p>
      <w:pPr>
        <w:ind w:left="4820" w:right="200" w:hanging="162"/>
        <w:spacing w:after="0" w:line="293"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70" w:lineRule="exact"/>
        <w:rPr>
          <w:rFonts w:ascii="Arial" w:cs="Arial" w:eastAsia="Arial" w:hAnsi="Arial"/>
          <w:sz w:val="16"/>
          <w:szCs w:val="16"/>
          <w:color w:val="auto"/>
        </w:rPr>
      </w:pPr>
    </w:p>
    <w:p>
      <w:pPr>
        <w:ind w:left="4820" w:hanging="162"/>
        <w:spacing w:after="0"/>
        <w:tabs>
          <w:tab w:leader="none" w:pos="4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CS&amp;L shall have transferred to Windstream Holdings or its continuing subsidiaries,</w:t>
      </w:r>
    </w:p>
    <w:p>
      <w:pPr>
        <w:spacing w:after="0" w:line="34" w:lineRule="exact"/>
        <w:rPr>
          <w:rFonts w:ascii="Arial" w:cs="Arial" w:eastAsia="Arial" w:hAnsi="Arial"/>
          <w:sz w:val="17"/>
          <w:szCs w:val="17"/>
          <w:color w:val="auto"/>
        </w:rPr>
      </w:pPr>
    </w:p>
    <w:p>
      <w:pPr>
        <w:ind w:left="5080" w:hanging="251"/>
        <w:spacing w:after="0"/>
        <w:tabs>
          <w:tab w:leader="none" w:pos="5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CS&amp;L debt securities with a principal amount approximately equal to $2.35 billion,</w:t>
      </w:r>
    </w:p>
    <w:p>
      <w:pPr>
        <w:spacing w:after="0" w:line="20" w:lineRule="exact"/>
        <w:rPr>
          <w:rFonts w:ascii="Arial" w:cs="Arial" w:eastAsia="Arial" w:hAnsi="Arial"/>
          <w:sz w:val="17"/>
          <w:szCs w:val="17"/>
          <w:color w:val="auto"/>
        </w:rPr>
      </w:pPr>
    </w:p>
    <w:p>
      <w:pPr>
        <w:ind w:left="4820" w:right="80" w:firstLine="9"/>
        <w:spacing w:after="0" w:line="261" w:lineRule="auto"/>
        <w:tabs>
          <w:tab w:leader="none" w:pos="50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amount in cash that will not exceed Windstream’s total adjusted tax basis in all of the assigned assets, and (z) all of the stock of CS&amp;L;</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5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Does CS&amp;L intend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happen to Windstream Holdings equity awards in connection with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420" w:right="60" w:hanging="162"/>
        <w:spacing w:after="0" w:line="30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59" w:lineRule="exact"/>
        <w:rPr>
          <w:rFonts w:ascii="Arial" w:cs="Arial" w:eastAsia="Arial" w:hAnsi="Arial"/>
          <w:sz w:val="16"/>
          <w:szCs w:val="16"/>
          <w:color w:val="auto"/>
        </w:rPr>
      </w:pPr>
    </w:p>
    <w:p>
      <w:pPr>
        <w:ind w:left="420" w:right="60" w:hanging="16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cannot assure you that all of the conditions will be satisfied or waived. See “The Spin-Off —Conditions to the Spin-Off” for additional details.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Following the Spin-Off, CS&amp;L intends to make regular quarterly dividend payments of at least 90% of its REIT taxable income to holders of its common stock out of assets legally available for this purpose. Dividends will be authorized by CS&amp;L’s board of directors and declared by CS&amp;L based on a number of factors including actual results of operations, dividend restrictions under Maryland law, its liquidity and financial condition, its taxable income, the annual distribution requirements under the REIT provisions of the Code, its operating expenses and other factors its directors deem relevant. It is expected that CS&amp;L’s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For more information, see “Dividend Policy.”</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Awards of restricted Windstream Holdings common stock, whether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continuing employees of Windstream or CS&amp;L 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Awards of restricted Windstream Holdings stock units, whether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employees of Windstream or CS&amp;L employees, will be credited with additional units of CS&amp;L common stock in the same amount as would have been credited as actual shares of CS&amp;L common stock had the Windstream Holdings stock units been actual outstanding shares of Windstream Holdings</w:t>
      </w:r>
    </w:p>
    <w:p>
      <w:pPr>
        <w:spacing w:after="0" w:line="200" w:lineRule="exact"/>
        <w:rPr>
          <w:sz w:val="20"/>
          <w:szCs w:val="20"/>
          <w:color w:val="auto"/>
        </w:rPr>
      </w:pPr>
    </w:p>
    <w:p>
      <w:pPr>
        <w:sectPr>
          <w:pgSz w:w="11900" w:h="16838" w:orient="portrait"/>
          <w:cols w:equalWidth="0" w:num="2">
            <w:col w:w="3860" w:space="540"/>
            <w:col w:w="6860"/>
          </w:cols>
          <w:pgMar w:left="240" w:top="459" w:right="399" w:bottom="1440" w:gutter="0" w:footer="0" w:header="0"/>
          <w:type w:val="continuous"/>
        </w:sectPr>
      </w:pP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290" w:lineRule="auto"/>
        <w:rPr>
          <w:sz w:val="20"/>
          <w:szCs w:val="20"/>
          <w:color w:val="auto"/>
        </w:rPr>
      </w:pPr>
      <w:r>
        <w:rPr>
          <w:rFonts w:ascii="Arial" w:cs="Arial" w:eastAsia="Arial" w:hAnsi="Arial"/>
          <w:sz w:val="16"/>
          <w:szCs w:val="16"/>
          <w:color w:val="auto"/>
        </w:rPr>
        <w:t xml:space="preserve">common stock entitled to participate in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6"/>
          <w:szCs w:val="16"/>
          <w:i w:val="1"/>
          <w:iCs w:val="1"/>
          <w:color w:val="auto"/>
        </w:rPr>
        <w:t>i.e.</w:t>
      </w:r>
      <w:r>
        <w:rPr>
          <w:rFonts w:ascii="Arial" w:cs="Arial" w:eastAsia="Arial" w:hAnsi="Arial"/>
          <w:sz w:val="16"/>
          <w:szCs w:val="16"/>
          <w:color w:val="auto"/>
        </w:rPr>
        <w:t>, OIBDA and total shareholder return (TSR)) vesting conditions, the performance metrics will be equitably adjusted to appropriately preserve the original performance hurdles.</w:t>
      </w:r>
    </w:p>
    <w:p>
      <w:pPr>
        <w:spacing w:after="0" w:line="207" w:lineRule="exact"/>
        <w:rPr>
          <w:sz w:val="20"/>
          <w:szCs w:val="20"/>
          <w:color w:val="auto"/>
        </w:rPr>
      </w:pPr>
    </w:p>
    <w:p>
      <w:pPr>
        <w:ind w:left="4400"/>
        <w:spacing w:after="0" w:line="293"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All options to purchase Windstream Holdings common stock (whether held by</w:t>
      </w:r>
      <w:r>
        <w:rPr>
          <w:rFonts w:ascii="Arial" w:cs="Arial" w:eastAsia="Arial" w:hAnsi="Arial"/>
          <w:sz w:val="16"/>
          <w:szCs w:val="16"/>
          <w:i w:val="1"/>
          <w:iCs w:val="1"/>
          <w:color w:val="auto"/>
        </w:rPr>
        <w:t xml:space="preserve"> </w:t>
      </w:r>
      <w:r>
        <w:rPr>
          <w:rFonts w:ascii="Arial" w:cs="Arial" w:eastAsia="Arial" w:hAnsi="Arial"/>
          <w:sz w:val="16"/>
          <w:szCs w:val="16"/>
          <w:color w:val="auto"/>
        </w:rPr>
        <w:t>a Windstream employee or a CS&amp;L employee) will 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6"/>
          <w:szCs w:val="16"/>
          <w:i w:val="1"/>
          <w:iCs w:val="1"/>
          <w:color w:val="auto"/>
        </w:rPr>
        <w:t>i.e.</w:t>
      </w:r>
      <w:r>
        <w:rPr>
          <w:rFonts w:ascii="Arial" w:cs="Arial" w:eastAsia="Arial" w:hAnsi="Arial"/>
          <w:sz w:val="16"/>
          <w:szCs w:val="16"/>
          <w:color w:val="auto"/>
        </w:rPr>
        <w:t>, the excess of the value of the underlying shares over the aggregate exercise price) will be the same as their intrinsic value immediately before the Spin-Off.</w:t>
      </w:r>
    </w:p>
    <w:p>
      <w:pPr>
        <w:spacing w:after="0" w:line="192"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be the relationship between Windstream and</w:t>
      </w:r>
      <w:r>
        <w:rPr>
          <w:sz w:val="20"/>
          <w:szCs w:val="20"/>
          <w:color w:val="auto"/>
        </w:rPr>
        <w:tab/>
      </w:r>
      <w:r>
        <w:rPr>
          <w:rFonts w:ascii="Arial" w:cs="Arial" w:eastAsia="Arial" w:hAnsi="Arial"/>
          <w:sz w:val="16"/>
          <w:szCs w:val="16"/>
          <w:color w:val="auto"/>
        </w:rPr>
        <w:t>Windstream will retain a passive ownership interest in up to 19.9 percent of the shares of</w:t>
      </w:r>
    </w:p>
    <w:p>
      <w:pPr>
        <w:spacing w:after="0" w:line="23" w:lineRule="exact"/>
        <w:rPr>
          <w:sz w:val="20"/>
          <w:szCs w:val="20"/>
          <w:color w:val="auto"/>
        </w:rPr>
      </w:pPr>
    </w:p>
    <w:p>
      <w:pPr>
        <w:ind w:left="4400" w:right="20" w:hanging="4115"/>
        <w:spacing w:after="0" w:line="286" w:lineRule="auto"/>
        <w:tabs>
          <w:tab w:leader="none" w:pos="4380" w:val="left"/>
        </w:tabs>
        <w:rPr>
          <w:sz w:val="20"/>
          <w:szCs w:val="20"/>
          <w:color w:val="auto"/>
        </w:rPr>
      </w:pPr>
      <w:r>
        <w:rPr>
          <w:rFonts w:ascii="Arial" w:cs="Arial" w:eastAsia="Arial" w:hAnsi="Arial"/>
          <w:sz w:val="18"/>
          <w:szCs w:val="18"/>
          <w:b w:val="1"/>
          <w:bCs w:val="1"/>
          <w:i w:val="1"/>
          <w:iCs w:val="1"/>
          <w:color w:val="auto"/>
        </w:rPr>
        <w:t>CS&amp;L following the Spin-Off?</w:t>
      </w:r>
      <w:r>
        <w:rPr>
          <w:sz w:val="20"/>
          <w:szCs w:val="20"/>
          <w:color w:val="auto"/>
        </w:rPr>
        <w:tab/>
      </w:r>
      <w:r>
        <w:rPr>
          <w:rFonts w:ascii="Arial" w:cs="Arial" w:eastAsia="Arial" w:hAnsi="Arial"/>
          <w:sz w:val="16"/>
          <w:szCs w:val="16"/>
          <w:color w:val="auto"/>
        </w:rPr>
        <w:t>CS&amp;L common stock following the Spin-Off. We and Windstream will enter into the Separation and Distribution Agreement, the Master Lease, the Tax Matters Agreement, the Transition Services Agreement, the Employee Matters Agreement, the Wholesale Reseller Agreement and the Intellectual Property Matters Agreement, among others. Such agreements will govern our relationship with Windstream after the Spin-Off, including certain transition services, allocations of assets and liabilities and obligations attributable to periods prior to the Spin-Off, and indemnification arrangements for certain liabilities.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pacing w:after="0" w:line="194"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does Windstream intend to do with the shares of</w:t>
      </w:r>
      <w:r>
        <w:rPr>
          <w:sz w:val="20"/>
          <w:szCs w:val="20"/>
          <w:color w:val="auto"/>
        </w:rPr>
        <w:tab/>
      </w:r>
      <w:r>
        <w:rPr>
          <w:rFonts w:ascii="Arial" w:cs="Arial" w:eastAsia="Arial" w:hAnsi="Arial"/>
          <w:sz w:val="16"/>
          <w:szCs w:val="16"/>
          <w:color w:val="auto"/>
        </w:rPr>
        <w:t>Windstream intends to use all of its shares of CS&amp;L common stock opportunistically during a</w:t>
      </w:r>
    </w:p>
    <w:p>
      <w:pPr>
        <w:spacing w:after="0" w:line="23"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8"/>
          <w:szCs w:val="18"/>
          <w:b w:val="1"/>
          <w:bCs w:val="1"/>
          <w:i w:val="1"/>
          <w:iCs w:val="1"/>
          <w:color w:val="auto"/>
        </w:rPr>
        <w:t>CS&amp;L common stock that it retains?</w:t>
      </w:r>
      <w:r>
        <w:rPr>
          <w:sz w:val="20"/>
          <w:szCs w:val="20"/>
          <w:color w:val="auto"/>
        </w:rPr>
        <w:tab/>
      </w:r>
      <w:r>
        <w:rPr>
          <w:rFonts w:ascii="Arial" w:cs="Arial" w:eastAsia="Arial" w:hAnsi="Arial"/>
          <w:sz w:val="16"/>
          <w:szCs w:val="16"/>
          <w:color w:val="auto"/>
        </w:rPr>
        <w:t>twelve month period following the Spin-Off, subject to market conditions, to retire debt.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How will Windstream vote the shares of CS&amp;L common </w:t>
      </w:r>
      <w:r>
        <w:rPr>
          <w:rFonts w:ascii="Arial" w:cs="Arial" w:eastAsia="Arial" w:hAnsi="Arial"/>
          <w:sz w:val="16"/>
          <w:szCs w:val="16"/>
          <w:color w:val="auto"/>
        </w:rPr>
        <w:t>Windstream will agree in the Stockholder’s and Registration Rights Agreement to vote the</w:t>
      </w:r>
    </w:p>
    <w:p>
      <w:pPr>
        <w:spacing w:after="0" w:line="46" w:lineRule="exact"/>
        <w:rPr>
          <w:sz w:val="20"/>
          <w:szCs w:val="20"/>
          <w:color w:val="auto"/>
        </w:rPr>
      </w:pPr>
    </w:p>
    <w:p>
      <w:pPr>
        <w:ind w:left="4400" w:right="80" w:hanging="4115"/>
        <w:spacing w:after="0" w:line="271" w:lineRule="auto"/>
        <w:tabs>
          <w:tab w:leader="none" w:pos="4380" w:val="left"/>
        </w:tabs>
        <w:rPr>
          <w:sz w:val="20"/>
          <w:szCs w:val="20"/>
          <w:color w:val="auto"/>
        </w:rPr>
      </w:pPr>
      <w:r>
        <w:rPr>
          <w:rFonts w:ascii="Arial" w:cs="Arial" w:eastAsia="Arial" w:hAnsi="Arial"/>
          <w:sz w:val="18"/>
          <w:szCs w:val="18"/>
          <w:b w:val="1"/>
          <w:bCs w:val="1"/>
          <w:i w:val="1"/>
          <w:iCs w:val="1"/>
          <w:color w:val="auto"/>
        </w:rPr>
        <w:t>stock that it retains?</w:t>
      </w:r>
      <w:r>
        <w:rPr>
          <w:sz w:val="20"/>
          <w:szCs w:val="20"/>
          <w:color w:val="auto"/>
        </w:rPr>
        <w:tab/>
      </w:r>
      <w:r>
        <w:rPr>
          <w:rFonts w:ascii="Arial" w:cs="Arial" w:eastAsia="Arial" w:hAnsi="Arial"/>
          <w:sz w:val="17"/>
          <w:szCs w:val="17"/>
          <w:color w:val="auto"/>
        </w:rPr>
        <w:t>shares of CS&amp;L common stock that it retains in proportion to the votes cast by CS&amp;L’s other shareholders, to grant CS&amp;L a proxy with respect to such shares, and not to seek a seat on the board of directors of CS&amp;L. Windstream will also agree in the Stockholder’s and Registration Rights Agreement not to acquire additional shares of CS&amp;L common stock. See “Our Relationship with Windstream Following the Spin-Off.”</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Will I receive physical certificates representing shares of</w:t>
      </w:r>
      <w:r>
        <w:rPr>
          <w:rFonts w:ascii="Arial" w:cs="Arial" w:eastAsia="Arial" w:hAnsi="Arial"/>
          <w:sz w:val="16"/>
          <w:szCs w:val="16"/>
          <w:color w:val="auto"/>
        </w:rPr>
        <w:t>No. Following the Spin-Off, neither Windstream Holdings nor CS&amp;L will be issuing physical</w:t>
      </w:r>
    </w:p>
    <w:p>
      <w:pPr>
        <w:spacing w:after="0" w:line="46"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8"/>
          <w:szCs w:val="18"/>
          <w:b w:val="1"/>
          <w:bCs w:val="1"/>
          <w:i w:val="1"/>
          <w:iCs w:val="1"/>
          <w:color w:val="auto"/>
        </w:rPr>
        <w:t>CS&amp;L common stock following the Spin-Off?</w:t>
      </w:r>
      <w:r>
        <w:rPr>
          <w:sz w:val="20"/>
          <w:szCs w:val="20"/>
          <w:color w:val="auto"/>
        </w:rPr>
        <w:tab/>
      </w:r>
      <w:r>
        <w:rPr>
          <w:rFonts w:ascii="Arial" w:cs="Arial" w:eastAsia="Arial" w:hAnsi="Arial"/>
          <w:sz w:val="16"/>
          <w:szCs w:val="16"/>
          <w:color w:val="auto"/>
        </w:rPr>
        <w:t>certificates representing shares of CS&amp;L common stock. Instead, Windstream Holdings, with</w:t>
      </w:r>
    </w:p>
    <w:p>
      <w:pPr>
        <w:spacing w:after="0" w:line="9" w:lineRule="exact"/>
        <w:rPr>
          <w:sz w:val="20"/>
          <w:szCs w:val="20"/>
          <w:color w:val="auto"/>
        </w:rPr>
      </w:pPr>
    </w:p>
    <w:p>
      <w:pPr>
        <w:ind w:left="4400" w:right="100"/>
        <w:spacing w:after="0" w:line="252" w:lineRule="auto"/>
        <w:rPr>
          <w:sz w:val="20"/>
          <w:szCs w:val="20"/>
          <w:color w:val="auto"/>
        </w:rPr>
      </w:pPr>
      <w:r>
        <w:rPr>
          <w:rFonts w:ascii="Arial" w:cs="Arial" w:eastAsia="Arial" w:hAnsi="Arial"/>
          <w:sz w:val="18"/>
          <w:szCs w:val="18"/>
          <w:color w:val="auto"/>
        </w:rPr>
        <w:t>the assistance of , the distribution agent, will electronically issue shares of CS&amp;L common stock to you or to your bank or brokerage firm on your behalf by way of direct registration in book-entry form. The distribution agent will mail you a book-entry account statement that reflects your shares of CS&amp;L common stock, or your bank or brokerage firm will credit your account for the shares. A benefit of issuing stock electronically in book-entry form is that there will be none of the physical handling and safekeeping responsibilities that are inherent in owning physical stock certificates. See “The Spin-Off—Manner of Effecting the Spin-Off.”</w:t>
      </w:r>
    </w:p>
    <w:p>
      <w:pPr>
        <w:sectPr>
          <w:pgSz w:w="11900" w:h="16838" w:orient="portrait"/>
          <w:cols w:equalWidth="0" w:num="1">
            <w:col w:w="11240"/>
          </w:cols>
          <w:pgMar w:left="240" w:top="459" w:right="419" w:bottom="1440" w:gutter="0" w:footer="0" w:header="0"/>
        </w:sectPr>
      </w:pPr>
    </w:p>
    <w:p>
      <w:pPr>
        <w:spacing w:after="0" w:line="219"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the price be for my shares of CS&amp;L common stock and when will I be able to trade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80" w:right="240" w:hanging="81"/>
        <w:spacing w:after="0" w:line="264" w:lineRule="auto"/>
        <w:rPr>
          <w:sz w:val="20"/>
          <w:szCs w:val="20"/>
          <w:color w:val="auto"/>
        </w:rPr>
      </w:pPr>
      <w:r>
        <w:rPr>
          <w:rFonts w:ascii="Arial" w:cs="Arial" w:eastAsia="Arial" w:hAnsi="Arial"/>
          <w:sz w:val="18"/>
          <w:szCs w:val="18"/>
          <w:b w:val="1"/>
          <w:bCs w:val="1"/>
          <w:i w:val="1"/>
          <w:iCs w:val="1"/>
          <w:color w:val="auto"/>
        </w:rPr>
        <w:t>Will the number of shares of Windstream Holdings common stock that I own change as a result of the Spin-Off?</w:t>
      </w:r>
    </w:p>
    <w:p>
      <w:pPr>
        <w:spacing w:after="0" w:line="200" w:lineRule="exact"/>
        <w:rPr>
          <w:sz w:val="20"/>
          <w:szCs w:val="20"/>
          <w:color w:val="auto"/>
        </w:rPr>
      </w:pPr>
    </w:p>
    <w:p>
      <w:pPr>
        <w:spacing w:after="0" w:line="265" w:lineRule="exact"/>
        <w:rPr>
          <w:sz w:val="20"/>
          <w:szCs w:val="20"/>
          <w:color w:val="auto"/>
        </w:rPr>
      </w:pPr>
    </w:p>
    <w:p>
      <w:pPr>
        <w:ind w:left="280" w:hanging="81"/>
        <w:spacing w:after="0" w:line="308" w:lineRule="auto"/>
        <w:rPr>
          <w:sz w:val="20"/>
          <w:szCs w:val="20"/>
          <w:color w:val="auto"/>
        </w:rPr>
      </w:pPr>
      <w:r>
        <w:rPr>
          <w:rFonts w:ascii="Arial" w:cs="Arial" w:eastAsia="Arial" w:hAnsi="Arial"/>
          <w:sz w:val="17"/>
          <w:szCs w:val="17"/>
          <w:b w:val="1"/>
          <w:bCs w:val="1"/>
          <w:i w:val="1"/>
          <w:iCs w:val="1"/>
          <w:color w:val="auto"/>
        </w:rPr>
        <w:t>Will my shares of Windstream Holdings common stock continue to trade after the Spin-Off?</w:t>
      </w:r>
    </w:p>
    <w:p>
      <w:pPr>
        <w:spacing w:after="0" w:line="390"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CS&amp;L common stock?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no current trading market for CS&amp;L common stock. CS&amp;L intends to apply to have its common stock authorized for listing on NASDAQ under the symbol “CSAL.”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We cannot predict the trading prices for CS&amp;L common stock before, on or after the distribution date.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The number of shares of Windstream Holdings common stock you own will not change as a result of the Spin-Off.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Yes. Windstream Holdings common stock will continue to be listed and traded on the NASDAQ Global Select Market (“NASDAQ”) under the symbol “WIN.” See “The Spin-Off —Listing and Trading of Our Shares” for additional details.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Yes. CS&amp;L’s business is subject to both general and specific risks and uncertainties relating to its business, including risks specific to its industry and operations, its leverage, its relationship with Windstream and its status as an independent, publicly traded company. Its business is also subject to risks relating to the Spin-Off. These risks are described in the “Summary—Risks Associated with Our Business and the Spin-Off” section in this information statement beginning on page 6, and are described in more detail in the “Risk Factors” section of this information statement beginning on page 18. We encourage you to read those sections carefully.</w:t>
      </w:r>
    </w:p>
    <w:p>
      <w:pPr>
        <w:spacing w:after="0" w:line="200" w:lineRule="exact"/>
        <w:rPr>
          <w:sz w:val="20"/>
          <w:szCs w:val="20"/>
          <w:color w:val="auto"/>
        </w:rPr>
      </w:pPr>
    </w:p>
    <w:p>
      <w:pPr>
        <w:sectPr>
          <w:pgSz w:w="11900" w:h="16838" w:orient="portrait"/>
          <w:cols w:equalWidth="0" w:num="2">
            <w:col w:w="4260" w:space="140"/>
            <w:col w:w="6840"/>
          </w:cols>
          <w:pgMar w:left="240" w:top="459" w:right="419" w:bottom="1440" w:gutter="0" w:footer="0" w:header="0"/>
          <w:type w:val="continuous"/>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459" w:right="41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372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Do I have appraisal rights in connection with the Spin-Off?</w:t>
      </w:r>
    </w:p>
    <w:p>
      <w:pPr>
        <w:spacing w:after="0" w:line="211" w:lineRule="exact"/>
        <w:rPr>
          <w:sz w:val="20"/>
          <w:szCs w:val="20"/>
          <w:color w:val="auto"/>
        </w:rPr>
      </w:pPr>
    </w:p>
    <w:p>
      <w:pPr>
        <w:ind w:left="280" w:right="100" w:hanging="81"/>
        <w:spacing w:after="0" w:line="381" w:lineRule="auto"/>
        <w:rPr>
          <w:sz w:val="20"/>
          <w:szCs w:val="20"/>
          <w:color w:val="auto"/>
        </w:rPr>
      </w:pPr>
      <w:r>
        <w:rPr>
          <w:rFonts w:ascii="Arial" w:cs="Arial" w:eastAsia="Arial" w:hAnsi="Arial"/>
          <w:sz w:val="15"/>
          <w:szCs w:val="15"/>
          <w:b w:val="1"/>
          <w:bCs w:val="1"/>
          <w:i w:val="1"/>
          <w:iCs w:val="1"/>
          <w:color w:val="auto"/>
        </w:rPr>
        <w:t>How will the Spin-Off affect my tax basis and holding period in Windstream Holdings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Windstream Holdings shareholders will not have any appraisal rights in connection with the Spin-Off.</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Assuming that the Spin-Off is tax-free to Windstream Holdings shareholders, your tax basis in Windstream Holdings common stock held by you immediately prior to the Spin-Off will be allocated between your Windstream Holdings common stock and CS&amp;L common stock that you receive in the Spin-Off in proportion to the relative fair market values of each immediately following the Spin-Off. Your holding period for such Windstream Holdings shares will not be affected by the Spin-Off. Your holding period for the shares of CS&amp;L common stock that you receive in the Spin-Off will include the holding period of your shares of Windstream Holdings common stock, provided that such Windstream Holdings shares are held as capital assets immediately following the Spin-Off. Windstream will provide its shareholders with information to enable them to compute their tax basis in both Windstream Holdings and CS&amp;L common stock. This information will be posted on Windstream’s website, </w:t>
      </w:r>
      <w:r>
        <w:rPr>
          <w:rFonts w:ascii="Arial" w:cs="Arial" w:eastAsia="Arial" w:hAnsi="Arial"/>
          <w:sz w:val="17"/>
          <w:szCs w:val="17"/>
          <w:i w:val="1"/>
          <w:iCs w:val="1"/>
          <w:color w:val="auto"/>
        </w:rPr>
        <w:t>www.windstream.com</w:t>
      </w:r>
      <w:r>
        <w:rPr>
          <w:rFonts w:ascii="Arial" w:cs="Arial" w:eastAsia="Arial" w:hAnsi="Arial"/>
          <w:sz w:val="17"/>
          <w:szCs w:val="17"/>
          <w:color w:val="auto"/>
        </w:rPr>
        <w:t>, promptly following the distribution date. See “The Spin-Off—U.S.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Income Tax Consequences of the Spin-Off.” You are urged to consult with your tax advisor as to the particular tax consequences of the Spin-Off to you, including the applicability of any U.S. federal, state, local and non-U.S. tax laws.</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Purging Distribution?</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CS&amp;L currently does not expect that it will have any accumulated earnings and profits (as determined for U.S. federal income tax purposes) for periods prior to the Spin-Off. If it has such accumulated earnings and profits, Windstream will allocate such earnings and profits between Windstream and CS&amp;L in a manner that, in its best judgment, is in accordance with applicable provisions of the Code. As a result of its election to be taxed as a REIT for U.S. federal income tax purposes, in order to comply with certain REIT qualification requirements, CS&amp;L would be required to declare a dividend (the Purging Distribution) to its shareholders to distribute any accumulated earnings and profits attributable to any non-REIT years, including any earnings and profits allocated to CS&amp;L in connection with the Spin-Off. Because CS&amp;L does not expect that it will have any accumulated earnings and profits for periods prior to the Spin-Off, it does not expect that it will be required to make the Purging Distribution.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I receive in connection with the Purging</w:t>
      </w:r>
      <w:r>
        <w:rPr>
          <w:sz w:val="20"/>
          <w:szCs w:val="20"/>
          <w:color w:val="auto"/>
        </w:rPr>
        <w:tab/>
      </w:r>
      <w:r>
        <w:rPr>
          <w:rFonts w:ascii="Arial" w:cs="Arial" w:eastAsia="Arial" w:hAnsi="Arial"/>
          <w:sz w:val="16"/>
          <w:szCs w:val="16"/>
          <w:color w:val="auto"/>
        </w:rPr>
        <w:t>If, contrary to expectations, CS&amp;L is obligated to make the Purging Distribution, such</w:t>
      </w:r>
    </w:p>
    <w:p>
      <w:pPr>
        <w:spacing w:after="0" w:line="23" w:lineRule="exact"/>
        <w:rPr>
          <w:sz w:val="20"/>
          <w:szCs w:val="20"/>
          <w:color w:val="auto"/>
        </w:rPr>
      </w:pPr>
    </w:p>
    <w:p>
      <w:pPr>
        <w:ind w:left="4400" w:hanging="4119"/>
        <w:spacing w:after="0" w:line="292" w:lineRule="auto"/>
        <w:tabs>
          <w:tab w:leader="none" w:pos="4380" w:val="left"/>
        </w:tabs>
        <w:rPr>
          <w:sz w:val="20"/>
          <w:szCs w:val="20"/>
          <w:color w:val="auto"/>
        </w:rPr>
      </w:pPr>
      <w:r>
        <w:rPr>
          <w:rFonts w:ascii="Arial" w:cs="Arial" w:eastAsia="Arial" w:hAnsi="Arial"/>
          <w:sz w:val="16"/>
          <w:szCs w:val="16"/>
          <w:b w:val="1"/>
          <w:bCs w:val="1"/>
          <w:i w:val="1"/>
          <w:iCs w:val="1"/>
          <w:color w:val="auto"/>
        </w:rPr>
        <w:t>Distribution?</w:t>
      </w:r>
      <w:r>
        <w:rPr>
          <w:sz w:val="20"/>
          <w:szCs w:val="20"/>
          <w:color w:val="auto"/>
        </w:rPr>
        <w:tab/>
      </w:r>
      <w:r>
        <w:rPr>
          <w:rFonts w:ascii="Arial" w:cs="Arial" w:eastAsia="Arial" w:hAnsi="Arial"/>
          <w:sz w:val="16"/>
          <w:szCs w:val="16"/>
          <w:color w:val="auto"/>
        </w:rPr>
        <w:t>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57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57288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Purging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is the transfer agent for CS&amp;L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 See “The Spin-Off—The Purging Distribution.”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w:t>
      </w:r>
    </w:p>
    <w:p>
      <w:pPr>
        <w:spacing w:after="0" w:line="266" w:lineRule="exact"/>
        <w:rPr>
          <w:sz w:val="20"/>
          <w:szCs w:val="20"/>
          <w:color w:val="auto"/>
        </w:rPr>
      </w:pPr>
    </w:p>
    <w:p>
      <w:pPr>
        <w:ind w:left="1660"/>
        <w:spacing w:after="0"/>
        <w:tabs>
          <w:tab w:leader="none" w:pos="2420" w:val="left"/>
          <w:tab w:leader="none" w:pos="2660" w:val="left"/>
        </w:tabs>
        <w:rPr>
          <w:sz w:val="20"/>
          <w:szCs w:val="20"/>
          <w:color w:val="auto"/>
        </w:rPr>
      </w:pPr>
      <w:r>
        <w:rPr>
          <w:rFonts w:ascii="Arial" w:cs="Arial" w:eastAsia="Arial" w:hAnsi="Arial"/>
          <w:sz w:val="18"/>
          <w:szCs w:val="18"/>
          <w:color w:val="auto"/>
        </w:rPr>
        <w:t>Phone: (</w:t>
        <w:tab/>
        <w:t>)</w:t>
        <w:tab/>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4200" w:space="200"/>
            <w:col w:w="6800"/>
          </w:cols>
          <w:pgMar w:left="240" w:top="459" w:right="459" w:bottom="1440" w:gutter="0" w:footer="0" w:header="0"/>
          <w:type w:val="continuous"/>
        </w:sectPr>
      </w:pPr>
    </w:p>
    <w:p>
      <w:pPr>
        <w:spacing w:after="0" w:line="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Where can I get more information?</w:t>
      </w:r>
      <w:r>
        <w:rPr>
          <w:sz w:val="20"/>
          <w:szCs w:val="20"/>
          <w:color w:val="auto"/>
        </w:rPr>
        <w:tab/>
      </w:r>
      <w:r>
        <w:rPr>
          <w:rFonts w:ascii="Arial" w:cs="Arial" w:eastAsia="Arial" w:hAnsi="Arial"/>
          <w:sz w:val="16"/>
          <w:szCs w:val="16"/>
          <w:color w:val="auto"/>
        </w:rPr>
        <w:t>Before the Spin-Off, if you have any questions relating to the Spin-Off, and after the Spin-Off</w:t>
      </w:r>
    </w:p>
    <w:p>
      <w:pPr>
        <w:spacing w:after="0" w:line="23" w:lineRule="exact"/>
        <w:rPr>
          <w:sz w:val="20"/>
          <w:szCs w:val="20"/>
          <w:color w:val="auto"/>
        </w:rPr>
      </w:pPr>
    </w:p>
    <w:p>
      <w:pPr>
        <w:ind w:left="4400" w:right="40"/>
        <w:spacing w:after="0" w:line="261" w:lineRule="auto"/>
        <w:rPr>
          <w:sz w:val="20"/>
          <w:szCs w:val="20"/>
          <w:color w:val="auto"/>
        </w:rPr>
      </w:pPr>
      <w:r>
        <w:rPr>
          <w:rFonts w:ascii="Arial" w:cs="Arial" w:eastAsia="Arial" w:hAnsi="Arial"/>
          <w:sz w:val="18"/>
          <w:szCs w:val="18"/>
          <w:color w:val="auto"/>
        </w:rPr>
        <w:t>if you have any questions relating to Windstream or the Windstream Holdings common stock, you should contact Windstream at:</w:t>
      </w:r>
    </w:p>
    <w:p>
      <w:pPr>
        <w:spacing w:after="0" w:line="76"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Windstream Holdings, Inc.</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4001 Rodney Parham Road</w:t>
      </w:r>
    </w:p>
    <w:p>
      <w:pPr>
        <w:spacing w:after="0" w:line="9"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Little Rock, Arkansas 72212</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Individual Shareholders:</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Phone: (501) 748-7216</w:t>
      </w:r>
    </w:p>
    <w:p>
      <w:pPr>
        <w:spacing w:after="0" w:line="9"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Email: genesis.white@windstream.com</w:t>
      </w:r>
    </w:p>
    <w:p>
      <w:pPr>
        <w:spacing w:after="0" w:line="211"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Institutional Shareholders:</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Phone: 501-748-7578</w:t>
      </w:r>
    </w:p>
    <w:p>
      <w:pPr>
        <w:spacing w:after="0" w:line="9"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Email: mary.michaels@windstream.com</w:t>
      </w:r>
    </w:p>
    <w:p>
      <w:pPr>
        <w:spacing w:after="0" w:line="238" w:lineRule="exact"/>
        <w:rPr>
          <w:sz w:val="20"/>
          <w:szCs w:val="20"/>
          <w:color w:val="auto"/>
        </w:rPr>
      </w:pPr>
    </w:p>
    <w:p>
      <w:pPr>
        <w:ind w:left="4400" w:right="100"/>
        <w:spacing w:after="0" w:line="277" w:lineRule="auto"/>
        <w:rPr>
          <w:sz w:val="20"/>
          <w:szCs w:val="20"/>
          <w:color w:val="auto"/>
        </w:rPr>
      </w:pPr>
      <w:r>
        <w:rPr>
          <w:rFonts w:ascii="Arial" w:cs="Arial" w:eastAsia="Arial" w:hAnsi="Arial"/>
          <w:sz w:val="18"/>
          <w:szCs w:val="18"/>
          <w:color w:val="auto"/>
        </w:rPr>
        <w:t>After the Spin-Off, if you have any questions relating to us or our common stock, you should contact us at:</w:t>
      </w:r>
    </w:p>
    <w:p>
      <w:pPr>
        <w:spacing w:after="0" w:line="62"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Communications Sales &amp; Leasing, Inc.</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Investor Relations</w:t>
      </w:r>
    </w:p>
    <w:p>
      <w:pPr>
        <w:spacing w:after="0" w:line="103" w:lineRule="exact"/>
        <w:rPr>
          <w:sz w:val="20"/>
          <w:szCs w:val="20"/>
          <w:color w:val="auto"/>
        </w:rPr>
      </w:pPr>
    </w:p>
    <w:p>
      <w:pPr>
        <w:ind w:left="6780"/>
        <w:spacing w:after="0"/>
        <w:tabs>
          <w:tab w:leader="none" w:pos="7560" w:val="left"/>
          <w:tab w:leader="none" w:pos="7800" w:val="left"/>
        </w:tabs>
        <w:rPr>
          <w:sz w:val="20"/>
          <w:szCs w:val="20"/>
          <w:color w:val="auto"/>
        </w:rPr>
      </w:pPr>
      <w:r>
        <w:rPr>
          <w:rFonts w:ascii="Arial" w:cs="Arial" w:eastAsia="Arial" w:hAnsi="Arial"/>
          <w:sz w:val="18"/>
          <w:szCs w:val="18"/>
          <w:color w:val="auto"/>
        </w:rPr>
        <w:t>Phone: (</w:t>
        <w:tab/>
        <w:t>)</w:t>
        <w:tab/>
        <w:t>-</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Condensed Combined Financial Data</w:t>
      </w:r>
    </w:p>
    <w:p>
      <w:pPr>
        <w:spacing w:after="0" w:line="229"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The following table sets forth summary and selected financial data for CS&amp;L (as described below) on a historical basis, as well as on a pro forma basis. Prior to the Spin-Off, we will not have operated the Consumer CLEC Business separate from Windstream, nor have we commenced our leasing business.</w:t>
      </w:r>
    </w:p>
    <w:p>
      <w:pPr>
        <w:spacing w:after="0" w:line="18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The summary historical combined financial data as of December 31, 2013 and 2012 and for the years ended December 31, 2013 and 2012 has been derived from the audited financial statements of the Consumer CLEC Business and Distribution Systems included elsewhere in this information statement. The summary historical combined financial data as of September 30, 2014 and for the nine months ended September 30, 2014 and 2013 has been derived from the unaudited financial statements of the Consumer CLEC Business and Distribution Systems included elsewhere in this information statement.</w:t>
      </w:r>
    </w:p>
    <w:p>
      <w:pPr>
        <w:spacing w:after="0" w:line="188"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unaudited pro forma combined financial data for the nine months ended September 30, 2014 and for the year ended December 31, 2013 has been derived from the pro forma combined financial statements included elsewhere in this information statement. The pro forma data gives effect to the Spin-Off and the related transactions including (i) the issuance of $3.65 billion of long-term debt by CS&amp;L and the related debt issuance costs and interest expense, (ii) the distribution of approximately 150.7 million shares of CS&amp;L common stock to Windstream Holdings shareholders through a tax-free stock dividend, a cash payment by CS&amp;L to Windstream in an amount not to exceed Windstream’s tax basis in Distribution Systems transferred to CS&amp;L, and the transfer by CS&amp;L of certain of its debt securities to Windstream; and (iii) rental income associated with new Master Lease between the Company and Windstream Holdings for the Distribution Systems leased by the Company to Windstream Holdings.</w:t>
      </w:r>
    </w:p>
    <w:p>
      <w:pPr>
        <w:spacing w:after="0" w:line="167"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The unaudited pro forma combined income statements for the nine months ended September 30, 2014 and the year ended December 31, 2013 assume the Spin-Off and the related transactions occurred on January 1, 2013. The unaudited pro forma combined balance sheet assumes the Spin-Off and the related transactions occurred on September 30, 2014. The pro forma financial data is not necessarily indicative of what our actual financial condition and results of operations would have been as of the date and for the periods indicated if we had been a separate, stand-alone company during the periods presented, nor does it purport to represent our future financial condition or results of operations.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8"/>
          </w:tcPr>
          <w:p>
            <w:pPr>
              <w:ind w:left="220"/>
              <w:spacing w:after="0"/>
              <w:rPr>
                <w:sz w:val="20"/>
                <w:szCs w:val="20"/>
                <w:color w:val="auto"/>
              </w:rPr>
            </w:pPr>
            <w:r>
              <w:rPr>
                <w:rFonts w:ascii="Arial" w:cs="Arial" w:eastAsia="Arial" w:hAnsi="Arial"/>
                <w:sz w:val="14"/>
                <w:szCs w:val="14"/>
                <w:color w:val="auto"/>
              </w:rPr>
              <w:t>As of or For the Nine Months Ended</w:t>
            </w:r>
          </w:p>
        </w:tc>
        <w:tc>
          <w:tcPr>
            <w:tcW w:w="2300" w:type="dxa"/>
            <w:vAlign w:val="bottom"/>
            <w:gridSpan w:val="6"/>
          </w:tcPr>
          <w:p>
            <w:pPr>
              <w:jc w:val="center"/>
              <w:ind w:left="354"/>
              <w:spacing w:after="0"/>
              <w:rPr>
                <w:sz w:val="20"/>
                <w:szCs w:val="20"/>
                <w:color w:val="auto"/>
              </w:rPr>
            </w:pPr>
            <w:r>
              <w:rPr>
                <w:rFonts w:ascii="Arial" w:cs="Arial" w:eastAsia="Arial" w:hAnsi="Arial"/>
                <w:sz w:val="14"/>
                <w:szCs w:val="14"/>
                <w:color w:val="auto"/>
                <w:w w:val="92"/>
              </w:rPr>
              <w:t>As of or For the Year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3"/>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860" w:type="dxa"/>
            <w:vAlign w:val="bottom"/>
            <w:gridSpan w:val="3"/>
          </w:tcPr>
          <w:p>
            <w:pPr>
              <w:jc w:val="right"/>
              <w:ind w:right="260"/>
              <w:spacing w:after="0" w:line="123" w:lineRule="exact"/>
              <w:rPr>
                <w:sz w:val="20"/>
                <w:szCs w:val="20"/>
                <w:color w:val="auto"/>
              </w:rPr>
            </w:pPr>
            <w:r>
              <w:rPr>
                <w:rFonts w:ascii="Arial" w:cs="Arial" w:eastAsia="Arial" w:hAnsi="Arial"/>
                <w:sz w:val="14"/>
                <w:szCs w:val="14"/>
                <w:color w:val="auto"/>
              </w:rPr>
              <w:t>Proforma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w w:val="93"/>
              </w:rPr>
              <w:t>Proforma</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2014</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89"/>
              </w:rPr>
              <w:t>2013</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4"/>
              </w:rPr>
              <w:t>Revenues</w:t>
            </w:r>
          </w:p>
        </w:tc>
        <w:tc>
          <w:tcPr>
            <w:tcW w:w="4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$ 712.3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9.3</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$12.9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$24.5</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$ 159.5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$ 152.4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$2,818.0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2,609.3</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2,704.9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$29.4(b)</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$3,650.0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$3,660.2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$13.1</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 (842.2)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2,601.3(a)</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2,695.2(a)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Also includes net assets contributed of the Consumer CLEC Business.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Does not include Distribution Systems.</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us and our common stock. Any of the following risks, as well as additional risks and uncertainties not currently known to us or that we currently deem immaterial, could materially and adversely affect our business, financial condition or results of operations, and could, in turn, impact the trading price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SPIN-OFF FROM WINDSTREAM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as a publicly traded company independent from Windstream, CS&amp;L will have the ability to pursue transactions with other telecommunications operators that would not pursue transactions with Windstream as a current competitor, to fund acquisitions with its equity on significantly more favorable terms than those that would be available to Windstream, and to pursue certain transactions that Windstream otherwise may be disadvantaged by or precluded from pursuing due to regulatory constraints. However, we may not be able to achieve some or all of the benefits that we expect to achieve as a company independent from Windstream in the time we expect, if at all. For instance, it may take longer than anticipated for operators to, or operators may never, embrace a lease structure for distribution system assets.</w:t>
      </w:r>
    </w:p>
    <w:p>
      <w:pPr>
        <w:spacing w:after="0" w:line="30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3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Windstream has received the IRS Ruling to the effect that, on the basis of certain facts presented and representations and assumptions set forth in the request submitted to the IRS, the Spin-Off will qualify as tax-free under Sections 355 and 368(a)(1)(D) of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Accordingly, the Spin-Off is conditioned upon the receipt by Windstream of the Tax Opinion, as described below, with respect to the requirements on which the IRS will not rule. The Tax Opinion will be based on, among other things, the IRS Ruling, current law and certain representations and assumptions as to factual matters made by Windstream and CS&amp;L.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will not be binding on the IRS or the courts, and the IRS and/or the courts may not agree with the Tax Opinion. For more information regarding the IRS Ruling and the Tax Opinion, see “The Spin-Off—U.S. Federal Income Tax Consequences of the Spin-Off.”</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Spin-Off ultimately were determined to be taxable, then a shareholder of Windstream Holdings that received shares of our common stock in the Spin-Off would be treated as having received a distribution of property in an amount equal to the fair market value of such shares on the distribution date and could incur significant income tax liabilities. Such distribution would be taxable to such shareholder as a dividend to the extent of Windstream’s current and accumulated earnings and profits (including earnings and profits resulting from the recognition of gain by Windstream in the Spin-Off). Any amount that exceeded Windstream’s earnings and profits would be treated first as a non-taxable return of capital to the extent of such shareholder’s tax basis in its shares of Windstream Holdings stock with any remaining amount being taxed as a capital gain. In addition, if the Spin-Off were determined to be taxable, Windstream would recognize taxable gain.</w:t>
      </w:r>
    </w:p>
    <w:p>
      <w:pPr>
        <w:spacing w:after="0" w:line="189"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Under the terms of the Tax Matters Agreement that we will enter into with Windstream, we generally will be responsible for any taxes imposed on Windstream that arise from the failure of the Spin-Off to qualify as tax-free for U.S. federal income tax purposes, within the meaning of Section 355 and Section 368(a)(1)(D)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Code, as applicable, to the extent such failure to qualify is attributable to certain actions, events or transactions relating to our stock,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will not be limited by any maximum amount. If we are required to indemnify Windstream under the circumstances set forth in the Tax Matters Agreement, we may also be subject to substantial tax liabilities. For more information regarding the Tax Matters Agreement, see “Our Relationship with Windstream Following the Spin-Off—Tax Matters Agreement.”</w:t>
      </w:r>
    </w:p>
    <w:p>
      <w:pPr>
        <w:spacing w:after="0" w:line="3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To preserve the tax-free treatment to Windstream of the Spin-Off, for the two-year period following the Spin-Off, CS&amp;L may be prohibited, except in specific circumstances, from taking certain actions, including: (1) entering into any transaction pursuant to which all or a portion of CS&amp;L’s stock would be acquired, whether by merger or otherwise, (2) issuing equity securities beyond certain thresholds, or (3) repurchasing CS&amp;L’s common stock. In addition, we will be prohibited from taking or failing to take any other action that prevents the Spin-Off and related transactions from being tax-free.</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These restrictions may limit CS&amp;L’s ability to pursue strategic transactions or engage in new business or other transactions that may maximize the value of CS&amp;L’s business. For a more detailed description, see “Our Relationship with Windstream Following the Spin-Off—Tax Matters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Windstream may not reflect terms that would have resulted from negotiations with unaffiliated third parties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related to the Spin-Off, including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will have been entered into in the context of the Spin-Off while we are still controlled by Windstream. As a result, they may not reflect terms that would have resulted from negotiations between unaffiliated third parties. The terms of the agreements being entered into in the context of the Spin-Off concern, among other things, divisions and allocations of assets and liabilities and rights and obligations, between Windstream and us. For a more detailed description, see “Our Relationship with Windstream Following the Spin-Off.”</w:t>
      </w:r>
    </w:p>
    <w:p>
      <w:pPr>
        <w:spacing w:after="0" w:line="2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Windstream Holdings board of directors has reserved the right, in its sole discretion, to amend, modify or abandon the Spin-Off and the related transactions at any time prior to the distribution date.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the Spin-Off occurs, Windstream Holdings’ board of directors will have the sole discretion to amend, modify or abandon the Spin-Off and the related transactions at any time prior to the distribution date. This means Windstream may cancel or delay the planned distribution of common stock of CS&amp;L if at any time the board of directors of Windstream determines that the distribution of such common stock or the terms thereof are not in the best interests of Windstream. If Windstream’s board of directors determines to cancel the Spin-Off, shareholders of Windstream will not receive any distribution of CS&amp;L common stock and Windstream will be under no obligation whatsoever to its shareholders to distribute such shares. In addition, the Spin-Off and related transactions are subject to the satisfaction or waiver (by Windstream’s board of directors in its sole discretion) of a number of conditions. See “The Spin-Off —Conditions to the Spin-Off.”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historical and pro forma financial information included in this information statement may not be a reliable indicator of future results.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combined historical financial data and our pro forma combined financial data included in this information statement may not reflect our business, financial position or results of operations had we been an independent, publicly traded company during the periods presented, or what our business, financial position or results of operations will be in the future when we are an independent, publicly traded company. Prior to the Spin-Off, our business will have been operated by Windstream as part of one corporate organization and not operated as a stand-alone company. Because we will not acquire the Distribution Systems and Consumer CLEC Business assets that comprise our business until immediately prior to the Spin-Off, there are no historical financial statements for us as we will exist following the Spin-Off. Significant changes will occur in our cost structure, financing and business operations as a result of our operation as a stand-alone company and the entry into transactions with Windstream that have not existed historically, including the Master Lease.</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pro forma financial data included in this information statement includes adjustments based upon available information that our management believes to be reasonable to reflect these factors. However, the assumptions may change or may be incorrect, and actual results may differ, perhaps significantly. In addition, the pro forma financial data does not include adjustments for estimated general and administrative expenses. For these reasons, our cost structure may be higher and our future financial costs and performance may be worse than the performance implied by the pro forma financial data presented in this information statement. For additional information about the basis of presentation of our combined historical financial data and our pro forma combined financial data included in this information statement, see “Description of Financing and Material Indebtedness,” “Capitalization,” “Summary— Summary Historical and Pro Forma Condensed Combined Financial Data,” “CS&amp;L’s Unaudited Pro Forma Combined Financial Data,” “Selected Combined Historical Financial Data,” and “Management’s Discussion and Analysis of Financial Condition and Results of Operations,” included elsewhere in this information statement.</w:t>
      </w: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Windstream’s inability to obtain all material authorizations, consents, approvals and clearances of third parties including lenders and U.S. federal, state and local governmental agencies (“Third-Party Approvals”) in connection with the Spin-Off may have a material adverse effect on Windstream’s ability to consummate the Spin-Off.</w:t>
      </w:r>
    </w:p>
    <w:p>
      <w:pPr>
        <w:spacing w:after="0" w:line="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Windstream is required, or deems it desirable, to obtain certain Third-Party Approvals to consummate the Spin-Off and the restructuring of Windstream’s business in connection therewith, including consents to the Spin—Off of the Distribution Systems from public service commissions in nine states. There is no assurance that Windstream will be able to obtain these Third-Party Approvals. Windstream may decide not to consummate the Spin-Off if it does not receive some or all of these Third-Party Approvals, unless it believes that the inability to obtain one or more Third-Party Approvals would not reasonably be expected to have a material adverse effect on the business, financial position or results of operations of Windstream or us. However, there can be no assurance that such a material adverse effect will not occur.</w:t>
      </w:r>
    </w:p>
    <w:p>
      <w:pPr>
        <w:spacing w:after="0" w:line="3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Spin-Off could give rise to disputes or other unfavorable effects, which could materially and adversely affect our business, financial position or results of operations.</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Spin-Off may lead to increased operating and other expenses, of both a nonrecurring and a recurring nature, and to changes to certain operations, which expenses or changes could arise pursuant to arrangements made between Windstream and us or could trigger contractual rights of, and obligations to, third parties. Disputes with third parties could also arise out of these transactions, and we could experience unfavorable reactions to the Spin-Off from employees, lenders, ratings agencies, regulators or other interested parties. These increased expenses, changes to operations, disputes with third parties, or other effects could materially and adversely affect our business, financial position or results of operations. In addition, following the completion of the Spin-Off, disputes with Windstream could arise in connection with the Master Lease, the Separation and Distribution Agreement, the Transition Services Agreement, the Employee Matters Agreement, the Tax Matters Agreement, the Wholesale Reseller Agreement, the Intellectual Property Matters Agreement, the Stockholder’s and Registration Rights Agreement or other agreements.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state and federal fraudulent conveyance laws.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court could deem the Spin-Off of CS&amp;L common stock or certain internal restructuring transactions undertaken by Windstream in connection therewith, or any Purging Distribution by CS&amp;L,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Windstream some or all of the shares of our common stock issued in the distribution, to return some of the Purging Distribution, if any, to CS&amp;L,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After the Spin-Off, we may be unable to make, on a timely or cost-effective basis, the changes necessary to operate as an independent, publicly traded company primarily focused on owning real property utilized in the telecommunications industry.</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no significant historical operations as an independent company and may not, at the time of the Spin-Off, have the infrastructure and personnel necessary to operate as a separate publicly traded company without relying on Windstream to provide certain services on a transitional basis. Upon the completion of the Spin-Off, Windstream will be obligated to provide such transition services pursuant to the terms of the Transition Services Agreement that CS&amp;L will enter into with Windstream, to allow CS&amp;L time, if necessary, to build the infrastructure and retain the personnel necessary to operate as a separate publicly traded company without relying on such services. Following the expiration of the Transition Services Agreement, Windstream will be under no obligation to provide further assistance to CS&amp;L. As a separate public entity, we will be subject to, and responsible for, regulatory compliance, including periodic public filings with the SEC and compliance with NASDAQ continued listing requirements as well as compliance with generally applicable tax and accounting rules. Because CS&amp;L’s business has not been operated as a separate publicly traded company, we cannot assure you that it will be able to successfully implement the infrastructure or retain the personnel necessary to operate as a separate publicly traded company or that CS&amp;L will not incur costs in excess of anticipated costs to establish such infrastructure and retain such personnel.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STATUS OF CS&amp;L AS A REIT</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operate in a manner that will allow us to qualify as a REIT for U.S. federal income tax purposes commencing with our taxable year ending December 31, 2015. References throughout this document to the “first taxable year” for which we have elected to be taxed as a REIT refer to the taxable year ending December 31, 2015. We expect to receive an opinion of Skadden, Arps, Slate, Meagher &amp; Flom LLP, counsel to Windstream, with respect to our qualification as a REIT in connection with this transaction. Investors should be aware, however, that opinions of counsel are not binding on the IRS or any court. The opinion of Skadden, Arps, Slate, Meagher &amp; Flom LLP represents only the view of Skadden, Arps, Slate, Meagher &amp; Flom LLP based on its review and analysis of existing law and on certain representations as to factual matters and covenants made by us, including representations relating to the values of our assets and the sources of our income. The opinion is expressed as of the date issued. Skadden, Arps, Slate, Meagher &amp; Flom LLP will have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will depend on our satisfaction of certain asset, income,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organizational, distribution, shareholder ownership and other requirements on a continuing basis, the results of which will not be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may depend in part on the actions of third parties over which we have no control or only limited influence.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Department of the Treasury (the “Treasury”). Changes to the tax laws or interpretations thereof, with or without retroactive application, could materially and adversely affect our investors or us. We cannot predict how changes in the tax laws might affect our investors or us. New legislation, Treasury regulations, administrative interpretations or court decisions could significantly and negatively affect our ability to qualify to be taxed as a REIT or the U.S. federal income tax consequences to our investors and us of such qualification.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February 26, 2014, House Ways and Means Committee Chairman David Camp released a proposal formally introduced recently as proposed legislation, H.R. 1, the Tax Reform Act of 2014 (the “Camp Proposal”), for comprehensive tax reform. The Camp Proposal includes a number of provisions that, if enacted, would have an adverse effect on corporations seeking to make an election to be taxed as a REIT. These include the following: (i) if the stock of a corporation is distributed in a tax-free spin-off under section 355 of the Code, such corporation will not be eligible to make an election to be taxed as a REIT for the ten-year period following the taxable year in which the spin-off occurs, (ii) if a corporation elects to be taxed as a REIT, such corporation will be required to recognize certain built-in gains inherent in its property as if all its assets were sold at their fair market value immediately before the close of the taxable year immediately before the corporation became taxed as a REIT, (iii) for purposes of the REIT income and asset tests, “real property” would be defined to exclude all tangible property with a class life of less than 27.5 years (as defined under the depreciation rules), and (iv) any dividend made to satisfy the REIT requirement that a REIT must not have any earnings and profits accumulated during non-REIT years by the end of its first tax year as a REIT must be made in cash instead of a combination of cash and stock. Provisions (i) and (ii), if enacted in their current form, would apply to REIT elections and tax-free spin-off distributions made on or after February 26, 2014. If enacted in its current form, the Camp Proposal would materially and adversely affect our ability to make an election to be taxed as a REIT. See the risk factor captioned “If we do not qualify as a REIT, or fail to remain qualified as a REIT, we will be subject to U.S. federal income tax as a regular corporation and could face a substantial tax liability, which would reduce the amount of cash available for distribution to our shareholders.” It is uncertain whether the Camp Proposal, in its current form as it relates to CS&amp;L, or any other legislation affecting REITs and entities desiring to elect REIT status will be enacted and whether any such legislation will apply to CS&amp;L because of its proposed effective date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as a REIT if income we receive from Windstream is not treated as qualifying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See “U.S. Federal Income Tax Considerations—Taxation of REITs in General—Income Tests.”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7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will provide for restrictions on ownership and transfer of our shares of stock, including restrictions on such ownership or transfer that would cause the rents received or accrued by us from Windstream to be treated as non-qualifying rent for purposes of the REIT gross income requirements. The provisions of our charter that will restrict the ownership and transfer of our stock are described in “Description of Our Capital Stock— Restrictions on Transfer and Ownership of CS&amp;L Stock.” Nevertheless, there can be no assurance that such restrictions will be effective in ensuring that rents received or accrued by us from Windstream will not be treated as qualifying rent for purposes of REIT qualification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maximum U.S. federal income tax rate applicable to income from “qualified dividends” payable by U.S. corporations to U.S. shareholders that are individuals, trusts and estates is currently 20%. Dividends payable by REITs, however, generally are not eligible for the reduced rates.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Initially our funds from operations will be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and state or local income, property and transfer taxes. See “U.S. Federal Income Tax Considerations—Taxation of CS&amp;L.” For example, we may hold some of our assets or conduct certain of our activities through one or more TRSs or other subsidiary corporations that will be subject to U.S. federal, state, and local corporate-level income taxes as regular C corporations. In addition, we may incur a 100% excise tax on transactions with a TRS if they are not conducted on an arm’s-length basis. Any of these taxes would decrease cash available for distribution to our shareholders.</w:t>
      </w:r>
    </w:p>
    <w:p>
      <w:pPr>
        <w:spacing w:after="0" w:line="26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 or liquidate otherwise attractive investments.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25% of the value of our total assets can be represented by securities of one or more TRSs. See “U.S. Federal Income Tax Considerations— Taxation of CS&amp;L.”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asset tests set forth above, to qualify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limit our ability to hedge effectively and may cause us to incur tax liabilities.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See “U.S. Federal Income Tax Considerations—Taxation of CS&amp;L.”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qualify as a REIT, we could be subject to tax on any unrealized net built-in gains in our assets held before electing to be treated as a REIT.</w:t>
      </w:r>
    </w:p>
    <w:p>
      <w:pPr>
        <w:spacing w:after="0" w:line="14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Following our REIT election, we will own appreciated assets that were held by a C corporation and will be acquired by us in a transaction in which the adjusted tax basis of the assets in our hands will be determined by reference to the adjusted basis of the assets in the hands of the C corporation. If we dispose of any such appreciated assets during the ten-year period following our qualification as a REIT, we will be subject to tax at the highest corporate tax rates on any gain from such assets to the extent of the excess of the fair market value of the assets on the date that we became a REIT over the adjusted tax basis of such assets on such date, which are referred to as built-in gains. We would be subject to this tax liability even if we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ten-year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Immediately following the Spin-Off, Windstream Holdings will be the lessee of the Distribution Systems pursuant to the Master Lease and, therefore, will be the source of substantially all of our revenues. Additionally, because the Master Lease is a triple-net lease, we will depend on Windstream Holdings to pay all insurance, taxes, utilities, charges relating to the easements, permits and pole arrangements and maintenance and repair expenses in connection with the Distribution Systems, subject to limited carveouts, and to indemnify, defend and hold us harmless from and against various claims, litigation and liabilities arising in connection with its business.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shareholders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Since Windstream Holdings is a holding company, it will be dependent on distributions from Windstream Subsidiary and its subsidiaries in order to satisfy the payment obligations under the Master Lease, and the ability of Windstream Subsidiary and its subsidiaries to make such distributions may be adversely impacted in the event of the insolvency or bankruptcy of such entities or by covenants that restrict the amount of the distributions that may be made by such entities. For these reasons, if Windstream Holdings, Windstream Subsidiary or their subsidiaries were to experience a material and adverse effect on its business, financial position or results of operations, our business, financial position or results of operations could also be materially and adversely affected.</w:t>
      </w:r>
    </w:p>
    <w:p>
      <w:pPr>
        <w:spacing w:after="0" w:line="16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Due to our dependence on rental payments from Windstream Holdings as our primary source of revenues, we may be limited in our ability to enforce our rights under, or to terminate, the Master Lease. Failure by Windstream Holdings to comply with the terms of the Master Lease or to comply with the regulations to which the Distribution Systems are subject could require us to find another lessee for such Distribution Systems and there could be a decrease or cessation of rental payments by Windstream Holdings.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risks relating to Windstream’s business can be found in Windstream’s public filings with the SEC. To find out where you can get copies of these public filings, see “Where You Can Find More Information.”</w:t>
      </w:r>
    </w:p>
    <w:p>
      <w:pPr>
        <w:spacing w:after="0" w:line="2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 In the event that we consummate an acquisition or strategic alternative in the future, there is no assurance that we would fully realize the potential benefits of such a transaction.</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operate in a highly competitive market and face competition from other REITs, investment companies, private equity and hedge fund investors, sovereign funds, telecommunications operators, lenders and other investors, some of whom are significantly larger and have greater resources and lower costs of capital. Increased competition will make it more challenging to identify and successfully capitalize on acquisition opportunities that meet our investment objectives. Our board of directors may change our investment objectives at any time without shareholder approval. If we cannot identify and purchase a sufficient quantity of suitable properties at favorable prices or if we are unable to finance acquisitions on commercially favorable terms, our business, financial position or results of operations could be materially and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9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Acquisitions of properties we might seek to acquire entail risks associated with real estate investments generally, including that the investment’s performance will fail to meet expectations or that the tenant, operator or manager will underperform.</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the rights to use our real property utilized by telecommunications operators, which could result in periods in which we are unable to receive rent for such assets.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Some of our tenants may be operators of telecommunications assets, which operators must be licensed under applicable state and federal laws. Prior to the transfer of the rights to use our real property to successor operators, the new operator generally must become licensed under state and federal laws. If an existing lease is terminated or expires and a new tenant is found, then any delays in the new tenant receiving regulatory approvals from the applicable federal, state or local government agencies, or the inability to receive such approvals, may prolong the period during which we are unable to collect the applicable rent.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7"/>
          <w:szCs w:val="17"/>
          <w:color w:val="auto"/>
        </w:rPr>
        <w:t>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Although it is anticipated that our debt agreements will restrict the amount of our indebtedness, we may incur additional indebtedness in the future to refinance our existing indebtedness, to finance newly-acquired assets or for other purposes. Our governing documents do not contain any limitations on the amount of debt we may incur and we do not have a formal policy limiting the amount of debt we may incur in the future. Subject to the restrictions set forth in our debt agreements, our board of directors may establish and change our leverage policy at any time without shareholder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contribute assets to joint ventures or sell assets as needed.</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our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A worsening of credit market conditions could materially and adversely affect our ability to obtain financing on favorable terms, if at all.</w:t>
      </w:r>
    </w:p>
    <w:p>
      <w:pPr>
        <w:spacing w:after="0" w:line="171"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We may be unable to obtain additional financing or financing on favorable terms or our operating cash flow may be insufficient to satisfy our financial obligations under our indebtedness outstanding from time to time (if any). Among other things, the absence of an investment grade credit rating or any credit rating downgrade could increase our financing costs and could limit our access to financing sources. If financing is not available when needed, or is available on unfavorable terms, we may be unable to complete acquisitions or otherwise take advantage of business opportunities or respond to competitive pressures, any of which could materially and adversely affect our business, financial condition and results of operations.</w:t>
      </w:r>
    </w:p>
    <w:p>
      <w:pPr>
        <w:spacing w:after="0" w:line="2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agreements governing our indebtedness are expected to contain customary covenants, which may limit our operational flexibility.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may result in cross-defaults under certain of our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interest rates increase, so could our interest costs for any new debt and our variable rate debt obligations on the credit agreement.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 Further, the dividend yield on our common stock, as a percentage of the price of such common stock, will influence the price of such common stock. Thus, an increase in market interest rates may lead prospective purchasers of our common stock to expect a higher dividend yield, which could adversely affect the market price of our common stock.</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charter will restrict the ownership and transfer of our outstanding stock, which may have the effect of delaying, deferring or preventing a transaction or change of control of our company.</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will authorize our board of directors to take such actions as are necessary or advisable to preserve our qualification as a REIT. Our charter will also provide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See “Description of Our Capital Stock—Restrictions on Transfer and Ownership of CS&amp;L Stock” and “U.S. Federal Income Tax Considerations.”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shareholders. The acquisition of less than 9.8% of our outstanding stock by an individual or entity could cause that individual or entity to own constructively in excess of 9.8% in value of our outstanding stock, and thus violate our charter’s ownership limit. Our charter will also prohibit any person from owning shares of our stock that would result in our being “closely held” under Section 856(h) of the Code or otherwise cause us to fail to qualify as a REIT. In addition, our charter will provide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2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Maryland law and provisions in our charter and bylaws may delay or prevent takeover attempts by third parties and therefore inhibit our shareholders from realizing a premium on their stock.</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and bylaws will contain, and Maryland law contains, provisions that are intended to deter coercive takeover practices and inadequate takeover bids and to encourage prospective acquirors to negotiate with our board of directors, rather than to attempt a hostile takeover. Our charter and bylaws will, among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things (1) contain transfer and ownership restrictions on the percentage by number and value of outstanding shares of our stock that may be owned or acquired by any shareholder; (2) provide that shareholders are not allowed to act by written consent; (3) permit the board of directors, without further action of the shareholders, to increase or decrease the authorized number of shares and to issue and fix the terms of one or more classes or series of preferred stock, which may have rights senior to those of the common stock; (4) permit only the board of directors to amend the bylaws; (5) establish certain advance notice procedures for shareholder proposals and director nominations; (6) provide that special meetings of shareholders may only be called by the company or upon written request of a majority in voting power of the shareholders entitled to vote at the meeting; (7) provide for supermajority approval requirements for amending or repealing certain provisions in our charter; and (8) designate the Maryland courts as the exclusive forum for resolving certain claims.</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specific anti-takeover provisions of the Maryland General Corporation Law (“MGCL”) could make it more difficult for a third party to attempt a hostile takeover. These provisions include:</w:t>
      </w:r>
    </w:p>
    <w:p>
      <w:pPr>
        <w:spacing w:after="0" w:line="76" w:lineRule="exact"/>
        <w:rPr>
          <w:sz w:val="20"/>
          <w:szCs w:val="20"/>
          <w:color w:val="auto"/>
        </w:rPr>
      </w:pPr>
    </w:p>
    <w:p>
      <w:pPr>
        <w:ind w:left="900" w:right="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shares or an affiliate thereof) for five years after the most recent date on which the shareholder becomes an interested stockholder, and thereafter impose special appraisal rights and special shareholder voting requirements on these combinations; and</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share” provisions that provide that “control shares” of our company (defined as shares which, when aggregated with other shares controlled by the shareholder, entitle the shareholder to exercise one of three increasing ranges of voting power in electing directors) acquired in a “control share acquisition” (defined as the direct or indirect acquisition of ownership or control of “control shares”) have no voting rights except to the extent approved by our shareholders by the affirmative vote of at least two-thirds of all the votes entitled to be cast on the matter, excluding all interested shares.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our best interests. These provisions may also prevent or discourage attempts to remove and replace incumbent directors.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hire, or if we lose, key management personnel, we may not be able to successfully manage our business and achieve our objectives.</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success depends in large part upon the leadership and performance of our executive management team, particularly , and other key employees. If we lose the services of or are not able to hire, or if we lose, other key employees we may not be able to successfully manage our business or achieve our business objectives.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Master Lease will require, and new lease agreements that we enter into are expected to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Our properties are located in 37 states, and if one of our properties experiences a loss that is uninsured or that exceeds policy coverage limits, we could lose the capital invested in the damaged property as well as the anticipated future cash flows from the property. If the damaged property is subject to recourse indebtedness, we could continue to be liable for the indebtedness even if the property is irreparably damaged.</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the owner of distribution systems serving the communications industry, we will be impacted by the risks associated with the communications industry. Therefore, our success is to some degree dependent on the communications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communications business would likely have a greater adverse effect on our revenues than if we owned a more diversified real estate portfolio.</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communications industry is characterized by a high degree of competition among a large number of participants. Competition is intense between telecommunications, wireless and cable operators in most of the markets where our properties are located. As competing properties are constructed, the lease rates we assess for our properties may be negatively impacted upon renewal or new tenant pricing events.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and Properties – Government Regulation, Licensing and Enforcement.”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There is no existing market for our common stock and a trading market that will provide you with adequate liquidity may not develop for our common stock. In addition, once our common stock begins trading, the market price and trading volume of our common stock may fluctuate widely.</w:t>
      </w:r>
    </w:p>
    <w:p>
      <w:pPr>
        <w:spacing w:after="0" w:line="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There is no current trading market for our common stock. Our common stock issued in the Spin-Off will be trading publicly for the first time. We anticipate that a limited market, commonly known as a “when-distributed” trading market, will develop shortly before the record date, and that “regular-way” trading in shares of our common stock will begin on the first trading day following the distribution date. However, there can be no assurance that an active trading market for our common stock will develop as a result of the Spin-Off or be sustained in the future. The lack of an active trading market may make it more difficult for you to sell your shares and could lead to our share price being depressed or more volatile.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many reasons, including the risks identified in this information statement, the market price of our common stock following the Spin-Off may be more volatile than the market price of Windstream Holdings common stock before the Spin-Off. These factors may result in short-term or long-term negative pressure on the value of our common stock.</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We cannot predict the prices at which our common stock may trade after the Spin-Off. The market price of our common stock may fluctuate significantly, depending upon many factors, some of which may be beyond our control, including, but not limited to:</w:t>
      </w:r>
    </w:p>
    <w:p>
      <w:pPr>
        <w:spacing w:after="0" w:line="7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or annual earnings, or those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operating performance and stock price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market fluctuations;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combined post-Spin-Off value of Windstream Holdings common stock and our common stock may not equal or exceed the pre-Spin-Off value of Windstream Holdings common stock.</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cannot assure you that the combined trading prices of Windstream Holdings common stock and our common stock after the Spin-Off will be equal to or greater than the trading price of Windstream Holdings common stock prior to the Spin-Off. Until the market has fully evaluated the business of Windstream Holdings without our business, the price at which Windstream Holdings common stock trades may fluctuate more significantly than might otherwise be typical. Similarly, until the market has fully evaluated the stand-alone business of our company, the price at which shares of our common stock trades may fluctuate more significantly than might otherwise be typical, including volatility caused by general market conditions.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our common stock, including the disposition by Windstream of shares of our common stock that it retains after the Spin-Off, could depress the market price for shares of our common stock.</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common stock that Windstream Holdings intends to distribute in the Spin-Off generally may be sold immediately in the public market. Although we have no actual knowledge of any plan or intention on the part of any holder of Windstream Holdings common stock to sell our common stock on or after the record date, it is possible that some Windstream Holdings shareholders will decide to sell some or all of the shares of our common stock that they receive in the Spin-Off.</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some of the holders of Windstream Holdings common stock are index funds tied to stock or investment indices or are institutional investors bound by various investment guidelines. Companies 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generally selected for investment indices, and in some cases selected by institutional investors, based on factors such as market capitalization, industry, trading liquidity and financial condition. As an independent company, we expect to initially have a lower market capitalization than Windstream Holdings has today, and our business will differ from the business of Windstream Holdings prior to the Spin-Off. As a result, our common stock may not qualify for those investment indices. In addition, our common stock may not meet the investment guidelines of some institutional investors. Consequently, these index funds and institutional investors may have to sell some or all of our common stock they receive in the Spin-Off.</w:t>
      </w:r>
    </w:p>
    <w:p>
      <w:pPr>
        <w:spacing w:after="0" w:line="1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addition, following the Spin-Off, Windstream will retain a passive ownership interest in up to 19.9 percent of our common stock. Pursuant to the Stockholder’s and Registration Right Agreement with Windstream, Windstream will be required to vote such shares in proportion to the votes cast by our other shareholders, will grant CS&amp;L a proxy with respect to such shares, and will agree not to seek a seat on the board of directors of CS&amp;L. Windstream will also agree in the Stockholder’s and Registration Rights Agreement not to acquire additional shares of CS&amp;L common stock.</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Windstream intends to use all of its shares of CS&amp;L common stock opportunistically during a twelve month period following the Spin-Off, subject to market conditions, to retire debt. Pursuant to the Stockholder’s and Registration Rights Agreement, we will agree that, upon the request of Windstream we will use our best efforts to effect the registration under applicable securities laws of the shares of common stock retained by Windstream. See “Our Relationship with Windstream Following the Spin-Off.”</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disposition by Windstream, or any other significant shareholder, of our common stock, or the perception in the market that such dispositions could occur, may cause the price of our common stock to fall. Any such decline could impair our ability to raise capital through future sales of our common stock. Further, our common stock may not qualify for other investment indices, including indices specific to REITs, and any such failure may discourage new investors from investing in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of our ability to pay dividends in the future.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It is expected that our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Our ability to pay dividends may be adversely affected by a number of factors, including the risk factors described in this information statement.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Furthermore, while we are required to pay dividends in order to maintain our REIT status (as described above under “Risks Related to Our Taxation as a REIT—REIT distribution requirements could adversely affect our ability to execute our business plan”), we may elect not to maintain our REIT status, in which case we would no longer be required to pay such dividends. Moreover, even if we do elect to maintain our REIT status, after completing various procedural steps, we may elect to comply with the applicable distribution requirements by distributing, under certain circumstances, a portion of the required amount in the form of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information statement includes forward-looking statements, including the sections entitled “Summary,” “Risk Factors,” “The Spin-Off,” “Management’s Discussion and Analysis of Financial Condition and Results of Operation,” and “Business and Properties.” Forward-looking statements include all statements that are not historical statements of fact and those regarding our intent, belief or expectations, including, but not limited to, statements regarding: the anticipated timing, structure, benefits and tax treatment of the Spin-Off; future financing plans, business strategies, growth prospects and operating and financial performance; expectations regarding the making of distributions and the payment of dividends; and compliance with and changes in governmental regulations.</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achieve some or all the benefits that we expect to achieve from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the nonoccurrence of the consummation of the Spin-Off;</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and willingness of Windstream to meet and/or perform its obligations under any contractual arrangements that are entered into with us in connection with the Spin-Off, including the Master Lease, and any of its obligations to indemnify, defend and hold us harmless from and against various claims, litigation and liabilities;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Windstream to comply with laws, rules and regulations in the operation of the assets we will lease to it following the Spin-Off;</w:t>
      </w:r>
    </w:p>
    <w:p>
      <w:pPr>
        <w:spacing w:after="0" w:line="142"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and willingness of our tenants, including Windstream, to renew their leases with us upon their expiration, and the ability to reposition our properties on the same or better terms in the event of nonrenewal or in the event we replace an existing tenant, and obligations, including indemnification obligations, we may incur in connection with the replacement of an existing tenant;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acquisition opportunities and the ability to acquire and lease the respective properties on favorable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debt and equity capital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retain our key management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qualify or maintain our status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U.S. tax law and other state, federal or local laws, whether or not specific to REITs;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inherent in the Distribution Systems, including potential liability relating to environmental matters and illiquidity of real estate investments;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“Business and Properties,” “Risk Factors” and “Management’s Discussion and Analysis of Financial Condition and Results of Operations” in this information statement.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Forward-looking statements speak only as of the date of this information statement.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statement is based.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Spin-Off</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implement the Spin-Off. As part of the Spin-Off, Windstream will reorganize its assets and liabilities into two companies:</w:t>
      </w:r>
    </w:p>
    <w:p>
      <w:pPr>
        <w:spacing w:after="0" w:line="76" w:lineRule="exact"/>
        <w:rPr>
          <w:sz w:val="20"/>
          <w:szCs w:val="20"/>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Windstream will accomplish the separation by having its wholly owned subsidiary Windstream Subsidiary, or Windstream Subsidiary’s subsidiaries, contribute to CS&amp;L the assets currently owned by Windstream constituting the Distribution Systems and the Consumer CLEC Business, and related liabilities in exchange for:</w:t>
      </w:r>
    </w:p>
    <w:p>
      <w:pPr>
        <w:spacing w:after="0" w:line="8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to Windstream Subsidiary of CS&amp;L common stock to be distributed in the Spin-Off;</w:t>
      </w:r>
    </w:p>
    <w:p>
      <w:pPr>
        <w:spacing w:after="0" w:line="130"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transfer from CS&amp;L to Windstream Subsidiary of an amount not to exceed the tax basis of Windstream Subsidiary in the CS&amp;L common stock (which is estimated to equal approximately $1.2 billion), which Windstream Subsidiary will use to retire Windstream Subsidiary debt; and</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from CS&amp;L to Windstream Subsidiary of CS&amp;L debt securities, which Windstream Subsidiary intends to exchange for outstanding Windstream Subsidiary debt.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Subsequently, Windstream Subsidiary will distribute no less than 80.1 percent of the outstanding shares of CS&amp;L to Windstream Holdings and Windstream Holdings will distribute no less than 80.1 percent of the outstanding shares of CS&amp;L common stock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holders of Windstream Holdings common stock pursuant to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Immediately after the Spin-Off, the Company and Windstream Holdings will enter into the Master Lease, under which Windstream Holdings will lease the Distribution Systems on a triple-net basis. The Company and Windstream Holdings will also enter into a number of other agreements to govern the relationship between them following the Spin-Off. See “Our Relationship with Windstream Following the Spin-Off.”</w:t>
      </w:r>
    </w:p>
    <w:p>
      <w:pPr>
        <w:spacing w:after="0" w:line="166"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Upon the satisfaction or waiver of the conditions to the Spin-Off, which are described in more detail in “—Conditions to the Spin-Off” below, and after giving effect to the interest in CS&amp;L retained by Windstream, Windstream Holdings will effect the Spin-Off by distributing to Windstream Holdings’</w:t>
      </w:r>
    </w:p>
    <w:p>
      <w:pPr>
        <w:sectPr>
          <w:pgSz w:w="11900" w:h="16838" w:orient="portrait"/>
          <w:cols w:equalWidth="0" w:num="1">
            <w:col w:w="11400"/>
          </w:cols>
          <w:pgMar w:left="240" w:top="459" w:right="259" w:bottom="1440" w:gutter="0" w:footer="0" w:header="0"/>
        </w:sectPr>
      </w:pPr>
    </w:p>
    <w:p>
      <w:pPr>
        <w:spacing w:after="0"/>
        <w:rPr>
          <w:sz w:val="20"/>
          <w:szCs w:val="20"/>
          <w:color w:val="auto"/>
        </w:rPr>
      </w:pPr>
      <w:r>
        <w:rPr>
          <w:rFonts w:ascii="Arial" w:cs="Arial" w:eastAsia="Arial" w:hAnsi="Arial"/>
          <w:sz w:val="16"/>
          <w:szCs w:val="16"/>
          <w:color w:val="auto"/>
        </w:rPr>
        <w:t>shareholders one share of CS&amp;L common stock for every five shares of Windstream Holdings common stock held at the close of business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4" w:lineRule="exact"/>
        <w:rPr>
          <w:sz w:val="20"/>
          <w:szCs w:val="20"/>
          <w:color w:val="auto"/>
        </w:rPr>
      </w:pPr>
    </w:p>
    <w:p>
      <w:pPr>
        <w:sectPr>
          <w:pgSz w:w="11900" w:h="16838" w:orient="portrait"/>
          <w:cols w:equalWidth="0" w:num="2">
            <w:col w:w="10400" w:space="720"/>
            <w:col w:w="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2015, the record date for the Spin-Off. We expect the shares of CS&amp;L common stock to be distributed by Windstream Holdings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4" w:lineRule="exact"/>
        <w:rPr>
          <w:sz w:val="20"/>
          <w:szCs w:val="20"/>
          <w:color w:val="auto"/>
        </w:rPr>
      </w:pPr>
    </w:p>
    <w:p>
      <w:pPr>
        <w:sectPr>
          <w:pgSz w:w="11900" w:h="16838" w:orient="portrait"/>
          <w:cols w:equalWidth="0" w:num="2">
            <w:col w:w="10300" w:space="720"/>
            <w:col w:w="3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2015.</w:t>
      </w:r>
    </w:p>
    <w:p>
      <w:pPr>
        <w:sectPr>
          <w:pgSz w:w="11900" w:h="16838" w:orient="portrait"/>
          <w:cols w:equalWidth="0" w:num="1">
            <w:col w:w="11400"/>
          </w:cols>
          <w:pgMar w:left="240" w:top="459" w:right="259" w:bottom="1440" w:gutter="0" w:footer="0" w:header="0"/>
          <w:type w:val="continuous"/>
        </w:sectPr>
      </w:pPr>
    </w:p>
    <w:p>
      <w:pPr>
        <w:spacing w:after="0" w:line="23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will not be required to make any payment, surrender or exchange your shares of Windstream Holdings common stock or take any other action to receive your shares of our common stock.</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will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expectations, CS&amp;L is obligated to make the Purging Distribution, such distribution would be paid to CS&amp;L shareholders in a combination of cash and CS&amp;L stock, with the cash portion not to exceed 20% of the total amount of the Purging Distribution. If required to do so, CS&amp;L expects that it would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 We cannot provide any assurances that the Spin-Off will be completed. For a more detailed description of these conditions, see the section entitled “—Conditions to the Spin-Off”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900" w:right="4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Flexibility for CS&amp;L to Expand its Real Estate Business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Following the Spin-Off, CS&amp;L will be uniquely positioned to pursue opportunities to broaden its real estate holdings that would not currently be available to it as a subsidiary of Windstream. As an unrelated party not perceived to be a competitor, CS&amp;L will have greater ability to pursue transactions to acquire the communication distribution systems of competitors of Windstream. CS&amp;L is also expected to benefit from being able to offer industry participants attractive transaction terms based on an expected lower cost of capital following the Spin-Off than is currently available to Windstream. CS&amp;L will also have the focus and expertise to manage real estate, particularly as it relates to communication properties, and greater flexibility to invest in communication distribution systems outside of Windstream’s business model such as fiber assets, wireless assets and cable communication systems, as well as assets outside of the communications sector. CS&amp;L will have additional opportunities to diversify its tenant mix and grow both within telecom and other industry sectors that would not be available as a subsidiary of Windstream.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Issue Equity on More Favorable Terms for Investments and Acquisitions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CS&amp;L pursues expansion opportunities following the Spin-Off with potential sellers of real estate assets, CS&amp;L will be in an improved position to offer equity as acquisition consideration on terms that are more favorable to such sellers and with less dilution to existing shareholders than could be achieved by Windstream. Sellers will be able to receive acquisition consideration in the form of equity in a pure play entity like CS&amp;L with a geographically diverse asset portfolio, and this consideration is likely to be a preferred form of equity to sellers of real estate, as compared to an investment in a specialized telecommunications carrier like Windstream. Additionally, we believe a number of sellers of real estate assets will likely favor equity securities with dividend yields that are high and relatively stable, which should align with CS&amp;L’s investment profile.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Creates Opportunity to Unlock Shareholder Value by Creating Two Independent Public Companies with Distinct Investment Characteristics</w:t>
      </w:r>
    </w:p>
    <w:p>
      <w:pPr>
        <w:spacing w:after="0" w:line="1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Spin-Off will create two independent public companies whose market valuations will be determined based on each company’s asset mix, business outlook, capital allocation policies, and strategic objectives. In addition, each stock will appeal to a different investor class that seeks to invest in stocks with specific underlying characteristics. We expect CS&amp;L will be valued consistently with REITs that derive their revenue from triple-net leases with long duration and with appropriate rent escalators, and these attributes provide REIT investors with prospects for stable cash flows, stable dividends, and less exposure to fluctuations in operating results more typically associated with the underlying operating companies. The Spin-Off also allows Windstream to retire approximately $3.4 billion in debt at the time of the Spin-Off and additional debt thereafter and is expected to unlock additional free cash flow that can be used to fund incremental growth opportunities in Windstream’s business. We believe that this structure creates the potential to unlock additional incremental value for shareholders over time compared to the stand-alone value of Windstream.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Raise Capital by Issuing Equity on More Favorable Terms to Investors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There is a highly liquid and well-developed capital markets investor base for investments in REITs. We believe that over time CS&amp;L will gain access to capital from investors in this investor base who invest in the equity securities of REITs for their stable cash flow and dividend characteristics. Because this REIT investor base is distinct from the institutions who invest in an operating company like Windstream, we believe that the Spin-Off will position CS&amp;L to raise capital for real estate acquisitions on terms more favorable than would be possible for Windstream.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Competition for Capital Resources within Windstream</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Absent the Spin-Off, the prospects for CS&amp;L’s business plan would be constrained by Windstream’s focus on its core communications business and by internal competition for the allocation of capital resources. The Spin-Off will create two independent public companies with separate management teams who can focus on their respective business plans and strategic objectives. As a result, the Spin-Off will reduce competition for capital resources and better position both companies to successfully pursue their business plans.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Each of Windstream’s and CS&amp;L’s Ability to Attract and Retain Qualified Management</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creating two independent public companies with separate business plans will improve the ability of each company to attract and retain management through the issuance of equity-based compensation linked directly to the line of business in which each management team is employed. The Spin-Off also allows CS&amp;L to attract and retain a separate management team with the specific skills and experience to operate a REIT, which skills are distinct from those necessary to operate Windstream’s core communication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Allows CS&amp;L to Optimize its Leverage Profile and Provide Greater Financial and Strategic Flexibility to Both Companies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Historically, REITs have been able to incur and maintain higher debt leverage ratios than their tenant operating companies because of the operating characteristics of REITs including their relatively stable cash flows and less volatility in operating results. Accordingly, CS&amp;L is expected to raise and maintain debt capital at higher leverage ratios than Windstream, and as a result the Spin-Off should allow capital to be allocated more efficiently across the entire system of the two companies as compared to Windstream on a stand-alone basis. This dynamic facilitates Windstream’s ability to retire approximately $3.4 billion in debt at the time of the Spin-Off and additional debt thereafter, to delever upfront and to generate additional free cash flow that can be used to fund incremental growth opportunities in Windstream’s business. As a result, the Spin-Off is expected to allow both companies to optimize their leverage profiles and capital allocation policies to best suit their long-term business plans.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general terms and conditions relating to the Spin-Off will be set forth in the Separation and Distribution Agreement between us and Windstream.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w w:val="97"/>
              </w:rPr>
              <w:t>Under the Separation and Distribution Agreement, the Spin-Off is anticipated to be effective from and after</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giving effect to the interest in CS&amp;L retained by Windstream, you will receive one share of CS&amp;L common stock for every five shares of</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Windstream Holdings common stock that you owned at the close of business on , 2015, the record date. The actual total number of shares of our common stock to be distributed will depend on the number of shares of Windstream Holdings common stock outstanding on the record date. The shares of our common stock to be distributed will constitute no less than 80.1 percent of the outstanding shares of our common stock.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Windstream Holdings will be issuing physical certificates representing shares of our common stock. Instead, if you own Windstream Holdings common stock as of the close of business on the record date, the shares of our common stock that you are entitled to receive in the Spin-Off will be issued electronically, as of the distribution date, to you or to your bank or brokerage firm on your behalf by way of direct registration in book-entry form. A benefit of issuing stock electronically in book-entry form is that there will be none of the physical handling and safekeeping responsibilities that are inherent in owning physical stock certificates.</w:t>
      </w:r>
    </w:p>
    <w:p>
      <w:pPr>
        <w:spacing w:after="0" w:line="18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If you hold physical stock certificates that represent your shares of Windstream Holdings common stock and you are the registered holder of the Windstream Holdings shares represented by those certificates, the distribution agent will mail you an account statement that reflects the number of shares of our common stock that have been registered in book-entry form in your name. If you have any questions concerning the mechanics of having shares of</w:t>
      </w:r>
    </w:p>
    <w:p>
      <w:pPr>
        <w:spacing w:after="0"/>
        <w:tabs>
          <w:tab w:leader="none" w:pos="7660" w:val="left"/>
          <w:tab w:leader="none" w:pos="8980" w:val="left"/>
          <w:tab w:leader="none" w:pos="10480" w:val="left"/>
        </w:tabs>
        <w:rPr>
          <w:sz w:val="20"/>
          <w:szCs w:val="20"/>
          <w:color w:val="auto"/>
        </w:rPr>
      </w:pPr>
      <w:r>
        <w:rPr>
          <w:rFonts w:ascii="Arial" w:cs="Arial" w:eastAsia="Arial" w:hAnsi="Arial"/>
          <w:sz w:val="18"/>
          <w:szCs w:val="18"/>
          <w:color w:val="auto"/>
        </w:rPr>
        <w:t>Windstream Holdings common stock registered in book-entry form, you are encouraged to contact</w:t>
      </w:r>
      <w:r>
        <w:rPr>
          <w:sz w:val="20"/>
          <w:szCs w:val="20"/>
          <w:color w:val="auto"/>
        </w:rPr>
        <w:tab/>
      </w:r>
      <w:r>
        <w:rPr>
          <w:rFonts w:ascii="Arial" w:cs="Arial" w:eastAsia="Arial" w:hAnsi="Arial"/>
          <w:sz w:val="18"/>
          <w:szCs w:val="18"/>
          <w:color w:val="auto"/>
        </w:rPr>
        <w:t>by mail at</w:t>
      </w:r>
      <w:r>
        <w:rPr>
          <w:sz w:val="20"/>
          <w:szCs w:val="20"/>
          <w:color w:val="auto"/>
        </w:rPr>
        <w:tab/>
      </w:r>
      <w:r>
        <w:rPr>
          <w:rFonts w:ascii="Arial" w:cs="Arial" w:eastAsia="Arial" w:hAnsi="Arial"/>
          <w:sz w:val="18"/>
          <w:szCs w:val="18"/>
          <w:color w:val="auto"/>
        </w:rPr>
        <w:t>, by phone at</w:t>
      </w:r>
      <w:r>
        <w:rPr>
          <w:sz w:val="20"/>
          <w:szCs w:val="20"/>
          <w:color w:val="auto"/>
        </w:rPr>
        <w:tab/>
      </w:r>
      <w:r>
        <w:rPr>
          <w:rFonts w:ascii="Arial" w:cs="Arial" w:eastAsia="Arial" w:hAnsi="Arial"/>
          <w:sz w:val="16"/>
          <w:szCs w:val="16"/>
          <w:color w:val="auto"/>
        </w:rPr>
        <w:t>or by email</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Most Windstream Holdings shareholders hold their shares of Windstream Holdings common stock through a bank or brokerage firm. In such cases, the bank or brokerage firm would be said to hold the stock in “street name” and ownership would be recorded on the bank or brokerage firm’s books. If you hold your Windstream Holdings common stock through a bank or brokerage firm, your bank or brokerage firm will credit your account for the shares of our common stock that you are entitled to receive in the Spin-Off. If you have any questions concerning the mechanics of having shares of our common stock held in “street name,” you are encouraged to contact your bank or brokerage firm.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121" w:lineRule="exact"/>
        <w:rPr>
          <w:sz w:val="20"/>
          <w:szCs w:val="20"/>
          <w:color w:val="auto"/>
        </w:rPr>
      </w:pPr>
    </w:p>
    <w:p>
      <w:pPr>
        <w:ind w:left="540" w:right="560" w:hanging="83"/>
        <w:spacing w:after="0" w:line="277" w:lineRule="auto"/>
        <w:rPr>
          <w:sz w:val="20"/>
          <w:szCs w:val="20"/>
          <w:color w:val="auto"/>
        </w:rPr>
      </w:pPr>
      <w:r>
        <w:rPr>
          <w:rFonts w:ascii="Arial" w:cs="Arial" w:eastAsia="Arial" w:hAnsi="Arial"/>
          <w:sz w:val="18"/>
          <w:szCs w:val="18"/>
          <w:color w:val="auto"/>
        </w:rPr>
        <w:t>After the Spin-Off, we will be an independent, publicly traded company. Immediately following the Spin-Off, we expect to have approximately shareholders of record, based on the number of registered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tc>
        <w:tc>
          <w:tcPr>
            <w:tcW w:w="156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513"/>
        </w:trPr>
        <w:tc>
          <w:tcPr>
            <w:tcW w:w="4540" w:type="dxa"/>
            <w:vAlign w:val="bottom"/>
          </w:tcPr>
          <w:p>
            <w:pPr>
              <w:spacing w:after="0"/>
              <w:rPr>
                <w:sz w:val="20"/>
                <w:szCs w:val="20"/>
                <w:color w:val="auto"/>
              </w:rPr>
            </w:pPr>
            <w:r>
              <w:rPr>
                <w:rFonts w:ascii="Arial" w:cs="Arial" w:eastAsia="Arial" w:hAnsi="Arial"/>
                <w:sz w:val="18"/>
                <w:szCs w:val="18"/>
                <w:color w:val="auto"/>
              </w:rPr>
              <w:t>shareholders of Windstream Holdings common stock on</w:t>
            </w:r>
          </w:p>
        </w:tc>
        <w:tc>
          <w:tcPr>
            <w:tcW w:w="1560" w:type="dxa"/>
            <w:vAlign w:val="bottom"/>
          </w:tcPr>
          <w:p>
            <w:pPr>
              <w:ind w:left="460"/>
              <w:spacing w:after="0"/>
              <w:rPr>
                <w:sz w:val="20"/>
                <w:szCs w:val="20"/>
                <w:color w:val="auto"/>
              </w:rPr>
            </w:pPr>
            <w:r>
              <w:rPr>
                <w:rFonts w:ascii="Arial" w:cs="Arial" w:eastAsia="Arial" w:hAnsi="Arial"/>
                <w:sz w:val="18"/>
                <w:szCs w:val="18"/>
                <w:color w:val="auto"/>
              </w:rPr>
              <w:t>, 2015, and</w:t>
            </w:r>
          </w:p>
        </w:tc>
        <w:tc>
          <w:tcPr>
            <w:tcW w:w="5120" w:type="dxa"/>
            <w:vAlign w:val="bottom"/>
          </w:tcPr>
          <w:p>
            <w:pPr>
              <w:ind w:left="300"/>
              <w:spacing w:after="0"/>
              <w:rPr>
                <w:sz w:val="20"/>
                <w:szCs w:val="20"/>
                <w:color w:val="auto"/>
              </w:rPr>
            </w:pPr>
            <w:r>
              <w:rPr>
                <w:rFonts w:ascii="Arial" w:cs="Arial" w:eastAsia="Arial" w:hAnsi="Arial"/>
                <w:sz w:val="18"/>
                <w:szCs w:val="18"/>
                <w:color w:val="auto"/>
                <w:w w:val="90"/>
              </w:rPr>
              <w:t>shares of our common stock outstanding. Up to 19.9 percent of our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will be held by Windstream. The actual number of shares to be distributed will be determined on the record date and will reflect any changes</w:t>
      </w:r>
    </w:p>
    <w:p>
      <w:pPr>
        <w:spacing w:after="0" w:line="32"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in the number of shares of Windstream Holdings common stock between , 2015 and the record date. The Spin-Off will not affect the number of outstanding shares of Windstream Holdings common stock or any rights of Windstream Holdings shareholders.</w:t>
      </w:r>
    </w:p>
    <w:p>
      <w:pPr>
        <w:spacing w:after="0" w:line="18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Immediately after the Spin-Off, we and Windstream Holdings will enter into the Master Lease, under which Windstream Holdings will lease the Distribution Systems on a triple-net basis. The Company and Windstream will also enter into a number of other agreements to govern their relationship following the Spin-Off, and divide and allocate various assets and liabilities and rights and obligations. We also will enter into a Stockholder’s and Registration Rights Agreement with Windstream pursuant to which, among other things, we will agree that, upon the request of Windstream, we will use our best efforts to effect the registration under applicable federal and state securities laws of the shares of CS&amp;L common stock retained by Windstream after the Spin-Off. For a more detailed description of these agreements, see the section entitled “Our Relationship With Windstream Following the Spin-Off.”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The transfer agent will not distribute any fractional shares of our common stock in connection with the Spin-Off. Instead, the transfer agent will aggregate all fractional shares of our common stock into whole shares and sell them on the open market at the prevailing market prices on behalf of those registered holders who otherwise would be entitled to receive a fractional share. We anticipate that these sales will occur as soon as practicable after the distribution date. The transfer agent will then distribute to such registered holders the aggregate cash proceeds of such sale, in an amount equal to their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share of the total proceeds of those sales. Any applicable expenses, including brokerage fees, will be paid by us. We do not expect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to be material to us.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hold physical stock certificates that represent your shares of Windstream Holdings common stock and you are the registered holder of the Windstream Holdings shares represented by those certificates, your check for any cash that you may be entitled to receive instead of fractional shares of our common stock will be mailed to you separately. If you hold your shares of Windstream Holdings common stock through a bank or brokerage firm, your bank or brokerage firm will receive, on your behalf, your pro rata share of the aggregate net cash proceeds from the sales and will electronically credit your account for your share of such proceeds.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None of us, Windstream Holdings or the transfer agent will guarantee any minimum sale price for the fractional shares of our common stock. Neither we nor Windstream Holdings will pay any interest on the proceeds from the sale of fractional shares. The receipt of cash in lieu of fractional shares will generally be taxable to the recipient shareholders. Each shareholder entitled to receive cash proceeds from these fractional shares should consult his, her or its own tax advisor as to the shareholder’s particular circumstances. See “—U.S. Federal Income Tax Consequences of the Spin-Off.”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 of Our Shares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is no current trading market for CS&amp;L common stock. A condition to the Spin-Off is the listing of our common stock on NASDAQ. We intend to apply to have our common stock authorized for listing on NASDAQ under the symbol “CSAL.”</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Beginning shortly before the record date and continuing up to and including the distribution date, we expect that there will be two markets in Windstream Holdings common stock: a “due-bills” market and an “ex-distribution” market. Shares of Windstream Holdings common stock that trade on the “due-bills” market will trade with an entitlement to shares of our common stock distributed pursuant to the Spin-Off. Shares that trade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“ex-distribution” market will trade without an entitlement to shares of our common stock distributed pursuant to the Spin-Off. Therefore, if you sell shares of Windstream Holdings common stock in the “due-bills” market after the record date and before the distribution date, you will be selling your right to receive shares of our common stock in connection with the Spin-Off. If you own shares of Windstream Holdings common stock at the close of business on the record date and sell those shares on the “ex-distribution” market before the distribution date, you will still receive the shares of our common stock that you would be entitled to receive pursuant to your ownership of the shares of Windstream Holdings common stock on the record date.</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Furthermore, beginning on or shortly before the record date and continuing up to and including the distribution date, we expect that a limited market, commonly known as a “when-distributed” trading market, will develop in our common stock. “When-distributed” trading refers to a sale or purchase made conditionally because the security has been authorized but not yet distributed. The “when-distributed” trading market will be a market for shares of our common stock that will be distributed to Windstream Holdings shareholders on the distribution date. If you owned shares of Windstream Holdings common stock at the close of business on the record date, you would be entitled to shares of our common stock distributed pursuant to the Spin-Off. You may trade this entitlement to shares of our common stock, without trading the shares of Windstream Holdings common stock you own, on the “when-distributed” market. On the first trading day following the distribution date, “when-distributed” trading with respect to our common stock will end and “regular-way” trading will begin.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Windstream Holdings Equity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Awards of restricted Windstream Holdings common stock, whether held by continuing employees of Windstream or CS&amp;L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Awards of restricted Windstream Holdings stock units, whether held by continuing employees of Windstream or CS&amp;L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employees, will be credited with additional units of CS&amp;L common stock in the same amount as would have been credited as actual shares of CS&amp;L common stock had the Windstream Holdings stock units been actual outstanding shares of Windstream Holdings common stock entitled to participate in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8"/>
          <w:szCs w:val="18"/>
          <w:i w:val="1"/>
          <w:iCs w:val="1"/>
          <w:color w:val="auto"/>
        </w:rPr>
        <w:t>i.e.</w:t>
      </w:r>
      <w:r>
        <w:rPr>
          <w:rFonts w:ascii="Arial" w:cs="Arial" w:eastAsia="Arial" w:hAnsi="Arial"/>
          <w:sz w:val="18"/>
          <w:szCs w:val="18"/>
          <w:color w:val="auto"/>
        </w:rPr>
        <w:t>, OIBDA and total shareholder return (TSR)) vesting conditions, the performance metrics will be equitably adjusted to appropriately preserve the original performance hurdles.</w:t>
      </w:r>
    </w:p>
    <w:p>
      <w:pPr>
        <w:spacing w:after="0" w:line="19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All options to purchase Windstream Holdings common stock (whether held by a Windstream employee or a CS&amp;L employee)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8"/>
          <w:szCs w:val="18"/>
          <w:i w:val="1"/>
          <w:iCs w:val="1"/>
          <w:color w:val="auto"/>
        </w:rPr>
        <w:t>i.e.</w:t>
      </w:r>
      <w:r>
        <w:rPr>
          <w:rFonts w:ascii="Arial" w:cs="Arial" w:eastAsia="Arial" w:hAnsi="Arial"/>
          <w:sz w:val="18"/>
          <w:szCs w:val="18"/>
          <w:color w:val="auto"/>
        </w:rPr>
        <w:t>, the excess of the value of the underlying shares over the aggregate exercise price) will be the same as their intrinsic value immediately before the Spin-Off.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Purging Distribution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would be required to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 to expectations, CS&amp;L is obligated to make the Purging Distribution, such 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9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17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is a summary of the U.S. federal income tax consequences to the holders of shares of Windstream Holdings common stock in connection with the Spin-Off.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Spin-Off will be consummated in accordance with the Separation and Distribution Agreement and as described in this information statement.</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specifically described below, this summary is limited to holders of shares of Windstream Holdings common stock that are U.S. Holders, as defined immediately below. For purposes of this summary, a U.S. Holder is a beneficial owner of Windstream Holdings common stock that is, for U.S. federal income tax purposes:</w:t>
      </w:r>
    </w:p>
    <w:p>
      <w:pPr>
        <w:spacing w:after="0" w:line="8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U.S. or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if (1) a court within the U.S. is able to exercise primary jurisdiction over its administration and one or more U.S. persons have the authority to control all of its substantial decisions, or (2) in the case of a trust that was treated as a domestic trust under the law in effect before 1997, a valid election is in place under applicable Treasury Regulations.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This summary also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5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banks, trusts, financial institutions, or insurance companies;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who acquired shares of Windstream Holdings common stock pursuant to the exercise of employee stock options or otherwise as compensation;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who own, or are deemed to own, at least 10% or more, by voting power or value, of Windstream Holdings equity;</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holders owning Windstream Holdings common stock as part of a position in a straddle or as part of a hedging, conversion, constructive sale, synthetic security, integrated investment, or other risk reduction transaction for U.S. federal income tax purposes;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former citizens or former long-term residents of the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own Windstream Holdings common stock through partnerships or other pass-through entities.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summary does not address the U.S. federal income tax consequences to Windstream Holdings shareholders who do not hold shares of Windstream Holdings common stock as a capital asset. Moreover, this summary does not address any state, local, or foreign tax consequences or any estate, gift or other non-federal income tax consequences.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shares of Windstream Holdings common stock, the tax treatment of a partner in that partnership will generally depend on the status of the partner and the activities of the partnership. Such a partner or partnership is urged to consult its tax advisor as to the tax consequences of the Spin-Off.</w:t>
      </w:r>
    </w:p>
    <w:p>
      <w:pPr>
        <w:spacing w:after="0" w:line="17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YOU ARE URGED TO CONSULT WITH YOUR TAX ADVISOR AS TO THE SPECIFIC U.S. FEDERAL, STATE AND LOCAL, AND NON-U.S. TAX CONSEQUENCES OF THE SPIN-OFF IN LIGHT OF YOUR PARTICULAR CIRCUMSTANCES AND THE EFFECT OF POSSIBLE CHANGES IN LAW THAT MIGHT AFFECT THE TAX CONSEQUENCES DESCRIBED IN THIS INFORMATION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Spin-Off</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Windstream received the IRS Ruling substantially to the effect that, on the basis of certain facts presented and representations and assumptions set forth in the request submitted to the IRS for such IRS Ruling, the Spin-Off will qualify as tax-free under Sections 368(a)(1)(D) and 355 of the Code.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Assuming the Spin-Off qualifies as tax-free under Sections 368(a)(1)(D) and 355 of the Code, for U.S. federal income tax purposes:</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gain or loss will be recognized by Windstream as a result of the Spin-Off;</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gain or loss will be recognized by, or be includible in the income of, a holder of Windstream Holdings common stock solely as a result of the receipt of our common stock in the Spin-Off;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tax basis of the shares of Windstream Holdings common stock and shares of our common stock, including any fractional share deemed received, in the hands of each Windstream Holdings shareholder immediately after the Spin-Off will be the same as the aggregate tax basis of the shares of Windstream Holdings common stock held by such holder immediately before the Spin-Off, allocated between the shares of Windstream Holdings common stock and shares of our common stock, including any fractional share deemed received, in proportion to their relative fair market values immediately following the Spin-Off;</w:t>
      </w:r>
    </w:p>
    <w:p>
      <w:pPr>
        <w:spacing w:after="0" w:line="93"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holding period with respect to shares of our common stock received by Windstream Holdings shareholders will include the holding period of their shares of Windstream Holdings common stock, provided that such shares of Windstream Holdings common stock are held as capital assets immediately following the Spin-Off;</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Windstream Holdings shareholders that have acquired different blocks of Windstream Holdings common stock at different times or at different prices are urged to consult their tax advisors regarding the allocation of their aggregate adjusted basis among, and their holding period of, our shares distributed with respect to blocks of Windstream Holdings common stock; and</w:t>
      </w:r>
    </w:p>
    <w:p>
      <w:pPr>
        <w:spacing w:after="0" w:line="86"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holder of Windstream Holdings common stock who receives cash in lieu of a fractional share of our common stock in the Spin-Off will recognize capital gain or loss measured by the difference between the tax basis of the fractional share deemed to be received, as determined above, and the amount of cash received.</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Although the IRS Ruling generally will be binding on the IRS, the IRS Ruling will be based on certain facts and assumptions, and certain representations and undertakings, from Windstream and us that certain necessary conditions to obtain tax-free treatment under the Code have been satisfied. Furthermore, as a result of the IRS’s general ruling policy with respect to distributions under Section 355 of the Code, the IRS does not rule on whether a distribution satisfies certain critical requirements necessary to obtain tax-free treatment under the Code. In particular, the IRS does not rule that a distribution was effected for a valid business purpose, that a distribution does not constitute a device for the distribution of earnings and profits, and that a distribution is not part of a plan described in Section 355(e) of the Code (as discussed below). Accordingly, the Spin-Off is conditioned upon the receipt by Windstream of the Tax Opinion, in which Skadden, Arps, Slate, Meagher &amp; Flom LLP is expected to conclude that the Spin-Off is being effected for a valid business purpose, that the Spin-Off does not constitute a device for the distribution of earnings and profits, and that the Spin-Off is not part of a plan described in Section 355(e) of the Code. In addition, the IRS Ruling does not address the conversion of Windstream Corporation into a limited liability company. Skadden, Arps, Slate, Meagher &amp; Flom LLP is expected to conclude in the Tax Opinion that the conversion qualifies as a tax-tree transaction. Finally, the IRS did not rule on certain requirements for the tax-free treatment of Windstream’s receipt and subsequent exchange of CS&amp;L debt securities and CS&amp;L common stock for outstanding Windstream debt. Skadden, Arps, Slate, Meagher &amp; Flom LLP is expected to conclude in the Tax Opinion that such requirements also should be satisfied.</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Tax Opinion will rely on the IRS Ruling as to matters covered by the ruling. The Tax Opinion will be based on, among other things, certain assumptions and representations as to factual matters made by Windstream and CS&amp;L that, if incorrect or inaccurate in any material respect, would jeopardize the conclusions reached by counsel in the Tax Opinion. The Tax Opinion will not be binding on the IRS or the courts, and the IRS or the courts may not agree with the opinion. The Tax Opinion will be expressed as of the date issued and will not cover subsequent periods, and the Tax Opinion will rely on the IRS Ruling. As a result, the Tax Opinion is not expected to be issued until after the date of this information statement. An opinion of counsel represents counsel’s best legal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of those conclusions and that a court could sustain that contrary position. If any of the facts, representations, assumptions, or undertakings described or made in connection with the IRS Ruling or the Tax Opinion are not correct, are incomplete or have been violated, the IRS Ruling could be revoked retroactively or modified by the IRS, and our ability to rely on the Tax Opinion could be jeopardized. We are not aware of any facts or circumstances, however,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would cause these facts, representations, or assumptions to be untrue or incomplete, or that would cause any of these undertakings to fail to be complied with, in any material respect.</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notwithstanding the conclusions that are included in the IRS Ruling and that we expect to be included in the Tax Opinion, it is ultimately determined that the Spin-Off does not qualify as tax-free under Section 355 and Section 368(a)(1)(D) of the Code, as applicable, for U.S. federal income tax purposes, then Windstream would recognize taxable gain in an amount equal to the excess, if any, of the fair market value of the shares of our common stock held by it over its tax basis in such shares. In addition, each Windstream Holdings shareholder that receives shares of our common stock in the Spin-Off would be treated as receiving a distribution in an amount equal to the fair market value of our common stock that was distributed to the shareholder, which would generally be taxed as a dividend to the extent of the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Windstream’s current and accumulated earnings and profits, including Windstream’s taxable gain, if any, on the Spin-Off, then treated as a non-taxable return of capital to the extent of the shareholder’s basis in the Windstream Holdings stock and thereafter treated as capital gain from the sale or exchange of Windstream Holdings stock.</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Even if the Spin-Off otherwise qualifies for tax-free treatment under Sections 368(a)(1)(D) and 355 of the Code, the Spin-Off may result in corporate level taxable gain to Windstream under Section 355(e) of the Code if 50% or more, by vote or value, of our stock or Windstream Holdings’ stock is treated as acquired or issued as part of a plan or series of related transactions that includes the Spin-Off. If an acquisition or issuance of our stock or Windstream Holdings’ stock triggers the application of Section 355(e) of the Code, Windstream would recognize taxable gain as described above, but the distribution would generally be tax-free to each Windstream Holdings’ shareholders, as described above.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U.S. Treasury regulations require certain U.S. Holders who are “significant distributees” and who receive common stock in the Spin-Off to attach to their U.S. federal income tax returns for the year in which the Spin-Off occurs a statement setting forth certain information with respect to the transaction. Windstream Holdings will provide shareholders who receive our common stock in the Spin-Off with the information necessary to comply with such requirement. Holders are urged to consult their tax advisors to determine whether they are significant distributees required to provide the foregoing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 fractional shares of our common stock will be distributed to Windstream Holdings shareholders in connection with the Spin-Off. All such fractional shares resulting from the Spin-Off will be aggregated and sold by the transfer agent, and the proceeds, if any, less any brokerage commissions or other fees, will be distributed to Windstream Holdings shareholders in accordance with their fractional interest in the aggregate number of shares sold. A holder that receives cash in lieu of a fractional share of our common stock as a part of the Spin-Off will generally recognize capital gain or loss measured by the difference between the cash received for such fractional share and the holder’s tax basis in the fractional share determined as described above. Any such capital gain or loss will be long-term capital gain or loss if an Windstream Holdings shareholder held such stock for more than one year at the time of the Spin-Off. Long-term capital gains generally are subject to preferential rates of U.S. federal income tax for certain non-corporate U.S. holders (including individuals). The deductibility of capital losses is subject to significant limitations.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Spin-Off</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expect that the Spin-Off will be effective on the distribution date, provided that the following conditions, among others, have been satisfied or waived by the board of directors of Windstream Holdings:</w:t>
      </w:r>
    </w:p>
    <w:p>
      <w:pPr>
        <w:spacing w:after="0" w:line="76" w:lineRule="exact"/>
        <w:rPr>
          <w:sz w:val="20"/>
          <w:szCs w:val="20"/>
          <w:color w:val="auto"/>
        </w:rPr>
      </w:pPr>
    </w:p>
    <w:p>
      <w:pPr>
        <w:jc w:val="both"/>
        <w:ind w:left="900" w:right="540" w:hanging="446"/>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shall have been duly executed and delivered by the parties thereto;</w:t>
      </w:r>
    </w:p>
    <w:p>
      <w:pPr>
        <w:spacing w:after="0" w:line="70" w:lineRule="exact"/>
        <w:rPr>
          <w:rFonts w:ascii="Arial" w:cs="Arial" w:eastAsia="Arial" w:hAnsi="Arial"/>
          <w:sz w:val="17"/>
          <w:szCs w:val="17"/>
          <w:color w:val="auto"/>
        </w:rPr>
      </w:pPr>
    </w:p>
    <w:p>
      <w:pPr>
        <w:ind w:left="900" w:right="6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75" w:lineRule="exact"/>
        <w:rPr>
          <w:rFonts w:ascii="Arial" w:cs="Arial" w:eastAsia="Arial" w:hAnsi="Arial"/>
          <w:sz w:val="18"/>
          <w:szCs w:val="18"/>
          <w:color w:val="auto"/>
        </w:rPr>
      </w:pPr>
    </w:p>
    <w:p>
      <w:pPr>
        <w:ind w:left="900" w:right="20" w:hanging="446"/>
        <w:spacing w:after="0" w:line="31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52" w:lineRule="exact"/>
        <w:rPr>
          <w:rFonts w:ascii="Arial" w:cs="Arial" w:eastAsia="Arial" w:hAnsi="Arial"/>
          <w:sz w:val="16"/>
          <w:szCs w:val="16"/>
          <w:color w:val="auto"/>
        </w:rPr>
      </w:pPr>
    </w:p>
    <w:p>
      <w:pPr>
        <w:ind w:left="900" w:right="8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CS&amp;L common stock to be delivered in the Spin-Off shall have been accepted for listing on NASDAQ, subject to compliance with applicable listing requirements;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CS&amp;L shall have transferred to Windstream Holdings or its continuing subsidiaries, (x) CS&amp;L debt with a principal amount approximately equal to $2.35 billion, (y) an amount in cash that will not exceed Windstream’s total adjusted tax basis in all of the assigned assets, and (z) all of the stock of CS&amp;L;</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86"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fulfillment of the above conditions will not create any obligation on behalf of Windstream to effect the Spin-Off. Until the Spin-Off has occurred, Windstream has the right to terminate the Spin-Off, even if all the conditions have been satisfied, if the board of directors of Windstream Holdings determines that the Spin-Off is not in the best interests of Windstream Holdings and its shareholders or that market conditions or other circumstances are such that the separation of CS&amp;L and Windstream Holdings is no longer advisable at that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must complete the necessary registration under U.S. federal securities laws of our common stock, as well as satisfy the applicable NASDAQ listing requirements for such shares. See “—Conditions to the Spin-Off.”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Windstream Holdings shareholders will not have any appraisal rights in connection with the Spin-Off.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At the time of the Spin-Off, the balance sheet of CS&amp;L will include the assets and liabilities associated with Windstream’s Distribution Systems and Consumer CLEC Business. The assets and liabilities of CS&amp;L will be recorded at their respective historical carrying values at the time of the Spin-Off in accordance with the provisions of FASB ASC 505-60, “Spinoffs and Reverse Spinoffs.”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Stephens Inc. and Bank of America Merrill Lynch are providing financial advice in connection with the Spin-Off. Each was retained in connection with the transaction because of such firm’s familiarity with Windstream’s assets and operations, and such firm’s qualifications and reputation.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Furnishing this Information Statement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furnishing this information statement solely to provide information to Windstream Holdings shareholders who will receive shares of our common stock in the Spin-Off. You should not construe this information statement as an inducement or encouragement to buy, hold or sell any of our securities or any securities of Windstream Holdings. We believe that the information contained in this information statement is accurate as of the date set forth on the cover. Changes to the information contained in this information statement may occur after that date, and neither we nor Windstream Holdings undertake any obligation to update the information except in the normal course of Windstream Holdings’ business and our public disclosure obligations and practices.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Commencing with our taxable year ending December 31, 2015, we expect to initially pay dividends in cash in an amount equal to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U.S. federal income tax law generally requires that a REIT distribute annually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Initially, cash available for distribution to our shareholders will be derived solely from the rental payments under the Master Lease and the income, if any, from operations of the Consumer CLEC Business. All dividends will be made by us at the discretion of our board of directors and will depend on the financial position, results of operations, cash flows, capital requirements, debt covenants (which are expected to include limits on dividends), applicable law and other factors as our board of directors deems relevant. Our board of directors has not yet determined when any dividends will be declared or paid, although we currently expect that dividends will be paid on a quarterly basis. We cannot guarantee, and there can be no assurance, that we will declare or pay any dividends or distributions.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pro forma financial results anticipate that we will receive estimated annual rental revenues of $667.2 million and generate annual operating income before taxes of $159.5 million. After adjusting for non-cash depreciation and amortization expense of $334.1 million, we anticipate that we would have sufficient funds to support our projected quarterly dividend.</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currently intend to pay quarterly dividends in cash. We anticipate that our dividends will generally be taxable as ordinary income to our shareholders, although a portion of the dividends may be designated by us as qualified dividend income or capital gain or may constitute a return of capital. We will furnish annually to each of our shareholders a statement setting forth dividends paid during the preceding year and their characterization as ordinary income, return of capital, qualified dividend income or capital gain. For a more complete discussion of the U.S. federal income tax treatment of distributions to our shareholders, see “U.S. Federal Income Tax Considerations—Taxation of Shareholders—Taxation of Taxable U.S. Shareholders.”</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dividend policy enables us to review from time to time alternative funding sources to pay our required distributions. We presently anticipate that any future property acquisitions will be financed through the proceeds of debt we expect to incur in connection with the Spin-Off, other debt financing or the issuance of equity securities. To the extent those funding sources are insufficient to meet our cash needs, or the cost of such financing exceeds the cash flow generated by the acquired properties for any period, cash available for distribution could be reduced. To the extent that our cash available for distribution is less than the amount required to be distributed under the REIT provisions of the Code, we may consider various funding sources to cover any such shortfall, including borrowing under available debt facilities, selling certain of our assets or using a portion of the net proceeds we receive in future offerings. However, the sale of any properties acquired in connection with the Spin-Off within a ten-year period following the Spin-Off may subject us to adverse consequences. See “Risk Factors—Risks Related to Our Taxation as a REIT.”</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purposes of satisfying the minimum distribution requirement to qualify for and maintain REIT status, our taxable income will be calculated without reference to our cash flow. Consequently, under certain circumstances, we may not have available cash to pay our required distributions and a portion of our distributions may consist of our stock or our debt instruments. In either event, a shareholder of ours will be required to report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dividend income as a result of such distributions even though we distributed no cash or only nominal amounts of cash to such shareholder. The IRS Ruling allows us to make REIT distributions in our first two taxable years in a combination of cash and stock (similar to the Purging Distribution) to satisfy the REIT annual distribution requirement and qualify for the dividends paid deduction for U.S. federal income tax purposes. For more information, see “U.S. Federal Income Tax Considerations—Taxation of REITs in General—Annual Distribution Requirements.” We currently believe that we will have sufficient available cash to pay our required distribution for 2015 in cash, but there can be no assurance that this will be the case.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FINANCING AND MATERIAL INDEBTEDNESS</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The following summary sets forth information based on our current expectations about the financing arrangements anticipated to be entered into prior to the Spin-Off. However, we have not yet entered into any commitments with respect to such financing arrangements, and, accordingly, the terms of such financing arrangements have not yet been determined, remain under discussion and are subject to change, including as a result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Issuance</w:t>
      </w:r>
    </w:p>
    <w:p>
      <w:pPr>
        <w:spacing w:after="0" w:line="121" w:lineRule="exact"/>
        <w:rPr>
          <w:sz w:val="20"/>
          <w:szCs w:val="20"/>
          <w:color w:val="auto"/>
        </w:rPr>
      </w:pPr>
    </w:p>
    <w:p>
      <w:pPr>
        <w:ind w:left="460"/>
        <w:spacing w:after="0"/>
        <w:tabs>
          <w:tab w:leader="none" w:pos="6880" w:val="left"/>
        </w:tabs>
        <w:rPr>
          <w:sz w:val="20"/>
          <w:szCs w:val="20"/>
          <w:color w:val="auto"/>
        </w:rPr>
      </w:pPr>
      <w:r>
        <w:rPr>
          <w:rFonts w:ascii="Arial" w:cs="Arial" w:eastAsia="Arial" w:hAnsi="Arial"/>
          <w:sz w:val="18"/>
          <w:szCs w:val="18"/>
          <w:color w:val="auto"/>
        </w:rPr>
        <w:t>Prior to the Spin-Off, we anticipate that we will issue senior notes with a term of</w:t>
      </w:r>
      <w:r>
        <w:rPr>
          <w:sz w:val="20"/>
          <w:szCs w:val="20"/>
          <w:color w:val="auto"/>
        </w:rPr>
        <w:tab/>
      </w:r>
      <w:r>
        <w:rPr>
          <w:rFonts w:ascii="Arial" w:cs="Arial" w:eastAsia="Arial" w:hAnsi="Arial"/>
          <w:sz w:val="16"/>
          <w:szCs w:val="16"/>
          <w:color w:val="auto"/>
        </w:rPr>
        <w:t>years in a total aggregate principal amount, together with the</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 Subsidiary was determined based on the desired capitalization of Windstream and CS&amp;L after the Spin-Off. It was not determined based on any appraisal or valuation of the properties to be owned by CS&amp;L after the Spin-Off.</w:t>
      </w:r>
    </w:p>
    <w:p>
      <w:pPr>
        <w:spacing w:after="0" w:line="179"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$1.2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To the extent we are required to make the Purging Distribution, we expect to use a portion of the proceeds from the borrowing under the credit agreement to pay the Purging Distribution, which we would expect to make by January 31, 2016. The remaining proceeds will be available to us for working capital purposes, to fund acquisitions and for general corporate purposes.</w:t>
      </w:r>
    </w:p>
    <w:p>
      <w:pPr>
        <w:spacing w:after="0" w:line="19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anticipate that our Holding Company will be the borrower under the credit agreement, and that the borrowing will be guaranteed, jointly and severally, by certain of our Holding Company’s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 credit agreement will require us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comply with financial maintenance covenants to be tested quarterly, consisting of</w:t>
      </w:r>
      <w:r>
        <w:rPr>
          <w:sz w:val="20"/>
          <w:szCs w:val="20"/>
          <w:color w:val="auto"/>
        </w:rPr>
        <w:tab/>
      </w:r>
      <w:r>
        <w:rPr>
          <w:rFonts w:ascii="Arial" w:cs="Arial" w:eastAsia="Arial" w:hAnsi="Arial"/>
          <w:sz w:val="16"/>
          <w:szCs w:val="16"/>
          <w:color w:val="auto"/>
        </w:rPr>
        <w:t>. We anticipate that the credit agreement will also contain certain</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customary events of default. We anticipate that CS&amp;L will be required to maintain its status as a REIT on and after the effective date or its election to be treated as a REIT.</w:t>
      </w:r>
    </w:p>
    <w:p>
      <w:pPr>
        <w:spacing w:after="0" w:line="184"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240" w:top="459" w:right="5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40" w:type="dxa"/>
            <w:vAlign w:val="bottom"/>
          </w:tcPr>
          <w:p>
            <w:pPr>
              <w:ind w:left="3580"/>
              <w:spacing w:after="0"/>
              <w:rPr>
                <w:sz w:val="20"/>
                <w:szCs w:val="20"/>
                <w:color w:val="auto"/>
              </w:rPr>
            </w:pPr>
            <w:r>
              <w:rPr>
                <w:rFonts w:ascii="Arial" w:cs="Arial" w:eastAsia="Arial" w:hAnsi="Arial"/>
                <w:sz w:val="18"/>
                <w:szCs w:val="18"/>
                <w:b w:val="1"/>
                <w:bCs w:val="1"/>
                <w:color w:val="auto"/>
              </w:rPr>
              <w:t>CAPITALIZATION</w:t>
            </w:r>
          </w:p>
        </w:tc>
        <w:tc>
          <w:tcPr>
            <w:tcW w:w="1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18"/>
        </w:trPr>
        <w:tc>
          <w:tcPr>
            <w:tcW w:w="6700" w:type="dxa"/>
            <w:vAlign w:val="bottom"/>
            <w:gridSpan w:val="2"/>
          </w:tcPr>
          <w:p>
            <w:pPr>
              <w:ind w:left="460"/>
              <w:spacing w:after="0"/>
              <w:rPr>
                <w:sz w:val="20"/>
                <w:szCs w:val="20"/>
                <w:color w:val="auto"/>
              </w:rPr>
            </w:pPr>
            <w:r>
              <w:rPr>
                <w:rFonts w:ascii="Arial" w:cs="Arial" w:eastAsia="Arial" w:hAnsi="Arial"/>
                <w:sz w:val="18"/>
                <w:szCs w:val="18"/>
                <w:color w:val="auto"/>
                <w:w w:val="93"/>
              </w:rPr>
              <w:t>The following table sets forth our cash and cash equivalents and capitalization as of</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1"/>
              </w:rPr>
              <w:t>, 201   on a historical and on a pro forma basis to give effect</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w w:val="92"/>
              </w:rPr>
              <w:t>to the Spin-Off and the transactions related thereto, including the financing transactions, as if they occurred on</w:t>
            </w:r>
          </w:p>
        </w:tc>
        <w:tc>
          <w:tcPr>
            <w:tcW w:w="3140" w:type="dxa"/>
            <w:vAlign w:val="bottom"/>
          </w:tcPr>
          <w:p>
            <w:pPr>
              <w:ind w:left="200"/>
              <w:spacing w:after="0"/>
              <w:rPr>
                <w:sz w:val="20"/>
                <w:szCs w:val="20"/>
                <w:color w:val="auto"/>
              </w:rPr>
            </w:pPr>
            <w:r>
              <w:rPr>
                <w:rFonts w:ascii="Arial" w:cs="Arial" w:eastAsia="Arial" w:hAnsi="Arial"/>
                <w:sz w:val="18"/>
                <w:szCs w:val="18"/>
                <w:color w:val="auto"/>
              </w:rPr>
              <w:t>, 201  . Explanation of the pro forma</w:t>
            </w:r>
          </w:p>
        </w:tc>
      </w:tr>
    </w:tbl>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made to our combined historical financial statements can be found under “CS&amp;L’s Unaudited Pro Forma Combined Financial Data.” The following table should be reviewed in conjunction with “CS&amp;L Unaudited Pro Forma Combined Financial Data,” “Management’s Discussion and Analysis of Financial Condition and Results of Operations” and our historical combined financial statements and accompanying notes included elsewhere in this information statement.</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7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40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50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330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300" w:type="dxa"/>
            <w:vAlign w:val="bottom"/>
            <w:vMerge w:val="restart"/>
          </w:tcPr>
          <w:p>
            <w:pPr>
              <w:jc w:val="right"/>
              <w:ind w:right="1856"/>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6"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CS&amp;L’S UNAUDITED PRO FORMA COMBINED FINANCIAL DATA</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unaudited pro forma consolidated financial statements present CS&amp;L’s unaudited pro forma combined income statements for the nine months ended September 30, 2014 and the year ended December 31, 2013, and its unaudited pro forma combined balance sheet as of September 30, 2014, which have been derived from the historical financial statements of the Consumer CLEC Business and Distribution Systems included elsewhere in this information statement.</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unaudited pro forma combined financial statements give effect to the Spin-Off and the related transactions, including: (i) the transfer of certain assets and liabilities from and to Windstream Holdings and CS&amp;L immediately prior to the Spin-Off that are not included in CS&amp;L’s historical balance sheet as of September 30, 2014, (ii) the issuance of $3.65 billion of long-term debt by CS&amp;L and the related debt issuance costs and interest expense as further discussed in Notes (A), (B) and (C) below, (iii) the spin-off and distribution of approximately 150.7 million shares of CS&amp;L common stock to Windstream Holdings, of which no less than 80.1 percent of the outstanding shares or at least 120.7 million shares will be distributed to Windstream Holdings stockholders through a tax-free stock dividend with Windstream Holdings retaining a passive ownership interest in up to 19.9 percent of the common stock of CS&amp;L or up to 30.0 million shares, a cash payment by CS&amp;L to Windstream Holdings in an amount not to exceed Windstream Holdings’ tax basis in the Distribution Systems transferred to CS&amp;L, and the transfer by CS&amp;L of certain of its debt securities to Windstream Holdings; (iv) the rental income associated with the Master Lease between CS&amp;L and Windstream Holdings for the distribution system assets transferred to CS&amp;L; and (v) the elimination of certain deferred income tax liabilities in conjunction with the election of REIT status. The unaudited pro forma combined income statements for the nine months ended September 30, 2014 and the year ended December 31, 2013 assume the Spin-Off and the related transactions occurred on January 1, 2013. The unaudited pro forma combined balance sheet assumes the Spin-Off and the related transactions occurred on September 30, 2014. The pro forma adjustments are based on currently available information and assumptions we believe are reasonable, factually supportable, directly attributable to our separation from Windstream Holdings, and for purposes of the pro forma income statements, are expected to have a continuing impact on us.</w:t>
      </w:r>
    </w:p>
    <w:p>
      <w:pPr>
        <w:spacing w:after="0" w:line="1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directly attributable to the transactions described above, are factually supportable and for purposes of our statement of income are expected to have an ongoing effect. Our unaudited pro forma combined financial statements and explanatory notes present how our financial statements may have appeared had our capital structure reflected the above transactions as of the dates noted above.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pro forma financial results assume that 100% of taxable income has been distributed and that all relevant REIT qualifying tests, as dictated by the Code and IRS rules and interpretations, were met for the entire periods presented herein.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unaudited pro forma combined financial statements were prepared in accordance with Article 11 of Regulation S-X, using the assumptions set forth in the notes to our unaudited pro forma combined financial statements. The following unaudited pro forma combined financial statements are presented for illustrative purposes only and do not purport to reflect the results we may achieve in future periods or the historical results that would have been obtained had the above transactions been completed on January 1, 2013 or as of September 30, 2014, as the case may be. Our unaudited pro forma combined financial statements also do not give effect to the potential impact of current financial conditions, any anticipated synergies, operating efficiencies or cost savings that may result from the transactions described above.</w:t>
      </w:r>
    </w:p>
    <w:p>
      <w:pPr>
        <w:spacing w:after="0" w:line="193"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unaudited pro forma combined financial statements are derived from and should be read in conjunction with the historical financial statements of the Consumer CLEC Business and Distribution Systems and accompanying notes included elsewhere in this information statement.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Services Agreement and Wholesale Reseller Agreement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to enter into a Transition Services Agreement with Windstream Holdings prior to the Spin-Off pursuant to which Windstream Holdings and its affiliates will provide to us for an agreed upon charge, on an interim, transitional basis, various services, including but not limited to employee payroll and benefits, information technology services, financial and tax services, procurement services, regulatory compliance and other support services. In addition, we expect to enter into a Wholesale Reseller Agreement with Windstream Holdings prior to the Spin-off pursuant to which Windstream Holdings and its affiliates will provide to us for an agreed upon charge network transport services for the Consumer CLEC Business. The pricing for the services provided to us under the Transition Services Agreement and Wholesale Reseller Agreement have yet to be finalized. Accordingly, no adjustment to our pro forma combined income statements have been made to reflect these additional charges. See “Our Relationship with Windstream after the Spin-Off” for additional information.</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Transition Services Agreement and Wholesale Reseller Agreement, we expect to incur incremental general and administrative costs resulting from CS&amp;L operating as an independent publicly-traded entity including cash compensation, audit fees, legal and board of director fees, stock exchange listing fees and other shareholder-related costs estimated to be $20.0 million to $25.0 million on an annual basis. These amounts have not been recorded in the pro forma combined statements of income.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As Reported</w:t>
            </w:r>
          </w:p>
        </w:tc>
        <w:tc>
          <w:tcPr>
            <w:tcW w:w="420" w:type="dxa"/>
            <w:vAlign w:val="bottom"/>
          </w:tcPr>
          <w:p>
            <w:pPr>
              <w:spacing w:after="0"/>
              <w:rPr>
                <w:sz w:val="14"/>
                <w:szCs w:val="14"/>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w w:val="96"/>
              </w:rPr>
              <w:t>Pro Forma</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920" w:type="dxa"/>
            <w:vAlign w:val="bottom"/>
            <w:gridSpan w:val="3"/>
          </w:tcPr>
          <w:p>
            <w:pPr>
              <w:jc w:val="right"/>
              <w:ind w:right="480"/>
              <w:spacing w:after="0" w:line="123" w:lineRule="exact"/>
              <w:rPr>
                <w:sz w:val="20"/>
                <w:szCs w:val="20"/>
                <w:color w:val="auto"/>
              </w:rPr>
            </w:pPr>
            <w:r>
              <w:rPr>
                <w:rFonts w:ascii="Arial" w:cs="Arial" w:eastAsia="Arial" w:hAnsi="Arial"/>
                <w:sz w:val="14"/>
                <w:szCs w:val="14"/>
                <w:color w:val="auto"/>
              </w:rPr>
              <w:t>CLEC</w:t>
            </w:r>
          </w:p>
        </w:tc>
        <w:tc>
          <w:tcPr>
            <w:tcW w:w="70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4"/>
              </w:rPr>
              <w:t>Distribution</w:t>
            </w:r>
          </w:p>
        </w:tc>
        <w:tc>
          <w:tcPr>
            <w:tcW w:w="4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2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Business</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rPr>
              <w:t>Systems</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6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Real estate investments, net of accumulated depreciation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60"/>
              <w:spacing w:after="0"/>
              <w:rPr>
                <w:sz w:val="20"/>
                <w:szCs w:val="20"/>
                <w:color w:val="auto"/>
              </w:rPr>
            </w:pPr>
            <w:r>
              <w:rPr>
                <w:rFonts w:ascii="Arial" w:cs="Arial" w:eastAsia="Arial" w:hAnsi="Arial"/>
                <w:sz w:val="18"/>
                <w:szCs w:val="18"/>
                <w:color w:val="auto"/>
                <w:w w:val="86"/>
              </w:rPr>
              <w:t>2,591.5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144.8</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63.9</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3,652.2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color w:val="auto"/>
              </w:rPr>
              <w:t>(D)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(2,591.5)</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in excess of capital</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(842.2)</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2,591.5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(3,443.5)</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2,591.5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color w:val="auto"/>
              </w:rPr>
              <w:t>Pro Forma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Business</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500.4</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500.4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(K)</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(J)</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252.4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413.4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114.3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2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color w:val="auto"/>
              </w:rPr>
              <w:t>Pro Forma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Business</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667.2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667.2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service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712.3</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(K)</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(J)</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334.1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195.1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552.8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159.5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(H)</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152.4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CS&amp;L’s UNAUDITED PRO FORMA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xml:space="preserve"> — Immediately following the Spin-Off, we will own the Distribution Systems and the Consumer CLEC Business that will be contributed to us from Windstream Holdings. The unaudited pro forma combined financial statements give effect to the Spin-Off and related transactions as discussed above.</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Debt Exchange and Debt Retirement</w:t>
      </w:r>
      <w:r>
        <w:rPr>
          <w:rFonts w:ascii="Arial" w:cs="Arial" w:eastAsia="Arial" w:hAnsi="Arial"/>
          <w:sz w:val="16"/>
          <w:szCs w:val="16"/>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September 30, 2014. As a result of capital expenditures to be incurred subsequent to September 30, 2014, Windstream expects that the cash payment to be received from CS&amp;L will be approximately $1.2 billion at the date of Spin-Off. Windstream will use the cash payment received from CS&amp;L to retire approximately $1.0 billion in Windstream Subsidiary debt.</w:t>
      </w:r>
    </w:p>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u w:val="single" w:color="auto"/>
          <w:color w:val="auto"/>
        </w:rPr>
        <w:t>Long-term Lease Agreement</w:t>
      </w:r>
      <w:r>
        <w:rPr>
          <w:rFonts w:ascii="Arial" w:cs="Arial" w:eastAsia="Arial" w:hAnsi="Arial"/>
          <w:sz w:val="18"/>
          <w:szCs w:val="18"/>
          <w:color w:val="auto"/>
        </w:rPr>
        <w:t xml:space="preserve"> — Following the Spin-Off, Windstream Holdings will enter into the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Thereafter, rent will increase on an annual basis at a base rent escalator of 0.5 percent. Future lease payments due under the agreement reset to fair market rental rates upon Windstream Holdings’ execution of the renewal options. CS&amp;L will recognize rental revenues from the Master Lease on a straight-line basis to include the effects of base rent escalations over the initial term of the Master Lease.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3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$3.65 billion in debt.</w:t>
      </w:r>
    </w:p>
    <w:p>
      <w:pPr>
        <w:spacing w:after="0" w:line="117"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CS&amp;L expects to issue $3.65 billion of long-term debt utilizing a mixture of secured and unsecured borrowings that may include term loans, secured and unsecured notes issued in a private placement offering and borrowings under a revolving credit facility. The weighted average maturity of CS&amp;L’s debt is expected to be 9 years. The actual maturity and mix of the debt will depend on a number of factors, including market conditions at the time that the debt is issued.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Debt issuance costs associated with the new debt are estimated to be $63.9 million and will be amortized over the term of the debt instrument.</w:t>
      </w:r>
    </w:p>
    <w:p>
      <w:pPr>
        <w:spacing w:after="0" w:line="142" w:lineRule="exact"/>
        <w:rPr>
          <w:rFonts w:ascii="Arial" w:cs="Arial" w:eastAsia="Arial" w:hAnsi="Arial"/>
          <w:sz w:val="17"/>
          <w:szCs w:val="17"/>
          <w:color w:val="auto"/>
        </w:rPr>
      </w:pPr>
    </w:p>
    <w:p>
      <w:pPr>
        <w:ind w:left="460" w:right="26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expense related to new CS&amp;L debt based on an assumed interest rate of 5.15% ($3,650.0 x 5.15% = $188.0 million on an annual basis) plus amortization of deferred financing costs.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increase in interest expense was computed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0" w:type="dxa"/>
            <w:vAlign w:val="bottom"/>
            <w:gridSpan w:val="3"/>
          </w:tcPr>
          <w:p>
            <w:pPr>
              <w:jc w:val="center"/>
              <w:ind w:right="960"/>
              <w:spacing w:after="0"/>
              <w:rPr>
                <w:sz w:val="20"/>
                <w:szCs w:val="20"/>
                <w:color w:val="auto"/>
              </w:rPr>
            </w:pPr>
            <w:r>
              <w:rPr>
                <w:rFonts w:ascii="Arial" w:cs="Arial" w:eastAsia="Arial" w:hAnsi="Arial"/>
                <w:sz w:val="14"/>
                <w:szCs w:val="14"/>
                <w:color w:val="auto"/>
                <w:w w:val="96"/>
              </w:rPr>
              <w:t>Nine Months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8"/>
              </w:rPr>
              <w:t>Ended</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3220" w:type="dxa"/>
            <w:vAlign w:val="bottom"/>
          </w:tcPr>
          <w:p>
            <w:pPr>
              <w:spacing w:after="0"/>
              <w:rPr>
                <w:sz w:val="12"/>
                <w:szCs w:val="12"/>
                <w:color w:val="auto"/>
              </w:rPr>
            </w:pPr>
          </w:p>
        </w:tc>
        <w:tc>
          <w:tcPr>
            <w:tcW w:w="1800" w:type="dxa"/>
            <w:vAlign w:val="bottom"/>
            <w:gridSpan w:val="3"/>
          </w:tcPr>
          <w:p>
            <w:pPr>
              <w:jc w:val="center"/>
              <w:ind w:right="960"/>
              <w:spacing w:after="0" w:line="149" w:lineRule="exact"/>
              <w:rPr>
                <w:sz w:val="20"/>
                <w:szCs w:val="20"/>
                <w:color w:val="auto"/>
              </w:rPr>
            </w:pPr>
            <w:r>
              <w:rPr>
                <w:rFonts w:ascii="Arial" w:cs="Arial" w:eastAsia="Arial" w:hAnsi="Arial"/>
                <w:sz w:val="14"/>
                <w:szCs w:val="14"/>
                <w:color w:val="auto"/>
                <w:w w:val="91"/>
              </w:rPr>
              <w:t>September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3"/>
            <w:vMerge w:val="continue"/>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color w:val="auto"/>
                <w:w w:val="89"/>
              </w:rPr>
              <w:t>2014</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Interest</w:t>
            </w:r>
          </w:p>
        </w:tc>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 Long-term debt</w:t>
            </w:r>
          </w:p>
        </w:tc>
        <w:tc>
          <w:tcPr>
            <w:tcW w:w="3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 Amortization of debt issuance costs</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interest expense</w:t>
            </w:r>
          </w:p>
        </w:tc>
        <w:tc>
          <w:tcPr>
            <w:tcW w:w="3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20" w:type="dxa"/>
            <w:vAlign w:val="bottom"/>
            <w:vMerge w:val="restart"/>
          </w:tcPr>
          <w:p>
            <w:pPr>
              <w:jc w:val="right"/>
              <w:ind w:right="2370"/>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Based on CS&amp;L’s current expected debt rating, the weighted-average interest rate on the debt is expected to be approximately 5.15%. In the unaudited pro forma combined income statements, interest expense was calculated assuming constant debt levels throughout the periods presented. Interest expense may be higher or lower if CS&amp;L’s actual interest rate or credit ratings change. The actual interest rate will depend on market conditions when the debt is issued and the final composition of the debt structure. A 1/8% change to the annual interest rate would change interest expense by approximately $4.6 million on an annual basis.</w:t>
      </w:r>
    </w:p>
    <w:p>
      <w:pPr>
        <w:spacing w:after="0" w:line="94" w:lineRule="exact"/>
        <w:rPr>
          <w:sz w:val="20"/>
          <w:szCs w:val="20"/>
          <w:color w:val="auto"/>
        </w:rPr>
      </w:pPr>
    </w:p>
    <w:p>
      <w:pPr>
        <w:ind w:left="460" w:right="80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reflect distribution of 150.7 million shares of our common stock and the elimination of the net asset and invested equity account balances attributable to the Consumer CLEC Business and the Distribution Systems, respectively.</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reflect cash payment and exchange of certain of CS&amp;L’s securities for Windstream Subsidiary debt securities. Following the cash payment and other distributions to Windstream, CS&amp;L’s cash balance is estimated to be $144.8 million calculated as follows:</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Issuance of debt,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payment to Windstream Holdings</w:t>
      </w:r>
    </w:p>
    <w:p>
      <w:pPr>
        <w:spacing w:after="0" w:line="23" w:lineRule="exact"/>
        <w:rPr>
          <w:sz w:val="20"/>
          <w:szCs w:val="20"/>
          <w:color w:val="auto"/>
        </w:rPr>
      </w:pPr>
    </w:p>
    <w:p>
      <w:pPr>
        <w:ind w:left="460" w:right="3550"/>
        <w:spacing w:after="0" w:line="292" w:lineRule="auto"/>
        <w:rPr>
          <w:sz w:val="20"/>
          <w:szCs w:val="20"/>
          <w:color w:val="auto"/>
        </w:rPr>
      </w:pPr>
      <w:r>
        <w:rPr>
          <w:rFonts w:ascii="Arial" w:cs="Arial" w:eastAsia="Arial" w:hAnsi="Arial"/>
          <w:sz w:val="18"/>
          <w:szCs w:val="18"/>
          <w:color w:val="auto"/>
        </w:rPr>
        <w:t>Exchange of CS&amp;L securities for debt securities of Windstream Subsidiary Estimated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-319405</wp:posOffset>
            </wp:positionV>
            <wp:extent cx="666369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record state deferred income taxes related to the Distribution Systems operations.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 forma adjustments to distributions in excess of capital consist of the following:</w:t>
      </w:r>
    </w:p>
    <w:p>
      <w:pPr>
        <w:spacing w:after="0" w:line="302" w:lineRule="exact"/>
        <w:rPr>
          <w:rFonts w:ascii="Arial" w:cs="Arial" w:eastAsia="Arial" w:hAnsi="Arial"/>
          <w:sz w:val="16"/>
          <w:szCs w:val="16"/>
          <w:color w:val="auto"/>
        </w:rPr>
      </w:pPr>
    </w:p>
    <w:p>
      <w:pPr>
        <w:jc w:val="both"/>
        <w:ind w:left="460" w:right="4970"/>
        <w:spacing w:after="0" w:line="261" w:lineRule="auto"/>
        <w:rPr>
          <w:rFonts w:ascii="Arial" w:cs="Arial" w:eastAsia="Arial" w:hAnsi="Arial"/>
          <w:sz w:val="16"/>
          <w:szCs w:val="16"/>
          <w:color w:val="auto"/>
        </w:rPr>
      </w:pPr>
      <w:r>
        <w:rPr>
          <w:rFonts w:ascii="Arial" w:cs="Arial" w:eastAsia="Arial" w:hAnsi="Arial"/>
          <w:sz w:val="18"/>
          <w:szCs w:val="18"/>
          <w:color w:val="auto"/>
        </w:rPr>
        <w:t>Adjustment for net assets of Consumer CLEC Business Adjustment for invested equity of Distribution Systems State deferred income taxes</w:t>
      </w:r>
    </w:p>
    <w:p>
      <w:pPr>
        <w:ind w:left="460"/>
        <w:spacing w:after="0"/>
        <w:rPr>
          <w:rFonts w:ascii="Arial" w:cs="Arial" w:eastAsia="Arial" w:hAnsi="Arial"/>
          <w:sz w:val="16"/>
          <w:szCs w:val="16"/>
          <w:color w:val="auto"/>
        </w:rPr>
      </w:pPr>
      <w:r>
        <w:rPr>
          <w:rFonts w:ascii="Arial" w:cs="Arial" w:eastAsia="Arial" w:hAnsi="Arial"/>
          <w:sz w:val="18"/>
          <w:szCs w:val="18"/>
          <w:color w:val="auto"/>
        </w:rPr>
        <w:t>Cash payment to Windstream Holdings</w:t>
      </w:r>
    </w:p>
    <w:p>
      <w:pPr>
        <w:spacing w:after="0" w:line="9" w:lineRule="exact"/>
        <w:rPr>
          <w:rFonts w:ascii="Arial" w:cs="Arial" w:eastAsia="Arial" w:hAnsi="Arial"/>
          <w:sz w:val="16"/>
          <w:szCs w:val="16"/>
          <w:color w:val="auto"/>
        </w:rPr>
      </w:pPr>
    </w:p>
    <w:p>
      <w:pPr>
        <w:ind w:left="460" w:right="3550"/>
        <w:spacing w:after="0" w:line="292" w:lineRule="auto"/>
        <w:rPr>
          <w:rFonts w:ascii="Arial" w:cs="Arial" w:eastAsia="Arial" w:hAnsi="Arial"/>
          <w:sz w:val="16"/>
          <w:szCs w:val="16"/>
          <w:color w:val="auto"/>
        </w:rPr>
      </w:pPr>
      <w:r>
        <w:rPr>
          <w:rFonts w:ascii="Arial" w:cs="Arial" w:eastAsia="Arial" w:hAnsi="Arial"/>
          <w:sz w:val="18"/>
          <w:szCs w:val="18"/>
          <w:color w:val="auto"/>
        </w:rPr>
        <w:t>Exchange of CS&amp;L securities for debt securities of Windstream Subsidiary Net adjustment to distributions in excess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-593725</wp:posOffset>
            </wp:positionV>
            <wp:extent cx="666369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-319405</wp:posOffset>
            </wp:positionV>
            <wp:extent cx="666369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-876300</wp:posOffset>
            </wp:positionV>
            <wp:extent cx="666369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50"/>
        <w:spacing w:after="0"/>
        <w:rPr>
          <w:sz w:val="20"/>
          <w:szCs w:val="20"/>
          <w:color w:val="auto"/>
        </w:rPr>
      </w:pPr>
      <w:r>
        <w:rPr>
          <w:rFonts w:ascii="Arial" w:cs="Arial" w:eastAsia="Arial" w:hAnsi="Arial"/>
          <w:sz w:val="14"/>
          <w:szCs w:val="14"/>
          <w:color w:val="auto"/>
        </w:rPr>
        <w:t>(Millions)</w:t>
      </w:r>
    </w:p>
    <w:p>
      <w:pPr>
        <w:spacing w:after="0" w:line="21" w:lineRule="exact"/>
        <w:rPr>
          <w:sz w:val="20"/>
          <w:szCs w:val="20"/>
          <w:color w:val="auto"/>
        </w:rPr>
      </w:pPr>
    </w:p>
    <w:p>
      <w:pPr>
        <w:ind w:left="170" w:hanging="170"/>
        <w:spacing w:after="0"/>
        <w:tabs>
          <w:tab w:leader="none" w:pos="1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3,586.1</w:t>
      </w:r>
    </w:p>
    <w:p>
      <w:pPr>
        <w:spacing w:after="0" w:line="19" w:lineRule="exact"/>
        <w:rPr>
          <w:rFonts w:ascii="Arial" w:cs="Arial" w:eastAsia="Arial" w:hAnsi="Arial"/>
          <w:sz w:val="17"/>
          <w:szCs w:val="17"/>
          <w:color w:val="auto"/>
        </w:rPr>
      </w:pPr>
    </w:p>
    <w:p>
      <w:pPr>
        <w:ind w:left="110"/>
        <w:spacing w:after="0"/>
        <w:rPr>
          <w:rFonts w:ascii="Arial" w:cs="Arial" w:eastAsia="Arial" w:hAnsi="Arial"/>
          <w:sz w:val="17"/>
          <w:szCs w:val="17"/>
          <w:color w:val="auto"/>
        </w:rPr>
      </w:pPr>
      <w:r>
        <w:rPr>
          <w:rFonts w:ascii="Arial" w:cs="Arial" w:eastAsia="Arial" w:hAnsi="Arial"/>
          <w:sz w:val="16"/>
          <w:szCs w:val="16"/>
          <w:color w:val="auto"/>
        </w:rPr>
        <w:t>(1,091.3)</w:t>
      </w:r>
    </w:p>
    <w:p>
      <w:pPr>
        <w:spacing w:after="0" w:line="32" w:lineRule="exact"/>
        <w:rPr>
          <w:rFonts w:ascii="Arial" w:cs="Arial" w:eastAsia="Arial" w:hAnsi="Arial"/>
          <w:sz w:val="17"/>
          <w:szCs w:val="17"/>
          <w:color w:val="auto"/>
        </w:rPr>
      </w:pPr>
    </w:p>
    <w:p>
      <w:pPr>
        <w:ind w:left="110"/>
        <w:spacing w:after="0"/>
        <w:rPr>
          <w:rFonts w:ascii="Arial" w:cs="Arial" w:eastAsia="Arial" w:hAnsi="Arial"/>
          <w:sz w:val="17"/>
          <w:szCs w:val="17"/>
          <w:color w:val="auto"/>
        </w:rPr>
      </w:pPr>
      <w:r>
        <w:rPr>
          <w:rFonts w:ascii="Arial" w:cs="Arial" w:eastAsia="Arial" w:hAnsi="Arial"/>
          <w:sz w:val="16"/>
          <w:szCs w:val="16"/>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4457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ind w:left="290" w:hanging="290"/>
        <w:spacing w:after="0"/>
        <w:tabs>
          <w:tab w:leader="none" w:pos="290" w:val="left"/>
        </w:tabs>
        <w:numPr>
          <w:ilvl w:val="0"/>
          <w:numId w:val="3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457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
        <w:spacing w:after="0"/>
        <w:rPr>
          <w:sz w:val="20"/>
          <w:szCs w:val="20"/>
          <w:color w:val="auto"/>
        </w:rPr>
      </w:pPr>
      <w:r>
        <w:rPr>
          <w:rFonts w:ascii="Arial" w:cs="Arial" w:eastAsia="Arial" w:hAnsi="Arial"/>
          <w:sz w:val="14"/>
          <w:szCs w:val="14"/>
          <w:color w:val="auto"/>
        </w:rPr>
        <w:t>(Millions)</w:t>
      </w:r>
    </w:p>
    <w:p>
      <w:pPr>
        <w:spacing w:after="0" w:line="21" w:lineRule="exact"/>
        <w:rPr>
          <w:sz w:val="20"/>
          <w:szCs w:val="20"/>
          <w:color w:val="auto"/>
        </w:rPr>
      </w:pPr>
    </w:p>
    <w:p>
      <w:pPr>
        <w:ind w:left="470" w:hanging="470"/>
        <w:spacing w:after="0"/>
        <w:tabs>
          <w:tab w:leader="none" w:pos="4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w:t>
      </w:r>
    </w:p>
    <w:p>
      <w:pPr>
        <w:spacing w:after="0" w:line="7" w:lineRule="exact"/>
        <w:rPr>
          <w:rFonts w:ascii="Arial" w:cs="Arial" w:eastAsia="Arial" w:hAnsi="Arial"/>
          <w:sz w:val="18"/>
          <w:szCs w:val="18"/>
          <w:color w:val="auto"/>
        </w:rPr>
      </w:pPr>
    </w:p>
    <w:p>
      <w:pPr>
        <w:ind w:left="170"/>
        <w:spacing w:after="0"/>
        <w:rPr>
          <w:rFonts w:ascii="Arial" w:cs="Arial" w:eastAsia="Arial" w:hAnsi="Arial"/>
          <w:sz w:val="18"/>
          <w:szCs w:val="18"/>
          <w:color w:val="auto"/>
        </w:rPr>
      </w:pPr>
      <w:r>
        <w:rPr>
          <w:rFonts w:ascii="Arial" w:cs="Arial" w:eastAsia="Arial" w:hAnsi="Arial"/>
          <w:sz w:val="17"/>
          <w:szCs w:val="17"/>
          <w:color w:val="auto"/>
        </w:rPr>
        <w:t>2,591.5</w:t>
      </w:r>
    </w:p>
    <w:p>
      <w:pPr>
        <w:spacing w:after="0" w:line="20" w:lineRule="exact"/>
        <w:rPr>
          <w:rFonts w:ascii="Arial" w:cs="Arial" w:eastAsia="Arial" w:hAnsi="Arial"/>
          <w:sz w:val="18"/>
          <w:szCs w:val="18"/>
          <w:color w:val="auto"/>
        </w:rPr>
      </w:pPr>
    </w:p>
    <w:p>
      <w:pPr>
        <w:ind w:left="410"/>
        <w:spacing w:after="0"/>
        <w:rPr>
          <w:rFonts w:ascii="Arial" w:cs="Arial" w:eastAsia="Arial" w:hAnsi="Arial"/>
          <w:sz w:val="18"/>
          <w:szCs w:val="18"/>
          <w:color w:val="auto"/>
        </w:rPr>
      </w:pPr>
      <w:r>
        <w:rPr>
          <w:rFonts w:ascii="Arial" w:cs="Arial" w:eastAsia="Arial" w:hAnsi="Arial"/>
          <w:sz w:val="17"/>
          <w:szCs w:val="17"/>
          <w:color w:val="auto"/>
        </w:rPr>
        <w:t>(2.2)</w:t>
      </w:r>
    </w:p>
    <w:p>
      <w:pPr>
        <w:spacing w:after="0" w:line="21"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(1,091.3)</w:t>
      </w:r>
    </w:p>
    <w:p>
      <w:pPr>
        <w:spacing w:after="0" w:line="9" w:lineRule="exact"/>
        <w:rPr>
          <w:sz w:val="20"/>
          <w:szCs w:val="20"/>
          <w:color w:val="auto"/>
        </w:rPr>
      </w:pPr>
    </w:p>
    <w:p>
      <w:pPr>
        <w:ind w:left="110"/>
        <w:spacing w:after="0"/>
        <w:rPr>
          <w:sz w:val="20"/>
          <w:szCs w:val="20"/>
          <w:color w:val="auto"/>
        </w:rPr>
      </w:pPr>
      <w:r>
        <w:rPr>
          <w:rFonts w:ascii="Arial" w:cs="Arial" w:eastAsia="Arial" w:hAnsi="Arial"/>
          <w:sz w:val="16"/>
          <w:szCs w:val="16"/>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4457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ind w:left="10"/>
        <w:spacing w:after="0"/>
        <w:tabs>
          <w:tab w:leader="none" w:pos="209"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7"/>
          <w:szCs w:val="17"/>
          <w:u w:val="single" w:color="auto"/>
          <w:color w:val="auto"/>
        </w:rPr>
        <w:t>(842.2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457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9430" w:space="720"/>
            <w:col w:w="1230"/>
          </w:cols>
          <w:pgMar w:left="240" w:top="459" w:right="279" w:bottom="1440" w:gutter="0" w:footer="0" w:header="0"/>
          <w:type w:val="continuous"/>
        </w:sectPr>
      </w:pPr>
    </w:p>
    <w:p>
      <w:pPr>
        <w:ind w:left="460" w:right="60" w:hanging="452"/>
        <w:spacing w:after="0" w:line="272"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Assumes that CS&amp;L will distribute 100% of taxable income and has met all conditions necessary to be treated as a REIT, and as a result no provision for federal income taxes has been made for the Distribution Systems operations. The Distribution Systems operations will be subject to state and local income taxes in certain jurisdictions. State and local income tax expense was estimated to be $0.5 million and $0.7 million for the nine months ended September 30, 2014 and the year ended December 31, 2013, respectively, based on applicable statutory rates. As a taxable REIT subsidiary, operations of the Consumer CLEC Business will be taxable and tax expense attributable to the Consumer CLEC Business was calculated based on the estimated statutory tax rate of 38.5% and resulted in federal income tax expense of $3.6 million and $6.4 million for the nine months ended September 30, 2014 and the year ended December 31, 2013, respectively.</w:t>
      </w:r>
    </w:p>
    <w:p>
      <w:pPr>
        <w:spacing w:after="0" w:line="83"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reflect rental income associated with the Master Lease with Windstream Holdings recognized on a straight-line basis to include the effects of base rent escalations over the initial term of the Master Lease.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reflect depreciation expense related to the Distribution Systems transferred to CS&amp;L.</w:t>
      </w:r>
    </w:p>
    <w:p>
      <w:pPr>
        <w:spacing w:after="0" w:line="13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Distribution Systems operations will be subject to franchise and gross receipts taxes in certain state jurisdictions. Franchise and gross receipts tax expense was estimated to be $0.2 million and $0.3 million for the nine months ended September 30, 2014 and the year ended December 31, 2013, respectively.</w:t>
      </w:r>
    </w:p>
    <w:p>
      <w:pPr>
        <w:spacing w:after="0" w:line="86"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 forma earnings per share are based upon the distribution of one share of our common stock for every four shares of Windstream Holdings common stock, or 150.7 million shares.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number of CS&amp;L shares used to compute basic earnings per share for the nine months ended September 30, 2014 and for the year ended December 31, 2013 is based on the number of shares of CS&amp;L common stock assumed to be outstanding on the distribution date, based on the number of Windstream common shares outstanding on September 30, 2014 and December 31, 2013, respectively, assuming a distribution ratio of one share of CS&amp;L common stock for every four Windstream common shares outstanding. The number of Windstream common shares used to determine the assumed distribution reflects the Windstream common shares outstanding as of each balance sheet date, which is the most current information as of the date of these financial statements.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UNAUDITED PRO FORMA COMBINED FINANCIAL DATA</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unaudited pro forma consolidated financial statements present Windstream Holdings’ unaudited pro forma combined income statements for the nine months ended September 30, 2014 and the year ended December 31, 2013, and its unaudited pro forma consolidated balance sheet as of September 30, 2014, which have been derived from (1) the unaudited consolidated financial statements of Windstream Holdings included in Windstream Holdings’ quarterly report on Form 10-Q as of and for the quarterly period ended September 30, 2014, which are incorporated herein by reference, (2) the audited consolidated financial statements of Windstream Holdings included in Windstream Holdings’ annual report on Form 10-K as of and for its fiscal year ended December 31, 2013, which are incorporated herein by reference, (3) the statement of assets contributed and liabilities assumed of the Consumer CLEC Business of Windstream Holdings as of December 31, 2013 and statement of revenues and direct expenses for the nine months ended September 30, 2014 and the year ended December 31, 2013, which are included elsewhere in this information statement, and (4) Windstream Holdings’ Distribution Systems combined balance sheet as of September 30, 2014, which is included elsewhere in this information statement.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consolidated financial statements present the historical financial statements of Windstream Holdings adjusted to give effect to</w:t>
      </w:r>
    </w:p>
    <w:p>
      <w:pPr>
        <w:spacing w:after="0" w:line="46" w:lineRule="exact"/>
        <w:rPr>
          <w:sz w:val="20"/>
          <w:szCs w:val="20"/>
          <w:color w:val="auto"/>
        </w:rPr>
      </w:pPr>
    </w:p>
    <w:p>
      <w:pPr>
        <w:ind w:right="100" w:firstLine="8"/>
        <w:spacing w:after="0" w:line="281" w:lineRule="auto"/>
        <w:tabs>
          <w:tab w:leader="none" w:pos="2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transfer of Distribution Systems and the Consumer CLEC Business to CS&amp;L, (ii) the issuance to Windstream Holdings of all the outstanding common stock of CS&amp;L (approximately 150.7 million common shares in the aggregate), (iii) the effect of the debt exchange and debt retirement, (iv) cash payment received by Windstream Holdings from CS&amp;L in an amount not to exceed Windstream Holdings’ tax basis in the Distribution Systems transferred to CS&amp;L,</w:t>
      </w:r>
    </w:p>
    <w:p>
      <w:pPr>
        <w:spacing w:after="0" w:line="2" w:lineRule="exact"/>
        <w:rPr>
          <w:rFonts w:ascii="Arial" w:cs="Arial" w:eastAsia="Arial" w:hAnsi="Arial"/>
          <w:sz w:val="16"/>
          <w:szCs w:val="16"/>
          <w:color w:val="auto"/>
        </w:rPr>
      </w:pPr>
    </w:p>
    <w:p>
      <w:pPr>
        <w:ind w:right="40" w:firstLine="8"/>
        <w:spacing w:after="0" w:line="268"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 rata distribution to Windstream Holdings shareholders of no less than 80.1 percent of the outstanding shares of CS&amp;L common stock as a tax-free stock dividend based on a distribution ratio of one share of CS&amp;L common stock for every four shares of Windstream Holdings common stock issued and outstanding with Windstream Holdings retaining a passive ownership interest in up to 19.9 percent of the common stock of CS&amp;L, (vi) the recognition of a lease obligation and related interest expense associated with the Master Lease Agreement between CS&amp;L and Windstream Holdings for the Distribution Systems transferred to CS&amp;L, and (vii) the adjustment of deferred income tax liabilities in conjunction with the Spin-Off and the related transactions. The unaudited pro forma consolidated income statements for the nine months ended September 30, 2014 and the year ended December 31, 2013 assume the Spin-Off and the related transactions occurred on January 1, 2013. The unaudited pro forma consolidated balance sheet assumes the Spin-Off and the related transactions occurred on September 30, 2014. The pro forma adjustments are based on currently available information and assumptions Windstream Holdings believes are reasonable, factually supportable, directly attributable to the Spin-Off, and for purposes of the pro forma income statements, are expected to have a continuing impact on us.</w:t>
      </w:r>
    </w:p>
    <w:p>
      <w:pPr>
        <w:spacing w:after="0" w:line="18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directly attributable to the transactions described above, are factually supportable and for purposes of our consolidated statement of income are expected to have an ongoing effect. Our unaudited pro forma consolidated financial statements and explanatory notes present how our financial statements may have appeared had our capital structure reflected the above transactions as of the dates noted above.</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unaudited pro forma consolidated financial statements were prepared in accordance with Article 11 of Regulation S-X, using the assumptions set forth in the notes to Windstream Holdings’ unaudited pro forma consolidated financial statements. The following unaudited pro forma consolidated financial statements are presented for illustrative purposes only and do not purport to reflect the results Windstream Holdings may achieve in future periods or the historical results that would have been obtained had the above transactions been completed on January 1, 2013 or as of September 30, 2014, as the case may be. Windstream Holdings’ unaudited pro forma consolidated financial statements also do not give effect to the potential impact of current financial conditions, any anticipated synergies, operating efficiencies or cost savings that may result from the transactions described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unaudited pro forma consolidated financial statements are derived from and should be read in conjunction with Windstream Holdings’ historical financial statements and accompanying notes included in its quarterly report on Form 10-Q as of and for the quarterly period ended September 30, 2014 and Windstream Holdings’ annual report on Form 10-K as of and for its fiscal year ended December 31, 2013, which are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Services Agreement and Wholesale Reseller Agreement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Windstream Holdings expects to enter into a Transition Services Agreement with CS&amp;L prior to the Spin-Off pursuant to which Windstream Holdings and its affiliates will provide to CS&amp;L for an agreed upon charge, on an interim, transitional basis, various services, including but not limited to employee payroll and benefits, information technology services, financial and tax services, procurement services, regulatory compliance and other support services. In addition, Windstream Holdings expects to enter into a Wholesale Reseller Agreement with CS&amp;L prior to the Spin-Off pursuant to which Windstream Holdings and its affiliates will provide to CS&amp;L for an agreed upon charge network transport services to the Consumer CLEC Business. The pricing for the services provided to CS&amp;L under the Transition Services Agreement and the Wholesale Reseller Agreement have yet to be finalized. Accordingly, no adjustment to the pro forma condensed consolidated income statements have been made to reflect the effects of these agreements.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Receipt of Cash</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Payment and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Exchange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CS&amp;L Debt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Securities for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Windstream</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Subsidiary. Debt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Pro Forma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Adjustments</w:t>
            </w:r>
          </w:p>
        </w:tc>
        <w:tc>
          <w:tcPr>
            <w:tcW w:w="6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47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$(1,152.4)</w:t>
            </w:r>
          </w:p>
        </w:tc>
        <w:tc>
          <w:tcPr>
            <w:tcW w:w="22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Current deferred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(G)</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Investment in CS&amp;L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883.0</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4,331.4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intangibles,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1,825.7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property, plant and equipment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5,456.3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12,831.6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r>
              <w:rPr>
                <w:rFonts w:ascii="Arial" w:cs="Arial" w:eastAsia="Arial" w:hAnsi="Arial"/>
                <w:sz w:val="18"/>
                <w:szCs w:val="18"/>
                <w:u w:val="single" w:color="auto"/>
                <w:color w:val="auto"/>
              </w:rPr>
              <w:t>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13,698.1</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lease obligation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141.3</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1,094.7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8,568.6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(2,263.5)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Long-term lease obligation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4,990.5</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4,990.5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1,872.5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(1,498.7)</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12,372.7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12,596.0</w:t>
            </w: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3,441.3</w:t>
            </w:r>
          </w:p>
        </w:tc>
        <w:tc>
          <w:tcPr>
            <w:tcW w:w="22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(2,798.1)</w:t>
            </w: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(J)</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12,831.6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13,698.1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Pro Forma</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gridSpan w:val="3"/>
            <w:vMerge w:val="continue"/>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39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17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4,247.0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revenues and sales</w:t>
            </w: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vMerge w:val="continue"/>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4,386.4</w:t>
            </w:r>
          </w:p>
        </w:tc>
        <w:tc>
          <w:tcPr>
            <w:tcW w:w="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4,359.1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1,967.8</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734.7</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1,031.4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(K)</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(L)</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3,899.8</w:t>
            </w: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(260.7)</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596.5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Pro Forma</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color w:val="auto"/>
                <w:w w:val="89"/>
              </w:rPr>
              <w:t>As Reported</w:t>
            </w:r>
          </w:p>
        </w:tc>
        <w:tc>
          <w:tcPr>
            <w:tcW w:w="100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32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5,775.5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revenues and sales</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vMerge w:val="continue"/>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5,988.1</w:t>
            </w:r>
          </w:p>
        </w:tc>
        <w:tc>
          <w:tcPr>
            <w:tcW w:w="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5,943.0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2,492.1</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923.4</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(F)</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1,340.9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(K)</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tcPr>
          <w:p>
            <w:pPr>
              <w:ind w:left="700"/>
              <w:spacing w:after="0"/>
              <w:rPr>
                <w:sz w:val="20"/>
                <w:szCs w:val="20"/>
                <w:color w:val="auto"/>
              </w:rPr>
            </w:pPr>
            <w:r>
              <w:rPr>
                <w:rFonts w:ascii="Arial" w:cs="Arial" w:eastAsia="Arial" w:hAnsi="Arial"/>
                <w:sz w:val="18"/>
                <w:szCs w:val="18"/>
                <w:color w:val="auto"/>
              </w:rPr>
              <w:t>Total costs and expenses</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4,979.1</w:t>
            </w: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4,968.7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1,009.0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(627.7)</w:t>
            </w: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(303.2)</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2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before income taxes</w:t>
            </w:r>
          </w:p>
        </w:tc>
        <w:tc>
          <w:tcPr>
            <w:tcW w:w="2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w:t>
            </w:r>
          </w:p>
        </w:tc>
        <w:tc>
          <w:tcPr>
            <w:tcW w:w="8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(M)</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28.9</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3"/>
            <w:vMerge w:val="continue"/>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2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589.7</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WINDSTREAM HOLDINGS’ UNAUDITED PRO FORMA COMBINED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xml:space="preserve"> — Immediately following the Spin-Off, Windstream Holdings will continue to provide advanced network communications and technology solutions to businesses and customers through its existing operations. The unaudited pro forma consolidated financial statements give effect to the Spin-Off and related transactions as discussed above.</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Debt Exchange and Debt Retirement</w:t>
      </w:r>
      <w:r>
        <w:rPr>
          <w:rFonts w:ascii="Arial" w:cs="Arial" w:eastAsia="Arial" w:hAnsi="Arial"/>
          <w:sz w:val="16"/>
          <w:szCs w:val="16"/>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September 30, 2014. As a result of capital expenditures to be incurred subsequent to September 30, 2014, Windstream expects that the cash payment to be received from CS&amp;L will be approximately $1.2 billion at the date of Spin-Off. Windstream will use the cash payment received from CS&amp;L to retire approximately $1.0 billion in Windstream Subsidiary debt.</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u w:val="single" w:color="auto"/>
          <w:color w:val="auto"/>
        </w:rPr>
        <w:t>Long-term Lease Obligation</w:t>
      </w:r>
      <w:r>
        <w:rPr>
          <w:rFonts w:ascii="Arial" w:cs="Arial" w:eastAsia="Arial" w:hAnsi="Arial"/>
          <w:sz w:val="18"/>
          <w:szCs w:val="18"/>
          <w:color w:val="auto"/>
        </w:rPr>
        <w:t xml:space="preserve"> — Windstream Holdings will enter into the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 effective interest rate on the long-term lease obligation is 10.15%. Thereafter, rent will increase on an annual basis at a base rent escalator of 0.5 percent. Future lease payments due under the agreement reset to fair market rental rates upon Windstream Holdings’ execution of the renewal options.</w:t>
      </w:r>
    </w:p>
    <w:p>
      <w:pPr>
        <w:spacing w:after="0" w:line="19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Due to various forms of continuing involvement, including Windstream Subsidiary remaining the legal counterparty to the various easements, permits and pole attachment agreements related to the Distribution Systems, the transaction will be accounted for as a failed sale-leaseback. As a result, the net book value of the Distribution Systems will continue to be reported in Windstream Holdings’ consolidated balance sheet and will be fully depreciated over the initial lease term of 15 years. Windstream Holdings will also record a lease obligation equal to the sum of the minimum future annual lease payments over the initial 15-year lease term discounted to the present value based on Windstream Subsidiary’s incremental borrowing rate. As annual payments are made, a portion of the payment will decrease the long-term lease obligation with the balance of the payment charged to interest expense using the effective interest method. The effective interest rate on the long-term lease obligation is 10.15%.</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u w:val="single" w:color="auto"/>
          <w:color w:val="auto"/>
        </w:rPr>
        <w:t>Recently Adopted Accounting Standards</w:t>
      </w:r>
      <w:r>
        <w:rPr>
          <w:rFonts w:ascii="Arial" w:cs="Arial" w:eastAsia="Arial" w:hAnsi="Arial"/>
          <w:sz w:val="16"/>
          <w:szCs w:val="16"/>
          <w:color w:val="auto"/>
        </w:rPr>
        <w:t xml:space="preserve"> — As permitted, during the fourth quarter of 2014, Windstream Holdings early adopted authoritative guidance related to the reporting of discontinued operations. Because the Consumer CLEC Business does not represent for Windstream Holdings a strategic shift or major line of business, the Consumer CLEC Business does not qualify as a discontinued operation under the new accounting standards.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reflect the following related to the Spin-Off:</w:t>
      </w:r>
    </w:p>
    <w:p>
      <w:pPr>
        <w:spacing w:after="0" w:line="131" w:lineRule="exact"/>
        <w:rPr>
          <w:sz w:val="20"/>
          <w:szCs w:val="20"/>
          <w:color w:val="auto"/>
        </w:rPr>
      </w:pPr>
    </w:p>
    <w:p>
      <w:pPr>
        <w:ind w:left="460" w:right="20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 down of Windstream Subsidiary long-term debt from the $2.35 billion tax-free debt exchange and the use of the cash payment received from CS&amp;L in the Spin-Off. As a result, Windstream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expects to retire approximately $3.4 billion of its long-term debt obligations consisting of Tranches A3, A4 and B4 term loans and a portion of its revolving line of credit borrowings outstanding under its senior secured credit facility along with a combination of certain debentures and notes issued by Windstream Subsidiary and its subsidiaries. The actual composition of debentures and notes will depend on a number of factors, including market conditions at the time that the debt is repaid. In the unaudited pro forma condensed consolidated financial statements, Windstream Subsidiary has assumed the repayment of debt to be comprised of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1820" w:type="dxa"/>
            <w:vAlign w:val="bottom"/>
            <w:gridSpan w:val="6"/>
          </w:tcPr>
          <w:p>
            <w:pPr>
              <w:ind w:left="500"/>
              <w:spacing w:after="0"/>
              <w:rPr>
                <w:sz w:val="20"/>
                <w:szCs w:val="20"/>
                <w:color w:val="auto"/>
              </w:rPr>
            </w:pPr>
            <w:r>
              <w:rPr>
                <w:rFonts w:ascii="Arial" w:cs="Arial" w:eastAsia="Arial" w:hAnsi="Arial"/>
                <w:sz w:val="14"/>
                <w:szCs w:val="14"/>
                <w:b w:val="1"/>
                <w:bCs w:val="1"/>
                <w:color w:val="auto"/>
                <w:w w:val="99"/>
              </w:rPr>
              <w:t>September 30, 2014</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w:t>
            </w: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credit facility — Tranche A3</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Senior secured credit facility — Tranche A4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 — Tranche B4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Senior secured credit facility — Revolving line of credit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 and notes - various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r>
      <w:tr>
        <w:trPr>
          <w:trHeight w:val="223"/>
        </w:trPr>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3,369.0</w:t>
            </w:r>
          </w:p>
        </w:tc>
        <w:tc>
          <w:tcPr>
            <w:tcW w:w="1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premium on long-term debt</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debt repayment</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3,371.7</w:t>
            </w:r>
          </w:p>
        </w:tc>
        <w:tc>
          <w:tcPr>
            <w:tcW w:w="12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The other pro forma adjustments to long-term debt consist of the following:</w:t>
            </w: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57"/>
        </w:trPr>
        <w:tc>
          <w:tcPr>
            <w:tcW w:w="600" w:type="dxa"/>
            <w:vAlign w:val="bottom"/>
            <w:shd w:val="clear" w:color="auto" w:fill="CCEEFF"/>
          </w:tcPr>
          <w:p>
            <w:pPr>
              <w:spacing w:after="0"/>
              <w:rPr>
                <w:sz w:val="22"/>
                <w:szCs w:val="22"/>
                <w:color w:val="auto"/>
              </w:rPr>
            </w:pPr>
          </w:p>
        </w:tc>
        <w:tc>
          <w:tcPr>
            <w:tcW w:w="5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62"/>
        </w:trPr>
        <w:tc>
          <w:tcPr>
            <w:tcW w:w="6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(Millions)</w:t>
            </w:r>
          </w:p>
        </w:tc>
      </w:tr>
      <w:tr>
        <w:trPr>
          <w:trHeight w:val="182"/>
        </w:trPr>
        <w:tc>
          <w:tcPr>
            <w:tcW w:w="5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Repayment in cash of certain long-term debt obligations of Windstream</w:t>
            </w: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Subsidiary</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(1,019.0)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Write-off of unamortized premium on long-term debt extinguishment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(2.7)</w:t>
            </w:r>
          </w:p>
        </w:tc>
      </w:tr>
      <w:tr>
        <w:trPr>
          <w:trHeight w:val="27"/>
        </w:trPr>
        <w:tc>
          <w:tcPr>
            <w:tcW w:w="6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(1,021.7)</w:t>
            </w:r>
          </w:p>
        </w:tc>
      </w:tr>
      <w:tr>
        <w:trPr>
          <w:trHeight w:val="20"/>
        </w:trPr>
        <w:tc>
          <w:tcPr>
            <w:tcW w:w="6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In conjunction with the repayment of debt, Windstream Subsidiary expects to terminate six of its ten interest rate swaps designated as cash flow hedges of the variable cash flows paid on the senior secured credit facility. Upon termination of the six interest rate swaps, Windstream Subsidiary will reclassify from accumulated other comprehensive income to other income a gain of $4.1 million, net of tax. The reclassifications from accumulated other comprehensive income is based on the assumption that the cash flows associated with the hedges going forward are no longer probable of occurring due to the amount of the debt repayment.</w:t>
      </w:r>
    </w:p>
    <w:p>
      <w:pPr>
        <w:spacing w:after="0" w:line="188"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For purposes of the pro forma condensed consolidated financial statements, Windstream Subsidiary has accounted for the debt exchange and debt retirement as an extinguishment. Certain of the debentures and notes that will be repaid from the cash payment received from CS&amp;L include a call right allowing Windstream Subsidiary to repurchase the debt at 104% of par value. The pretax loss on extinguishment of debt of $59.2 million (inclusive of the write-off of $21.9 million in unamortized debt issuance costs, the call right premium of $40.0 million and $2.7 million in unamortized premium on long-term debt and the gain on the termination of the interest rate swaps) have not been included as a pro forma adjustment to the condensed consolidated statements of income due to their non-recurring nature but have been recorded in the condensed consolidated balance sheet as of September 30, 2014. The difference in the fair value of the Windstream Subsidiary long-term debt and its carrying value at the date of extinguishment is expected to be immaterial. A 1% decrease in the fair value of the extinguished debt would result in an additional pretax loss of $33.7 million.</w:t>
      </w:r>
    </w:p>
    <w:p>
      <w:pPr>
        <w:spacing w:after="0" w:line="72" w:lineRule="exact"/>
        <w:rPr>
          <w:sz w:val="20"/>
          <w:szCs w:val="20"/>
          <w:color w:val="auto"/>
        </w:rPr>
      </w:pPr>
    </w:p>
    <w:p>
      <w:pPr>
        <w:ind w:left="460" w:right="80" w:hanging="452"/>
        <w:spacing w:after="0" w:line="286"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reflect the retained 19.9% ownership interest in available-for-sale CS&amp;L common stock recorded at estimated fair value at the date of Spin-Off of $883.0 million. The fair value is based on the midpoint of the expected share value of the CS&amp;L common stock. A 10% change in the fair value would result in a change in the fair value of this investment of approximately $88.3 million. Windstream Holdings intends to use all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of its shares of CS&amp;L common stock opportunistically during a twelve month period following the Spin-Off, subject to market conditions, to retire debt.</w:t>
      </w:r>
    </w:p>
    <w:p>
      <w:pPr>
        <w:spacing w:after="0" w:line="7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reflect the long-term lease obligation, including the current portion of the liability, resulting from the Master Lease with CS&amp;L.</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reflect the interest expense associated with the long-term lease obligation, net of reduction in interest expense, due to the retirement of existing debt. The net increase in interest expense was computed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Nine Months</w:t>
            </w:r>
          </w:p>
        </w:tc>
        <w:tc>
          <w:tcPr>
            <w:tcW w:w="420" w:type="dxa"/>
            <w:vAlign w:val="bottom"/>
          </w:tcPr>
          <w:p>
            <w:pPr>
              <w:spacing w:after="0"/>
              <w:rPr>
                <w:sz w:val="14"/>
                <w:szCs w:val="14"/>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w:t>
            </w:r>
          </w:p>
        </w:tc>
        <w:tc>
          <w:tcPr>
            <w:tcW w:w="2560" w:type="dxa"/>
            <w:vAlign w:val="bottom"/>
            <w:gridSpan w:val="4"/>
          </w:tcPr>
          <w:p>
            <w:pPr>
              <w:jc w:val="center"/>
              <w:ind w:left="71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4"/>
          </w:tcPr>
          <w:p>
            <w:pPr>
              <w:jc w:val="center"/>
              <w:ind w:left="1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Interest</w:t>
            </w: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 — Long-term lease obligation</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expense — Senior secured credit facility</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 Debentures and notes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expense — Interest rate swaps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interest expense</w:t>
            </w:r>
          </w:p>
        </w:tc>
        <w:tc>
          <w:tcPr>
            <w:tcW w:w="1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reduction in interest expense attributable to the debentures and notes issued by Windstream Subsidiary and its subsidiaries was calculated based on the weighted-average interest rate of these borrowings, which is 7.75%. The actual interest expense reduction may be higher or lower depending upon the actual composition of the debentures and notes that are repaid. A 1/8% change to the weighted-average interest rate would change interest expense by approximately $1.3 million on an annual basis.</w:t>
      </w:r>
    </w:p>
    <w:p>
      <w:pPr>
        <w:spacing w:after="0" w:line="9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pro forma adjustments to cash and cash equivalents consist of the following: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certain long-term debt obligations of Windstream Subsidiary</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$(1,019.0)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Payment of call right premium</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Payment to settle certain interest rate swaps</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Payment of transaction fees and expenses</w:t>
            </w:r>
          </w:p>
        </w:tc>
        <w:tc>
          <w:tcPr>
            <w:tcW w:w="7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Transaction costs associated with the Spin-Off and the tax-free debt exchange. Windstream Subsidiary expects to incur approximately $57.4 million in fees and expenses in connection with completing the transaction, which may not be deductible for income tax purposes, and to pay $36.0 million to terminate the interest rate swaps. These costs have not been included as a pro forma adjustment to the condensed consolidated statements of income due to their non-recurring nature but have been recorded in the condensed consolidated balance sheet as of September 30, 2014.</w:t>
      </w:r>
    </w:p>
    <w:p>
      <w:pPr>
        <w:spacing w:after="0" w:line="60" w:lineRule="exact"/>
        <w:rPr>
          <w:sz w:val="20"/>
          <w:szCs w:val="20"/>
          <w:color w:val="auto"/>
        </w:rPr>
      </w:pPr>
    </w:p>
    <w:p>
      <w:pPr>
        <w:ind w:left="460" w:right="4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reflect the transfer of assets and liabilities from the Consumer CLEC Business to CS&amp;L, and to eliminate the corresponding revenues and operating costs.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other current assets consist of the following: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rPr>
              <w:t>(Millions)</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reflect transfer of Consumer CLEC Business to CS&amp;L</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Record income tax benefits associated with loss on extinguishment of debt and</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6360" w:type="dxa"/>
            <w:vAlign w:val="bottom"/>
          </w:tcPr>
          <w:p>
            <w:pPr>
              <w:ind w:left="180"/>
              <w:spacing w:after="0"/>
              <w:rPr>
                <w:sz w:val="20"/>
                <w:szCs w:val="20"/>
                <w:color w:val="auto"/>
              </w:rPr>
            </w:pPr>
            <w:r>
              <w:rPr>
                <w:rFonts w:ascii="Arial" w:cs="Arial" w:eastAsia="Arial" w:hAnsi="Arial"/>
                <w:sz w:val="18"/>
                <w:szCs w:val="18"/>
                <w:color w:val="auto"/>
              </w:rPr>
              <w:t>payment to settle interest rate swaps</w:t>
            </w: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r>
      <w:tr>
        <w:trPr>
          <w:trHeight w:val="216"/>
        </w:trPr>
        <w:tc>
          <w:tcPr>
            <w:tcW w:w="6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460" w:right="60" w:hanging="452"/>
        <w:spacing w:after="0" w:line="27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accordance with U.S. GAAP, this adjustment allocates, using the relative fair value method, reporting unit goodwill to the disposal of the Consumer CLEC Business.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To adjust Windstream Holdings’ deferred tax assets and liabilities as follows: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Current</w:t>
            </w:r>
          </w:p>
        </w:tc>
        <w:tc>
          <w:tcPr>
            <w:tcW w:w="1800" w:type="dxa"/>
            <w:vAlign w:val="bottom"/>
            <w:gridSpan w:val="4"/>
          </w:tcPr>
          <w:p>
            <w:pPr>
              <w:ind w:left="620"/>
              <w:spacing w:after="0"/>
              <w:rPr>
                <w:sz w:val="20"/>
                <w:szCs w:val="20"/>
                <w:color w:val="auto"/>
              </w:rPr>
            </w:pPr>
            <w:r>
              <w:rPr>
                <w:rFonts w:ascii="Arial" w:cs="Arial" w:eastAsia="Arial" w:hAnsi="Arial"/>
                <w:sz w:val="14"/>
                <w:szCs w:val="14"/>
                <w:b w:val="1"/>
                <w:bCs w:val="1"/>
                <w:color w:val="auto"/>
              </w:rPr>
              <w:t>Non-Current</w:t>
            </w:r>
          </w:p>
        </w:tc>
      </w:tr>
      <w:tr>
        <w:trPr>
          <w:trHeight w:val="149"/>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Deferred Tax</w:t>
            </w:r>
          </w:p>
        </w:tc>
        <w:tc>
          <w:tcPr>
            <w:tcW w:w="180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Deferred Tax</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Assets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Liabilities</w:t>
            </w:r>
          </w:p>
        </w:tc>
      </w:tr>
      <w:tr>
        <w:trPr>
          <w:trHeight w:val="182"/>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ind w:left="760"/>
              <w:spacing w:after="0" w:line="182" w:lineRule="exact"/>
              <w:rPr>
                <w:sz w:val="20"/>
                <w:szCs w:val="20"/>
                <w:color w:val="auto"/>
              </w:rPr>
            </w:pPr>
            <w:r>
              <w:rPr>
                <w:rFonts w:ascii="Arial" w:cs="Arial" w:eastAsia="Arial" w:hAnsi="Arial"/>
                <w:sz w:val="18"/>
                <w:szCs w:val="18"/>
                <w:color w:val="auto"/>
              </w:rPr>
              <w:t>Adjust deferred income tax liabilities to reflect transfer of</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Consumer CLEC Business to CS&amp;L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transfer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Distribution Systems to CS&amp;L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425.6</w:t>
            </w:r>
          </w:p>
        </w:tc>
        <w:tc>
          <w:tcPr>
            <w:tcW w:w="36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settlement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tcPr>
          <w:p>
            <w:pPr>
              <w:ind w:left="760"/>
              <w:spacing w:after="0" w:line="201" w:lineRule="exact"/>
              <w:rPr>
                <w:sz w:val="20"/>
                <w:szCs w:val="20"/>
                <w:color w:val="auto"/>
              </w:rPr>
            </w:pPr>
            <w:r>
              <w:rPr>
                <w:rFonts w:ascii="Arial" w:cs="Arial" w:eastAsia="Arial" w:hAnsi="Arial"/>
                <w:sz w:val="18"/>
                <w:szCs w:val="18"/>
                <w:color w:val="auto"/>
              </w:rPr>
              <w:t>Record deferred income tax asset for long-term term lease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tcPr>
          <w:p>
            <w:pPr>
              <w:ind w:left="940"/>
              <w:spacing w:after="0"/>
              <w:rPr>
                <w:sz w:val="20"/>
                <w:szCs w:val="20"/>
                <w:color w:val="auto"/>
              </w:rPr>
            </w:pPr>
            <w:r>
              <w:rPr>
                <w:rFonts w:ascii="Arial" w:cs="Arial" w:eastAsia="Arial" w:hAnsi="Arial"/>
                <w:sz w:val="18"/>
                <w:szCs w:val="18"/>
                <w:color w:val="auto"/>
              </w:rPr>
              <w:t>obligation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55.1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(1,946.3)</w:t>
            </w:r>
          </w:p>
        </w:tc>
      </w:tr>
      <w:tr>
        <w:trPr>
          <w:trHeight w:val="202"/>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6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Adjust deferred income tax liabilities to reflect entity restructurings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completed in conjunction with the Spin-Off</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60" w:type="dxa"/>
            <w:vAlign w:val="bottom"/>
          </w:tcPr>
          <w:p>
            <w:pPr>
              <w:ind w:left="760"/>
              <w:spacing w:after="0"/>
              <w:rPr>
                <w:sz w:val="20"/>
                <w:szCs w:val="20"/>
                <w:color w:val="auto"/>
              </w:rPr>
            </w:pPr>
            <w:r>
              <w:rPr>
                <w:rFonts w:ascii="Arial" w:cs="Arial" w:eastAsia="Arial" w:hAnsi="Arial"/>
                <w:sz w:val="18"/>
                <w:szCs w:val="18"/>
                <w:color w:val="auto"/>
              </w:rPr>
              <w:t>Net adjustment to deferred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5"/>
              </w:rPr>
              <w:t>55.1</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(1,498.7</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505450" cy="454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05450" cy="454660"/>
                    </a:xfrm>
                    <a:prstGeom prst="rect">
                      <a:avLst/>
                    </a:prstGeom>
                    <a:noFill/>
                  </pic:spPr>
                </pic:pic>
              </a:graphicData>
            </a:graphic>
          </wp:anchor>
        </w:drawing>
      </w:r>
    </w:p>
    <w:p>
      <w:pPr>
        <w:spacing w:after="0" w:line="222" w:lineRule="exact"/>
        <w:rPr>
          <w:sz w:val="20"/>
          <w:szCs w:val="20"/>
          <w:color w:val="auto"/>
        </w:rPr>
      </w:pPr>
    </w:p>
    <w:p>
      <w:pPr>
        <w:ind w:left="1380"/>
        <w:spacing w:after="0"/>
        <w:tabs>
          <w:tab w:leader="none" w:pos="21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The other pro forma adjustments to shareholders’ equity consist of the following:</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320" w:right="134" w:hanging="179"/>
        <w:spacing w:after="0" w:line="258" w:lineRule="auto"/>
        <w:rPr>
          <w:sz w:val="20"/>
          <w:szCs w:val="20"/>
          <w:color w:val="auto"/>
        </w:rPr>
      </w:pPr>
      <w:r>
        <w:rPr>
          <w:rFonts w:ascii="Arial" w:cs="Arial" w:eastAsia="Arial" w:hAnsi="Arial"/>
          <w:sz w:val="18"/>
          <w:szCs w:val="18"/>
          <w:color w:val="auto"/>
        </w:rPr>
        <w:t>Remove net assets of Consumer CLEC Business transferred to CS&amp;L and related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-273050</wp:posOffset>
            </wp:positionV>
            <wp:extent cx="550545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2320" w:right="194" w:hanging="179"/>
        <w:spacing w:after="0" w:line="250" w:lineRule="auto"/>
        <w:rPr>
          <w:sz w:val="20"/>
          <w:szCs w:val="20"/>
          <w:color w:val="auto"/>
        </w:rPr>
      </w:pPr>
      <w:r>
        <w:rPr>
          <w:rFonts w:ascii="Arial" w:cs="Arial" w:eastAsia="Arial" w:hAnsi="Arial"/>
          <w:sz w:val="18"/>
          <w:szCs w:val="18"/>
          <w:color w:val="auto"/>
        </w:rPr>
        <w:t>Record Windstream Holdings’ 19.9% retained interest in CS&amp;L at estimated fair value</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Payment of transaction fees and expenses</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Record long-term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320" w:right="314" w:hanging="179"/>
        <w:spacing w:after="0" w:line="250" w:lineRule="auto"/>
        <w:rPr>
          <w:sz w:val="20"/>
          <w:szCs w:val="20"/>
          <w:color w:val="auto"/>
        </w:rPr>
      </w:pPr>
      <w:r>
        <w:rPr>
          <w:rFonts w:ascii="Arial" w:cs="Arial" w:eastAsia="Arial" w:hAnsi="Arial"/>
          <w:sz w:val="18"/>
          <w:szCs w:val="18"/>
          <w:color w:val="auto"/>
        </w:rPr>
        <w:t>Record income tax benefits associated with loss on extinguishment of debt and payment to settle interest rate swaps</w:t>
      </w:r>
    </w:p>
    <w:p>
      <w:pPr>
        <w:spacing w:after="0" w:line="1" w:lineRule="exact"/>
        <w:rPr>
          <w:sz w:val="20"/>
          <w:szCs w:val="20"/>
          <w:color w:val="auto"/>
        </w:rPr>
      </w:pPr>
    </w:p>
    <w:p>
      <w:pPr>
        <w:ind w:left="2320" w:right="614" w:hanging="179"/>
        <w:spacing w:after="0" w:line="250" w:lineRule="auto"/>
        <w:rPr>
          <w:sz w:val="20"/>
          <w:szCs w:val="20"/>
          <w:color w:val="auto"/>
        </w:rPr>
      </w:pPr>
      <w:r>
        <w:rPr>
          <w:rFonts w:ascii="Arial" w:cs="Arial" w:eastAsia="Arial" w:hAnsi="Arial"/>
          <w:sz w:val="18"/>
          <w:szCs w:val="18"/>
          <w:color w:val="auto"/>
        </w:rPr>
        <w:t>Adjust current deferred income taxes for current portion of long-term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-273050</wp:posOffset>
            </wp:positionV>
            <wp:extent cx="550545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2320" w:right="754" w:hanging="179"/>
        <w:spacing w:after="0" w:line="257" w:lineRule="auto"/>
        <w:rPr>
          <w:sz w:val="20"/>
          <w:szCs w:val="20"/>
          <w:color w:val="auto"/>
        </w:rPr>
      </w:pPr>
      <w:r>
        <w:rPr>
          <w:rFonts w:ascii="Arial" w:cs="Arial" w:eastAsia="Arial" w:hAnsi="Arial"/>
          <w:sz w:val="18"/>
          <w:szCs w:val="18"/>
          <w:color w:val="auto"/>
        </w:rPr>
        <w:t>Adjust deferred income taxes for effects of the Spin-Off and debt-related transactions</w:t>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Net adjustment to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adjust depreciation and amortization expense as follows: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06"/>
        <w:spacing w:after="0"/>
        <w:rPr>
          <w:sz w:val="20"/>
          <w:szCs w:val="20"/>
          <w:color w:val="auto"/>
        </w:rPr>
      </w:pPr>
      <w:r>
        <w:rPr>
          <w:rFonts w:ascii="Arial" w:cs="Arial" w:eastAsia="Arial" w:hAnsi="Arial"/>
          <w:sz w:val="14"/>
          <w:szCs w:val="14"/>
          <w:b w:val="1"/>
          <w:bCs w:val="1"/>
          <w:color w:val="auto"/>
        </w:rPr>
        <w:t>(Millions)</w:t>
      </w:r>
    </w:p>
    <w:p>
      <w:pPr>
        <w:spacing w:after="0" w:line="212" w:lineRule="exact"/>
        <w:rPr>
          <w:sz w:val="20"/>
          <w:szCs w:val="20"/>
          <w:color w:val="auto"/>
        </w:rPr>
      </w:pPr>
    </w:p>
    <w:p>
      <w:pPr>
        <w:ind w:left="426" w:hanging="426"/>
        <w:spacing w:after="0"/>
        <w:tabs>
          <w:tab w:leader="none" w:pos="4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(23.6)</w:t>
      </w:r>
    </w:p>
    <w:p>
      <w:pPr>
        <w:spacing w:after="0" w:line="248"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883.0</w:t>
      </w:r>
    </w:p>
    <w:p>
      <w:pPr>
        <w:spacing w:after="0" w:line="23"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(59.2)</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(57.4)</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(5,131.8)</w:t>
      </w:r>
    </w:p>
    <w:p>
      <w:pPr>
        <w:spacing w:after="0" w:line="211" w:lineRule="exact"/>
        <w:rPr>
          <w:sz w:val="20"/>
          <w:szCs w:val="20"/>
          <w:color w:val="auto"/>
        </w:rPr>
      </w:pPr>
    </w:p>
    <w:p>
      <w:pPr>
        <w:ind w:left="486"/>
        <w:spacing w:after="0"/>
        <w:rPr>
          <w:sz w:val="20"/>
          <w:szCs w:val="20"/>
          <w:color w:val="auto"/>
        </w:rPr>
      </w:pPr>
      <w:r>
        <w:rPr>
          <w:rFonts w:ascii="Arial" w:cs="Arial" w:eastAsia="Arial" w:hAnsi="Arial"/>
          <w:sz w:val="18"/>
          <w:szCs w:val="18"/>
          <w:color w:val="auto"/>
        </w:rPr>
        <w:t>37.1</w:t>
      </w:r>
    </w:p>
    <w:p>
      <w:pPr>
        <w:spacing w:after="0" w:line="225" w:lineRule="exact"/>
        <w:rPr>
          <w:sz w:val="20"/>
          <w:szCs w:val="20"/>
          <w:color w:val="auto"/>
        </w:rPr>
      </w:pPr>
    </w:p>
    <w:p>
      <w:pPr>
        <w:ind w:left="486"/>
        <w:spacing w:after="0"/>
        <w:rPr>
          <w:sz w:val="20"/>
          <w:szCs w:val="20"/>
          <w:color w:val="auto"/>
        </w:rPr>
      </w:pPr>
      <w:r>
        <w:rPr>
          <w:rFonts w:ascii="Arial" w:cs="Arial" w:eastAsia="Arial" w:hAnsi="Arial"/>
          <w:sz w:val="18"/>
          <w:szCs w:val="18"/>
          <w:color w:val="auto"/>
        </w:rPr>
        <w:t>55.1</w:t>
      </w:r>
    </w:p>
    <w:p>
      <w:pPr>
        <w:spacing w:after="0" w:line="225" w:lineRule="exact"/>
        <w:rPr>
          <w:sz w:val="20"/>
          <w:szCs w:val="20"/>
          <w:color w:val="auto"/>
        </w:rPr>
      </w:pPr>
    </w:p>
    <w:p>
      <w:pPr>
        <w:ind w:left="266"/>
        <w:spacing w:after="0"/>
        <w:rPr>
          <w:sz w:val="20"/>
          <w:szCs w:val="20"/>
          <w:color w:val="auto"/>
        </w:rPr>
      </w:pPr>
      <w:r>
        <w:rPr>
          <w:rFonts w:ascii="Arial" w:cs="Arial" w:eastAsia="Arial" w:hAnsi="Arial"/>
          <w:sz w:val="17"/>
          <w:szCs w:val="17"/>
          <w:color w:val="auto"/>
        </w:rPr>
        <w:t>1,498.7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43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  (2,798.1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5143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736" w:lineRule="exact"/>
        <w:rPr>
          <w:sz w:val="20"/>
          <w:szCs w:val="20"/>
          <w:color w:val="auto"/>
        </w:rPr>
      </w:pPr>
    </w:p>
    <w:p>
      <w:pPr>
        <w:sectPr>
          <w:pgSz w:w="11900" w:h="16838" w:orient="portrait"/>
          <w:cols w:equalWidth="0" w:num="2">
            <w:col w:w="8154" w:space="720"/>
            <w:col w:w="1345"/>
          </w:cols>
          <w:pgMar w:left="240" w:top="459" w:right="1440" w:bottom="1440" w:gutter="0" w:footer="0" w:header="0"/>
          <w:type w:val="continuous"/>
        </w:sectPr>
      </w:pP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Nine Months</w:t>
            </w:r>
          </w:p>
        </w:tc>
        <w:tc>
          <w:tcPr>
            <w:tcW w:w="460" w:type="dxa"/>
            <w:vAlign w:val="bottom"/>
          </w:tcPr>
          <w:p>
            <w:pPr>
              <w:spacing w:after="0"/>
              <w:rPr>
                <w:sz w:val="14"/>
                <w:szCs w:val="14"/>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w:t>
            </w:r>
          </w:p>
        </w:tc>
        <w:tc>
          <w:tcPr>
            <w:tcW w:w="1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2014</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Record</w:t>
            </w:r>
          </w:p>
        </w:tc>
        <w:tc>
          <w:tcPr>
            <w:tcW w:w="4720" w:type="dxa"/>
            <w:vAlign w:val="bottom"/>
            <w:tcBorders>
              <w:top w:val="single" w:sz="8" w:color="CCEEFF"/>
            </w:tcBorders>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w w:val="89"/>
              </w:rPr>
              <w:t>additional depreciation expense to fully depreciate the</w:t>
            </w: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 Systems at the end of the initial 15-year lease term</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2"/>
          </w:tcPr>
          <w:p>
            <w:pPr>
              <w:spacing w:after="0" w:line="201" w:lineRule="exact"/>
              <w:rPr>
                <w:sz w:val="20"/>
                <w:szCs w:val="20"/>
                <w:color w:val="auto"/>
              </w:rPr>
            </w:pPr>
            <w:r>
              <w:rPr>
                <w:rFonts w:ascii="Arial" w:cs="Arial" w:eastAsia="Arial" w:hAnsi="Arial"/>
                <w:sz w:val="18"/>
                <w:szCs w:val="18"/>
                <w:color w:val="auto"/>
              </w:rPr>
              <w:t>Adjust amortization expense to reflect Consumer CLEC Business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customer lists transferred to CS&amp;L</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adjustment to depreciation and amortization expense</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jc w:val="right"/>
              <w:ind w:right="81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eliminate non-recurring transaction costs and expenses incurred during the period that directly related to the Spin-Off.</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pro forma adjustments were tax effected using the Windstream Holdings estimated statutory tax rate of 39.0%.</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COMBINED HISTORICAL FINANCIAL DATA</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selected financial data for CS&amp;L (as described below) on a historical basis. Prior to the Spin-Off, we will not have operated the Consumer CLEC Business separate from Windstream, nor have we commenced our leasing business.</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selected combined historical financial data as of December 31, 2013 and 2012 and for the years ended December 31, 2013 and 2012 has been derived from the audited financial statements of the Consumer CLEC Business and Distribution Systems included elsewhere in this information statement. The selected combined historical financial data as of September 30, 2014 and for the nine months ended September 30, 2014 and 2013 has been derived from the unaudited financial statements of the Consumer CLEC Business and Distribution Systems included elsewhere in this information statement.</w:t>
      </w:r>
    </w:p>
    <w:p>
      <w:pPr>
        <w:spacing w:after="0" w:line="15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Certain information included elsewhere in this information and note disclosures normally included in the annual combined financial statements have been condensed or omitted, as permitted under applicable rules and regulations. Our management believes the assumptions underlying the combined financial statements and accompanying notes are reasonable. However, such combined financial statements may not necessarily reflect our financial condition and results of operations in the future, or what they would have been had we been a separate, stand-alone company during the periods presented. The results of operations presented in the combined financial statements are not necessarily representative of operations for the entire year.</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should be read in conjunction with the combined financial statements, accompanying notes and “Management’s Discussion and Analysis of Financial Condition and Results of Operations,” each of which are included elsewhere in this information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color w:val="auto"/>
              </w:rPr>
              <w:t>As of or For the Nine Months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4"/>
                <w:szCs w:val="14"/>
                <w:color w:val="auto"/>
              </w:rPr>
              <w:t>As of or For the Year Ended</w:t>
            </w:r>
          </w:p>
        </w:tc>
        <w:tc>
          <w:tcPr>
            <w:tcW w:w="0" w:type="dxa"/>
            <w:vAlign w:val="bottom"/>
          </w:tcPr>
          <w:p>
            <w:pPr>
              <w:spacing w:after="0"/>
              <w:rPr>
                <w:sz w:val="1"/>
                <w:szCs w:val="1"/>
                <w:color w:val="auto"/>
              </w:rPr>
            </w:pPr>
          </w:p>
        </w:tc>
      </w:tr>
      <w:tr>
        <w:trPr>
          <w:trHeight w:val="167"/>
        </w:trPr>
        <w:tc>
          <w:tcPr>
            <w:tcW w:w="516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color w:val="auto"/>
              </w:rPr>
              <w:t>2014</w:t>
            </w:r>
          </w:p>
        </w:tc>
        <w:tc>
          <w:tcPr>
            <w:tcW w:w="10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color w:val="auto"/>
              </w:rPr>
              <w:t>2013</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89"/>
              </w:rPr>
              <w:t>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4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9.3</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12.9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8"/>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2,609.3</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2,704.9</w:t>
            </w:r>
          </w:p>
        </w:tc>
        <w:tc>
          <w:tcPr>
            <w:tcW w:w="9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48"/>
              <w:spacing w:after="0"/>
              <w:rPr>
                <w:sz w:val="20"/>
                <w:szCs w:val="20"/>
                <w:color w:val="auto"/>
              </w:rPr>
            </w:pPr>
            <w:r>
              <w:rPr>
                <w:rFonts w:ascii="Arial" w:cs="Arial" w:eastAsia="Arial" w:hAnsi="Arial"/>
                <w:sz w:val="18"/>
                <w:szCs w:val="18"/>
                <w:color w:val="auto"/>
              </w:rPr>
              <w:t>2,601.3(a)</w:t>
            </w:r>
          </w:p>
        </w:tc>
        <w:tc>
          <w:tcPr>
            <w:tcW w:w="600" w:type="dxa"/>
            <w:vAlign w:val="bottom"/>
          </w:tcPr>
          <w:p>
            <w:pPr>
              <w:spacing w:after="0"/>
              <w:rPr>
                <w:sz w:val="20"/>
                <w:szCs w:val="20"/>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w w:val="95"/>
              </w:rPr>
              <w:t>2,695.2(a)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Also includes net assets contributed of the Consumer CLEC Business.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Does not include Distribution Systems.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The following is a discussion and analysis of (i) our anticipated financial condition immediately following the Spin-Off and (ii) CS&amp;L’s historical results of operations of the Consumer CLEC Business that we will own and operate following the Spin-Off. The Distribution Systems, which we will own following the Spin-Off, were not operated by Windstream Holdings as a stand-alone business, and accordingly, there are no historical results of operations related to these assets. The following should be read in conjunction with CS&amp;L’s historical financial statements and accompanying notes of the Consumer CLEC Business and the Distribution Systems, as well as our unaudited pro forma combined financial statements and accompanying notes, each of which are included elsewhere in this information statement. This discussion contains forward-looking statements that involve risks and uncertainties. Our actual results could differ materially from those projected, forecasted or expected in these forward-looking statements as a result of various factors, including those which are discussed below and elsewhere in this information statement. See also “Risk Factors” and “Cautionary Statement Regarding Forward-Looking Statements.” Prior to the Spin-Off, we will not have operated our Consumer CLEC Business separate from Windstream Holdings. CS&amp;L’s historical results of operations include the results of operations of the Consumer CLEC Business that Windstream Holdings will contribute to us prior to the Spin-Off, and our management believes the assumptions underlying CS&amp;L’s historical financial statements and accompanying notes are reasonable. However, such financial statements may not necessarily reflect our financial condition and results of operations in the future, or what they would have been had we been a separate, stand-alone company during the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At the time of the Spin-Off, the Company will own the assets currently owned by Windstream Holdings constituting its Distribution Systems and Consumer CLEC Business. The Distribution Systems will be leased to Windstream Holdings pursuant to the Master Lease.</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Following the Spin-Off, we will be a publicly traded, self-administered REIT primarily engaged in the ownership, acquisition and leasing of telecommunications assets. We expect to generate revenues primarily by leasing telecommunications assets to telecommunications operators in triple-net lease arrangements, under which the tenant is primarily responsible for the costs related to the assets (including property taxes, insurance, and maintenance and repair costs). We expect to grow our portfolio by pursuing opportunities to acquire additional facilities that will be leased to a diverse group of local, regional and national telecommunications providers, which may include Windstream Holdings, as well as related businesses. We also anticipate diversifying our portfolio over time, including by acquiring assets in different geographic markets, and in different asset classes.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83" w:lineRule="exact"/>
        <w:rPr>
          <w:sz w:val="20"/>
          <w:szCs w:val="20"/>
          <w:color w:val="auto"/>
        </w:rPr>
      </w:pPr>
    </w:p>
    <w:p>
      <w:pPr>
        <w:ind w:right="4440"/>
        <w:spacing w:after="0" w:line="378" w:lineRule="auto"/>
        <w:rPr>
          <w:sz w:val="20"/>
          <w:szCs w:val="20"/>
          <w:color w:val="auto"/>
        </w:rPr>
      </w:pPr>
      <w:r>
        <w:rPr>
          <w:rFonts w:ascii="Arial" w:cs="Arial" w:eastAsia="Arial" w:hAnsi="Arial"/>
          <w:sz w:val="18"/>
          <w:szCs w:val="18"/>
          <w:b w:val="1"/>
          <w:bCs w:val="1"/>
          <w:color w:val="auto"/>
        </w:rPr>
        <w:t>COMPONENTS OF OUR REVENUES AND EXPENSES FOLLOWING THE SPIN-OFF Revenues</w:t>
      </w:r>
    </w:p>
    <w:p>
      <w:pPr>
        <w:ind w:right="440" w:firstLine="456"/>
        <w:spacing w:after="0" w:line="264" w:lineRule="auto"/>
        <w:rPr>
          <w:sz w:val="20"/>
          <w:szCs w:val="20"/>
          <w:color w:val="auto"/>
        </w:rPr>
      </w:pPr>
      <w:r>
        <w:rPr>
          <w:rFonts w:ascii="Arial" w:cs="Arial" w:eastAsia="Arial" w:hAnsi="Arial"/>
          <w:sz w:val="18"/>
          <w:szCs w:val="18"/>
          <w:color w:val="auto"/>
        </w:rPr>
        <w:t>Following the Spin-Off, we expect our earnings to primarily be attributable to rental revenues from the leasing of our Distribution Systems to Windstream Holdings pursuant to the Master Lease. Under the Master Lease, Windstream Holdings will be primarily responsible for the costs related to operating the Distribution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Systems, including property taxes, insurance, and maintenance and repair costs. The lease will have an initial term of 15 years with four (4) five-year renewal options and will encompass approximately 37 distinct market areas. The rent for the initial term will be a fixed amount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Each five-year renewal option will provide Windstream Holdings the opportunity to renew any or all of the market areas.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Rental revenues over the 15 year initial term of the Master Lease will be recognized in the financial statements on a straight line basis, or approximately $667.2 million per year.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General and administrative costs are expected for items such as compensation costs (including stock-based compensation awards), professional services, office costs and other costs associated with administrative activities. To the extent requested by us, Windstream Holdings will provide us with certain administrative and support services on a transitional basis pursuant to the Transition Services Agreement. We expect that the fees charged to us for transition services furnished pursuant to the Transition Services Agreement will approximate the actual cost incurred by Windstream Holdings in providing such transition services to us for the relevant period.</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and administrative expenses are anticipated to be approximately $20.0 million to $25.0 million in the first year after the Spin-Off, consisting of cash compensation, professional services, administration and other costs and transitional services costs. These amounts were determined based on the experience of management and discussions with outside service providers, consultants and advisors. Non-cash stock-based compensation, incentive-based cash compensation and acquisition costs are not included in these amounts. The details of our future anticipated equity grants and compensation have not yet been determined for our board of directors or executive officers. The amount of compensation-related expense, including incentive-based cash compensation and non-cash stock compensation expense, actually incurred by us in the first year after the Spin-Off will be based on determinations by our compensation committee and board of directors following the Spin-Off.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will incur depreciation and amortization expense for the property, plant, and equipment and customer list intangible assets transferred to us from Windstream Holdings, which is expected to be between $325.0 million and $335.0 million in the first year after the Spin-Off. This amount was determined based on the remaining useful lives of the assets as of September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of the Consumer CLEC Business TRS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own and operate a competitive local exchange carrier business offering voice, broadband, long distance and value-added services to consumer customers, which will operate as a TRS. Substantially all of the network assets used to provide these services to customers are contracted through interconnection agreements with other carriers. Following the Spin-Off, we intend to market these services to new residential customers in the service areas covered by these operations. As a result, we expect the rate of decline in the revenues of this business to moderate over time. As a TRS, we expect the Consumer CLEC business will be taxed at a statutory rate of 38.5%.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will incur interest expense from our borrowing obligations and the amortization of our debt issuance costs related to our indebtedness. Our current estimate of debt outstanding following the Spin-Off 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approximately $3,650.0 million in outstanding borrowings, and annual interest costs of approximately $188.0 million based on a weighted average interest rate of 5.15%. See “Liquidity and Capital Resources” below for more information.</w:t>
      </w:r>
    </w:p>
    <w:p>
      <w:pPr>
        <w:spacing w:after="0" w:line="275" w:lineRule="exact"/>
        <w:rPr>
          <w:sz w:val="20"/>
          <w:szCs w:val="20"/>
          <w:color w:val="auto"/>
        </w:rPr>
      </w:pPr>
    </w:p>
    <w:p>
      <w:pPr>
        <w:ind w:right="3100"/>
        <w:spacing w:after="0" w:line="378" w:lineRule="auto"/>
        <w:rPr>
          <w:sz w:val="20"/>
          <w:szCs w:val="20"/>
          <w:color w:val="auto"/>
        </w:rPr>
      </w:pPr>
      <w:r>
        <w:rPr>
          <w:rFonts w:ascii="Arial" w:cs="Arial" w:eastAsia="Arial" w:hAnsi="Arial"/>
          <w:sz w:val="18"/>
          <w:szCs w:val="18"/>
          <w:b w:val="1"/>
          <w:bCs w:val="1"/>
          <w:color w:val="auto"/>
        </w:rPr>
        <w:t>DISCUSSION OF HISTORICAL RESULTS OF OPERATIONS OF THE CONSUMER CLEC BUSINESS Basis of Presentation</w:t>
      </w:r>
    </w:p>
    <w:p>
      <w:pPr>
        <w:ind w:firstLine="456"/>
        <w:spacing w:after="0" w:line="259" w:lineRule="auto"/>
        <w:rPr>
          <w:sz w:val="20"/>
          <w:szCs w:val="20"/>
          <w:color w:val="auto"/>
        </w:rPr>
      </w:pPr>
      <w:r>
        <w:rPr>
          <w:rFonts w:ascii="Arial" w:cs="Arial" w:eastAsia="Arial" w:hAnsi="Arial"/>
          <w:sz w:val="18"/>
          <w:szCs w:val="18"/>
          <w:color w:val="auto"/>
        </w:rPr>
        <w:t>CS&amp;L’s historical financial statements of the Consumer CLEC Business were prepared on a stand-alone basis and were derived from the consolidated financial statements and accounting records of Windstream Holdings. These statements reflect the historical financial condition and results of operations of the Consumer CLEC Business, which we will own following the Spin-Off, in accordance with GAAP. All intercompany transactions and accounts have been eliminated.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2014</w:t>
            </w:r>
          </w:p>
        </w:tc>
        <w:tc>
          <w:tcPr>
            <w:tcW w:w="560" w:type="dxa"/>
            <w:vAlign w:val="bottom"/>
          </w:tcPr>
          <w:p>
            <w:pPr>
              <w:spacing w:after="0"/>
              <w:rPr>
                <w:sz w:val="14"/>
                <w:szCs w:val="14"/>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4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27,356</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34,965</w:t>
            </w: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(7,609</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14,498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18,009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3,488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Total direct expenses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18,031</w:t>
            </w:r>
          </w:p>
        </w:tc>
        <w:tc>
          <w:tcPr>
            <w:tcW w:w="5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5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(4,071)</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9,325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12,863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Revenues principally consist of voice, broadband, long-distance, and value-added services to residential customers in primarily rural markets where Windstream provides access to or usage of leased networks and facilities. Revenues also include sales of customer premise equipment and routers. Presently, Windstream no longer accepts new residential customers in these service areas. In addition to no longer acquiring new customers, competition from wireless carriers, cable companies and other providers using emerging technologies has also contributed to a decline in the number of residential customers served by the Consumer CLEC Business. As of September 30, 2014, the number of customers served was approximately 66,000 compared to approximately 81,000 at September 30, 2013, a decrease of 15,000 customers or 19 percent. As a result, the decrease in revenues primarily reflected the decline in customers due to the effects of competition and customer attrition.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Cost of revenues expense primarily consists of charges incurred for interconnection, bad debt and customer support. Interconnection expense consists of charges incurred to access the public switched network and transport traffic to the Internet, including charges paid to other carriers to lease network facilities where we do not own network infrastructure. 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Selling, general, and administrative expenses include costs resulting from sales and marketing efforts, including advertising and sales. The decrease was attributable to a reduction in compensation-related costs for the consumer sales force reflecting Windstream’s decision to no longer accept new residential customers in the residential areas served by the Consumer CLEC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attributable to the Consumer CLEC Business are amortized using the sum-of-the-years digits method over their estimated useful lives. The effect of using an accelerated amortization method results in incremental declines in amortization expense each period as the related customer lists amortize.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5"/>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5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63,478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(18,352</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5,253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5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(10,352)</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decrease in revenues primarily reflected a reduction in customers due to the effects of competition and customer attrition resulting from Windstream’s decision in 2012 to no longer market services to new residential customers. As of December 31, 2013, the number of customers served was approximately 77,000 compared to approximately 99,000 at December 31, 2012, a decrease of 22,000 customers or 22 percent.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decrease was primarily attributable to a reduction in compensation-related costs for the consumer sales force reflecting Windstream’s decision in 2012 to no longer accept new customers in the residential areas served by the Consumer CLEC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decrease in amortization expense reflected the use of sum-of-the-years digits method to amortize the customer list intangible assets. As previously noted, the effect of using an accelerated amortization method results in incremental declines in expense each period as the related customer lists amortize.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that net income, as defined by GAAP, is the most appropriate earnings measure. We also believe that Funds From Operations (“FFO”), as defined by the National Association of Real Estate Investment Trusts (“NAREIT”), and Funds Available for Distribution (“FAD”) are important non-GAAP supplemental measures of operating performance for a REIT. 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computed in accordance with GAAP, excluding gains or losses from real estate dispositions, plus real estate depreciation and amortization and impairment charges. We compute FFO in accordance with NAREIT’s definition. FAD is defined as FFO excluding noncash expenses such as stock-based compensation expense and amortization of deferred financing costs. We believe that the use of FFO and FAD, combined with the required GAAP presentations, improves the understanding of operating results of REITs among investors and makes comparisons of operating results among such companies more meaningful. We consider FFO and FAD to be useful measures for reviewing comparative operating and financial performance because, by excluding gains or losses from real estate dispositions, impairment charges and real estate depreciation and amortization, and, for FAD, by excluding non-cash expenses such as stock-based compensation expense and amortization of deferred financing costs, FFO and FAD can help investors compare our operating performance between periods and to other REITs. While FFO and FAD are relevant and widely used measures of operating performance of REITs, they do not represent cash flows from operations or net income as defined by GAAP and should not be considered an alternative to those measures in evaluating our liquidity or operating performance. FFO and FAD do not purport to be indicative of cash available to fund our future cash requirements. Further, our computation of FFO and FAD may not be comparable to FFO and FAD reported by other REITs that do not define FFO in accordance with the current NAREIT definition or that interpret the current NAREIT definition or define FAD differently than we do.</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reconciles our calculations of FFO and FAD to net income, the most directly comparable GAAP financial measure, on a pro forma basis for the nine months ended September 30, 2014 and the year ended December 31,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For the Nine Months</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80" w:type="dxa"/>
            <w:vAlign w:val="bottom"/>
            <w:gridSpan w:val="3"/>
          </w:tcPr>
          <w:p>
            <w:pPr>
              <w:ind w:left="860"/>
              <w:spacing w:after="0"/>
              <w:rPr>
                <w:sz w:val="20"/>
                <w:szCs w:val="20"/>
                <w:color w:val="auto"/>
              </w:rPr>
            </w:pPr>
            <w:r>
              <w:rPr>
                <w:rFonts w:ascii="Arial" w:cs="Arial" w:eastAsia="Arial" w:hAnsi="Arial"/>
                <w:sz w:val="14"/>
                <w:szCs w:val="14"/>
                <w:b w:val="1"/>
                <w:bCs w:val="1"/>
                <w:color w:val="auto"/>
                <w:w w:val="91"/>
              </w:rPr>
              <w:t>Ended September 30,</w:t>
            </w:r>
          </w:p>
        </w:tc>
        <w:tc>
          <w:tcPr>
            <w:tcW w:w="2700" w:type="dxa"/>
            <w:vAlign w:val="bottom"/>
            <w:gridSpan w:val="4"/>
          </w:tcPr>
          <w:p>
            <w:pPr>
              <w:jc w:val="center"/>
              <w:ind w:left="1119"/>
              <w:spacing w:after="0"/>
              <w:rPr>
                <w:sz w:val="20"/>
                <w:szCs w:val="20"/>
                <w:color w:val="auto"/>
              </w:rPr>
            </w:pPr>
            <w:r>
              <w:rPr>
                <w:rFonts w:ascii="Arial" w:cs="Arial" w:eastAsia="Arial" w:hAnsi="Arial"/>
                <w:sz w:val="14"/>
                <w:szCs w:val="14"/>
                <w:b w:val="1"/>
                <w:bCs w:val="1"/>
                <w:color w:val="auto"/>
                <w:w w:val="91"/>
              </w:rPr>
              <w:t>Ended December 31,</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FAD</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Issuance</w:t>
      </w:r>
    </w:p>
    <w:p>
      <w:pPr>
        <w:spacing w:after="0" w:line="121" w:lineRule="exact"/>
        <w:rPr>
          <w:sz w:val="20"/>
          <w:szCs w:val="20"/>
          <w:color w:val="auto"/>
        </w:rPr>
      </w:pPr>
    </w:p>
    <w:p>
      <w:pPr>
        <w:ind w:left="460"/>
        <w:spacing w:after="0"/>
        <w:tabs>
          <w:tab w:leader="none" w:pos="6660" w:val="left"/>
        </w:tabs>
        <w:rPr>
          <w:sz w:val="20"/>
          <w:szCs w:val="20"/>
          <w:color w:val="auto"/>
        </w:rPr>
      </w:pPr>
      <w:r>
        <w:rPr>
          <w:rFonts w:ascii="Arial" w:cs="Arial" w:eastAsia="Arial" w:hAnsi="Arial"/>
          <w:sz w:val="18"/>
          <w:szCs w:val="18"/>
          <w:color w:val="auto"/>
        </w:rPr>
        <w:t>Prior to the Spin-Off, we anticipate that we will issue senior notes with a term of</w:t>
      </w:r>
      <w:r>
        <w:rPr>
          <w:sz w:val="20"/>
          <w:szCs w:val="20"/>
          <w:color w:val="auto"/>
        </w:rPr>
        <w:tab/>
      </w:r>
      <w:r>
        <w:rPr>
          <w:rFonts w:ascii="Arial" w:cs="Arial" w:eastAsia="Arial" w:hAnsi="Arial"/>
          <w:sz w:val="16"/>
          <w:szCs w:val="16"/>
          <w:color w:val="auto"/>
        </w:rPr>
        <w:t>years in a total aggregate principal amount, together with the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Subsidiary was determined based on the desired capitalization of Windstream and CS&amp;L after the Spin-Off. It was not determined based on any appraisal or valuation of the properties to be owned by CS&amp;L after the Spin-Off.</w:t>
      </w:r>
    </w:p>
    <w:p>
      <w:pPr>
        <w:spacing w:after="0" w:line="17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$1.2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The remaining proceeds will be available to us for working capital purposes, to fund acquisitions and for general corporate purposes.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anticipate that our Holding Company will be the borrower under the credit agreement, and that the borrowing will be guaranteed, jointly and severally, by certain of our Holding Company’s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credit agreement will require us to comply with financial maintenance covenants to be tested quarterly, consisting of .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90" w:lineRule="exact"/>
        <w:rPr>
          <w:sz w:val="20"/>
          <w:szCs w:val="20"/>
          <w:color w:val="auto"/>
        </w:rPr>
      </w:pPr>
    </w:p>
    <w:p>
      <w:pPr>
        <w:ind w:left="460"/>
        <w:spacing w:after="0"/>
        <w:tabs>
          <w:tab w:leader="none" w:pos="462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table summarizes our contractual obligations and commitments at December 31, 2013, as if the following had occurred on</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December 31, 2013: the Spin-Off; the issuance of up to $ million aggregate principal amount of senior notes; and the entrance into a new $ million revolving credit facility.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Payments Due by Period</w:t>
            </w:r>
          </w:p>
        </w:tc>
        <w:tc>
          <w:tcPr>
            <w:tcW w:w="1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Less than 1</w:t>
            </w:r>
          </w:p>
        </w:tc>
        <w:tc>
          <w:tcPr>
            <w:tcW w:w="130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1 Year to</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5"/>
              </w:rPr>
              <w:t>3 Years to less</w:t>
            </w:r>
          </w:p>
        </w:tc>
        <w:tc>
          <w:tcPr>
            <w:tcW w:w="12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300" w:type="dxa"/>
            <w:vAlign w:val="bottom"/>
            <w:vMerge w:val="continue"/>
          </w:tcPr>
          <w:p>
            <w:pPr>
              <w:spacing w:after="0"/>
              <w:rPr>
                <w:sz w:val="12"/>
                <w:szCs w:val="12"/>
                <w:color w:val="auto"/>
              </w:rPr>
            </w:pPr>
          </w:p>
        </w:tc>
        <w:tc>
          <w:tcPr>
            <w:tcW w:w="13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Less than 3</w:t>
            </w:r>
          </w:p>
        </w:tc>
        <w:tc>
          <w:tcPr>
            <w:tcW w:w="104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tcPr>
          <w:p>
            <w:pPr>
              <w:ind w:left="54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Years</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w w:val="96"/>
              </w:rPr>
              <w:t>than 5 Years</w:t>
            </w:r>
          </w:p>
        </w:tc>
        <w:tc>
          <w:tcPr>
            <w:tcW w:w="1260" w:type="dxa"/>
            <w:vAlign w:val="bottom"/>
            <w:gridSpan w:val="2"/>
          </w:tcPr>
          <w:p>
            <w:pPr>
              <w:ind w:left="6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do not anticipate incurring significant capital expenditures on an annual basis in connection with operating our Consumer CLEC Business. Capital expenditures for the Distribution Systems leased under the Master Lease are generally the responsibility of Windstream Holdings, which may submit requests to us seeking financing from us to cover all or a portion of such expenditures, except that Windstream Holdings will have an option, which may only be exercised in the first five years, to require us to fund capital expenditures in an amount of up to $50 million annually for a maximum period of five years (but in no event to extend beyond the end of the sixth year of the Master Lease). If Windstream Holdings exercises this option, the lease payments will be adjusted at a rate of 8.125 percent of the capital expenditures funded by us during the first two years and at a floating rate based on our cost of capital thereafter. Additionally, the exercising of the option will extend the initial term of the Master Lease from 15 years to 20 years and the number of renewal terms will be reduced from four renewal terms of five years each to three renewal terms of five years each.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and the impairment of property, plant and equipment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13(a) of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anticipate that we will qualify as a REIT for U.S. federal income tax purposes commencing with the taxable year ending December 31, 2015, and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Historically, our operations have been included in Windstream Holdings’ U.S. federal and state income tax returns and all income taxes have been paid by Windstream. Income tax related information included in the pro forma combined financial statements are presented on a separate tax return basis as if we filed our own tax returns. Management believes that the assumptions and estimates used to determine these tax amounts are reasonable. However, our pro forma combined financial statements may not necessarily reflect our income tax expense or tax payments in the future, or what our tax amounts would have been if we had been a stand-alone company during the periods presented.</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Deferred tax assets and liabilities are established for temporary differences between the financial reporting basis and the tax basis of our assets and liabilities at tax rates in effect when such temporary differences are expected to reverse. We generally expect to fully utilize our deferred tax assets; however, when necessary, we record a valuation allowance to reduce our net deferred tax assets to the amount that is more likely than not to be realized.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the need for a valuation allowance or the need for and magnitude of liabilities for uncertain tax positions, we make certain estimates and assumptions. These estimates and assumptions are based on, among other things, knowledge of operations, markets, historical trends and likely future changes and, when appropriate, the opinions of advisors with knowledge and expertise in relevant fields. Due to certain risks associated with our estimates and assumptions, actual results could differ.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of Assets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calculation of depreciation and amortization expense is based on the estimated economic useful lives of the underlying property, plant and equipment and customer lists intangible assets. Some of our Distribution 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18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one year would decrease depreciation expense by approximately $12.3 million per year, while a reduction in the average useful life of one year would increase depreciation expense by approximately $13.6 million per year.</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December 31, 2013, our unamortized customer lists intangible assets totaled $19.0 million. The customer lists are amortized using the sum-of-the-years digits method over their estimated useful lives. A reduction in the average useful lives of the customer lists of one year would have increased the amount of amortization expense recorded in 2013 by approximately $0.4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Property, Plant, and Equipment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intend to elect to be taxed as a REIT for U.S. federal income tax purposes. We intend to make regular quarterly dividend payments to holders of our common stock.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on our debt payable.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dividend payments based on our estimate of taxable earnings per share of common stock, but not earnings calculated pursuant to GAAP. Our dividends and taxable and GAAP earnings will typically differ due to items such as differences in premium amortization and discount accretion, and non-deductible general and administrative expenses. Our quarterly dividends per share may be substantially different than our quarterly taxable earnings and GAAP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information statement, 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primary market risk exposure will be interest rate risk with respect to our expected indebtedness after the Spin-Off. This indebtedness will include indebtedness that we expect to incur prior to the Spin-Off. In connection with the Spin-Off, we anticipate that we will raise approximately $3.65 billion in long-term debt by the issuance of senior notes and entry into a credit agreement providing for term loans and a revolving credit facility in an aggregate principal amount of up to $500 million (which is expected to be undrawn at the effective time of the Spin-Off), to be provided by a syndicate of banks and other financial institutions. See “—Liquidity and Capital Resources” above for a further description of our expected indebtedness after the Spin-Off.</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 increase in interest rates could make the financing of any acquisition by us more costly. Rising interest rates could also limit our ability to refinance our debt when it matures or cause us to pay higher interest rates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upon refinancing and increase interest expense on refinanced indebtedness. 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 See “Risk Factors—Risks Related to the Status of CS&amp;L as a REIT—Complying with the REIT requirements may limit our ability to hedge effectively and may cause us to incur tax liabilities.”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The reorganization will be accomplished through the Spin-Off, under which Windstream Holdings will distribute no less than 80.1 percent of the outstanding shares of our common stock to Windstream Holdings shareholders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the time of the Spin-Off, we will hold the assets currently held by Windstream comprising the Distribution Systems and the Consumer CLEC Business. The Distribution Systems will be leased to Windstream Holdings on a triple-net basis, meaning that Windstream Holdings will be primarily responsible for the costs related to the Distribution Systems (including property taxes, insurance, and maintenance and repair costs) pursuant to the Master Lease.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Spin-Off, we will be a publicly traded, self-administered REIT primarily engaged in the ownership, acquisition and leasing of communication distribution systems. To our knowledge, CS&amp;L will be the first REIT focused on acquiring and building communication distribution systems, and we expect to grow our portfolio by aggressively pursuing opportunities to acquire additional communications distribution systems to lease to communication service providers.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Properties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property leased by Windstream Holdings under the Master Lease will consist of property spun-out to the Company in the Spin-Off. Below is the summary of the fiber and copper assets that are expected to be leased by Windstream Holdings pursuant to the Master Lease: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5"/>
          </w:tcPr>
          <w:p>
            <w:pPr>
              <w:ind w:left="660"/>
              <w:spacing w:after="0"/>
              <w:rPr>
                <w:sz w:val="20"/>
                <w:szCs w:val="20"/>
                <w:color w:val="auto"/>
              </w:rPr>
            </w:pPr>
            <w:r>
              <w:rPr>
                <w:rFonts w:ascii="Arial" w:cs="Arial" w:eastAsia="Arial" w:hAnsi="Arial"/>
                <w:sz w:val="14"/>
                <w:szCs w:val="14"/>
                <w:color w:val="auto"/>
              </w:rPr>
              <w:t>Summary of Network Route Miles</w:t>
            </w:r>
          </w:p>
        </w:tc>
        <w:tc>
          <w:tcPr>
            <w:tcW w:w="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 of</w:t>
            </w:r>
          </w:p>
        </w:tc>
        <w:tc>
          <w:tcPr>
            <w:tcW w:w="0" w:type="dxa"/>
            <w:vAlign w:val="bottom"/>
          </w:tcPr>
          <w:p>
            <w:pPr>
              <w:spacing w:after="0"/>
              <w:rPr>
                <w:sz w:val="1"/>
                <w:szCs w:val="1"/>
                <w:color w:val="auto"/>
              </w:rPr>
            </w:pPr>
          </w:p>
        </w:tc>
      </w:tr>
      <w:tr>
        <w:trPr>
          <w:trHeight w:val="110"/>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State</w:t>
            </w:r>
          </w:p>
        </w:tc>
        <w:tc>
          <w:tcPr>
            <w:tcW w:w="194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Fiber</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Copper</w:t>
            </w:r>
          </w:p>
        </w:tc>
        <w:tc>
          <w:tcPr>
            <w:tcW w:w="188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Total</w:t>
            </w:r>
          </w:p>
        </w:tc>
        <w:tc>
          <w:tcPr>
            <w:tcW w:w="18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Total</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GA</w:t>
            </w: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TX</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40,400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48,200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33,200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41,500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KY</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32,100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39,900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18,400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22,200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AR</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3,300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13,000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16,300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11,500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14,900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OK</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1,700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12,400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14,100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10,800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FL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8,500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10,100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5,300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2,400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IN</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WI</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6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235,300</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300,900</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Windstream Holdings will lease central office buildings, telephone poles and other assets from the Company under the Master Lease.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Separation and Distribution Agreement and before giving effect to the terms of the Master Lease:</w:t>
      </w:r>
    </w:p>
    <w:p>
      <w:pPr>
        <w:spacing w:after="0" w:line="131" w:lineRule="exact"/>
        <w:rPr>
          <w:sz w:val="20"/>
          <w:szCs w:val="20"/>
          <w:color w:val="auto"/>
        </w:rPr>
      </w:pPr>
    </w:p>
    <w:p>
      <w:pPr>
        <w:ind w:left="90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will hold all right and interest in all easements and intangible licenses (</w:t>
      </w:r>
      <w:r>
        <w:rPr>
          <w:rFonts w:ascii="Arial" w:cs="Arial" w:eastAsia="Arial" w:hAnsi="Arial"/>
          <w:sz w:val="18"/>
          <w:szCs w:val="18"/>
          <w:i w:val="1"/>
          <w:iCs w:val="1"/>
          <w:color w:val="auto"/>
        </w:rPr>
        <w:t>i.e.</w:t>
      </w:r>
      <w:r>
        <w:rPr>
          <w:rFonts w:ascii="Arial" w:cs="Arial" w:eastAsia="Arial" w:hAnsi="Arial"/>
          <w:sz w:val="18"/>
          <w:szCs w:val="18"/>
          <w:color w:val="auto"/>
        </w:rPr>
        <w:t>, pole attachment agreements, highway department permits and municipal franchises) (collectively, “Intangible Assets”), but Windstream will retain bare legal title to such Intangible Assets for the benefit of the Company;</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assignments of easements from Windstream to the Company with respect to Intangible Assets will be recorded in the real property records, and no agreements governing Intangible Assets will be amended or assigned to reflect the Company as a party to the agreement;</w:t>
      </w:r>
    </w:p>
    <w:p>
      <w:pPr>
        <w:spacing w:after="0" w:line="29"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will have the right to all future income, gains and benefits from Intangible Assets, and will bear all risk of loss associated with Intangible Assets; and</w:t>
      </w:r>
    </w:p>
    <w:p>
      <w:pPr>
        <w:spacing w:after="0" w:line="75"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will have the right, at its option and discretion, to require legal title to the Intangible Assets to be transferred to the Company subject to obtaining all required authorizations and the payment of all costs and expenses associated with the transfer.</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Except as described in the immediately preceding paragraph, the Company will hold all right, title and interest in and to the assets, including all property rights associated with the fiber and copper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operate a residential Consumer CLEC Business through a TRS. The TRS, Talk America, will be an indirect wholly owned subsidiary of CS&amp;L. Talk America will provide local telephone, high-speed Internet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long distance service to approximately 66,000 customers principally located in 17 states across the eastern and central United States. The Consumer CLEC Business generated approximately $27.3 million of revenue through the first nine months of fiscal year 2014.</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Talk America will be a reseller of communications services, which it will obtain through an interconnection and resale agreement with Windstream. Over time, Talk America may negotiate interconnection and resale agreements with other carriers to diversify its access to carrier services. Talk America will focus on providing a quality service alternative to residential customers that place a premium on responsive and positive interactions with a service team dedicated to ensuring customer satisfaction.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believe that we have significant competitive advantages that support our leadership position in owning, building and leasing communications infrastructure.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Nationwide REIT Focused on Communications Infrastructure</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When the Spin-Off is complete, we expect to be the only REIT focused on owning and developing communication distribution systems across the United States. As such, we will be able to enhance our focus on communications infrastructure and tailor our business strategy to address our company’s industry-specific goals and needs. We believe our scale and national reach will help us achieve operational efficiencies and support future growth opportunities.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Uniquely Positioned to Capitalize on Expansion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there is a large market opportunity to provide capital to communication service providers to build new and enhance existing communication distribution systems across the United States. We believe that a number of communication service providers would like to de-lever or are seeking liquidity while still wanting to continue to operate their existing businesses. CS&amp;L believes that a number of communication service providers would be willing to enter into transactions designed to monetize their network assets (</w:t>
      </w:r>
      <w:r>
        <w:rPr>
          <w:rFonts w:ascii="Arial" w:cs="Arial" w:eastAsia="Arial" w:hAnsi="Arial"/>
          <w:sz w:val="18"/>
          <w:szCs w:val="18"/>
          <w:i w:val="1"/>
          <w:iCs w:val="1"/>
          <w:color w:val="auto"/>
        </w:rPr>
        <w:t>i.e.</w:t>
      </w:r>
      <w:r>
        <w:rPr>
          <w:rFonts w:ascii="Arial" w:cs="Arial" w:eastAsia="Arial" w:hAnsi="Arial"/>
          <w:sz w:val="18"/>
          <w:szCs w:val="18"/>
          <w:color w:val="auto"/>
        </w:rPr>
        <w:t>, fiber and copper distribution systems) through sale-leaseback transactions with an unrelated party not perceived to be a competitor, such as CS&amp;L. These communication service providers could use the proceeds from the sale of their communications infrastructure assets to repay debt and rebalance their capital structures, while maintaining the use of the sold network assets through long term leases. CS&amp;L also hopes to provide such communication service providers with expansion opportunities that providers may not otherwise be in a position to pursue by providing them with capital to expand and enhance their network assets at more attractive rates then they may be able to receive through traditional debt financing arrangements. As such, CS&amp;L believes there are numerous opportunities for CS&amp;L to evaluate and potentially pursue following the Spin-Off.</w:t>
      </w:r>
    </w:p>
    <w:p>
      <w:pPr>
        <w:spacing w:after="0" w:line="19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we believe there is a large market opportunity for CS&amp;L to acquire distribution system assets from communications operators and enter into lease-back transactions, it may take longer than anticipated for operators to, or operators may never, embrace the lease structure for distribution system assets. (See “Risk Factors—Risks Related to Our Spin-Off from Windstream—We may be unable to achieve some or all of the benefits that we expect to achieve from the Spin-Off”). Other risks or limitations for execution of our strategy include:</w:t>
      </w:r>
    </w:p>
    <w:p>
      <w:pPr>
        <w:spacing w:after="0" w:line="92" w:lineRule="exact"/>
        <w:rPr>
          <w:sz w:val="20"/>
          <w:szCs w:val="20"/>
          <w:color w:val="auto"/>
        </w:rPr>
      </w:pPr>
    </w:p>
    <w:p>
      <w:pPr>
        <w:ind w:left="900" w:right="220" w:hanging="446"/>
        <w:spacing w:after="0" w:line="27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the two-year period following the Spin-Off, we may be prohibited from taking certain strategic actions including issuing equity securities beyond certain thresholds to preserve the tax-free treatment to Windstream of the Spin-Off (See “Risk Factors—Risks Related to Our Spin-Off from Windstream—We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9"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level of indebtedness could materially adversely affect our financial position, including reducing funds available for acquisitions or other business purposes (See See “Risk Factors—Risks Related to Our Business—Our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 and</w:t>
      </w:r>
    </w:p>
    <w:p>
      <w:pPr>
        <w:spacing w:after="0" w:line="76" w:lineRule="exact"/>
        <w:rPr>
          <w:rFonts w:ascii="Arial" w:cs="Arial" w:eastAsia="Arial" w:hAnsi="Arial"/>
          <w:sz w:val="17"/>
          <w:szCs w:val="17"/>
          <w:color w:val="auto"/>
        </w:rPr>
      </w:pPr>
    </w:p>
    <w:p>
      <w:pPr>
        <w:ind w:left="900" w:right="240" w:hanging="446"/>
        <w:spacing w:after="0" w:line="279"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investors seeking to acquire distribution system assets may possess a lower cost of capital than CS&amp;L, which may make it more challenging for us to acquire such assets on favorable terms (See “Risk Factors—Risks Related to Our Business—We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Asset Portfolio</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properties are located in 37 different states across the continental United States. The properties in any one state do not account for more than 20% of the total route miles in our network. We believe this geographic diversification will limit the effect of changes in any one market on our overall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Immediately following the Spin-Off, Windstream will be our only tenant. Windstream is a leading provider of advanced network communications, including cloud computing and managed services, to businesses nationwide. Windstream also offers broadband, phone and digital TV services to consumers primarily in rural areas. Following the Spin-Off, Windstream will continue to operate the leased communications facilities, hold the associated regulatory licenses and own and operate other assets, including distribution systems in select states not included in the Spin-Off. Windstream will retain ownership of distribution systems in select states in order to achieve a transaction size that in its determination is optimal in terms of assets transferred, debt extinguishment and fair market rental. For the year ended December 31, 2013, Windstream generated annual revenue of approximately $6 billion and net cash from operations of $1.5 billion. Windstream’s liquidity position, modest leverage and ability to generate significant free cash flow should provide it with the ability to pay the annual lease obligations to CS&amp;L for the foreseeable future. Windstream currently has a credit rating of BB- from Standard &amp; Poor’s and Ba3 from Moody’s Corporation, and we do not anticipate that the ratings of Windstream will change substantially as a result of the Spin-Off. Additionally, Windstream is publicly traded and is subject to SEC reporting requirements, which provide ongoing transparency regarding its operating and financial performance.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the time of the Spin-Off, all of our properties (except for our TRS, Talk America) will be leased to Windstream Holdings under the Master Lease on a triple-net lease basis for an initial term of 15 years. Under the Master Lease, Windstream Holdings is responsible for maintaining the Distribution Systems in accordance with prudent industry practice and in compliance with all federal and state utility commissions delivery standards. The maintenance responsibilities include, among others, (i) repairing fiber and copper cuts with respect to the distribution systems and (ii) replacing poles, conduits and other facilities at the Distribution Systems as required to comply with Windstream Holdings’ maintenance obligations. Windstream Holdings is required to submit periodic reports to us upon request on operational matters to enable us to confirm that Windstream Holdings is complying with its maintenance and other obligations under the Master Lease. In addition to maintenance requirements, Windstream will also be responsible for insurance required to be carried under the Master Lease, taxes levied on or with respect to the Distribution Systems and all utilities and other services necessary or appropriate for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Distribution Systems and the business conducted on the Distribution Systems. The Master Lease is a single, indivisible lease of the Distribution Systems and not separate leases. At the option of Windstream Holdings, the Master Lease may be extended for up to four five-year renewal terms beyond the initial 15-year term and Windstream Holdings can elect which facilities then subject to the Master Lease to renew. If Windstream Holdings elects to extend the initial term of the Master Lease from 15 to 20 years, the number of renewal terms will be reduced from four renewal terms of five years each to three renewal terms of five years each.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Relationships with Communication Service Providers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our management team have developed an extensive network of relationships with qualified local, regional and national communication service providers of communications facilities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with communication service providers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 We believe our management team’s experience gives us a key competitive advantage in objectively evaluating a communication service provider’s credit worthiness and operating efficiency.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primary goal is to create long-term shareholder value through the payment of consistent cash dividends and the growth of our cash flow and asset base. To achieve this goal, we intend to pursue a business strategy focused on opportunistic acquisitions and asset and tenant diversification. We do not currently have a fixed schedule of the number of acquisitions we intend to make over a particular time period, but, rather, we intend to pursue those acquisitions that meet our investing and financing objectives where we can earn a return above our weighted average cost of capital adjusted to contemplate counterparty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components of our business strategy include:</w:t>
      </w:r>
    </w:p>
    <w:p>
      <w:pPr>
        <w:spacing w:after="0" w:line="131" w:lineRule="exact"/>
        <w:rPr>
          <w:sz w:val="20"/>
          <w:szCs w:val="20"/>
          <w:color w:val="auto"/>
        </w:rPr>
      </w:pPr>
    </w:p>
    <w:p>
      <w:pPr>
        <w:ind w:left="900" w:right="180" w:hanging="446"/>
        <w:spacing w:after="0" w:line="30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Acquire Additional Distribution Systems: </w:t>
      </w:r>
      <w:r>
        <w:rPr>
          <w:rFonts w:ascii="Arial" w:cs="Arial" w:eastAsia="Arial" w:hAnsi="Arial"/>
          <w:sz w:val="16"/>
          <w:szCs w:val="16"/>
          <w:color w:val="auto"/>
        </w:rPr>
        <w:t>Initially, we expect to focus on growing and diversifying our asset portfolio by acquiring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systems from communication service providers and leasing these assets back to the communication service provider on a long-term triple-net basis. We will employ a disciplined, opportunistic acquisition strategy and price transactions appropriately based on, among other things, the mix of assets acquired, length and terms of the lease, growth opportunities and credit worthiness of the initial tenant.</w:t>
      </w:r>
    </w:p>
    <w:p>
      <w:pPr>
        <w:spacing w:after="0" w:line="59" w:lineRule="exact"/>
        <w:rPr>
          <w:rFonts w:ascii="Arial" w:cs="Arial" w:eastAsia="Arial" w:hAnsi="Arial"/>
          <w:sz w:val="16"/>
          <w:szCs w:val="16"/>
          <w:color w:val="auto"/>
        </w:rPr>
      </w:pPr>
    </w:p>
    <w:p>
      <w:pPr>
        <w:jc w:val="both"/>
        <w:ind w:left="900" w:right="20" w:hanging="446"/>
        <w:spacing w:after="0" w:line="28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Fund Strategic Capital Improvements for Existing Tenants: </w:t>
      </w:r>
      <w:r>
        <w:rPr>
          <w:rFonts w:ascii="Arial" w:cs="Arial" w:eastAsia="Arial" w:hAnsi="Arial"/>
          <w:sz w:val="17"/>
          <w:szCs w:val="17"/>
          <w:color w:val="auto"/>
        </w:rPr>
        <w:t>We intend to support our tenant operators by providing capital to them for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including capacity augmentation projects and network expansions. We expect to structure these investments as either lease amendments that produce additional rents or as loans that are repaid by operators during the applicable lease term.</w:t>
      </w:r>
    </w:p>
    <w:p>
      <w:pPr>
        <w:spacing w:after="0" w:line="70" w:lineRule="exact"/>
        <w:rPr>
          <w:rFonts w:ascii="Arial" w:cs="Arial" w:eastAsia="Arial" w:hAnsi="Arial"/>
          <w:sz w:val="17"/>
          <w:szCs w:val="17"/>
          <w:color w:val="auto"/>
        </w:rPr>
      </w:pPr>
    </w:p>
    <w:p>
      <w:pPr>
        <w:jc w:val="both"/>
        <w:ind w:left="900" w:right="14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Fund Capital Extensions of Additional Distribution Systems: </w:t>
      </w:r>
      <w:r>
        <w:rPr>
          <w:rFonts w:ascii="Arial" w:cs="Arial" w:eastAsia="Arial" w:hAnsi="Arial"/>
          <w:sz w:val="18"/>
          <w:szCs w:val="18"/>
          <w:color w:val="auto"/>
        </w:rPr>
        <w:t>The communications infrastructure industry is currently going through an upgrade</w:t>
      </w:r>
      <w:r>
        <w:rPr>
          <w:rFonts w:ascii="Arial" w:cs="Arial" w:eastAsia="Arial" w:hAnsi="Arial"/>
          <w:sz w:val="18"/>
          <w:szCs w:val="18"/>
          <w:i w:val="1"/>
          <w:iCs w:val="1"/>
          <w:color w:val="auto"/>
        </w:rPr>
        <w:t xml:space="preserve"> </w:t>
      </w:r>
      <w:r>
        <w:rPr>
          <w:rFonts w:ascii="Arial" w:cs="Arial" w:eastAsia="Arial" w:hAnsi="Arial"/>
          <w:sz w:val="18"/>
          <w:szCs w:val="18"/>
          <w:color w:val="auto"/>
        </w:rPr>
        <w:t>cycle driven by the nation’s general desire for greater bandwidth. These upgrades require significant capital expenditures, and we believe CS&amp;L provides an attractive, non-competitive funding source for communication service providers to help accelerate the expansion of their network at an attractive cost of capital.</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Develop New Tenant Relationships: </w:t>
      </w:r>
      <w:r>
        <w:rPr>
          <w:rFonts w:ascii="Arial" w:cs="Arial" w:eastAsia="Arial" w:hAnsi="Arial"/>
          <w:sz w:val="18"/>
          <w:szCs w:val="18"/>
          <w:color w:val="auto"/>
        </w:rPr>
        <w:t>We plan to cultivate new relationships with potential tenants and communication service providers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the mix of tenants operating our distribution systems and other real property and, in doing so, to reduce our concentration with Windstream. We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expect that this objective will be achieved over time as part of our overall strategy to acquire new distribution systems and other real property either within or outside of the communications infrastructure industry to further diversify our overall portfolio.</w:t>
      </w:r>
    </w:p>
    <w:p>
      <w:pPr>
        <w:spacing w:after="0" w:line="76" w:lineRule="exact"/>
        <w:rPr>
          <w:sz w:val="20"/>
          <w:szCs w:val="20"/>
          <w:color w:val="auto"/>
        </w:rPr>
      </w:pPr>
    </w:p>
    <w:p>
      <w:pPr>
        <w:ind w:left="900" w:right="1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Acquire Adjacent Communications Infrastructure and Other Real Property Assets: </w:t>
      </w:r>
      <w:r>
        <w:rPr>
          <w:rFonts w:ascii="Arial" w:cs="Arial" w:eastAsia="Arial" w:hAnsi="Arial"/>
          <w:sz w:val="18"/>
          <w:szCs w:val="18"/>
          <w:color w:val="auto"/>
        </w:rPr>
        <w:t>Over time, we have the potential to diversify our asset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further by investing in adjacent communications infrastructure, such as wireless towers and data center assets. As we enhance our scale through M&amp;A and asset and tenant diversification, we have the potential to consider investing in other asset classes that are adjacent to the communications infrastructure industry.</w:t>
      </w:r>
    </w:p>
    <w:p>
      <w:pPr>
        <w:spacing w:after="0" w:line="92"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Maintain Balance Sheet Strength and Liquidity: </w:t>
      </w:r>
      <w:r>
        <w:rPr>
          <w:rFonts w:ascii="Arial" w:cs="Arial" w:eastAsia="Arial" w:hAnsi="Arial"/>
          <w:sz w:val="17"/>
          <w:szCs w:val="17"/>
          <w:color w:val="auto"/>
        </w:rPr>
        <w:t>We will seek to maintain a capital structure that provides the resources and financial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business. At the time of the Spin-Off, we anticipate having approximately $600 million in total liquidity, consisting of cash and cash equivalents and available borrowings under our senior secured revolving credit facility. Through disciplined capital spending and working capital management, we intend to maximize our cash flows and maintain our strong balance sheet.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Financing Policies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investment objectives will be to increase cash flow, provide quarterly cash dividends, maximize the value of our assets and acquire assets with cash flow growth potential. Initially, we intend to invest primarily in copper and fiber distribution systems. Over time, we have the potential to diversify into other communications assets such as data centers and wireless towers. While our current distribution systems are more heavily weighted in the eastern United States, over time we intend to acquire distribution systems in other geographic areas throughout the United States.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Master Lease contains certain non-compete provisions that limit the Company’s ability to construct distribution system assets in territories where Windstream is an incumbent local exchange carrier. See “Our Relationship with Windstream Following the Spin-Off—Master Lease—New Opportunities.” The Company must also satisfy certain tests relating to the nature of its assets in order to qualify as a REIT. See “U.S. Federal Income Tax Considerations— Taxation of REITS in General—Asset Tests.” Otherwise, the Company is not subject to any limitations on either the type of real properties in which it may invest or the geographic location of such properties. However, the Company’s initial strategy is to focus on distribution system assets in the United States and in territories that are governed by US law.</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expect that future investments in distribution systems or other real property assets, including any improvements or renovations of current owned or newly-acquired distribution systems, will be financed, in whole or in part, with cash flow from our operations, borrowings under our revolving credit facility, or the proceeds from issuances of common stock, preferred stock, debt or other securities. At the time of the Spin-Off, all of our owned distribution systems will be exclusively leased to Windstream Holdings pursuant to the Master Lease. As we acquire additional distribution systems and other real property assets, we expect to enter into triple-net leases with other communication service providers. Our investment and financing policies and objectives are subject to change periodically at the discretion of our Board of Directors without a vote of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UPREIT Structure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and accordingly will control the management and decisions of the Operating Partnership. Conducting business through the Operating Partnership allows us flexibility in the manner in which we structure and acquire properties. In particular, an UPREIT structure enables us to acquire additional properties from sellers in exchange for limited partnership units. As 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result, this structure potentially may facilitate our acquisition of assets in a more efficient manner and may allow us to acquire assets that the owner would otherwise be unwilling to sell. Although we have no current plan or intention, and at the time of the Spin-Off will have no plan or intention to use limited partnership units in the Operating Partnership as consideration for properties we acquire or to issue any limited partnership units in connection with the Spin-Off, we believe that the flexibility to do so provides us an advantage in seeking future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 with Windstream</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At the time of the Spin-Off, the Distribution Systems will be leased to Windstream Holdings pursuant to the Master Lease, which will be a triple-net lease. The Master Lease will provide for an initial term of 15 years, with no purchase options. At the option of Windstream Holdings, the Master Lease may be extended for up to four renewal terms of five years each beyond the initial term and Windstream Holdings can elect which facilities then subject to the Master Lease to renew. In addition, Windstream Holdings has the right to extend the initial term from 15 years to 20 years and, if exercised, the number of renewal terms will be reduced to three so that the maximum term (taking into account all renewals) is 35 years. The rent will be a fixed amount that will be initially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In addition, if the Company is required to fund any capital improvements by Windstream Holdings or otherwise elects to fund any capital improvements by Windstream Holdings to the Distribution Systems, the rent shall be increased to account for such funding.</w:t>
      </w:r>
    </w:p>
    <w:p>
      <w:pPr>
        <w:spacing w:after="0" w:line="18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Because we will lease the Distribution Systems to Windstream Holdings under the Master Lease, Windstream Holdings initially will be the source of substantially all of our revenues, and Windstream Holdings’ financial condition and ability and willingness to satisfy its obligations under the Master Lease and its willingness to renew the Master Lease upon expiration of the initial base term thereof will significantly impact our revenues and our ability to service our indebtedness and to make distributions to our shareholders. There can be no assurance that Windstream Holdings will have sufficient assets, income and access to financing to enable it to satisfy its obligations under the Master Lease, and any inability or unwillingness on its part to do so would have a material adverse effect on our business, financial condition, results of operations and liquidity, on our ability to service our indebtedness and other obligations and on our ability to pay dividends to our shareholders, as required for us to qualify, and maintain our status, as a REIT. We also cannot assure you that Windstream Holdings will elect to renew its lease arrangements with us upon expiration of the initial base terms or any renewal terms thereof or, if such leases are not renewed, that we can reposition the affected properties on the same or better terms. See “Risk Factors—Risks Related to Our Business—We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Following the Spin-Off, we expect to employ approximately 50 employees (including our executive officers), none of whom is expected to be subject to a collective bargaining agreement. None of our employees will continue to be employees of Windstream.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will compete for real property investments with other REITs, investment companies, private equity, hedge fund investors, sovereign funds and communication distribution systems companies. Some of our future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competitors are significantly larger and have greater financial resources and lower costs of capital than we have. However, we believe that the Spin-Off will increase our competitive edge and position us to identify and successfully capitalize on acquisition opportunities that meet our investment objectives.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revenues from our network properties will be dependent, to an extent, on the ability of our operating partners to compete with other communication service providers. The communications infrastructure industry is characterized by a high degree of competition among a large number of participants, including many local, regional and global corporations. Not only is competition seen strictly in the communication distribution systems business, but also in any means by which information is transferred.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Mortgages, Liens or Encumbrances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time of the Spin-Off, CS&amp;L will not have imposed any material mortgages, or other liens or encumbrances against the properties.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Licensing and Enforcement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operators of telecommunications facilities, Windstream and any future tenants of our telecommunications assets are typically subject to extensive and complex federal, state and local telecommunications laws and regulations. The Federal Communications Commission (“FCC”) regulates interstate matters, and state public utility commissions (“PUCs”) regulate intrastate matters. These regulations are wide-ranging and can subject our tenants to civil, criminal and administrative sanctions. We expect that the telecommunications industry, in general, will continue to face increased regulation. Changes in laws and regulations and reimbursement enforcement activity and regulatory non-compliance by our tenants could have a significant effect on their operations and financial condition, which in turn may adversely affect us, as detailed below and set forth under “Risk Factors—Risks Related to Our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of certain laws and regulations generally applicable to operators of our telecommunications facilities, and in certain cases,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Windstream and similarly situated wireline carriers are subject to federal and state regulations that limit their pricing flexibility for regulated voice and high-speed Internet products, subject them to service quality, service reporting and other obligations and expose them to the reduction of revenue from changes to the universal service fund, the intercarrier compensation system, or access to interconnection with competitors’ facilities. State regulatory commissions have jurisdiction over local and intrastate services including, to some extent, the rates that carriers charge and service quality standards. The FCC has primary jurisdiction over interstate services including the rates that carriers charge other telecommunications companies that use a carrier’s network and other issues related to interstate service. In some circumstances, these regulations restrict the carrier’s ability to adjust rates to reflect market conditions and may affect the ability of our tenant’s to compete and respond to changing industry conditions.</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Talk America will operate the CLEC Consumer Business as a reseller of telecommunication services pursuant to the Wholesale Reseller Agreement. In almost all cases, Windstream will not own the underlying telecommunication facilities required to support the Consumer CLEC Business, and Windstream will be a reseller of facility-based services pursuant to wholesale interconnection agreements with the third party carriers who own the underlying telecommunication facilities. In order to become qualified to operate the Consumer CLEC Business, Talk America will become regulated as a CLEC in each state where it has Consumer CLEC Business customers. These CLEC certifications will subject Talk America to regulations requiring it to file and maintain tariffs for the rates charged to its Consumer CLEC Business customers for regulated services and to comply with service quality, service reporting and other obligations. Talk America’s ability to operate the Consumer CLEC Business is dependent on existing telecommunication regulations that allow access to such underlying facilities of other carriers at reasonable rates.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believe that we have structured the operations for our core real estate business in a manner that will not require us to become regulated as a public utility or common carrier by the FCC or state public service commissions. Once we obtain final regulatory approvals for the Spin-off, we will determine if we will be required to become regulated as a CLEC or other regulatory classification, and if any such regulation is required, we believe that we will be able to operate in compliance with such regulations without any material impact to its operations.</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Future revenues, costs, and capital investment in the communication businesses of Windstream, Talk America and other carriers could be adversely affected by material changes to or decisions regarding applicability of government requirements, including, but not limited to, changes in rules governing intercarrier compensation, interconnection access to network facilities, state and federal USF support and other pricing and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w:t>
      </w:r>
    </w:p>
    <w:p>
      <w:pPr>
        <w:spacing w:after="0" w:line="17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In addition, these regulations could create significant compliance costs for us. Delays in obtaining certifications and regulatory approvals could cause us to incur substantial legal and administrative expenses, and conditions imposed in connection with such approvals could adversely affect the rates that we are able to charge our customers. The business of Windstream, Talk America, and future tenants also may be affected by legislation and regulation imposing new or greater obligations related to, for example, assisting law enforcement, bolstering homeland and cyber-security, protecting intellectual property rights of third parties, minimizing environmental impacts, protecting customer privacy, or addressing other issues that affect the business of our tenants.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wide variety of federal, state and local environmental and occupational health and safety laws and regulations affect telecommunications operations and facilities. These complex laws, and their enforcement, involve a myriad of regulations, many of which involve strict liability on the part of the potential offender.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is expected that, pursuant to the Separation and Distribution Agreement, any liability arising from or relating to legal proceedings involving the assets to be owned by us will be assumed by us and that we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indemnify Windstream (and its directors, officers, employees and agents and certain other related parties) against any losses arising from or relating to such legal proceedings. In addition, 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will agree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will be subject to the indemnities to be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maintain, or require in our leases, including the Master Lease, that our tenants maintain, all applicable lines of insurance on our properties and their operations. The tenant under the Master Lease has the ability to self-insure or use a captive provider with respect to its insurance obligations. We anticipate that the amount and scope of insurance coverage provided by our policies and the policies maintained by our tenants will be customary for similarly situated companies in our industry. However, we cannot assure you that our tenants will maintain the required insurance coverages, and the failure by any of them to do so could have a material adverse effect on us. We also cannot assure you that we will continue to require the same levels of insurance coverage under our leases, including the Master Lease, that such insurance will be available at a reasonable cost in the future or that the insurance coverage provided will fully cover all losses on our properties upon the occurrence of a catastrophic event, nor can we assure you of the future financial viability of the insurers.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8"/>
          <w:szCs w:val="18"/>
          <w:color w:val="auto"/>
        </w:rPr>
        <w:t>Set forth below is certain biographical information and ages, as of</w:t>
      </w:r>
      <w:r>
        <w:rPr>
          <w:sz w:val="20"/>
          <w:szCs w:val="20"/>
          <w:color w:val="auto"/>
        </w:rPr>
        <w:tab/>
      </w:r>
      <w:r>
        <w:rPr>
          <w:rFonts w:ascii="Arial" w:cs="Arial" w:eastAsia="Arial" w:hAnsi="Arial"/>
          <w:sz w:val="16"/>
          <w:szCs w:val="16"/>
          <w:color w:val="auto"/>
        </w:rPr>
        <w:t>, 2015, for individuals who are expected to serve as our directors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Spin-Off. Additional directors will be selected prior to the Spin-Off and information concerning those directors will be included in an amendment to this information statement. Each director will hold office until his or her successor is duly elected or appointed and qualified or until his or her earlier death, retirement, disqualification, resignation or removal.</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will provide that our board of directors shall consist of not less than three and not more than nine directors as the board of directors may</w:t>
      </w:r>
    </w:p>
    <w:p>
      <w:pPr>
        <w:spacing w:after="0" w:line="4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from time to time determine. Our board of directors will initially consist of</w:t>
      </w:r>
      <w:r>
        <w:rPr>
          <w:sz w:val="20"/>
          <w:szCs w:val="20"/>
          <w:color w:val="auto"/>
        </w:rPr>
        <w:tab/>
      </w:r>
      <w:r>
        <w:rPr>
          <w:rFonts w:ascii="Arial" w:cs="Arial" w:eastAsia="Arial" w:hAnsi="Arial"/>
          <w:sz w:val="16"/>
          <w:szCs w:val="16"/>
          <w:color w:val="auto"/>
        </w:rPr>
        <w:t>directors. Each director will be elected for a one-year term of office.</w:t>
      </w:r>
    </w:p>
    <w:p>
      <w:pPr>
        <w:sectPr>
          <w:pgSz w:w="11900" w:h="16838" w:orient="portrait"/>
          <w:cols w:equalWidth="0" w:num="1">
            <w:col w:w="11320"/>
          </w:cols>
          <w:pgMar w:left="240" w:top="459" w:right="339" w:bottom="1440" w:gutter="0" w:footer="0" w:header="0"/>
        </w:sectPr>
      </w:pPr>
    </w:p>
    <w:p>
      <w:pPr>
        <w:spacing w:after="0" w:line="211" w:lineRule="exact"/>
        <w:rPr>
          <w:sz w:val="20"/>
          <w:szCs w:val="20"/>
          <w:color w:val="auto"/>
        </w:rPr>
      </w:pPr>
    </w:p>
    <w:p>
      <w:pPr>
        <w:ind w:left="460"/>
        <w:spacing w:after="0"/>
        <w:tabs>
          <w:tab w:leader="none" w:pos="4300" w:val="left"/>
          <w:tab w:leader="none" w:pos="5420" w:val="left"/>
        </w:tabs>
        <w:rPr>
          <w:sz w:val="20"/>
          <w:szCs w:val="20"/>
          <w:color w:val="auto"/>
        </w:rPr>
      </w:pPr>
      <w:r>
        <w:rPr>
          <w:rFonts w:ascii="Arial" w:cs="Arial" w:eastAsia="Arial" w:hAnsi="Arial"/>
          <w:sz w:val="18"/>
          <w:szCs w:val="18"/>
          <w:color w:val="auto"/>
        </w:rPr>
        <w:t>Upon completion of the Spin-Off, we will have</w:t>
      </w:r>
      <w:r>
        <w:rPr>
          <w:sz w:val="20"/>
          <w:szCs w:val="20"/>
          <w:color w:val="auto"/>
        </w:rPr>
        <w:tab/>
      </w:r>
      <w:r>
        <w:rPr>
          <w:rFonts w:ascii="Arial" w:cs="Arial" w:eastAsia="Arial" w:hAnsi="Arial"/>
          <w:sz w:val="18"/>
          <w:szCs w:val="18"/>
          <w:color w:val="auto"/>
        </w:rPr>
        <w:t>directors,</w:t>
      </w:r>
      <w:r>
        <w:rPr>
          <w:sz w:val="20"/>
          <w:szCs w:val="20"/>
          <w:color w:val="auto"/>
        </w:rPr>
        <w:tab/>
      </w:r>
      <w:r>
        <w:rPr>
          <w:rFonts w:ascii="Arial" w:cs="Arial" w:eastAsia="Arial" w:hAnsi="Arial"/>
          <w:sz w:val="17"/>
          <w:szCs w:val="17"/>
          <w:color w:val="auto"/>
        </w:rPr>
        <w:t>of whom (Francis X. “Skip” Frantz,</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we believe will be</w:t>
      </w:r>
    </w:p>
    <w:p>
      <w:pPr>
        <w:spacing w:after="0" w:line="45" w:lineRule="exact"/>
        <w:rPr>
          <w:sz w:val="20"/>
          <w:szCs w:val="20"/>
          <w:color w:val="auto"/>
        </w:rPr>
      </w:pPr>
    </w:p>
    <w:p>
      <w:pPr>
        <w:sectPr>
          <w:pgSz w:w="11900" w:h="16838" w:orient="portrait"/>
          <w:cols w:equalWidth="0" w:num="3">
            <w:col w:w="8020" w:space="640"/>
            <w:col w:w="260" w:space="580"/>
            <w:col w:w="182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determined to be independent, as defined under the NASDAQ listing requirements.</w:t>
      </w:r>
    </w:p>
    <w:p>
      <w:pPr>
        <w:sectPr>
          <w:pgSz w:w="11900" w:h="16838" w:orient="portrait"/>
          <w:cols w:equalWidth="0" w:num="1">
            <w:col w:w="11320"/>
          </w:cols>
          <w:pgMar w:left="240" w:top="459" w:right="339" w:bottom="1440" w:gutter="0" w:footer="0" w:header="0"/>
          <w:type w:val="continuous"/>
        </w:sectPr>
      </w:pPr>
    </w:p>
    <w:p>
      <w:pPr>
        <w:spacing w:after="0" w:line="23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Our charter will not provide for cumulative voting in the election of directors, which means that the holders of a majority of the outstanding shares of common stock will be able to elect all of the directors standing for election, and the holders of the remaining shares will not be able to elect any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88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gridSpan w:val="2"/>
          </w:tcPr>
          <w:p>
            <w:pPr>
              <w:spacing w:after="0" w:line="195" w:lineRule="exact"/>
              <w:rPr>
                <w:sz w:val="20"/>
                <w:szCs w:val="20"/>
                <w:color w:val="auto"/>
              </w:rPr>
            </w:pPr>
            <w:r>
              <w:rPr>
                <w:rFonts w:ascii="Arial" w:cs="Arial" w:eastAsia="Arial" w:hAnsi="Arial"/>
                <w:sz w:val="18"/>
                <w:szCs w:val="18"/>
                <w:color w:val="auto"/>
              </w:rPr>
              <w:t>Francis X. “Skip” Frantz</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320" w:type="dxa"/>
            <w:vAlign w:val="bottom"/>
            <w:vMerge w:val="continue"/>
          </w:tcPr>
          <w:p>
            <w:pPr>
              <w:spacing w:after="0"/>
              <w:rPr>
                <w:sz w:val="16"/>
                <w:szCs w:val="16"/>
                <w:color w:val="auto"/>
              </w:rPr>
            </w:pPr>
          </w:p>
        </w:tc>
        <w:tc>
          <w:tcPr>
            <w:tcW w:w="2560" w:type="dxa"/>
            <w:vAlign w:val="bottom"/>
            <w:gridSpan w:val="2"/>
          </w:tcPr>
          <w:p>
            <w:pPr>
              <w:spacing w:after="0" w:line="195" w:lineRule="exact"/>
              <w:rPr>
                <w:sz w:val="20"/>
                <w:szCs w:val="20"/>
                <w:color w:val="auto"/>
              </w:rPr>
            </w:pPr>
            <w:r>
              <w:rPr>
                <w:rFonts w:ascii="Arial" w:cs="Arial" w:eastAsia="Arial" w:hAnsi="Arial"/>
                <w:sz w:val="18"/>
                <w:szCs w:val="18"/>
                <w:color w:val="auto"/>
                <w:w w:val="91"/>
              </w:rPr>
              <w:t>Chairman of the Board of Directors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Francis X. (“Skip”) Frantz</w:t>
      </w:r>
      <w:r>
        <w:rPr>
          <w:rFonts w:ascii="Arial" w:cs="Arial" w:eastAsia="Arial" w:hAnsi="Arial"/>
          <w:sz w:val="16"/>
          <w:szCs w:val="16"/>
          <w:color w:val="auto"/>
        </w:rPr>
        <w:t>, age 61, has served as a director of Windstream since 2006 and has served on its Audit Committee since August 7, 2012</w:t>
      </w:r>
      <w:r>
        <w:rPr>
          <w:rFonts w:ascii="Arial" w:cs="Arial" w:eastAsia="Arial" w:hAnsi="Arial"/>
          <w:sz w:val="16"/>
          <w:szCs w:val="16"/>
          <w:b w:val="1"/>
          <w:bCs w:val="1"/>
          <w:color w:val="auto"/>
        </w:rPr>
        <w:t xml:space="preserve"> </w:t>
      </w:r>
      <w:r>
        <w:rPr>
          <w:rFonts w:ascii="Arial" w:cs="Arial" w:eastAsia="Arial" w:hAnsi="Arial"/>
          <w:sz w:val="16"/>
          <w:szCs w:val="16"/>
          <w:color w:val="auto"/>
        </w:rPr>
        <w:t>and as its Chairman since May 1, 2013. From July 2006 to February 2010, he served as Chairman of the Windstream Board. Mr. Frantz served as the 2006 and 2007 Chairman of the Board and of the Executive Committee of the United States Telecom Association. Mr. Frantz served as Chairman of a community bank in Little Rock, Arkansas from February 2007 until May 2014, and serves as a director of a number of other privately held companies. Prior to January 2006, Mr. Frantz was Executive Vice President-External Affairs, General Counsel and Secretary of Alltel Corporation. Mr. Frantz joined Alltel in 1990 as Senior Vice President and General Counsel and was appointed Secretary in January 1992 and Executive Vice President in July 1998. While with Alltel, he was responsible for Alltel’s mergers and acquisitions negotiations, wholesale services group, federal and state government and external affairs, corporate communications, administrative services, and corporate governance, in addition to serving as Alltel’s chief legal officer.</w:t>
      </w:r>
    </w:p>
    <w:p>
      <w:pPr>
        <w:spacing w:after="0" w:line="16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Mr. Frantz’s qualifications for election to the Board include his ability to provide insight and perspective on a wide range of issues facing business enterprises based on his long tenure as a senior executive in the telecommunications industry. Mr. Frantz’s over 15-year career as a senior telecom executive in various capacities provides him with a thorough understanding of all aspects of CS&amp;L’s target market, and his service as a director and chairman of the United States Telecom Association provides Mr. Frantz with additional experience and insight in communications policy and regulation. Through his current involvement with a number of private companies and his prior role as Chairman of Windstream and, before that, as senior executive of Alltel Corporation, Mr. Frantz has extensive experience in corporate governance, mergers and acquisitions, risk management, government policy and regulation, and capital markets transactions, in addition to the specific aspects of the telecom industry.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tabs>
          <w:tab w:leader="none" w:pos="7360" w:val="left"/>
        </w:tabs>
        <w:rPr>
          <w:sz w:val="20"/>
          <w:szCs w:val="20"/>
          <w:color w:val="auto"/>
        </w:rPr>
      </w:pPr>
      <w:r>
        <w:rPr>
          <w:rFonts w:ascii="Arial" w:cs="Arial" w:eastAsia="Arial" w:hAnsi="Arial"/>
          <w:sz w:val="18"/>
          <w:szCs w:val="18"/>
          <w:color w:val="auto"/>
        </w:rPr>
        <w:t>Unless otherwise indicated, the following table will show the names and ages as of</w:t>
      </w:r>
      <w:r>
        <w:rPr>
          <w:sz w:val="20"/>
          <w:szCs w:val="20"/>
          <w:color w:val="auto"/>
        </w:rPr>
        <w:tab/>
      </w:r>
      <w:r>
        <w:rPr>
          <w:rFonts w:ascii="Arial" w:cs="Arial" w:eastAsia="Arial" w:hAnsi="Arial"/>
          <w:sz w:val="16"/>
          <w:szCs w:val="16"/>
          <w:color w:val="auto"/>
        </w:rPr>
        <w:t>, 2015 for individuals who, once identified, are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expected to serve as our executive officers and the positions they will hold following the completion of the Spin-Off. A description of the business experience of each for at least the past five years will follow the table.</w:t>
      </w:r>
    </w:p>
    <w:p>
      <w:pPr>
        <w:spacing w:after="0" w:line="202" w:lineRule="exact"/>
        <w:rPr>
          <w:sz w:val="20"/>
          <w:szCs w:val="20"/>
          <w:color w:val="auto"/>
        </w:rPr>
      </w:pPr>
    </w:p>
    <w:p>
      <w:pPr>
        <w:spacing w:after="0"/>
        <w:tabs>
          <w:tab w:leader="none" w:pos="4200" w:val="left"/>
          <w:tab w:leader="none" w:pos="46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u w:val="single" w:color="auto"/>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15240</wp:posOffset>
            </wp:positionV>
            <wp:extent cx="3086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Spin-Off, we expect that our board of directors will establish the following committees, each of which will operate under a written charter</w:t>
      </w:r>
    </w:p>
    <w:p>
      <w:pPr>
        <w:spacing w:after="0" w:line="46"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 xml:space="preserve">that will be posted to our website at </w:t>
      </w:r>
      <w:r>
        <w:rPr>
          <w:rFonts w:ascii="Arial" w:cs="Arial" w:eastAsia="Arial" w:hAnsi="Arial"/>
          <w:sz w:val="18"/>
          <w:szCs w:val="18"/>
          <w:i w:val="1"/>
          <w:iCs w:val="1"/>
          <w:color w:val="auto"/>
        </w:rPr>
        <w:t>www.</w:t>
      </w:r>
      <w:r>
        <w:rPr>
          <w:sz w:val="20"/>
          <w:szCs w:val="20"/>
          <w:color w:val="auto"/>
        </w:rPr>
        <w:tab/>
      </w:r>
      <w:r>
        <w:rPr>
          <w:rFonts w:ascii="Arial" w:cs="Arial" w:eastAsia="Arial" w:hAnsi="Arial"/>
          <w:sz w:val="16"/>
          <w:szCs w:val="16"/>
          <w:i w:val="1"/>
          <w:iCs w:val="1"/>
          <w:color w:val="auto"/>
        </w:rPr>
        <w:t xml:space="preserve">.com </w:t>
      </w:r>
      <w:r>
        <w:rPr>
          <w:rFonts w:ascii="Arial" w:cs="Arial" w:eastAsia="Arial" w:hAnsi="Arial"/>
          <w:sz w:val="16"/>
          <w:szCs w:val="16"/>
          <w:color w:val="auto"/>
        </w:rPr>
        <w:t>prior to the Spin-Off: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audit committee will be established in accordance with Rule 10A-3 under the Exchange Act and the NASDAQ listing requirements. The primary duties of the audit committee will be to, among other things:</w:t>
      </w:r>
    </w:p>
    <w:p>
      <w:pPr>
        <w:spacing w:after="0" w:line="7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determine the appointment, compensation, retention, oversight of the work and replacement of our independent registered public accounting firm;</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approve in advance all audit and permitted non-audit engagements and services to be performed by our independent registered public accounting firm;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 our independent registered public accounting firm’s qualifications, independence and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and discuss with our independent registered public accounting firm their audit plan, including the budget and scope of audit activities;</w:t>
      </w:r>
    </w:p>
    <w:p>
      <w:pPr>
        <w:spacing w:after="0" w:line="15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our combined financial statements, including the Management Discussion and Analysis of Financial Condition and Results of Operations (“MD&amp;A”) for inclusion in our annual report;</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with management and our independent auditors, material changes in our selection or application of accounting principles, the potential financial statement impact of recently enacted material regulatory or accounting principle rules;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 with management our policy for earnings press releases;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our critical accounting policies and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the adequacy and effectiveness of our accounting and internal control policies and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 with our management all significant deficiencies and material weaknesses in the design and operation of our internal controls;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concur in the appointment, reassignment or dismissal of our Vice President—Internal Audit;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approve the Internal Audit department’s budget and internal audit plan;</w:t>
      </w:r>
    </w:p>
    <w:p>
      <w:pPr>
        <w:spacing w:after="0" w:line="130" w:lineRule="exact"/>
        <w:rPr>
          <w:rFonts w:ascii="Arial" w:cs="Arial" w:eastAsia="Arial" w:hAnsi="Arial"/>
          <w:sz w:val="18"/>
          <w:szCs w:val="18"/>
          <w:color w:val="auto"/>
        </w:rPr>
      </w:pPr>
    </w:p>
    <w:p>
      <w:pPr>
        <w:ind w:left="5620" w:right="220" w:hanging="5166"/>
        <w:spacing w:after="0" w:line="449" w:lineRule="auto"/>
        <w:tabs>
          <w:tab w:leader="none" w:pos="8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 and recommend to our board a policy on approval of related party transactions, and review and approve any related party transactions; 91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308"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establish procedures for the receipt, retention and treatment of complaints regarding internal accounting controls or auditing matters and the confidential, anonymous submission by employees of concerns regarding questionable accounting or auditing matters;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prepare the reports required by the rules of the SEC to be included in our annual proxy statement; and</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discuss with our management and our independent registered public accounting firm the results of our annual audit and the review of our quarterly combined financial statements.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will provide an avenue of communication among management, the independent registered public accounting firm, the corporate auditors and the board of directors.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audit committee will be comprised of at least three (3) members that meet the independence requirements set forth by the SEC, in the NASDAQ listing requirements and the audit committee charter. Each member of the audit committee will be financially literate in accordance with the NASDAQ listing requirements. The initial members of the audit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governance committee will be to, among other things:</w:t>
      </w:r>
    </w:p>
    <w:p>
      <w:pPr>
        <w:spacing w:after="0" w:line="131" w:lineRule="exact"/>
        <w:rPr>
          <w:sz w:val="20"/>
          <w:szCs w:val="20"/>
          <w:color w:val="auto"/>
        </w:rPr>
      </w:pPr>
    </w:p>
    <w:p>
      <w:pPr>
        <w:ind w:left="900" w:right="1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 in identifying and evaluating individuals qualified to become members of our board of directors, consistent with skills and characteristics identified by our board of directors and the governance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 to our board of directors individuals qualified to serve as directors;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 annual report to our board on succession planning should the Chief Executive Officer unexpectedly die, become disabled or terminate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monitor compliance with stock ownership guidelines for the Chief Executive Officer, executive officers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 to our board of directors certain corporate governance matters and practices;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 the chairman of the board with an annual evaluation for our board of directors and committees.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governance committee will be comprised of at least three (3) members that meet the independence requirements set forth by the SEC and in the NASDAQ listing requirements and the governance committee charter. The initial members of the nominating and corporate governance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compensation committee will be to, among other things:</w:t>
      </w:r>
    </w:p>
    <w:p>
      <w:pPr>
        <w:spacing w:after="0" w:line="131" w:lineRule="exact"/>
        <w:rPr>
          <w:sz w:val="20"/>
          <w:szCs w:val="20"/>
          <w:color w:val="auto"/>
        </w:rPr>
      </w:pPr>
    </w:p>
    <w:p>
      <w:pPr>
        <w:ind w:left="900" w:right="2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annually review, approve and evaluate goals and objectives relevant to the Chief Executive Officer compensation consistent with our corporate governance principles, and determine and approve the compensation level based on this evaluation;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approve and evaluate goals and objectives relevant to compensation of our executive officers, and make recommendations to our board of directors, as appropriate;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make recommendations to our board with respect to the compensation of all non-employee directors;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severance arrangements and plans and change in control arrangements for the Chief Executive Officer and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the results of any shareholder advisory vote on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the annual review of our compensation policies and practices for all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administer our various employee benefit, pension and equity incentive programs;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discuss with management our compensation discussion and analysis (the “CD&amp;A”) and recommend to our board of directors that the CD&amp;A be included in the annual proxy statement or annual report;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prepare an annual report on executive compensation for inclusion in our proxy statement.</w:t>
      </w:r>
    </w:p>
    <w:p>
      <w:pPr>
        <w:spacing w:after="0" w:line="225"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compensation committee will be comprised of at least three (3) members that meet the independence requirements set forth by the SEC and in the NASDAQ listing requirements and the compensation committee charter. In the event the members of the compensation committee are not “outside directors” (within the meaning of Section 162(m) of the Code), the committee shall delegate to a subcommittee comprised of “outside directors” any and all approvals, certifications and administrative and other determinations and actions with respect to compensation intended to satisfy the requirements of the “performance-based compensation” exception to Section 162(m). The initial members of the compensation committee will be determined prior to the effective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None of our directors will have interlocking or other relationships with other boards of directors, compensation committees or our executive officers that would require disclosure under Item 407(e)(4) of Regulation 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Following completion of the Spin-Off, we expect that we will pay an annual fee to each independent director equal to $ , payable semi-annually. In addition, we expect that an annual fee of $ will be paid to the chair of each committee of the board of directors. Fees to independent directors may be</w:t>
      </w:r>
    </w:p>
    <w:p>
      <w:pPr>
        <w:ind w:right="80"/>
        <w:spacing w:after="0" w:line="280" w:lineRule="auto"/>
        <w:rPr>
          <w:sz w:val="20"/>
          <w:szCs w:val="20"/>
          <w:color w:val="auto"/>
        </w:rPr>
      </w:pPr>
      <w:r>
        <w:rPr>
          <w:rFonts w:ascii="Arial" w:cs="Arial" w:eastAsia="Arial" w:hAnsi="Arial"/>
          <w:sz w:val="16"/>
          <w:szCs w:val="16"/>
          <w:color w:val="auto"/>
        </w:rPr>
        <w:t>made by issuance of common stock, based on the value of such common stock at the date of issuance, rather than in cash, provided that any such issuance does not prevent such director from being determined to be independent and such shares are granted pursuant to a shareholder-approved plan or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is otherwise exempt from NASDAQ listing requirements. We expect that each independent director will also receive . For additional information on director equity compensation, see “ .” We expect that any of our executive officers who also serve as directors, however, will not be separately</w:t>
      </w:r>
    </w:p>
    <w:p>
      <w:pPr>
        <w:ind w:right="200"/>
        <w:spacing w:after="0" w:line="261" w:lineRule="auto"/>
        <w:rPr>
          <w:sz w:val="20"/>
          <w:szCs w:val="20"/>
          <w:color w:val="auto"/>
        </w:rPr>
      </w:pPr>
      <w:r>
        <w:rPr>
          <w:rFonts w:ascii="Arial" w:cs="Arial" w:eastAsia="Arial" w:hAnsi="Arial"/>
          <w:sz w:val="18"/>
          <w:szCs w:val="18"/>
          <w:color w:val="auto"/>
        </w:rPr>
        <w:t>compensated by us for their service as directors. We expect that all members of the board of directors will be reimbursed for reasonable costs and expenses incurred in attending meetings of our board of directors.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will provide certain summary information concerning the compensation, if any, paid by Windstream for the fiscal year ended December 31, 2014 to our three most highly compensated executive officers following the Spin-Off (the “named executive officers”). These three individuals have not yet been identified. The amounts and forms of compensation reported below are not necessarily indicative of the compensation that our executive officers will receive following the Spin-Off.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Deferred</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20" w:type="dxa"/>
            <w:vAlign w:val="bottom"/>
            <w:gridSpan w:val="2"/>
            <w:vMerge w:val="continue"/>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shd w:val="clear" w:color="auto" w:fill="CCEEFF"/>
          </w:tcPr>
          <w:p>
            <w:pPr>
              <w:spacing w:after="0"/>
              <w:rPr>
                <w:sz w:val="24"/>
                <w:szCs w:val="24"/>
                <w:color w:val="auto"/>
              </w:rPr>
            </w:pPr>
          </w:p>
        </w:tc>
        <w:tc>
          <w:tcPr>
            <w:tcW w:w="17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will provide certain summary information concerning outstanding Windstream Holdings equity awards, if any, held by our named executive officers as of December 31, 2014.</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Option Awards</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Equity</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 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unearned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Units 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or other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That Have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Options (#)</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Vested (#)</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vested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196"/>
        </w:trPr>
        <w:tc>
          <w:tcPr>
            <w:tcW w:w="380" w:type="dxa"/>
            <w:vAlign w:val="bottom"/>
            <w:tcBorders>
              <w:top w:val="single" w:sz="8" w:color="auto"/>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the Spin-Off, we intend to adopt a Code of Business Conduct and Ethics, effective as of the time of our listing on NASDAQ. The Code of Business Conduct and Ethics will confirm our commitment to conduct our affairs in compliance with all applicable laws and regulations and observe the highest standards of business ethics, and will seek to identify and mitigate conflicts of interest between our directors, officers and employees, on the one hand, and us on the other hand. The Code of Business Conduct and Ethics will also apply to ensure compliance with stock exchange requirements and to ensure accountability at a senior management level for that compliance. We intend that the spirit, as well as the letter, of the Code of Business Conduct and Ethics be followed by all of our directors, officers, employees and subsidiaries. This will be communicated to each new director, officer and employee. A copy of our Code of Business Conduct and Ethics will be available on our website.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As of the date hereof, all of the outstanding shares of our common stock are owned by Windstream Holdings’ wholly owned subsidiary Windstream Subsidiary. After the Spin-Off, Windstream will own up to 19.9 percent of our common stock. The following table provides information with respect to the expected beneficial ownership of our common stock immediately following the completion of the Spin-Off by (1) each person who we believe will be a beneficial owner of more than 5% of our outstanding common stock, (2) each of our directors and named executive officers, and (3) all directors, director nominees and executive officers as a group. We based the share amounts on each person’s beneficial ownership of Windstream Holdings common stock as of</w:t>
      </w:r>
    </w:p>
    <w:p>
      <w:pPr>
        <w:spacing w:after="0" w:line="2" w:lineRule="exact"/>
        <w:rPr>
          <w:sz w:val="20"/>
          <w:szCs w:val="20"/>
          <w:color w:val="auto"/>
        </w:rPr>
      </w:pPr>
    </w:p>
    <w:p>
      <w:pPr>
        <w:ind w:right="280" w:firstLine="908"/>
        <w:spacing w:after="0" w:line="290" w:lineRule="auto"/>
        <w:tabs>
          <w:tab w:leader="none" w:pos="990" w:val="left"/>
        </w:tabs>
        <w:numPr>
          <w:ilvl w:val="0"/>
          <w:numId w:val="58"/>
        </w:numPr>
        <w:rPr>
          <w:rFonts w:ascii="Arial" w:cs="Arial" w:eastAsia="Arial" w:hAnsi="Arial"/>
          <w:sz w:val="17"/>
          <w:szCs w:val="17"/>
          <w:color w:val="auto"/>
        </w:rPr>
      </w:pPr>
      <w:r>
        <w:rPr>
          <w:rFonts w:ascii="Arial" w:cs="Arial" w:eastAsia="Arial" w:hAnsi="Arial"/>
          <w:sz w:val="17"/>
          <w:szCs w:val="17"/>
          <w:color w:val="auto"/>
        </w:rPr>
        <w:t>201 , unless we indicate some other basis for the share amounts, and assuming a distribution ratio of one share of CS&amp;L common stock for every five shares of Windstream Holdings common stock, after giving effect to the interest in CS&amp;L retained by Windstream.</w:t>
      </w:r>
    </w:p>
    <w:p>
      <w:pPr>
        <w:spacing w:after="0" w:line="16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To the extent our directors and officers own Windstream Holdings common stock at the time of the Spin-Off, they will participate in the Spin-Off on the same terms as other holders of Windstream Holdings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noted in the footnotes below, each person or entity identified below has sole voting and investment power with respect to such</w:t>
      </w:r>
    </w:p>
    <w:p>
      <w:pPr>
        <w:spacing w:after="0" w:line="4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securities. Following the Spin-Off, we will have outstanding an aggregate of shares of common stock based upon shares of Windstream Holdings common stock outstanding on , 2015, assuming no exercise of Windstream Holdings options and applying the distribution ratio of one</w:t>
      </w:r>
    </w:p>
    <w:p>
      <w:pPr>
        <w:ind w:right="340"/>
        <w:spacing w:after="0" w:line="261" w:lineRule="auto"/>
        <w:rPr>
          <w:sz w:val="20"/>
          <w:szCs w:val="20"/>
          <w:color w:val="auto"/>
        </w:rPr>
      </w:pPr>
      <w:r>
        <w:rPr>
          <w:rFonts w:ascii="Arial" w:cs="Arial" w:eastAsia="Arial" w:hAnsi="Arial"/>
          <w:sz w:val="18"/>
          <w:szCs w:val="18"/>
          <w:color w:val="auto"/>
        </w:rPr>
        <w:t>share of CS&amp;L common stock for every five shares of Windstream Holdings common stock held as of the record date, after giving effect to the interest in CS&amp;L retained by Windstream.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and Nature</w:t>
            </w:r>
          </w:p>
        </w:tc>
        <w:tc>
          <w:tcPr>
            <w:tcW w:w="1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34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3"/>
            <w:vMerge w:val="continue"/>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1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Class(2)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3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color w:val="auto"/>
              </w:rPr>
              <w:t>Francis X. “Skip” Frantz</w:t>
            </w: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1"/>
              </w:rPr>
              <w:t>All directors, nominees and executive officers as a group (</w:t>
            </w:r>
          </w:p>
        </w:tc>
        <w:tc>
          <w:tcPr>
            <w:tcW w:w="48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persons)</w:t>
            </w:r>
          </w:p>
        </w:tc>
        <w:tc>
          <w:tcPr>
            <w:tcW w:w="1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 Percent Shareholders:</w:t>
            </w: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Windstream Subsidiary</w:t>
            </w: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jc w:val="right"/>
              <w:ind w:right="810"/>
              <w:spacing w:after="0" w:line="201" w:lineRule="exact"/>
              <w:rPr>
                <w:sz w:val="20"/>
                <w:szCs w:val="20"/>
                <w:color w:val="auto"/>
              </w:rPr>
            </w:pPr>
            <w:r>
              <w:rPr>
                <w:rFonts w:ascii="Arial" w:cs="Arial" w:eastAsia="Arial" w:hAnsi="Arial"/>
                <w:sz w:val="18"/>
                <w:szCs w:val="18"/>
                <w:color w:val="auto"/>
                <w:w w:val="90"/>
              </w:rPr>
              <w:t>(3)</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4001 Rodney Parham Road</w:t>
            </w: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Little Rock, Arkansas 72212</w:t>
            </w: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3" w:lineRule="exact"/>
        <w:rPr>
          <w:sz w:val="20"/>
          <w:szCs w:val="20"/>
          <w:color w:val="auto"/>
        </w:rPr>
      </w:pPr>
    </w:p>
    <w:p>
      <w:pPr>
        <w:spacing w:after="0"/>
        <w:tabs>
          <w:tab w:leader="none" w:pos="440" w:val="left"/>
          <w:tab w:leader="none" w:pos="7420" w:val="left"/>
        </w:tabs>
        <w:rPr>
          <w:sz w:val="20"/>
          <w:szCs w:val="20"/>
          <w:color w:val="auto"/>
        </w:rPr>
      </w:pPr>
      <w:r>
        <w:rPr>
          <w:rFonts w:ascii="Arial" w:cs="Arial" w:eastAsia="Arial" w:hAnsi="Arial"/>
          <w:sz w:val="18"/>
          <w:szCs w:val="18"/>
          <w:color w:val="auto"/>
        </w:rPr>
        <w:t>(1)</w:t>
        <w:tab/>
        <w:t>The address of all of the officers and directors listed above are in the care of CS&amp;L,</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Percentages shown assume the exercise by such persons of all options to acquire shares of our common stock that are exercisable within 60 days of</w:t>
      </w:r>
    </w:p>
    <w:p>
      <w:pPr>
        <w:spacing w:after="0" w:line="32" w:lineRule="exact"/>
        <w:rPr>
          <w:rFonts w:ascii="Arial" w:cs="Arial" w:eastAsia="Arial" w:hAnsi="Arial"/>
          <w:sz w:val="16"/>
          <w:szCs w:val="16"/>
          <w:color w:val="auto"/>
        </w:rPr>
      </w:pPr>
    </w:p>
    <w:p>
      <w:pPr>
        <w:ind w:left="1440" w:hanging="86"/>
        <w:spacing w:after="0"/>
        <w:tabs>
          <w:tab w:leader="none" w:pos="1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2015 and no exercise by any other person.</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 description of certain voting arrangements relating to the shares of our common stock retained by Windstream, see “Our Relationship with Windstream Following the Spin-Off.”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Windstream and CS&amp;L</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After the Spin-Off, we and Windstream Holdings will operate separately, each as an independent, publicly traded company. Windstream will retain a passive ownership interest in up to 19.9 percent of the common stock of CS&amp;L at the time of the Spin-Off. Windstream intends to dispose of all of its shares of CS&amp;L common stock opportunistically during a twelve month period following the Spin-Off, subject to market conditions, with the net proceeds used to retire debt. Such dispositions may include exchanges for indebtedness of Windstream or stock of Windstream and/or distributions to Windstream shareholders.</w:t>
      </w:r>
    </w:p>
    <w:p>
      <w:pPr>
        <w:spacing w:after="0" w:line="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govern our relationship after the Spin-Off, we and Windstream intend to enter into certain agreements prior to the Spin-Off, including, among others: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See “Our Relationship with Windstream Following the Spin-Off.”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our board of directors to adopt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Under the policy, a related person would need to promptly disclose to our Chief Financial Officer any proposed related person transaction and all material facts about the proposed transaction. Our Chief Financial Officer would then assess and promptly communicate that information to our audit committee. Based on our audit committee’s consideration of all of the relevant facts and circumstances, our audit committee will decide whether or not to approve such transaction and will generally approve only those transactions that are in, or are not inconsistent with, the best interests of CS&amp;L. If we become aware of an existing related person transaction that has not been pre-approved under this policy, the transaction will be referred to our audit committee, which will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RELATIONSHIP WITH WINDSTREAM FOLLOWING THE SPIN-OFF</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After the Spin-Off, we and Windstream Holdings will operate separately, each as an independent, publicly traded company. To govern our relationship after the Spin-Off, we will enter into the following agreements with Windstream, among others: the Separation and Distribution Agreement; the Master Lease; the Tax Matters Agreement; the Transition Services Agreement; the Employee Matters Agreement; the Wholesale Reseller Agreement; the Intellectual Property Matters Agreement; and the Stockholder’s and Registration Rights Agreement. The following is a summary of the material terms of those agreements.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material agreements described below have been, or will be, filed as exhibits to the registration statement on Form 10 of which this information statement is a part, and the summaries of each of these agreements set forth the terms of the agreements that we believe are material. These summaries are qualified in their entirety by reference to the full text of the applicable agreements, which are incorporated by reference into this information statement. The terms of the agreements described below that will be in effect at the time of and following the Spin-Off have not yet been finalized; changes to these agreements, some of which may be material, may be made prior to the Spin-Off.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Separation and Distribution Agreement contains the key provisions relating to the separation of the Distribution Systems and Consumer CLEC Business from Windstream. It also contains other agreements that govern certain aspects of our relationship with Windstream that will continue after the Spin-Off.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Separation and Distribution Agreement divides and allocates the assets and liabilities of Windstream prior to the Spin-Off between us and Windstream, and describes when and how any required transfers and assumptions of assets and liabilities will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The Separation and Distribution Agreement governs the rights and obligations of the parties regarding the Spin-Off. On the distribution date, Windstream Holdings will cause its agents to distribute,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all of the issued and outstanding shares of our common stock to Windstream Holdings’ shareholders as of the record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and Distribution Agreement provides that the Spin-Off is subject to multiple conditions that must be satisfied or waived by Windstream, in its sole discretion. For further information regarding these conditions, see “The Spin-Off—Conditions to the Spin-Off.” Even if all of the conditions have been satisfied, Windstream may, in its sole and absolute discretion, terminate and abandon the Spin-Off or any related transaction at any time prior to the distribution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or Warranties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Under the Separation and Distribution Agreement, each party makes representations and warranties to the other regarding organization and authority, due authorization, consents and approvals, no violation, litigation and solvency. Windstream makes additional representations and warranties to CS&amp;L regarding ownership of the assigned assets, no undisclosed liabilities, absence of certain changes or events, taxes, compliance with laws, licenses and permits, and environmental compliance. CS&amp;L makes additional representations and warranties to Windstream regarding the validity of the CS&amp;L common stock and limited activity.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representations or warranties described above will survive the effective time of the Separation and Distribution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Information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Separation and Distribution Agreement provides that the parties will exchange, as soon as reasonably practicable after written request therefor, any information reasonably requested by the other party, unless such provision of information could be commercially detrimental, violate any law or agreement, or waive any attorney-client privilege, in which case the parties will take all reasonable measures to permit the compliance with such obligations in a manner that avoids any such harm or consequence. In addition, the parties will use reasonable best efforts to make available to each other directors, officers, other employees and agents as witnesses in any legal, administrative or other proceeding in which the other party may become involved to the extent reasonably required.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 Allocation of Liabilities and Indemnification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Separation and Distribution Agreement provides for a full and complete release and discharge of all liabilities existing or arising from any acts or events occurring or failing to occur or alleged to have occurred or to have failed to occur or any conditions existing or alleged to have existed at or before the separation, between Windstream and us, except as expressly set forth in the Separation and Distribution Agreement.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Separation and Distribution Agreement provides that (i) we will indemnify Windstream and its affiliates and each of their respective current and former directors, officers, agents and employees against any and all losses relating to (a) liabilities arising out of the Distribution Systems and Consumer CLEC Business, (b) any breach by us of any provision of the Separation and Distribution Agreement or any ancillary agreement, and (c) 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(other than information regarding Windstream provided to us by Windstream for inclusion therein), and (ii) that Windstream will indemnify us and our affiliates and each of our respective current and former directors, officers, agents and employees against any and all losses relating to (a) liabilities arising out of the Windstream telecommunications business, (b) any breach by Windstream of any provision of the Separation and Distribution Agreement or any ancillary agreement, and</w:t>
      </w:r>
    </w:p>
    <w:p>
      <w:pPr>
        <w:spacing w:after="0" w:line="1" w:lineRule="exact"/>
        <w:rPr>
          <w:sz w:val="20"/>
          <w:szCs w:val="20"/>
          <w:color w:val="auto"/>
        </w:rPr>
      </w:pPr>
    </w:p>
    <w:p>
      <w:pPr>
        <w:ind w:right="160" w:firstLine="8"/>
        <w:spacing w:after="0" w:line="277" w:lineRule="auto"/>
        <w:tabs>
          <w:tab w:leader="none" w:pos="2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(solely with respect to information regarding Windstream provided to us by Windstream for inclusion therein).</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also establishes dispute resolution procedures with respect to claims subject to indemnification and related matters.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Indemnification with respect to taxes, employee benefits and certain intellectual property is governed by the Tax Matters Agreement, the Employee Matters Agreement and the Intellectual Property Matters Agreement,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provides that it may be terminated and the Spin-Off may be abandoned at any time prior to the distribution date by Windstream, in its sole discretion.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Separation and Distribution Agreement provides that all costs and expenses incurred and directly related to the Spin-Off will be paid by Windstream to the extent incurred and payable on or prior to the distribution date, and will be paid by the party incurring the cost or expense to the extent arising and payable following the distribution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enter into the Master Lease with Windstream Holdings, pursuant to which Windstream Holdings will lease the Distribution Systems. Under the Master Lease, the Operating Partnership and our individual subsidiaries that own the properties subject to the Master Lease will be the landlord, and Windstream Holdings will be the tenant. A default by Windstream Holdings with regard to any property will cause a default with regard to the entire portfolio. The subsidiaries of Windstream Holdings will have the right to use, occupy and operate the Distribution Systems and discharge any of Windstream Holdings’ obligations under the Master Lease.</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description of the Master Lease does not purport to be complete, but contains a summary of certain material provisions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Renewals</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Master Lease will provide for the lease of land, buildings, structures and other improvements on the land and appurtenances to the land and improvements (including the Company’s rights under any permits, easements and pole agreements) relating to the operation of the Distribution Systems.</w:t>
      </w:r>
    </w:p>
    <w:p>
      <w:pPr>
        <w:spacing w:after="0" w:line="12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Master Lease will provide for an initial term of 15 years, with no purchase options. At the option of Windstream Holdings, the Master Lease may be extended for up to four renewal terms of five years each, and Windstream Holdings can elect which Distribution Systems then subject to the Master Lease to renew. In addition, Windstream Holdings has the right to extend the initial term of the Master Lease from 15 years to 20 years for all of the Distribution Systems and, if exercised, the number of renewal terms will be reduced to three so that the maximum term (taking into account all renewals) is 35 years and we will have certain capital funding obligations under the Master Lease as summarized below.</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Windstream Holdings will not have the ability to terminate its obligations under the Master Lease prior to its expiration without our consent other than in limited circumstances (i.e., condemnation). If the Master Lease is terminated prior to its expiration other than with our consent, Windstream Holdings may be liable for damages and incur charges such as continued payment of rent through the end of the lease term and maintenance and repair costs for the Distribution Systems. See “Risk Factors—Risks Related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Amounts and Escalators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Master Lease is a triple-net lease. Accordingly, in addition to rent, Windstream Holdings will be required to pay, among other things, the following items subject to limited carveouts set forth in the Master Lease:</w:t>
      </w:r>
    </w:p>
    <w:p>
      <w:pPr>
        <w:spacing w:after="0" w:line="76" w:lineRule="exact"/>
        <w:rPr>
          <w:sz w:val="20"/>
          <w:szCs w:val="20"/>
          <w:color w:val="auto"/>
        </w:rPr>
      </w:pPr>
    </w:p>
    <w:p>
      <w:pPr>
        <w:ind w:left="900" w:right="2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impositions and taxes levied on or with respect to the Distribution Systems (other than taxes on our income, gross receipts and capital stock and our franchise taxes);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utilities and other services necessary or appropriate for the Distribution Systems and the business conducted thereon;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insurance required in connection with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maintenance and repair costs with respect to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charges under the easements, permits and pole agreements; and</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fees in connection with any licenses or authorizations necessary or appropriate for the Distribution Systems and the business conducted thereon.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rent will be a fixed annual amount that will be set near the time of the Spin-Off. The rent will be determined by resolution of the Board of Directors of Windstream Holding adopted prior to the Spin-Off based on an assessment of the fair market value of the rental property, the projected residual value of the property at the end of the Master Lease, an appropriate rate of return, and such other factors as the Board of Directors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Windstream Holdings deems appropriate in consultation with its advisors, including a third party valuation expert engaged for such purposes.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Windstream Holdings will make the rent payment in monthly installments. We currently anticipate that the initial estimated annual rent under the Master Lease will be approximately $650 million during the first three years of the Master Lease. Commencing with the fourth year and continuing for the remainder of the initial term, the rent will be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rent will increase at an escalation rate of 0.5%. If the Company is required to fund any capital improvements or otherwise elects to fund any capital improvements by Windstream Holdings to the Distribution Systems, the rent will be increased to account for such funding.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Capital Expenditures and Alterations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Windstream Holdings will be required to maintain the Distribution Systems in accordance with the standard of operation and maintenance then engaged in or approved by a significant portion of the owners of distribution systems that are similar to the Distribution Systems (“Prudent Industry Practice”). Windstream Holdings is required to maintain all of its personal property that is necessary to operate the Distribution Systems in accordance with Prudent Industry Practice and in compliance with all applicable legal, insurance and licensing requirements. Capital expenditures for the Distribution Systems are generally the responsibility of Windstream Holdings, except that Windstream Holdings will have an option to require us to fund capital expenditures in an amount up to $50 million annually for a maximum period of five years (but in no event to extend beyond the end of the sixth year of the Master Lease) if Windstream Holdings elects to extend the initial term of the Master Lease from 15 years to 20 years and such election is made with the first five years of the Master Lease.</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Windstream Holdings has the right to make alterations (which includes maintenance, repairs, extensions, upgrades, additions, replacements or overbuilds to the Distribution Systems) that are constructed in accordance with Windstream Holdings’ current engineering standard without our consent. Windstream Holdings’ engineering standard may be modified without our consent so long as the standard is consistent with prevailing industry practice and is in compliance with applicable law. Prior to commencing any alterations that require our consent, Windstream Holdings will be required to provide us with a general description of the proposed alteration, the projected cost and such plans and specifications, permits, licenses, contracts and other information concerning the proposal as we shall request.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the Distribution Systems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Windstream Holdings is permitted to use the Distribution Systems for, among other things, the provision, routing and delivery of voice, data, video, data center, cloud computing and other communication services, the colocation activities in the data center space, the provision of dark or dim rim fiber services to third parties, such other services and uses consistent with its current use or with prevailing communications industry use and/or uses under subleases that are permitted under the Master Lease. Windstream must continuously operate the Distribution Systems for one or more of the permitted uses subject to limited exceptions that are specified in the Master Lease.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Master Lease, an “Event of Default” will be deemed to occur upon certain events, including, without limitation:</w:t>
      </w:r>
    </w:p>
    <w:p>
      <w:pPr>
        <w:spacing w:after="0" w:line="131" w:lineRule="exact"/>
        <w:rPr>
          <w:sz w:val="20"/>
          <w:szCs w:val="20"/>
          <w:color w:val="auto"/>
        </w:rPr>
      </w:pPr>
    </w:p>
    <w:p>
      <w:pPr>
        <w:ind w:left="900" w:right="8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failure by Windstream Holdings to pay rent or other amounts when due and such failure is not remedied within the applicable notice and cure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revocation, termination or material suspension of any license or other agreement that is not stayed pending appeal and would have a material adverse effect on Windstream Holdings or the operation of the Distribution Systems, taken as a whole;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occurrence of a default under another material agreement between us and Windstream Holdings or our respective affiliates, which is not cured within the applicable notice and cure period (excluding certain agreements specified in the Master Lease);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voluntary cessation of operations at the Distribution Systems (except as otherwise permitted under the Master Lease) that is not cured within the applicable notice and cure period and would have a material adverse effect on Windstream Holdings or on the operation of the Distribution Systems, taken as a whole;</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sale or transfer of any license or other authorization relating to the Distribution Systems without our consent subject to the pledges and transfers expressly permitted under the Master Lease;</w:t>
      </w:r>
    </w:p>
    <w:p>
      <w:pPr>
        <w:spacing w:after="0" w:line="75"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occurrence of an event or condition that results or causes the material indebtedness of Windstream becoming due prior to its stated maturity, or requires a payment, repurchase, redemption or defeasance of the material indebtedness prior to the stated maturity, or if Windstream Holdings fails to pay the principal of any material indebtedness at the final maturity date, in each case subject to limited exceptions set forth in the Master Lease;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Windstream Holdings;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breach by Windstream Holdings of a representation or warranty in the Master Lease in a manner which materially and adversely affects us and is not cured within the applicable notice and cure period; and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by Windstream Holdings to comply with any other covenants set forth in the Master Lease that is not cured within the applicable notice and cure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for an Event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 Event of Default under the Master Lease, we may (at our option) exercise certain remedies, including, without limitation:</w:t>
      </w:r>
    </w:p>
    <w:p>
      <w:pPr>
        <w:spacing w:after="0" w:line="131" w:lineRule="exact"/>
        <w:rPr>
          <w:sz w:val="20"/>
          <w:szCs w:val="20"/>
          <w:color w:val="auto"/>
        </w:rPr>
      </w:pPr>
    </w:p>
    <w:p>
      <w:pPr>
        <w:ind w:left="900" w:right="6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any rights that a leasehold mortgagee that meets the criteria set forth in the Master Lease or the holder of any indebtedness entered into by Windstream Holdings or its affiliates may have, terminate the Master Lease, dispossess Windstream Holdings from the Distribution Systems, and/or collect monetary damages by reason of Windstream Holdings’ breach (including the acceleration of all rent which would have accrued after such termination and could not have been reasonably avoided);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elect to leave the Master Lease in place and sue for rent and any other monetary damages;</w:t>
      </w:r>
    </w:p>
    <w:p>
      <w:pPr>
        <w:spacing w:after="0" w:line="130"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we elect to terminate the Master Lease, Windstream Holdings is required to transfer the business operations conducted by Windstream at the Distribution Systems so terminated (with limited exceptions set forth in the Master Lease) to a successor tenant for fair market value pursuant to a process set forth in the Master Lease and cooperate with us to ensure that an operational facility is transferred to the successor tenant; and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any and all other rights and remedies available under law or in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and Subletting</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Master Lease will provide that Windstream Holdings may not sublease, assign, encumber or otherwise transfer or dispose of the Master Lease or any Distribution Systems, including by virtue of a change of control of Windstream Holdings, or engage a management company without our consent subject to certain agreed upon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exceptions set forth in the Master Lease. These exceptions include, but are not limited to, the following: (i) undergo a change of control in Windstream Holdings if the transferee is a qualified transferee that meets certain criteria set forth in the Master Lease, (ii) an assignment of the Master Lease to any of the subsidiaries of Windstream Holdings, (iii) a pledge or mortgage of Windstream Holdings’ interest under the Master Lease to a qualified lender that meets certain criteria, and the foreclosure by such lender or its designee, (iv) an assignment of the Master Lease to a qualified transferee that meets certain criteria set forth in the Master Lease, (v) the right to sublease (including, without limitation, any rights granted under dark fiber agreements, dim fiber agreements and colocation agreements) for a non-material portion of the Distribution Systems, and (vi) the right to sublease a material portion of the Distribution Systems if the sublease or subtenant meets certain criteria or Windstream is obligated to enter into the colocation arrangement in order to discharge its obligations under any license, authorization or law.</w:t>
      </w:r>
    </w:p>
    <w:p>
      <w:pPr>
        <w:spacing w:after="0" w:line="19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Windstream Holdings is permitted to grant any of its rights and privileges under the Master Lease to any of its subsidiaries and we have agreed to acknowledge that the performance of any obligations or agreements by any of such subsidiaries shall satisfy Windstream Holdings’ obligations to perform such obligation or agreement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Opportunities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Generally, neither we nor Windstream Holdings will be prohibited from developing, redeveloping, expanding, purchasing or building facilities subject to certain limitations set forth in the Master Lease. By way of example, these limitations may include:</w:t>
      </w:r>
    </w:p>
    <w:p>
      <w:pPr>
        <w:spacing w:after="0" w:line="76" w:lineRule="exact"/>
        <w:rPr>
          <w:sz w:val="20"/>
          <w:szCs w:val="20"/>
          <w:color w:val="auto"/>
        </w:rPr>
      </w:pPr>
    </w:p>
    <w:p>
      <w:pPr>
        <w:ind w:left="900" w:right="940" w:hanging="446"/>
        <w:spacing w:after="0" w:line="34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requirement that any alterations to the Distribution Systems (which includes maintenance, repairs, extensions, upgrades, additions, replacements or overbuilds to the Distribution Systems) must be performed in accordance with the terms of the Master Lease.</w:t>
      </w:r>
    </w:p>
    <w:p>
      <w:pPr>
        <w:spacing w:after="0" w:line="29" w:lineRule="exact"/>
        <w:rPr>
          <w:rFonts w:ascii="Arial" w:cs="Arial" w:eastAsia="Arial" w:hAnsi="Arial"/>
          <w:sz w:val="16"/>
          <w:szCs w:val="16"/>
          <w:color w:val="auto"/>
        </w:rPr>
      </w:pPr>
    </w:p>
    <w:p>
      <w:pPr>
        <w:ind w:left="900" w:right="60" w:hanging="446"/>
        <w:spacing w:after="0" w:line="27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prohibition on us from (i) constructing for any party other than Windstream fiber, copper, coaxial and fixed wireless facilities within the same local exchange area of the incumbent local exchange carriers (each an “</w:t>
      </w:r>
      <w:r>
        <w:rPr>
          <w:rFonts w:ascii="Arial" w:cs="Arial" w:eastAsia="Arial" w:hAnsi="Arial"/>
          <w:sz w:val="17"/>
          <w:szCs w:val="17"/>
          <w:u w:val="single" w:color="auto"/>
          <w:color w:val="auto"/>
        </w:rPr>
        <w:t>ILEC</w:t>
      </w:r>
      <w:r>
        <w:rPr>
          <w:rFonts w:ascii="Arial" w:cs="Arial" w:eastAsia="Arial" w:hAnsi="Arial"/>
          <w:sz w:val="17"/>
          <w:szCs w:val="17"/>
          <w:color w:val="auto"/>
        </w:rPr>
        <w:t>”) that are subsidiaries of Windstream Holdings and are operating the Distribution Systems or (ii) constructing for any party other than Windstream extensions (including extensions in the form of fiber, copper, coaxial or fixed wireless facilities) of any ILEC facility under the Master Lease into a geographic area that adjoins the local exchange area of any ILEC facilities that are leased by Windstream Holdings under the Master Lease.</w:t>
      </w:r>
    </w:p>
    <w:p>
      <w:pPr>
        <w:spacing w:after="0" w:line="77"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 restrictions that only permit us to sell all (but not less than all) of our interest in the Distribution Systems to a single buyer/assignee that is not a competitor of Windstream.</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 restrictions that prohibit: (1) a competitor of Windstream from acquiring 10% or more of the equity interests in CS&amp;L or the entities comprising the landlord under the Master Lease, (2) a competitor of Windstream from acquiring all or substantially all of our assets relating to the Distribution Systems, or (3) a merger or consolidation by us with or into a competitor of Windstream.</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 restrictions that require the Operating Partnership and the other subsidiaries that comprise the landlord under the Master Lease to remain subsidiaries of CS&amp;L during the term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Licenses/Successor Lessee Provisions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Licenses and all other authorizations necessary to operate the facilities that will be subject to the Master Lease will be procured and maintained by the tenant pursuant to the terms of the Master Lease. The Master Lease will require Windstream Holdings to transfer, to the extent permitted by law, licenses and all other authorizations at the expiration or earlier termination of the Master Lease to a successor tenant for fair market value pursuant to process set forth in the Master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Tax Matters Agreement will govern our and Windstream’s respective rights, responsibilities and obligations with respect to taxes (including taxes arising in the ordinary course of business and taxes, if any, incurred as a result of any failure of the Spin-Off and certain related transactions to qualify as tax-free for U.S. federal income tax purposes), tax attributes, tax returns, tax contests and certain other tax matters.</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Tax Matters Agreement will impose certain restrictions on us and our subsidiaries (including restrictions on share issuances, business combinations, sales of assets and similar transactions) that will be designed to preserve the tax-free status of the Spin-Off and certain related transactions, including:</w:t>
      </w:r>
    </w:p>
    <w:p>
      <w:pPr>
        <w:spacing w:after="0" w:line="87" w:lineRule="exact"/>
        <w:rPr>
          <w:sz w:val="20"/>
          <w:szCs w:val="20"/>
          <w:color w:val="auto"/>
        </w:rPr>
      </w:pPr>
    </w:p>
    <w:p>
      <w:pPr>
        <w:ind w:left="900" w:right="4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for two years after the Spin-Off, taking, or permitting any of its subsidiaries to take, an action that might be a disqualifying action without receiving the prior consent of Windstream Holdings;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two years after the Spin-Off, entering into any agreement, understanding or arrangement or engaging in any substantial negotiations with respect to any transaction involving the acquisition of CS&amp;L stock or the issuance of shares of CS&amp;L stock, or options to acquire or other rights in respect of such stock, unless, generally, the shares are issued to qualifying CS&amp;L employees or retirement plans, each in accordance with “safe harbors” under regulations issued by the IRS;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two years after the Spin-Off, repurchasing our shares, except to the extent consistent with guidance issued by the IRS;</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two years after the Spin-Off, permitting certain wholly owned subsidiaries that were wholly owned subsidiaries of CS&amp;L at the time of the Spin-Off to cease the active conduct of the Consumer CLEC Business to the extent so conducted by those subsidiaries immediately prior to the Spin-Off;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two years after the Spin-Off, voluntarily dissolving, liquidating, merging or consolidating with any other person.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Nevertheless, CS&amp;L will be permitted to take any of the actions described above in the event that the IRS has granted a favorable ruling to Windstream Holdings or CS&amp;L as to the effect of such action on the tax-free status of the transactions described in this document.</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Tax Matters Agreement will provide special rules allocating tax liabilities in the event the Spin-Off, together with certain related transactions, was not tax-free. In general, under the Tax Matters Agreement, each party is expected to be responsible for any taxes imposed on Windstream Holdings and/or Windstream Holdings’ wholly owned subsidiary Windstream Corporation that arise from the failure of the Spin-Off and certain related transactions to qualify as a tax-free transaction for U.S. federal income tax purposes under Section 355 and Section 368(a)(1)(D) of the Code, as applicable, and certain other relevant provisions of the Code to the extent that the failure to qualify is attributable to actions taken by such party.</w:t>
      </w:r>
    </w:p>
    <w:p>
      <w:pPr>
        <w:spacing w:after="0" w:line="17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Tax Matters Agreement will also set forth our and Windstream’s obligations as to the filing of tax returns, the administration of tax contests and assistance and cooperation on tax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Windstream will agree to provide us with certain administrative and support services on a transitional basis pursuant to the Transition Services Agreement for a period not to exceed eighteen months. The transition services may include accounting services, financial systems and support, human resources support, tax and transfer pricing services, legal and corporate secretary services, information systems services and various other support services. We expect that the fees charged to us for transition services furnished pursuant to the Transition Services Agreement will approximate the actual cost incurred by Windstream in providing the transition services to us for the relevant period. The Transition Services Agreement will provide that we have the right to terminate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transition service upon notice to Windstream, in which case the service shall be terminated as soon as practicable after the notice, but in no event later than thirty days thereafter. The Transition Services Agreement also will contain provisions under which Windstream will generally agree to indemnify us for all losses incurred by us resulting from Windstream’s material breach of the Transition Services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Employee Matters Agreement will govern the respective compensation and employee benefit obligations of us and Windstream with respect to the current and former employees of each company, and generally will allocate liabilities and responsibilities relating to employee compensation and benefit plans and programs. The following is a summary of some of the expected material provisions of the Employee Matters Agreement:</w:t>
      </w:r>
    </w:p>
    <w:p>
      <w:pPr>
        <w:spacing w:after="0" w:line="71" w:lineRule="exact"/>
        <w:rPr>
          <w:sz w:val="20"/>
          <w:szCs w:val="20"/>
          <w:color w:val="auto"/>
        </w:rPr>
      </w:pPr>
    </w:p>
    <w:p>
      <w:pPr>
        <w:ind w:left="9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Windstream will retain all liabilities except for salaries and commissions attributable to present and former employees of both us and Windstream in respect of the period before the Spin-Off;</w:t>
      </w:r>
    </w:p>
    <w:p>
      <w:pPr>
        <w:spacing w:after="0" w:line="75"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employment of those current Windstream employees who will be our employees at the time of the Spin-Off will be transferred from Windstream to us at some point before the Spin-Off and we will participate in existing Windstream benefit plans from that time until the Spin-Off (exclusive of incentive compensation plans for 2015 because we expect to establish our own plans for our employees);</w:t>
      </w:r>
    </w:p>
    <w:p>
      <w:pPr>
        <w:spacing w:after="0" w:line="70" w:lineRule="exact"/>
        <w:rPr>
          <w:rFonts w:ascii="Arial" w:cs="Arial" w:eastAsia="Arial" w:hAnsi="Arial"/>
          <w:sz w:val="17"/>
          <w:szCs w:val="17"/>
          <w:color w:val="auto"/>
        </w:rPr>
      </w:pPr>
    </w:p>
    <w:p>
      <w:pPr>
        <w:ind w:left="900" w:right="42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will be no transfer of any employee benefit plan assets or liabilities from Windstream to us and existing Windstream employees who become our employees will be treated as having terminated employment with Windstream at the time of the Spin-Off (except as provided in respect of equity incentive awards (see “Management—Outstanding Equity Awards at Fiscal Year-End—Incentive Award Plan”) and for purposes of paid-time off benefits, which we will assume);</w:t>
      </w:r>
    </w:p>
    <w:p>
      <w:pPr>
        <w:spacing w:after="0" w:line="92"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will assume all liabilities in respect of our employees that are attributable to the period beginning on the distribution date and, for purposes of the benefit plans we may establish on or after the distribution date, credit our employees for service with Windstream before the Spin-Off (except to the extent it would result in a duplication of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We otherwise will be generally free to establish the terms and conditions of employment of our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Reseller Agreement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Windstream’s competitive local exchange carrier affiliates will agree in the Wholesale Reseller Agreement to resell to Talk America local exchange service (including, among other things, access to emergency services, access to operator services, access to interexchange service, access to directory assistance, toll limitation for qualifying low-income consumers, and any other ancillary functionalities that Talk America must provide pursuant to applicable statutes and regulations), interexchange service and broadband service. The Wholesale Reseller Agreement will be limited to residential customers. Windstream will charge Talk America retail rates included in Windstream’s tariffs/agreements for each customer served and will provide Talk America a monthly volume discount which will be based on the number of active customers served by Talk America.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Windstream will agree to provide us with a license to use, for five years, certain domain names owned by Windstream that are used by customers of the Consumer CLEC Business in their email addresses. The purpose of the license is to allow such customers to continue to use existing domain names without requiring any transfer to a new “Talk America” domain, but we will not be permitted to issue any new email addresses using the licensed domains.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license granted pursuant to the Intellectual Property Matters Agreement will be a royalty-free, nonexclusive license, in those jurisdictions where Windstream has such rights. We will be responsible for ensuring that our use of the domain names is in conformity with certain defined standards, and will indemnify Windstream from and against all liability involving or otherwise relating to any actual or alleged infringement of any third party’s intellectual property rights arising out of our use of the domain names or any breach or failure by us to comply with any representation, warranty or covenant set forth in the Intellectual Property Matters Agreement.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Windstream will maintain sole control and discretion over the prosecution and maintenance with respect to all rights, including all intellectual property rights in and to the domain names.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and Registration Rights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and Windstream will enter into a Stockholder’s and Registration Rights Agreement pursuant to which we will agree that, upon the request of Windstream, we will use our best efforts to effect the registration under applicable federal and state securities laws of the shares of our common stock retained by Windstream after the Spin-Off. In addition, Windstream will grant us a proxy to vote the shares of our common stock that Windstream retains immediately after the Spin-Off in proportion to the votes cast by our other shareholders. This proxy, however, will be automatically revoked as to a particular share upon any sale or transfer of such share from Windstream to a person other than Windstream, and neither the voting agreement nor the proxy will limit or prohibit any such sale or transfer. Further, Windstream will agree not to seek a seat on the board of directors of CS&amp;L and will agree not to acquire additional shares of CS&amp;L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Our charter and bylaws will be amended and restated prior to the Spin-Off. The following is a summary description of the material terms of our capital stock as will be set forth in our charter and bylaws that will govern the rights of holders of our common stock upon the consummation of the Spin-Off.</w:t>
      </w:r>
    </w:p>
    <w:p>
      <w:pPr>
        <w:spacing w:after="0" w:line="12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While the following attempts to describe the material terms of our capital stock, the description may not contain all of the information that is important to you. You are encouraged to read the full text of our charter and bylaws, the forms of which are included as exhibits to the registration statement on Form 10, of which this information statement is a part, as well as the provisions of the Maryland General Corporation Law and other applicable Maryland law.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the Spin-Off, our authorized stock will consist of 1,000,000,000 shares of common stock, par value $0.0001 per share, and 200,000,000 shares of preferred stock, par value $0.0001 per share.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the shares of Windstream Holdings common stock outstanding as of , 2015, it is expected that we will have shares of common stock issued and outstanding upon completion of the Spin-Off. No shares of our preferred stock will be issued and outstanding at the time of the Spin-Off.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All of the shares of our common stock distributed in the Spin-Off will be duly authorized, validly issued, fully paid and nonassessable. Subject to the preferential rights of any other class or series of our stock and the provisions of our charter that will restrict transfer and ownership of stock, the holders of shares of our common stock generally will be entitled to receive dividends on such stock out of assets legally available for distribution to the shareholders when, as and if authorized by our board of directors and declared by us. The holders of shares of our common stock will also be entitled to share ratably in our net assets legally available for distribution to shareholders in the event of our liquidation, dissolution or winding up, after payment of or adequate provision for all known debts and liabilities.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Subject to the rights of any other class or series of our stock and the provisions of our charter that will restrict transfer and ownership of stock, each outstanding share of our common stock will entitle the holder to one vote on all matters submitted to a vote of the shareholders, including the election of directors. Under our charter there will be no cumulative voting in the election of directors. Our bylaws will require that each director be elected by a plurality of votes cast with respect to such director, except in the case of an uncontested election, in which case our bylaws will require that each director be elected by a majority of votes cast with respect to such director.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Holders of shares of our common stock will generally have no preference, conversion, exchange, sinking fund, redemption or appraisal rights and will have no preemptive rights to subscribe for any of our securities. Subject to the provisions of our charter that will restrict transfer and ownership of stock, all shares of our common stock will have equal dividend, liquidation and other rights.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charter will authorize our board of directors to reclassify any unissued shares of our common stock into other classes or series of stock, to establish the designation and number of shares of each class or series and to set, subject to the provisions of our charter relating to the restrictions on ownership and transfer of our capital stock, the preferences, conversion and other rights, voting powers, restrictions, limitations as to dividends and other distributions, qualifications and terms and conditions of redemption of each such class or series.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our charter, our board of directors will be permitted from time to time to establish and to cause us to issue one or more classes or series of preferred stock and set the terms, preferences, conversion or other rights, voting powers, restrictions, limitations as to dividends or other distributions, qualifications, or terms or conditions of redemption of such classes or series. Accordingly, our board of directors, without shareholder approval, will be permitted to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may adversely affect the voting and other rights of the holders of our common stock, and could have the effect of delaying, deferring or preventing a change of control of our company or other corporate action. No shares of preferred stock are expected to be outstanding immediately following the Spin-Off and we have no present plans to issue any shares of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to Increase or Decrease Authorized Shares of Our Common Stock and Issue Additional Shares of Our Common and Preferred Stock</w:t>
      </w:r>
    </w:p>
    <w:p>
      <w:pPr>
        <w:spacing w:after="0" w:line="133"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the power of our board of directors to amend our charter to increase or decrease the aggregate number of authorized shares of stock, to authorize us to issue additional authorized but unissued shares of our common stock or preferred stock and to classify or reclassify unissued shares of our common stock or preferred stock and thereafter to authorize us to issue such classified or reclassified shares of stock will provide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shareholders,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that our common shareholders otherwise believe to be in their best interests.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 and Ownership of CS&amp;L Stock</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order for us to qualify as a REIT under the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beneficially or constructively, 10% or more by the REIT, or a 10% owner of the REIT) is not qualifying income for purposes of the gross income tests under the Code. To qualify as a REIT, we must satisfy other requirements as well. See “U.S. Federal Income Tax Considerations—Taxation of REITs in General.”</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charter will contain restrictions on the transfer and ownership of our stock. The relevant sections of our charter will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receipt of certain representations and agreements and in its sole and absolute discretion, our board of directors will be able to, prospectively or retroactively, exempt a person from the ownership limits or establish a different limit on ownership, or an excepted holder limit, for a particular shareholder if the shareholder’s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 satisfactory to our board of directors (in its sole discretion) as it may deem necessary or advisable to determine or ensure our status as a REIT.</w:t>
      </w:r>
    </w:p>
    <w:p>
      <w:pPr>
        <w:spacing w:after="0" w:line="19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board of directors will also be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will also prohibit:</w:t>
      </w:r>
    </w:p>
    <w:p>
      <w:pPr>
        <w:spacing w:after="0" w:line="131" w:lineRule="exact"/>
        <w:rPr>
          <w:sz w:val="20"/>
          <w:szCs w:val="20"/>
          <w:color w:val="auto"/>
        </w:rPr>
      </w:pPr>
    </w:p>
    <w:p>
      <w:pPr>
        <w:ind w:left="900" w:right="1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from transferring shares of our stock if the transfer would result in shares of our stock being beneficially owned by fewer than 100 persons;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86"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from constructively owning shares of our stock to the extent such constructive ownership would cause any “eligible independent contractor” that operates a “qualified health care property” on behalf of a “taxable REIT subsidiary” of ours (as such terms are defined in Sections 856(d)(9)(A), 856(e)(6)(D)(i) and 856(l) of the Code, respectively) to fail to qualify as such.</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Shares of our stock held in the trust will be issued and outstanding shares.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18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w:t>
      </w:r>
      <w:r>
        <w:rPr>
          <w:rFonts w:ascii="Arial" w:cs="Arial" w:eastAsia="Arial" w:hAnsi="Arial"/>
          <w:sz w:val="16"/>
          <w:szCs w:val="16"/>
          <w:i w:val="1"/>
          <w:iCs w:val="1"/>
          <w:color w:val="auto"/>
        </w:rPr>
        <w:t>e.g.</w:t>
      </w:r>
      <w:r>
        <w:rPr>
          <w:rFonts w:ascii="Arial" w:cs="Arial" w:eastAsia="Arial" w:hAnsi="Arial"/>
          <w:sz w:val="16"/>
          <w:szCs w:val="16"/>
          <w:color w:val="auto"/>
        </w:rPr>
        <w:t>,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paid to the trustee upon demand. The proposed transferee will have no rights in the shares held by the trustee.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certificates representing shares of our stock will bear a legend referring to the restrictions on transfer and ownership described above.</w:t>
      </w:r>
    </w:p>
    <w:p>
      <w:pPr>
        <w:spacing w:after="0" w:line="23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shareholder of record) who holds shares of our stock for a beneficial owner or constructive owner will be required to, on request, disclose to us in writing such information as we may request in order to determine the effect, if any, of the shareholder’s beneficial and constructive ownership of our stock on our status as a REIT and to comply, or determine our compliance with, the requirements of any governmental or taxing authority.</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Charter and Bylaws and Approval of Extraordinary Actions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shareholders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will provide that the affirmative vote of at least a majority of the votes entitled to be cast on the matter will be required to approve all charter amendments or extraordinary actions. However, Maryland law permits a Maryland corporation to transfer all or substantially all of its assets without the approval of the shareholders of the corporation to one or more persons if all of the equity interests of the person or persons are owned, directly or indirectly, by the corporation.</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charter will require the affirmative vote of the holders of at least two-thirds in voting power of our outstanding stock to amend the provisions of the charter relating to the restrictions on transfer and ownership of our stock, amendment of our bylaws, shareholder action and the inability of shareholders to act by written consent, and the amendment of the foregoing provisions of our charter.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will have the exclusive power to adopt, alter or repeal any provision of CS&amp;L’s bylaws and to adopt new bylaws.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person who beneficially owns, directly or indirectly, 10% or more of the voting power of the corporation’s outstanding voting stock; or</w:t>
      </w:r>
    </w:p>
    <w:p>
      <w:pPr>
        <w:spacing w:after="0" w:line="142"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Our board of directors has not opted out of the business combination provisions of the MGCL and, consequently, the five-year prohibition and the supermajority vote requirements will apply to business combinations between us and any interested stockholder of ours.</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will be subject to the business combination provisions described above. However, our board of directors may elect to opt out of the business combination provisions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Maryland law provides that issued and outstanding shares of a Maryland corporation acquired in a control share acquisition have no voting rights except to the extent approved by a vote of two-thirds of the votes entitled to be cast on the matter. Shares owned by the acquiror, by officers or by employees who are directors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5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more than 50%.</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Control shares do not include shares the acquiror is then entitled to vote as a result of having previously obtained shareholder approval. A control share acquisition means the acquisition of control shares, subject to certain exceptions.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shareholder meeting.</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bylaws will contain a provision that will exempt from the control share acquisition statute any and all acquisitions by any person of shares of our stock. There can be no assurance that this provision will not be amended or eliminated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87"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shareholders.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our charter nor our bylaws will contain an election to be subject to the provisions of Subtitle 8. Our board of directors may, however, elect for CS&amp;L to be governed by Subtitle 8 at a later date by a resolution of the board of directors or an amendment to the bylaws without the necessity of a shareholder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the Shareholders; Shareholder Action by Written Consent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will provide that special meetings of the shareholders may be called at any time by our board of directors or upon the written request of the holders of not less than fifty percent of all votes entitled to be cast at the meeting. Our charter will prohibit shareholders from taking any action by written consent in lieu of a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Outside the Ordinary Course of Business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Our charter will provide that these actions must be approved by a majority of all of the votes entitled to be cast on the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 and New Business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bylaws will provide that, at any annual meeting of shareholders, nominations of individuals for election to the board of directors and proposals of business to be considered by shareholders may be made only (1) pursuant to our notice of the meeting, (2) by or at the direction of the board of directors or</w:t>
      </w:r>
    </w:p>
    <w:p>
      <w:pPr>
        <w:jc w:val="both"/>
        <w:ind w:right="60" w:firstLine="8"/>
        <w:spacing w:after="0" w:line="254"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a shareholder who was a shareholder of record at the time of provision of notice and at the time of the meeting, is entitled to vote at the meeting in the election of directors or on such other proposed business and who has complied with the advance notice procedures of our bylaws. The shareholder generally must provide notice to the secretary not less than 120 days nor more than 150 days prior to the first anniversary of the date of preceding year’s annual meeting.</w:t>
      </w:r>
    </w:p>
    <w:p>
      <w:pPr>
        <w:spacing w:after="0" w:line="1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Only the business specified in our notice of meeting may be brought before any special meeting of shareholders. Our bylaws will provide that nominations of individuals for election to our board of directors at a meeting of shareholders may be made only (1) by or at the direction of its board of directors or (2) by any shareholder of record at the time of provision of the notice and at the time of the meeting, who is entitled to vote at the meeting in the election of each individual so nominated and who has complied with the advance notice provisions set forth in our bylaws. Such shareholder will be entitled to nominate one or more individuals, as the case may be, for election as a director if the shareholder’s notice, containing the information required by our bylaws, is delivered to the secretary (i) in the case of an annual meeting, not less than 120 days nor more than 150 days prior to the anniversary of our preceding year’s annual meeting; provided that in the case of the first annual meeting or if the date of the annual meeting is changed by more than 30 days from such anniversary date, notice must be received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or (ii) in the case of a special meeting, not earlier than 120 days prior to such special meeting and not later than the later of 90 days prior to such special meeting and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to be elected at such meeting.</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purpose of requiring shareholders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shareholders and make recommendations regarding the nominations or other proposals. The advance notice procedures will also permit a more orderly procedure for conducting shareholder meetings.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Maryland Law and of Our Charter and Bylaws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 the prior consent of our board of directors. The business combination statute may discourage others from trying to acquire more than 15% of our stock without the advance approval of our board of directors, and may substantially delay or increase the difficulty of consummating any transaction with or change in control of us. Because our board of directors will be able to approve exceptions to the ownership limits and exempt transactions from the business combination statute, the ownership limits and the business combination statute will not interfere with a merger or other business combination approved by our board of directors.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provisions described above, along with other provisions of the MGCL and our charter and bylaws discussed above, including provisions relating to the removal of directors and the filling of vacancies, the supermajority vote that will be required to amend certain provisions of our charter, the advance notice provisions and the procedures that shareholders will be required to follow to request a special meeting, alone or in combination, could have the effect of delaying, deferring or preventing a proxy contest, tender offer, merger or other change in control of us that might involve a premium price for shares of our common shareholders or otherwise be in the best interest of our shareholders, and could increase the difficulty of consummating any offer.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bylaws will designate the Circuit Court for Baltimore City, Maryland (and, in some circumstances, other federal and state courts in Maryland) as the exclusive forum for resolving:</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CS&amp;L;</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for breach of fiduciary duty owed by any director, officer, shareholder, employee or agent of CS&amp;L to CS&amp;L or its shareholders;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arising out of or relating to any provision of the MGCL, our charter or our bylaws; or</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governed by the internal affairs doctrine of the State of Maryland.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820" w:val="left"/>
        </w:tabs>
        <w:rPr>
          <w:sz w:val="20"/>
          <w:szCs w:val="20"/>
          <w:color w:val="auto"/>
        </w:rPr>
      </w:pPr>
      <w:r>
        <w:rPr>
          <w:rFonts w:ascii="Arial" w:cs="Arial" w:eastAsia="Arial" w:hAnsi="Arial"/>
          <w:sz w:val="18"/>
          <w:szCs w:val="18"/>
          <w:color w:val="auto"/>
        </w:rPr>
        <w:t>After the Spin-Off, the registrar and transfer agent for our common stock will be</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list our common stock on NASDAQ under the symbol “CSAL.”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Maryland law permits a Maryland corporation to include in its charter a provision that limits the liability of its directors and officers to the corporation and its shareholders for money damages, except for liability resulting from (1) actual receipt of an improper benefit or profit in money, property or services or</w:t>
      </w:r>
    </w:p>
    <w:p>
      <w:pPr>
        <w:ind w:right="180" w:firstLine="8"/>
        <w:spacing w:after="0" w:line="323"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active or deliberate dishonesty that is established by a final judgment and that is material to the cause of action. Our charter will contain a provision that will limit, to the maximum extent permitted by Maryland law, the liability of our directors and officers to us and our shareholders for money damages.</w:t>
      </w:r>
    </w:p>
    <w:p>
      <w:pPr>
        <w:spacing w:after="0" w:line="13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Maryland law requires a Maryland corporation (unless otherwise provided in its charter, which our charter will not) to indemnify a director or officer who has been successful, on the merits or otherwise, in the defense of any proceeding to which he or she is made or threatened to be made a party by reason of his or her service in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87" w:lineRule="exact"/>
        <w:rPr>
          <w:sz w:val="20"/>
          <w:szCs w:val="20"/>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Maryland law permits a Maryland corporation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8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charter will require,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93"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respect to our obligations to provide indemnification to directors and officers for liability arising under the Securities Act, we have been informed that, in the opinion of the SEC, this indemnification is against public policy as expressed in the Securities Act and it therefore unenforceable.</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enter into indemnification agreements with each of our executive officers and directors providing for the indemnification of, and advancement of expenses to, each such person in connection with claims, suits or proceedings arising as a result of such person’s service as an officer or director of ours. We also will maintain insurance on behalf of our directors and officers, insuring them against liabilities that they may incur in such capacities or arising from this status.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following is a summary of the U.S. federal income tax consequences of an investment in our common stock. For purposes of this section, references to “CS&amp;L,” “we,” “our” and “us” generally mean only Communications Sales &amp; Leasing, Inc. and not its subsidiaries or other lower-tier entities, except as otherwise indicated. This summary is based on the Code, the regulations promulgated by the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other U.S. federal tax consequences (e.g., estate or gift tax), state, local or non-U.S. tax consequences relevant to us or an investment in our common stock, and it does not purport to discuss all aspects of U.S. federal income taxation that may be important to a particular investor in light of its investment or tax circumstances or to investors subject to special tax rules, such as:</w:t>
      </w:r>
    </w:p>
    <w:p>
      <w:pPr>
        <w:spacing w:after="0" w:line="83"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partnerships, other pass-through entities and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who hold our stock on behalf of other persons as nominees;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who receive our stock as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holding our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who are subject to alternative minimum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property held for investment.</w:t>
      </w:r>
    </w:p>
    <w:p>
      <w:pPr>
        <w:spacing w:after="0" w:line="2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shareholder of holding our common stock will depend on the shareholder’s particular tax circumstances. You are urged to consult with your tax advisor as to the U.S. federal, state, local, and foreign income and other tax consequences to you in light of your particular investment or tax circumstances of acquiring, holding, exchanging, or otherwise disposing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CS&amp;L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Following the Spin-Off, we intend to elect to be taxed as a REIT for U.S. federal income tax purposes commencing with our taxable year ending December 31, 2015. We believe that we will be organized, and we expect and intend to operate, in such a manner as to qualify for taxation as a REIT under the applicable provisions of the Code. We expect that we will receive an opinion of Skadden, Arps, Slate, Meagher &amp; Flom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LLP, tax counsel to Windstream (“Tax Counsel”), with respect to our qualification to be taxed as a REIT in connection with the Spin-Off. Investors should be aware, however, that opinions of counsel are not binding on the IRS or any court. The Tax Opinion represents only the view of Tax Counsel, based on its review and analysis of existing law and on certain representations as to factual matters and covenants made by Windstream and us, including representations relating to the values of our assets and the sources of our income. The opinion will be expressed as of the date issued. Tax Counsel will have no obligation to advise Windstream, us or the holders of our common stock of any subsequent change in the matters stated, represented or assumed or of any subsequent change in applicable law. Furthermore, both the validity of the Tax Opinion and our qualification as a REIT will depend on our satisfaction of certain asset, income, organizational, distribution, shareholder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IRS Ruling addresses certain issues relevant to our qualification as a REIT, including the character of our assets and income. Although we may generally rely upon the IRS Ruling, no assurance can be given that the IRS will not challenge our qualification as a REIT on the basis of other issues or facts outside the scope of the IRS Ruling.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REITS IN 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indicated above, our qualification and taxation as a REIT depend upon our ability to meet, on a continuing basis, various qualification requirements imposed upon REITs by the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Provided that we qualify as a REIT, generally we will be entitled to a deduction for dividends that we pay and therefore will not be subject to U.S. federal corporate income tax on our net REIT taxable income that is currently distributed to our shareholders. This treatment substantially eliminates double taxation at the corporate and shareholder levels that generally results from an investment in a corporation. In general, the income that we generate is taxed only at the shareholder level upon a distribution of dividends to our shareholders.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Most U.S. shareholders that are individuals, trusts or estates are taxed on corporate dividends at a maximum U.S. federal income tax rate of 20% (the same as long-term capital gains). With limited exceptions, however, dividends from us or from other entities that are taxed as REITs are generally not eligible for this rate and are taxed at rates applicable to ordinary income. The highest marginal noncorporate U.S. federal income tax rate applicable to ordinary income is 39.6%. See “—Taxation of Shareholders—Taxation of Taxable U.S. Shareholders—Distributions.”</w:t>
      </w:r>
    </w:p>
    <w:p>
      <w:pPr>
        <w:spacing w:after="0" w:line="17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shareholders, subject to special rules for certain items such as the capital gains that we recognize. See “—Taxation of Shareholders—Taxation of Taxable U.S. Shareholders—Distributions.”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qualify as a REIT, we will nonetheless be subject to U.S. federal tax in the following circumstances:</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our items of tax preference, including any deductions of net operating losses.</w:t>
      </w:r>
    </w:p>
    <w:p>
      <w:pPr>
        <w:spacing w:after="0" w:line="142"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foreclosure property, such income will be subject to a 100% tax. See “—Prohibited Transactions” and “—Foreclosure Property.”</w:t>
      </w:r>
    </w:p>
    <w:p>
      <w:pPr>
        <w:spacing w:after="0" w:line="131" w:lineRule="exact"/>
        <w:rPr>
          <w:sz w:val="20"/>
          <w:szCs w:val="20"/>
          <w:color w:val="auto"/>
        </w:rPr>
      </w:pPr>
    </w:p>
    <w:p>
      <w:pPr>
        <w:ind w:left="900" w:right="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92"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discussed below, but nonetheless maintain our qualification to be taxed as a REIT because we satisfy other requirements, we will be subject to a 100% tax on an amount based on the magnitude of the failure, as adjusted to reflect the profit margin associated with our gross income.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we violate the asset tests (other than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violations) or other requirements applicable to REITs, as described below, and yet maintain our qualification to be taxed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35%) if that amount exceeds $50,000 per failure.</w:t>
      </w:r>
    </w:p>
    <w:p>
      <w:pPr>
        <w:spacing w:after="0" w:line="77"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92"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Qualification—General.”</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recognize gain on the disposition of any asset held by us on the day after the effective date of the Spin-Off (when our REIT election is expected to become effective) during a specified period (generally, ten years) thereafter, then we will owe tax at the highest corporate tax rate on the lesser of (1) the excess of the fair market value of the asset on the effective date of our election to be taxed as a REIT over its basis in the asset at such time, and (2) the gain recognized upon the disposition of such asset.</w:t>
      </w:r>
    </w:p>
    <w:p>
      <w:pPr>
        <w:spacing w:after="0" w:line="92" w:lineRule="exact"/>
        <w:rPr>
          <w:rFonts w:ascii="Arial" w:cs="Arial" w:eastAsia="Arial" w:hAnsi="Arial"/>
          <w:sz w:val="18"/>
          <w:szCs w:val="18"/>
          <w:color w:val="auto"/>
        </w:rPr>
      </w:pPr>
    </w:p>
    <w:p>
      <w:pPr>
        <w:ind w:left="900" w:right="280" w:hanging="446"/>
        <w:spacing w:after="0" w:line="25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after the effective date of our REIT election, we acquire appreciated assets from a corporation that is not a REIT (</w:t>
      </w:r>
      <w:r>
        <w:rPr>
          <w:rFonts w:ascii="Arial" w:cs="Arial" w:eastAsia="Arial" w:hAnsi="Arial"/>
          <w:sz w:val="18"/>
          <w:szCs w:val="18"/>
          <w:i w:val="1"/>
          <w:iCs w:val="1"/>
          <w:color w:val="auto"/>
        </w:rPr>
        <w:t>i.e.</w:t>
      </w:r>
      <w:r>
        <w:rPr>
          <w:rFonts w:ascii="Arial" w:cs="Arial" w:eastAsia="Arial" w:hAnsi="Arial"/>
          <w:sz w:val="18"/>
          <w:szCs w:val="18"/>
          <w:color w:val="auto"/>
        </w:rPr>
        <w:t>,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earnings of our TRSs will generally be subject to U.S. federal corporate income tax.</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3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taxed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twelve months, or during a proportionate part of a shorter taxable year. Conditions (5) and (6) need not be met during a corporation’s initial tax year as a REIT (which, in our case, is expected to be 2015). Our charter will provide restrictions regarding the ownership and transfers of shares of our stock, which are intended to assist us in satisfying the stock ownership requirements described in conditions (5) and (6) above, among other purposes. These restrictions, however, may not ensure that we will, in all cases, be able to satisfy the share ownership requirements described in conditions (5) and</w:t>
      </w:r>
    </w:p>
    <w:p>
      <w:pPr>
        <w:spacing w:after="0" w:line="2" w:lineRule="exact"/>
        <w:rPr>
          <w:sz w:val="20"/>
          <w:szCs w:val="20"/>
          <w:color w:val="auto"/>
        </w:rPr>
      </w:pPr>
    </w:p>
    <w:p>
      <w:pPr>
        <w:jc w:val="both"/>
        <w:ind w:right="160" w:firstLine="8"/>
        <w:spacing w:after="0" w:line="254"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above. If we fail to satisfy these share ownership requirements,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w:t>
      </w:r>
      <w:r>
        <w:rPr>
          <w:rFonts w:ascii="Arial" w:cs="Arial" w:eastAsia="Arial" w:hAnsi="Arial"/>
          <w:sz w:val="16"/>
          <w:szCs w:val="16"/>
          <w:i w:val="1"/>
          <w:iCs w:val="1"/>
          <w:color w:val="auto"/>
        </w:rPr>
        <w:t>i.e.</w:t>
      </w:r>
      <w:r>
        <w:rPr>
          <w:rFonts w:ascii="Arial" w:cs="Arial" w:eastAsia="Arial" w:hAnsi="Arial"/>
          <w:sz w:val="16"/>
          <w:szCs w:val="16"/>
          <w:color w:val="auto"/>
        </w:rPr>
        <w:t>,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such record holder fails or refuses to comply with the demands, such record holder will be required by Treasury regulations to submit a statement with such record holder’s tax return disclosing such record holder’s actual ownership of our stock and other information.</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a corporation generally may not elect to be taxed as a REIT unless its taxable year is the calendar year. We intend to adopt December 31 as our year-end, and thereby satisfy this requirement.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Subsidiary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Disregarded Subsidiaries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 owned by a REIT. Other entities that are wholly owned by us, including single member limited liability companies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 Income Tests.”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REIT Subsidiaries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general, we may jointly elect with a subsidiary corporation, whether or not wholly owned, to treat such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subsidiary corporation generally is subject to corporate income tax on its earnings, which may reduce the cash flow that we and our subsidiaries generate in the aggregate, and may reduce our ability to make distributions to our shareholders.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not treated as holding the assets of a TRS or other taxable subsidiary corporation or as receiving any income that the subsidiary earns. Rather, the stock issued by a taxable subsidiary corporation to us is an asset in our hands, and we treat the dividends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We intend that all of our transactions with our TRSs, if any, will be conducted on an arm’s-length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Partnership Interests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we are a partner in an entity that is treated as a partnership for U.S. federal income tax purposes, Treasury regulations provide that we are deemed to own our 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under “—Income Tests—Failure to Satisfy the Gross Income Tests” and “—Asset Tests.”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Tests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Rents we receive from a tenant will qualify as “rents from real property” for the purpose of satisfying the gross income requirements for a REIT described above only if all of the conditions described below are met.</w:t>
      </w:r>
    </w:p>
    <w:p>
      <w:pPr>
        <w:spacing w:after="0" w:line="76" w:lineRule="exact"/>
        <w:rPr>
          <w:sz w:val="20"/>
          <w:szCs w:val="20"/>
          <w:color w:val="auto"/>
        </w:rPr>
      </w:pPr>
    </w:p>
    <w:p>
      <w:pPr>
        <w:ind w:left="900" w:right="5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rent is not based in whole or in part on the income or profits of any person. However, an amount we receive or accrue will generally not be excluded from the term “rents from real property” solely because it is based on a fixed-percentage or percentages of gross receipts or sales;</w:t>
      </w:r>
    </w:p>
    <w:p>
      <w:pPr>
        <w:spacing w:after="0" w:line="86"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Neither we nor a beneficial or constructive owner of 10% or more of our stock beneficially or constructively owns 10% or more of the interests in the assets or net profits of a noncorporate tenant, or, if the tenant is a corporation (but excluding any TRS), 10% or more of the total combined voting power of all classes of stock entitled to vote or 10% or more of the total value of all classes of stock of the tenant. 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TRS” is modified and such modification results in an increase in the rents payable by such TRS, any such increase will not qualify as “rents from real property.” For purposes of this rule, a “controlled TRS” is a TRS in which the parent REIT owns stock possessing more than 50% of the voting power or more than 50% of the total value of the outstanding stock of such TRS;</w:t>
      </w:r>
    </w:p>
    <w:p>
      <w:pPr>
        <w:spacing w:after="0" w:line="88" w:lineRule="exact"/>
        <w:rPr>
          <w:rFonts w:ascii="Arial" w:cs="Arial" w:eastAsia="Arial" w:hAnsi="Arial"/>
          <w:sz w:val="17"/>
          <w:szCs w:val="17"/>
          <w:color w:val="auto"/>
        </w:rPr>
      </w:pPr>
    </w:p>
    <w:p>
      <w:pPr>
        <w:ind w:left="900" w:right="2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w:t>
      </w:r>
    </w:p>
    <w:p>
      <w:pPr>
        <w:spacing w:after="0" w:line="86"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We generally do not operate or manage the property or furnish or render services to our tenants, subject to a 1%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except as provided below. We are permitted, however, to perform directly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6" w:lineRule="auto"/>
        <w:rPr>
          <w:sz w:val="20"/>
          <w:szCs w:val="20"/>
          <w:color w:val="auto"/>
        </w:rPr>
      </w:pPr>
      <w:r>
        <w:rPr>
          <w:rFonts w:ascii="Arial" w:cs="Arial" w:eastAsia="Arial" w:hAnsi="Arial"/>
          <w:sz w:val="17"/>
          <w:szCs w:val="17"/>
          <w:color w:val="auto"/>
        </w:rPr>
        <w:t>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revenues, or a TRS, which may be wholly or partially owned by us, to provide non-customary services to our tenants without causing the rent that we receive from those tenants to fail to qualify as “rents from real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For these purposes, the term “interest” generally does not include any amount received or accrued, directly or indirectly, if the determination of all or some of the amount depends in any way on the income or profits of any person. However, an amount received or accrued will generally not be excluded from the term “interest” solely by reason of being based on a fixed percentage or percentages of gross receipts or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fee income that we earn will generally not be qualifying income for purposes of either gross income test. Any fees earned by a TRS, however, will not be included for purposes of our gross income tests.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below under “—Asset Tests”), and the instrument is properly identified as a hedge along with the risk that it hedges within prescribed time periods. Most likely, income and gain from all other hedging transactions will not be qualifying income for either the 95% or 75% gross income test.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the Gross Income Tests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both of the 75% or 95% gross income tests for any taxable year, including as a result of rents received by us from Windstream failing to qualify as “rents from real property,” we may still qualify as a REIT for such year if we are entitled to relief under applicable provisions of the Code. These relief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which have not yet been issued. It is not possible to state whether we would be entitled to the benefit of these relief provisions in all circumstances. If these relief provisions are inapplicable to a particular set of circumstances, we will not qualify as a REIT. Even if these relief provisions apply, and we retain our status as a REIT, the Code imposes a tax based upon the amount by which we fail to satisfy the particular gross income test.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Tests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the close of each calendar quarter, we must also satisfy four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corporations that qualify as REITs, as well as some kinds of mortgage-backed securities and mortgage loans. Assets that do not qualify for purposes of the 75% asset test are subject to the additional asset tests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w:t>
      </w:r>
    </w:p>
    <w:p>
      <w:pPr>
        <w:spacing w:after="0" w:line="173"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another REIT may not so qualify (although such debt will not be treated as “securities” for purposes of the 10% asset test, as explained below).</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securities will not cause a violation of the 10% asset test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(1) any loan made to an individual or an estate, (2) 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10% asset test, a debt security issued by a partnership is not taken into account to the extent, if any, of the REIT’s proportionate interest in the equity and certain debt securities issued by that partnership.</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(a) we satisfied the asset tests at the close of the preceding calendar quarter and (b) the discrepancy between the value of our assets and the asset requirements was not wholly or partly caused by an acquisition of non-qualifying assets, but instead arose from changes in the relative market values of our assets. If the condition described in (b) were not satisfied, we still could avoid disqualification by eliminating any discrepancy within 30 days after the close of the calendar quarter in which it arose or by making use of the relief provisions described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right="120" w:firstLine="8"/>
        <w:spacing w:after="0" w:line="255"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that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Distribution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shareholders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all outstanding shares of stock within a particular class and (ii) in accordance with any preferences among different classes of stock as set forth in our organizational documents.</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(1) the amounts of capital gain dividends that we designated and that they include in their taxable income, minus (2) the tax that we paid on their behalf with respect to that income.</w:t>
      </w:r>
    </w:p>
    <w:p>
      <w:pPr>
        <w:spacing w:after="0" w:line="19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tax treatment to our shareholders of any distributions that are actually made. See “—Taxation of Shareholders—Taxation of Taxable U.S. Shareholders—Distributions.”</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will generally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 Alternatively, we may declare a taxable dividend payable in cash or stock at the election of each shareholder, where the aggregate amount of cash to be distributed in such dividend is subject to limitation. In such case, for U.S. federal income tax purposes, taxable shareholders receiving such dividends will be required to include the full amount of the dividend as ordinary income to the extent of our current and accumulated earnings and profits.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the 90% distribution requirement and excise tax described above, any dividend that we declare in October, November or December of any year and that is payable to a shareholder of record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specified date in any such month will be treated as both paid by us and received by the shareholder on December 31 of such year, provided that we actually pay the dividend before January 31 of the following calendar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and Profits Distribution Requirement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connection with the Spin-Off, Windstream will allocate its earnings and profits (as determined for U.S. federal income tax purposes) for periods prior to the consummation of the Spin-Off between Windstream and us in accordance with provisions of the Code. A REIT is not permitted to have accumulated earnings and profits attributable to non-REIT years. A REIT has until the close of its first taxable year in which it has non-REIT earnings and profits to distribute all such earnings and profits.</w:t>
      </w:r>
    </w:p>
    <w:p>
      <w:pPr>
        <w:spacing w:after="0" w:line="18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CS&amp;L currently does not expect that it will have any such accumulated earnings and profits and, accordingly, does not expect that it will be required to make the Purging Distribution. If, contrary to expectations, we are required to make the Purging Distribution, we would pay the Purging Distribution(s) by declaring a dividend to our shareholders to distribute our accumulated earnings and profits attributable to any non-REIT years, including any earnings and profits allocated to us by Windstream in connection with the Spin-Off. We expect that we would pay the Purging Distribution(s) in a combination of cash (in an amount not to exceed 20% of the Purging Distribution) and our stock. Windstream has received the IRS Ruling, which addresses, in addition to the treatment of the Spin-Off and certain REIT qualification issues, certain tax issues relevant to our payment of the Purging Distribution in a combination of cash and our stock. In general, the IRS Ruling provides, subject to the terms and conditions contained therein, that (1) any and all of the cash and stock distributed by us to our shareholders as part of the Purging Distribution would be treated as a distribution of property with respect to our stock, and as a dividend to the extent of our current and accumulated earnings and profits (as determined for U.S. federal income tax purposes) and (2) the amount of any distribution of stock received by any of our shareholders as part of the Purging Distribution would be considered to equal the amount of the money which could have been received instead. A holder of our common stock would be required to report dividend income as a result of the Purging Distribution even if such shareholder receives no cash or only nominal amounts of cash in the distribution. See “—Taxation of Shareholders—Taxation of Taxable U.S. Shareholders—Distributions.”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as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Like-Kind Exchanges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dispose of properties in transactions intended to qualify as like-kind exchanges under the Code. Such like-kind exchanges are intended to result in the deferral of gain for U.S.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Transactions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may enter into hedging transactions, including with respect to foreign currency exchange rate and interest rate exposure on one or more of our assets or liabilities. Any such hedging transactions could take a variety of forms, including the use of derivative instruments such as swap contracts, cap or floor contracts, futures or forward contracts and options. Except to the extent provided by Treasury regulations, any income from a hedging transaction we enter into (1) in the normal course of our business primarily to manage risk of interest rate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including gain from the sale or disposition of a position in such a transaction and (2) primarily to manage risk of currency fluctuations with respect to any item of income or gain that would be qualifying income under the 75% or 95% income tests,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any hedging transactions in a manner that does not jeopardize our qualification to be taxed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Property</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generally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Penalty Tax</w:t>
      </w:r>
    </w:p>
    <w:p>
      <w:pPr>
        <w:spacing w:after="0" w:line="121"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Any redetermined rents, redetermined deductions or excess interest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the future, a TRS may provide services to our tenants. We would set the fees paid to a TRS for such services at arm’s-length rates, although the fees paid may not satisfy the safe-harbor provisions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will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will be taxable as regular corporate dividends. Such dividends paid to U.S. shareholders that are individuals, trusts and estates may be taxable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In addition, subject to the limitations of the Code, corporate distributees may be eligible for the dividends received deduction. Unless we are entitled to relief under specific statutory provisions, we will also be disqualified from re-electing to be taxed as a REIT for the four taxable years following the year during which we lose our qualification. It is not possible to state whether, in all circumstances, we will be entitled to this statutory relief.</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certain U.S. federal income tax consequences of the ownership and disposition of our stock applicable to taxable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 “U.S. shareholder” is any holder of our common stock that is, for U.S. federal income tax purposes:</w:t>
      </w:r>
    </w:p>
    <w:p>
      <w:pPr>
        <w:spacing w:after="0" w:line="11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such trust and one or more U.S. fiduciaries have the authority to control all substantial decisions of the trust.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are urged to consult their tax advisors about the U.S. federal income tax consequences of the acquisition, ownership and disposition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such time as we qualify as a REIT, the distributions that we make to our taxable U.S. shareholders out of current or accumulated earnings and profits (as determined for U.S. federal income tax purposes) that we do not designate as capital gain dividends will generally be taken into account by such shareholders as ordinary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income and will not be eligible for the dividends received deduction for corporations. With limited exceptions, our dividends are not eligible for taxation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received by most U.S. shareholders that are individuals, trusts or estates from taxable corporations. Such shareholders, however, are taxed at the preferential rates on dividends designated by and received from REITs to the extent that the dividends are attributable to:</w:t>
      </w:r>
    </w:p>
    <w:p>
      <w:pPr>
        <w:spacing w:after="0" w:line="92" w:lineRule="exact"/>
        <w:rPr>
          <w:sz w:val="20"/>
          <w:szCs w:val="20"/>
          <w:color w:val="auto"/>
        </w:rPr>
      </w:pPr>
    </w:p>
    <w:p>
      <w:pPr>
        <w:ind w:left="900" w:right="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retained by the REIT in the prior taxable year on which the REIT was subject to corporate level income tax (less the amount of tax)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Purging Distribution(s));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corporations;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in the prior taxable year from sales of “built-in gain” property acquired by the REIT from corporations in carryover basis transactions (less the amount of corporate tax on such income).</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CS&amp;L currently does not expect that it will be required to make the Purging Distribution. If, contrary to expectations, we are required to make the Purging Distribution, we expect that we would pay the Purging Distribution in a combination of cash (in an amount not to exceed 20% of the Purging Distribution) and our stock. Windstream has received the IRS Ruling, which addresses, in addition to the treatment of the Spin-Off, certain tax issues relevant to our payment of the Purging Distribution in a combination of cash and our stock. In general, the IRS Ruling provides, subject to the terms and conditions contained therein, that (1) a Purging Distribution would be treated as a dividend to the extent of our earnings and profits (as determined for U.S. federal income tax purposes) and (2) the amount of our stock received by any of our shareholders as part of a Purging Distribution would be considered to equal the amount of cash that could have been received instead. A taxable U.S. holder of our common stock would be required to report dividend income as a result of a Purging Distribution even if such shareholder received no cash or only nominal amounts of cash in the distribution. Similarly, if in the future we declare a taxable dividend payable in cash or stock at the election of each shareholder, where the aggregate amount of cash to be distributed in such dividend is subject to limitation, taxable shareholders receiving such dividends will be required to include the full amount of the dividend as ordinary income to the extent of our current and accumulated earnings and profits.</w:t>
      </w:r>
    </w:p>
    <w:p>
      <w:pPr>
        <w:spacing w:after="0" w:line="1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Distributions that we designate as capital gain dividends will generally be taxed to our U.S. shareholders as long-term capital gains, to the extent that such distributions do not exceed our actual net capital gain for the taxable year, without regard to the period for which the shareholder that receives such distribution has held its stock. We may elect to retain and pay taxes on some or all of our net long-term capital gains, in which case we may elect to apply provisions of the Code that treat our U.S. shareholders as having received, solely for tax purposes, our undistributed capital gains, and the shareholders as receiving a corresponding credit for taxes that we paid on such undistributed capital gains. See “—Taxation of REITs in General—Annual Distribution Requirements.” Corporate shareholders may be required to treat up to 20% of some capital gain dividends as ordinary income. Long-term capital gains are generally taxable at maximum U.S. federal rates of 20% in the case of U.S. shareholders that are individuals, trusts and estates, and 35% in the case of U.S. shareholders that are corporations. Capital gains attributable to the sale of depreciable real property held for more than twelve months are subject to a 25% maximum U.S. federal income tax rate for taxpayers who are taxed as individuals, to the extent of previously claimed depreciation deductions.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Distributions in excess of our current and accumulated earnings and profits (as determined for U.S. federal income tax purposes) will generally represent a return of capital and will not be taxable to a shareholder to the extent that the amount of such distributions does not exceed the adjusted basis of the shareholder’s shares in respect of which the distributions were made. Rather, the distribution will reduce the adjusted basis of the shareholder’s shares. To the extent that such distributions exceed the adjusted basis of a shareholder’s shares, the shareholder generally must include such distributions in income as long-term capital gain if the shares have been held for more than one year, or short-term capital gain if the shares have been held for one year or less. In addition, any dividend that we declare in October, November or December of any year and that is payable to a shareholder of record on a specified date in any such month will be treated as both paid by us and received by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shareholder on December 31 of such year, provided that we actually pay the dividend before January 31 of the following calendar year.</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REITs in General—Annual Distribution Requirements.” Such losses, however, are not passed through to shareholders and do not offset income of shareholders from other sources, nor would such losses affect the character of any distributions that we make, which are generally subject to tax in the hands of shareholders to the extent that we have current or accumulated earnings and profits.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a U.S. shareholder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shareholder’s adjusted tax basis in the shares of stock. In general, capital gains recognized by individuals, trusts or estates upon the sale or disposition of our stock will be subject to a maximum U.S. federal income tax rate of 20% if the stock is held for more than one year, and will be taxed at ordinary income rates (of up to</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39.6%) if the stock is held for one year or less. Gains recognized by shareholders that are corporations are subject to U.S. federal income tax at a maximum rate of 35%, whether or not such gains are classified as long-term capital gains. Capital losses recognized by a shareholder upon the disposition of our stock that was held for more than one year at the time of disposition will be considered long-term capital losses, and are generally available only to offset capital gain income of the shareholder but not ordinary income (except in the case of individuals, who may also offset up to $3,000 of ordinary income each year). In addition, any loss upon a sale or exchange of shares of our stock by a shareholder who has held the shares for six months or less, after applying holding period rules, will be treated as a long-term capital loss to the extent of actual or deemed distributions that we make that are required to be treated by the shareholder as long-term capital gain.</w:t>
      </w:r>
    </w:p>
    <w:p>
      <w:pPr>
        <w:spacing w:after="0" w:line="19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are urged to consult with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Activity Losses and Investment Interest Limitations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Distributions that we make and gains arising from the sale or exchange by a U.S. shareholder of our stock will not be treated as passive activity income. As a result, shareholders will not be able to apply any “passive losses” against income or gain relating to our stock. To the extent that distributions we make do not constitute a return of capital, they will be treated as investment income for purposes of computing the investment interest limitation.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certain U.S. federal income and estate tax consequences of the ownership and disposition of our stock applicable to non-U.S. shareholders. A “non-U.S. shareholder” is any holder of our common stock other than a partnership or U.S. shareholder.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Dividends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portion of dividends received by non-U.S. shareholders that (1) is payable out of our earnings and profits (including a Purging Distribution, if any),</w:t>
      </w:r>
    </w:p>
    <w:p>
      <w:pPr>
        <w:spacing w:after="0" w:line="46" w:lineRule="exact"/>
        <w:rPr>
          <w:sz w:val="20"/>
          <w:szCs w:val="20"/>
          <w:color w:val="auto"/>
        </w:rPr>
      </w:pPr>
    </w:p>
    <w:p>
      <w:pPr>
        <w:ind w:right="120" w:firstLine="8"/>
        <w:spacing w:after="0" w:line="261"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not attributable to capital gains that we recognize and (3) is not effectively connected with a U.S. trade or business of the non-U.S. shareholder, will be subject to U.S. withholding tax at the rate of 30%, unless reduced or eliminated by treaty.</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general, non-U.S. shareholders will not be considered to be engaged in a U.S. trade or business solely as a result of their ownership of our stock. In cases where the dividend income from a non-U.S. shareholder’s investment in our stock is, or is treated as, effectively connected with the non-U.S. shareholder’s conduct of a U.S. trade or business, the non-U.S. shareholder will generally be subject to U.S. federal income tax at graduated rates, in the same manner as U.S. shareholders are taxed with respect to such dividends. Such effectively connected income must generally be reported on a U.S. income tax return filed by or on behalf of the non-U.S. shareholder. The income may also be subject to a branch profits tax at the rate of 30% (unless reduced or eliminated by treaty) in the case of a non-U.S. shareholder that is a corporation.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Non-Dividend Distributions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Unless our stock constitutes a U.S. real property interest (“USRPI”), distributions that we make which are not dividends 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shareholder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(1) the shareholder’s proportionate share of our earnings and profits, plus (2) the shareholder’s basis in its stock, will be taxed under the Foreign Investment in Real Property Tax Act of 1980 (“FIRPTA”), at the rate of tax, including any applicable capital gains rates, that would apply to a U.S. shareholder of the same type (</w:t>
      </w:r>
      <w:r>
        <w:rPr>
          <w:rFonts w:ascii="Arial" w:cs="Arial" w:eastAsia="Arial" w:hAnsi="Arial"/>
          <w:sz w:val="17"/>
          <w:szCs w:val="17"/>
          <w:i w:val="1"/>
          <w:iCs w:val="1"/>
          <w:color w:val="auto"/>
        </w:rPr>
        <w:t>i.e.,</w:t>
      </w:r>
      <w:r>
        <w:rPr>
          <w:rFonts w:ascii="Arial" w:cs="Arial" w:eastAsia="Arial" w:hAnsi="Arial"/>
          <w:sz w:val="17"/>
          <w:szCs w:val="17"/>
          <w:color w:val="auto"/>
        </w:rPr>
        <w:t xml:space="preserve"> an individual or a corporation, as the case may be), and the collection of the tax will be enforced by a withholding at a rate of 10% of the amount by which the distribution exceeds the shareholder’s share of our earnings and profits.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 Dividends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FIRPTA, a distribution that we make to a non-U.S. shareholder, to the extent attributable to gains from dispositions of USRPIs that we held directly or through pass-through subsidiaries, or USRPI capital gains, will, except as described below, be considered effectively connected with a U.S. trade or business of the non-U.S. shareholder and will be subject to U.S. income tax at the rates applicable to U.S. individuals or corporations, without regard to whether we designate the distribution as a capital gain dividend. See “—Ordinary Dividends,” for a discussion of the consequences of income that is effectively connected with a U.S. trade or business. In addition, we will be required to withhold tax equal to 35% of the maximum amount that could have been designated as USRPI capital gain dividends. Distributions subject to FIRPTA may also be subject to a branch profits tax at the rate of 30% (unless reduced or eliminated by treaty) in the hands of a non-U.S. shareholder that is a corporation. A distribution is not attributable to USRPI capital gain if we held an interest in the underlying asset solely as a creditor. Capital gain dividends received by a non-U.S. shareholder that are attributable to dispositions of our assets other than USRPIs are not subject to U.S. federal income or withholding tax, unless (1) the gain is effectively connected with the non-U.S. shareholder’s U.S. trade or business, in which case the non-U.S. shareholder would be subject to the same treatment as U.S. shareholders with respect to such gain, except that a non-U.S. shareholder that is a corporation may also be subject to a branch profits tax at the rate of 30% (unless reduced or eliminated by treaty) or (2) the non-U.S. shareholder is a nonresident alien individual who was present in the United States for 183 days or more during the taxable year and has a “tax home” in the United States, in which case the non-U.S. shareholder will incur a 30% tax on his capital gains. We expect that a significant portion of our assets will be USRPIs.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capital gain dividend that would otherwise have been treated as a USRPI capital gain will not be so treated or be subject to FIRPTA, and will generally not be treated as income that is effectively connected with a U.S. trade or business, but instead will be treated in the same manner as an ordinary dividend (see “—Ordinary Dividends”), if (1) the capital gain dividend is received with respect to a class of stock that is regularly traded on an established securities market located in the United States and (2) the recipient non-U.S. shareholder does not own more than 5% of that class of stock at any time during the year ending on the date on which the capital gain dividend is received. We anticipate that our common stock will be “regularly traded” on an established securities exchange.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our stock constitutes a USRPI, a sale of our stock by a non-U.S. shareholder will generally not be subject to U.S. taxation under FIRPTA. Subject to certain exceptions discussed below, our stock will be treated as a USRPI if 50% or more of our assets throughout a prescribed testing period consist of interests in real property located within the United States, excluding, for this purpose, interests in real property solely in a capacity as a creditor. We expect that 50% or more of our assets will consist of USRPIs.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the foregoing 50% test is met, however, our stock will not constitute a USRPI if we are a domestically controlled REIT. A domestically controlled REIT is a REIT, less than 50% of value of which is held, directly or indirectly, by non-U.S. shareholders at all times during a specified testing period (generally the lesser of the five-year period ending on the date of the disposition of our shares or the period of our existence). As described above, our charter will contain restrictions designed to protect our status as a domestically controlled qualified REIT, and we believe that we will be and will remain, a domestically controlled REIT, and that a sale of our stock should not be subject to taxation under FIRPTA. However, no assurance can be given that we will be or will remain a domestically controlled REIT.</w:t>
      </w:r>
    </w:p>
    <w:p>
      <w:pPr>
        <w:spacing w:after="0" w:line="193"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In the event that we are not a domestically controlled REIT, but our stock is “regularly traded,” as defined by applicable Treasury regulations, on an established securities market, a non-U.S. shareholder’s sale of our common stock nonetheless also would not be subject to tax under FIRPTA as a sale of a USRPI, provided that the selling non-U.S. shareholder held 5% or less of our outstanding common stock at any time during a prescribed testing period. We expect that our common stock will be regularly traded on an established securities market.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gain on the sale of our stock were subject to taxation under FIRPTA, the non-U.S. shareholder would be required to file a U.S. federal income tax return and would be subject to the same treatment as a U.S. shareholder with respect to such gain, subject to applicable alternative minimum tax and a special alternative minimum tax in the case of nonresident alien individuals. Moreover, in order to enforce the collection of the tax, the purchaser of the stock could be required to withhold 10% of the purchase price and remit such amount to the IRS.</w:t>
      </w:r>
    </w:p>
    <w:p>
      <w:pPr>
        <w:spacing w:after="0" w:line="18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shareholder in two cases: (1) if the non-U.S. shareholder’s investment in our stock is effectively connected with a U.S. trade or business conducted by such non-U.S. shareholder, the non-U.S. shareholder will be subject to the same treatment as a U.S. shareholder with respect to such gain, except that a non-U.S. shareholder that is a corporation may also be subject to a branch profits tax at a rate of 30% (unless reduced or eliminated by treaty) or (2) if the non-U.S. shareholder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REIT, upon disposition of our stock (subject to the 5% exception applicable to “regularly traded” stock described above), a non-U.S. shareholder may be treated as having gain from the sale or exchange of a USRPI if the non-U.S. shareholder (a) disposes of our common stock within a 30-day period preceding the ex-dividend date of a distribution, any portion of which, but for the disposition, would have been treated as gain from the sale or exchange of a USRPI and (b) acquires, or enters into a contract or option to acquire, other shares of our common stock within 30 days after such ex-dividend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Non-U.S.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Shareholders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shareholder has not held our stock as “debt financed property” within the meaning of the Code (</w:t>
      </w:r>
      <w:r>
        <w:rPr>
          <w:rFonts w:ascii="Arial" w:cs="Arial" w:eastAsia="Arial" w:hAnsi="Arial"/>
          <w:sz w:val="16"/>
          <w:szCs w:val="16"/>
          <w:i w:val="1"/>
          <w:iCs w:val="1"/>
          <w:color w:val="auto"/>
        </w:rPr>
        <w:t>i.e.,</w:t>
      </w:r>
      <w:r>
        <w:rPr>
          <w:rFonts w:ascii="Arial" w:cs="Arial" w:eastAsia="Arial" w:hAnsi="Arial"/>
          <w:sz w:val="16"/>
          <w:szCs w:val="16"/>
          <w:color w:val="auto"/>
        </w:rPr>
        <w:t xml:space="preserve"> where the acquisition or holding of the property is financed through a borrowing by the tax-exempt shareholder) and (2) our stock is not otherwise used in an unrelated trade or business, distributions that we make and income from the sale of our stock generally should not give rise to UBTI to a tax-exempt shareholder.</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Tax-exempt shareholders that are social clubs, voluntary employee benefit associations, supplemental unemployment benefit trusts, and qualified group legal services plans exempt from U.S. federal income taxation under sections 501(c)(7), (c)(9), (c)(17) and (c)(20) of the Code are subject to different UBTI rules, which generally require such shareholders to characterize distributions that we make as UBTI.</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any dividends received from us as UBTI if we are a “pension-held REIT.” We will not be a pension-held REIT unless (1) we are required to “look through” one or more of our pension trust shareholders in order to satisfy the REIT “closely held” test and (2) either (a) one pension trust owns more than 25% of the value of our stock or (b) one or more pension trusts, each individually holding more than 10% of the value of our stock, collectively own more than 50% of the value of our stock. Certain restrictions on ownership and transfer of shares of our stock generally should prevent a tax-exempt entity from owning more than 10% of the value of our stock and generally should prevent us from becoming a pension-held REIT.</w:t>
      </w:r>
    </w:p>
    <w:p>
      <w:pPr>
        <w:spacing w:after="0" w:line="189"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Tax-exempt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review may result in statutory changes as well as revisions to regulations and interpretations. Changes to the U.S. federal tax laws and interpretations thereof could adversely affect an investment in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3.8% Tax on Investment Income</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Certain U.S. shareholders who are individuals, estates or trusts and whose income exceeds certain thresholds will be required to pay a 3.8% Medicare tax on dividends and certain other investment income, including capital gains from the sale or other disposition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Withholding at a rate of 30% generally will be required in certain circumstances on dividends in respect of, and, after December 31, 2016, gross proceeds from the sale or other disposition of, our common stock held by or through certain foreign financial institutions (including investment funds), unless such institution (i) enters into,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our common stock is held will affect the determination of whether such withholding is required. Similarly, in certain circumstances, dividends in respect of, and, after December 31, 2016, gross proceeds from the sale or other disposition of, our common stock held by an investor that is a non-financial non-U.S. entity that does not qualify under certain exemptions generally will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We will not pay any additional amounts to shareholders in respect of any amounts withheld. Prospective investors should consult their tax advisors regarding the possible implications of these rules on their investment in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and our subsidiaries and shareholders may be subject to state, local or foreign taxation in various jurisdictions including those in which we or they transact business, own property or reside. Our state, local or foreign tax treatment and that of our shareholders may not conform to the U.S. federal income tax treatment discussed above. Any foreign taxes that we incur do not pass through to shareholders as a credit against their U.S. federal income tax liability. Prospective investors are urged to consult their tax advisors regarding the application and effect of state, local and foreign income and other tax laws on an investment in our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filed a registration statement on Form 10 with the SEC, of which this information statement forms a part,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our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t>
      </w:r>
      <w:r>
        <w:rPr>
          <w:rFonts w:ascii="Arial" w:cs="Arial" w:eastAsia="Arial" w:hAnsi="Arial"/>
          <w:sz w:val="16"/>
          <w:szCs w:val="16"/>
          <w:i w:val="1"/>
          <w:iCs w:val="1"/>
          <w:color w:val="auto"/>
        </w:rPr>
        <w:t xml:space="preserve">www.sec.gov. </w:t>
      </w:r>
      <w:r>
        <w:rPr>
          <w:rFonts w:ascii="Arial" w:cs="Arial" w:eastAsia="Arial" w:hAnsi="Arial"/>
          <w:sz w:val="16"/>
          <w:szCs w:val="16"/>
          <w:color w:val="auto"/>
        </w:rPr>
        <w:t>Information contained on any website referenced in this information statement is not incorporated by reference in this information statement.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As a result of the Spin-Off,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t>
      </w:r>
      <w:r>
        <w:rPr>
          <w:rFonts w:ascii="Arial" w:cs="Arial" w:eastAsia="Arial" w:hAnsi="Arial"/>
          <w:sz w:val="18"/>
          <w:szCs w:val="18"/>
          <w:i w:val="1"/>
          <w:iCs w:val="1"/>
          <w:color w:val="auto"/>
        </w:rPr>
        <w:t>www.sec.gov.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2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Windstream Holdings is subject to the reporting requirements of the SEC and is required to file with the SEC annual, quarterly and special reports, proxy statements and other information. Windstream Holdings’ publicly available filings can be found on the SEC’s website at </w:t>
      </w:r>
      <w:r>
        <w:rPr>
          <w:rFonts w:ascii="Arial" w:cs="Arial" w:eastAsia="Arial" w:hAnsi="Arial"/>
          <w:sz w:val="16"/>
          <w:szCs w:val="16"/>
          <w:i w:val="1"/>
          <w:iCs w:val="1"/>
          <w:color w:val="auto"/>
        </w:rPr>
        <w:t>www.sec.gov.</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incorporate by reference in this information statement the following documents, which Windstream Holdings has filed or will file with the SEC; provided, however, that we are not incorporating by reference, in each case, any documents, portion of documents or information deemed to have been furnished and not filed in accordance with SEC rules:</w:t>
      </w:r>
    </w:p>
    <w:p>
      <w:pPr>
        <w:spacing w:after="0" w:line="8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Windstream Holdings’ annual report on Form 10-K for the year ended December 31,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Windstream Holdings’ quarterly reports on Form 10-Q for the quarterly periods ended March 31, 2014, June 30, 2014 and September 30, 2014.</w:t>
      </w:r>
    </w:p>
    <w:p>
      <w:pPr>
        <w:spacing w:after="0" w:line="24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documents incorporated by reference contain important information about Windstream Holdings and its financial condition and results of operations. You may obtain any of the documents incorporated by reference in this information statement from the SEC as provided above. You also may request a copy of any document incorporated by reference in this information statement (excluding any exhibits to those documents, unless the exhibit is specifically incorporated by reference in this document), at no cost, by writing or calling Windstream Holdings at the following address: Windstream Holdings, Inc., Investor Relations, 4001 Rodney Parham Road, Little Rock, Arkansas 72212, individual shareholders telephone (501) 748-7216, institutional shareholders telephone (501) 748-7216.</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HISTORICAL FINANCIAL STATEMENTS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78"/>
        </w:trPr>
        <w:tc>
          <w:tcPr>
            <w:tcW w:w="10780" w:type="dxa"/>
            <w:vAlign w:val="bottom"/>
            <w:gridSpan w:val="14"/>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CLEC Business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Statements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46">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Statements of Assets Contributed and Liabilities Assumed as of December 31, 2013 and 2012</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Statements of Revenues and Direct Expenses for the Years ended December 31, 2013 and 2012</w:t>
              </w:r>
            </w:hyperlink>
          </w:p>
        </w:tc>
        <w:tc>
          <w:tcPr>
            <w:tcW w:w="28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Notes to Financial Statements</w:t>
              </w:r>
            </w:hyperlink>
          </w:p>
        </w:tc>
        <w:tc>
          <w:tcPr>
            <w:tcW w:w="75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Statements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7900" w:type="dxa"/>
            <w:vAlign w:val="bottom"/>
            <w:tcBorders>
              <w:bottom w:val="single" w:sz="8" w:color="0000EE"/>
            </w:tcBorders>
            <w:gridSpan w:val="12"/>
          </w:tcPr>
          <w:p>
            <w:pPr>
              <w:spacing w:after="0" w:line="190"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Statements of Assets Contributed and Liabilities Assumed as of September 30, 2014 and December 31, 2013</w:t>
              </w:r>
            </w:hyperlink>
          </w:p>
        </w:tc>
        <w:tc>
          <w:tcPr>
            <w:tcW w:w="180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Statements of Revenues and Direct Expenses for the Nine Months Ended September 30, 2014 and 2013</w:t>
              </w:r>
            </w:hyperlink>
          </w:p>
        </w:tc>
        <w:tc>
          <w:tcPr>
            <w:tcW w:w="22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Notes to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Distribution Systems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Combined Balance Sheet as of December 31, 2013</w:t>
              </w:r>
            </w:hyperlink>
          </w:p>
        </w:tc>
        <w:tc>
          <w:tcPr>
            <w:tcW w:w="540" w:type="dxa"/>
            <w:vAlign w:val="bottom"/>
            <w:tcBorders>
              <w:top w:val="single" w:sz="8" w:color="0000EE"/>
            </w:tcBorders>
          </w:tcPr>
          <w:p>
            <w:pPr>
              <w:spacing w:after="0"/>
              <w:rPr>
                <w:sz w:val="17"/>
                <w:szCs w:val="17"/>
                <w:color w:val="auto"/>
              </w:rPr>
            </w:pPr>
          </w:p>
        </w:tc>
        <w:tc>
          <w:tcPr>
            <w:tcW w:w="548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Notes to Combined Balance Sheet</w:t>
              </w:r>
            </w:hyperlink>
          </w:p>
        </w:tc>
        <w:tc>
          <w:tcPr>
            <w:tcW w:w="722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Financial Statement Schedule:</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63">
              <w:r>
                <w:rPr>
                  <w:rFonts w:ascii="Arial" w:cs="Arial" w:eastAsia="Arial" w:hAnsi="Arial"/>
                  <w:sz w:val="18"/>
                  <w:szCs w:val="18"/>
                  <w:color w:val="0000EE"/>
                </w:rPr>
                <w:t>III—Schedule of Real Estate Assets and Accumulated Depreciation</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64">
              <w:r>
                <w:rPr>
                  <w:rFonts w:ascii="Arial" w:cs="Arial" w:eastAsia="Arial" w:hAnsi="Arial"/>
                  <w:sz w:val="18"/>
                  <w:szCs w:val="18"/>
                  <w:color w:val="0000EE"/>
                </w:rPr>
                <w:t>Combined Balance Sheets as of September 30, 2014 and December 31, 2013</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Notes to Combined Balance Sheets</w:t>
              </w:r>
            </w:hyperlink>
          </w:p>
        </w:tc>
        <w:tc>
          <w:tcPr>
            <w:tcW w:w="41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80" w:type="dxa"/>
            <w:vAlign w:val="bottom"/>
            <w:gridSpan w:val="7"/>
          </w:tcPr>
          <w:p>
            <w:pPr>
              <w:ind w:left="28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special purpose statements of assets contributed and liabilities assumed of the Competitive Local Exchange Carrier (“CLEC”) Business of Windstream Holdings, Inc. as of December 31, 2013 and 2012, and the related special purpose statements of revenues and direct expenses for the years then ended. These special purpose financial statements are the responsibility of the Company’s management. Our responsibility is to express an opinion on these special-purpose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special purpose financial statements are free of material misstatement. An audit includes examining, on a test basis, evidence supporting the amounts and disclosures in the special purpose financial statements. An audit also includes assessing the accounting principles used and significant estimates made by management, as well as evaluating the overall special purpose financial statement presentation. We believe that our audits provide a reasonable basis for our opinion.</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accompanying special purpose financial statements were prepared for the purpose of complying with the rules and regulations of the Securities and Exchange Commission for inclusion in the Form 10 of Communications Sales &amp; Leasing, Inc. as described in Note 2 and are not intended to be a complete presentation of CLEC’s assets or liabilities or revenues and expenses.</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our opinion, the special purpose financial statements referred to above present fairly, in all material respects, the assets contributed and liabilities assumed of the Competitive Local Exchange Carrier Business of Windstream Holdings, Inc. as of December 31, 2013 and 2012, and its revenues and direct expenses for the years then ended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$146 and $262)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19,038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29,444</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13,130</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12,222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600" w:type="dxa"/>
            <w:vAlign w:val="bottom"/>
          </w:tcPr>
          <w:p>
            <w:pPr>
              <w:jc w:val="right"/>
              <w:ind w:right="73"/>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32,362</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24,513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Statements of Assets Contributed and Liabilities Assumed as of December 31, 2013 and 2012 and the related Statements of Revenues and Direct Expenses for the years ended December 31, 2013 and 2012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The elements of the financial statements are stated in accordance with accounting principles generally accepted in the United States (“GAAP”). The assets to be contributed and liabilities assumed of the consumer CLEC business presented in the accompanying financial statements reflect Windstream’s historical carrying value of the assets and liabilities as of the financial statement date consistent with the accounting for spin-off transactions in accordance with GAAP.</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Statements of Assets Contributed and Liabilities Assumed include only certain assets and liabilities directly related to the consumer CLEC business that will be transferred pursuant to the Separation and Distribution Agreement, which will be executed between Communication Sales &amp; Leasing, Inc. and Windstream. Windstream will retain certain assets and liabilities of the consumer CLEC business consisting of the following: cash and cash equivalents, intercompany receivables and payables, certain trade accounts payable, liabilities related to employee benefit plans, and income taxes payable.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6.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consist of trade receivables from customers and are generally unsecured and due within 30 days. Expected credit losses related to trade accounts receivable are recorded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allowance for doubtful accounts in the accompanying Statements of Assets Contributed and Liabilities Assumed. In establishing the allowance for doubtful accounts,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$610 and $1,166 for the years ended December 31, 2013 and 2012, respectively. Concentration of credit risk with respect to accounts receivable is limited because a large number of geographically diverse customers make up the consumer CLEC customer base. Due to varying customer billing cycle cut-off, management must estimate service revenues earned but not yet billed at the end of each reporting period. Included in accounts receivable are unbilled receivables related to communications services and product sales of $111 and $200 at December 31, 2013 and 2012, respectively.</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are presented in the financial statements at cost less accumulated amortization and are amortized using the sum-of-the-digits method over their estimated useful lives.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—The operations of the consumer CLEC business have historically been included in Windstream’s federal and state income tax returns and all income tax liabilities have been paid by Windstream. Income tax information included in the financial statements is presented on a separate tax return basis. Management believes that the assumptions and estimates used to determine the tax amounts are reasonable. However, the financial statements herein may not necessarily reflect the income tax liabilities or future income tax payments if the consumer CLEC business had been operated as a stand-alone business during the periods presented.</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income taxes are recognized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financial statements of the consumer CLEC business are derived from the consolidated financial statements of Windstream, which issued its annual consolidated financial statements on February 27, 2014. Accordingly, management has evaluated transactions for consideration as recognized subsequent events in these financial statements through the date of February 27, 2014. In addition, management has evaluated transactions that occurred as of the issuance of these financial statements, October 24,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19,038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10,210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customer list intangible assets was $5,253 and $5,921 for the years ended December 31, 2013 and 2012,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6040" w:type="dxa"/>
            <w:vAlign w:val="bottom"/>
            <w:gridSpan w:val="4"/>
          </w:tcPr>
          <w:p>
            <w:pPr>
              <w:ind w:left="460"/>
              <w:spacing w:after="0"/>
              <w:rPr>
                <w:sz w:val="20"/>
                <w:szCs w:val="20"/>
                <w:color w:val="auto"/>
              </w:rPr>
            </w:pPr>
            <w:r>
              <w:rPr>
                <w:rFonts w:ascii="Arial" w:cs="Arial" w:eastAsia="Arial" w:hAnsi="Arial"/>
                <w:sz w:val="14"/>
                <w:szCs w:val="14"/>
                <w:color w:val="auto"/>
              </w:rPr>
              <w:t>Year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8"/>
          </w:tcPr>
          <w:p>
            <w:pPr>
              <w:jc w:val="right"/>
              <w:ind w:right="480"/>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72"/>
              </w:rPr>
              <w:t>2014</w:t>
            </w:r>
          </w:p>
        </w:tc>
        <w:tc>
          <w:tcPr>
            <w:tcW w:w="5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5. Deferred Income Taxes:</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5"/>
          </w:tcPr>
          <w:p>
            <w:pPr>
              <w:spacing w:after="0"/>
              <w:rPr>
                <w:sz w:val="20"/>
                <w:szCs w:val="20"/>
                <w:color w:val="auto"/>
              </w:rPr>
            </w:pPr>
            <w:r>
              <w:rPr>
                <w:rFonts w:ascii="Arial" w:cs="Arial" w:eastAsia="Arial" w:hAnsi="Arial"/>
                <w:sz w:val="18"/>
                <w:szCs w:val="18"/>
                <w:color w:val="auto"/>
              </w:rPr>
              <w:t>The significant components of the net deferred tax liability were as follows at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20" w:type="dxa"/>
            <w:vAlign w:val="bottom"/>
            <w:gridSpan w:val="5"/>
          </w:tcPr>
          <w:p>
            <w:pPr>
              <w:ind w:left="1380"/>
              <w:spacing w:after="0"/>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1"/>
              </w:rPr>
              <w:t>Customer</w:t>
            </w:r>
          </w:p>
        </w:tc>
        <w:tc>
          <w:tcPr>
            <w:tcW w:w="54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list intangible assets</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$(7,296)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7"/>
              </w:rPr>
              <w:t>(9,331)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Bad debt reserve</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500" w:type="dxa"/>
            <w:vAlign w:val="bottom"/>
            <w:gridSpan w:val="4"/>
            <w:shd w:val="clear" w:color="auto" w:fill="CCEEFF"/>
          </w:tcPr>
          <w:p>
            <w:pPr>
              <w:jc w:val="right"/>
              <w:ind w:right="4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(9,230)</w:t>
            </w:r>
          </w:p>
        </w:tc>
        <w:tc>
          <w:tcPr>
            <w:tcW w:w="0" w:type="dxa"/>
            <w:vAlign w:val="bottom"/>
          </w:tcPr>
          <w:p>
            <w:pPr>
              <w:spacing w:after="0"/>
              <w:rPr>
                <w:sz w:val="1"/>
                <w:szCs w:val="1"/>
                <w:color w:val="auto"/>
              </w:rPr>
            </w:pPr>
          </w:p>
        </w:tc>
      </w:tr>
      <w:tr>
        <w:trPr>
          <w:trHeight w:val="20"/>
        </w:trPr>
        <w:tc>
          <w:tcPr>
            <w:tcW w:w="74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gridSpan w:val="5"/>
          </w:tcPr>
          <w:p>
            <w:pPr>
              <w:ind w:left="1380"/>
              <w:spacing w:after="0"/>
              <w:rPr>
                <w:sz w:val="20"/>
                <w:szCs w:val="20"/>
                <w:color w:val="auto"/>
              </w:rPr>
            </w:pPr>
            <w:r>
              <w:rPr>
                <w:rFonts w:ascii="Arial" w:cs="Arial" w:eastAsia="Arial" w:hAnsi="Arial"/>
                <w:sz w:val="18"/>
                <w:szCs w:val="18"/>
                <w:color w:val="auto"/>
              </w:rPr>
              <w:t>Deferred tax assets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(7,296)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(9,331)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ind w:left="360"/>
              <w:spacing w:after="0"/>
              <w:rPr>
                <w:sz w:val="20"/>
                <w:szCs w:val="20"/>
                <w:color w:val="auto"/>
              </w:rPr>
            </w:pPr>
            <w:r>
              <w:rPr>
                <w:rFonts w:ascii="Arial" w:cs="Arial" w:eastAsia="Arial" w:hAnsi="Arial"/>
                <w:sz w:val="18"/>
                <w:szCs w:val="18"/>
                <w:color w:val="auto"/>
              </w:rPr>
              <w:t>Deferred income taxes, net</w:t>
            </w:r>
          </w:p>
        </w:tc>
        <w:tc>
          <w:tcPr>
            <w:tcW w:w="7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(7,240</w:t>
            </w:r>
          </w:p>
        </w:tc>
        <w:tc>
          <w:tcPr>
            <w:tcW w:w="14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(9,230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vMerge w:val="restart"/>
          </w:tcPr>
          <w:p>
            <w:pPr>
              <w:ind w:left="346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revenues”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1580" w:type="dxa"/>
            <w:vAlign w:val="bottom"/>
            <w:gridSpan w:val="3"/>
          </w:tcPr>
          <w:p>
            <w:pPr>
              <w:ind w:left="20"/>
              <w:spacing w:after="0"/>
              <w:rPr>
                <w:sz w:val="20"/>
                <w:szCs w:val="20"/>
                <w:color w:val="auto"/>
              </w:rPr>
            </w:pPr>
            <w:r>
              <w:rPr>
                <w:rFonts w:ascii="Arial" w:cs="Arial" w:eastAsia="Arial" w:hAnsi="Arial"/>
                <w:sz w:val="14"/>
                <w:szCs w:val="14"/>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9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$101 and $146)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2,123</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15,550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17,818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2014</w:t>
            </w:r>
          </w:p>
        </w:tc>
        <w:tc>
          <w:tcPr>
            <w:tcW w:w="4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27,356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34,965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14,498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18,031</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12,863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Statement of Assets Acquired and Liabilities Assumed as of September 30, 2014 and the related Statements of Revenues and Direct Expenses for the nine months ended September 30, 2014 and 2013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Additionally, the interim financial statements have been prepared consistent with Article 10 of Regulation S-X.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periods presented have been included. The results of operations for the interim periods are not necessarily indicative of results for the full year. For a more complete discussion of significant accounting policies and certain other information, these financial statements should be read in conjunction with the audited financial statements and accompanying notes thereto included elsewhere in this information statement.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Statements of Assets Contributed and Liabilities Assumed include only certain assets and liabilities directly related to the consumer CLEC business that will be transferred pursuant to the Separation and Distribution Agreement. Windstream will retain certain assets and liabilities of the consumer CLEC business consisting of the following: cash and cash equivalents, intercompany receivables and payables, certain trade accounts payable, liabilities related to employee benefit plans, income taxes payable and deferred income taxes.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5.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6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—The accompanying financial statements of the consumer CLEC business are derived from the consolidated financial statements of Windstream, which issued its interim consolidated unaudited financial statements as of and for the quarterly period ended September 30, 2014 on November 6, 2014. Accordingly, management has evaluated transactions for consideration as recognized subsequent events in these financial statements through the date of November 6, 2014. In addition, management has evaluated transactions that occurred as of the issuance of these financial statements, December 22, 2014, for purposes of disclosure of unrecognized subsequent events. No additional disclosures are required other than those matters that are reflected within these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September 30, 2014</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18,951</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15,550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19,038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expense for the customer list intangible assets was $3,488 and $3,988 for the nine months ended September 30, 2014 and 2013, respectively. Amortization expense is estimated to be $1,098 for the remainder of 2014. Amortization expense is estimated to be as follows for the years ended December 31:</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220" w:type="dxa"/>
            <w:vAlign w:val="bottom"/>
            <w:gridSpan w:val="3"/>
          </w:tcPr>
          <w:p>
            <w:pPr>
              <w:spacing w:after="0"/>
              <w:rPr>
                <w:sz w:val="20"/>
                <w:szCs w:val="20"/>
                <w:color w:val="auto"/>
              </w:rPr>
            </w:pPr>
            <w:r>
              <w:rPr>
                <w:rFonts w:ascii="Arial" w:cs="Arial" w:eastAsia="Arial" w:hAnsi="Arial"/>
                <w:sz w:val="14"/>
                <w:szCs w:val="14"/>
                <w:color w:val="auto"/>
              </w:rPr>
              <w:t>Year</w:t>
            </w:r>
          </w:p>
        </w:tc>
        <w:tc>
          <w:tcPr>
            <w:tcW w:w="5540" w:type="dxa"/>
            <w:vAlign w:val="bottom"/>
            <w:gridSpan w:val="4"/>
          </w:tcPr>
          <w:p>
            <w:pPr>
              <w:ind w:left="4720"/>
              <w:spacing w:after="0"/>
              <w:rPr>
                <w:sz w:val="20"/>
                <w:szCs w:val="20"/>
                <w:color w:val="auto"/>
              </w:rPr>
            </w:pPr>
            <w:r>
              <w:rPr>
                <w:rFonts w:ascii="Arial" w:cs="Arial" w:eastAsia="Arial" w:hAnsi="Arial"/>
                <w:sz w:val="14"/>
                <w:szCs w:val="14"/>
                <w:color w:val="auto"/>
              </w:rPr>
              <w:t>(Thousands)</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2015</w:t>
            </w:r>
          </w:p>
        </w:tc>
        <w:tc>
          <w:tcPr>
            <w:tcW w:w="19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2016</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2018</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2"/>
          </w:tcPr>
          <w:p>
            <w:pPr>
              <w:jc w:val="right"/>
              <w:ind w:right="2965"/>
              <w:spacing w:after="0"/>
              <w:rPr>
                <w:sz w:val="20"/>
                <w:szCs w:val="20"/>
                <w:color w:val="auto"/>
              </w:rPr>
            </w:pPr>
            <w:r>
              <w:rPr>
                <w:rFonts w:ascii="Arial" w:cs="Arial" w:eastAsia="Arial" w:hAnsi="Arial"/>
                <w:sz w:val="18"/>
                <w:szCs w:val="18"/>
                <w:color w:val="auto"/>
              </w:rPr>
              <w:t>F-12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revenues”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Windstream Holdings, Inc. Distribution Systems combined balance sheet presents fairly, in all material respects, the financial position of certain telecommunications distribution systems assets of Windstream Holdings, Inc. at December 31, 2013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combined balance sheet. The balance sheet is the responsibility of the Company’s management. Our responsibility is to express an opinion on the balance sheet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 except for the effects of the revision discussed in Note 3, as to which the date is December 22, 2014</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rPr>
              <w:t>WINDSTREAM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DISTRIBUTION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COMBINED BALANCE SHEET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88"/>
              </w:rPr>
              <w:t>As of December 31,</w:t>
            </w:r>
          </w:p>
        </w:tc>
        <w:tc>
          <w:tcPr>
            <w:tcW w:w="0" w:type="dxa"/>
            <w:vAlign w:val="bottom"/>
          </w:tcPr>
          <w:p>
            <w:pPr>
              <w:spacing w:after="0"/>
              <w:rPr>
                <w:sz w:val="1"/>
                <w:szCs w:val="1"/>
                <w:color w:val="auto"/>
              </w:rPr>
            </w:pPr>
          </w:p>
        </w:tc>
      </w:tr>
      <w:tr>
        <w:trPr>
          <w:trHeight w:val="405"/>
        </w:trPr>
        <w:tc>
          <w:tcPr>
            <w:tcW w:w="3580" w:type="dxa"/>
            <w:vAlign w:val="bottom"/>
            <w:gridSpan w:val="3"/>
          </w:tcPr>
          <w:p>
            <w:pPr>
              <w:spacing w:after="0"/>
              <w:rPr>
                <w:sz w:val="20"/>
                <w:szCs w:val="20"/>
                <w:color w:val="auto"/>
              </w:rPr>
            </w:pPr>
            <w:r>
              <w:rPr>
                <w:rFonts w:ascii="Arial" w:cs="Arial" w:eastAsia="Arial" w:hAnsi="Arial"/>
                <w:sz w:val="14"/>
                <w:szCs w:val="14"/>
                <w:color w:val="auto"/>
              </w:rPr>
              <w:t>(Millions)</w:t>
            </w:r>
          </w:p>
        </w:tc>
        <w:tc>
          <w:tcPr>
            <w:tcW w:w="7740" w:type="dxa"/>
            <w:vAlign w:val="bottom"/>
            <w:gridSpan w:val="3"/>
          </w:tcPr>
          <w:p>
            <w:pPr>
              <w:jc w:val="center"/>
              <w:ind w:left="70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6"/>
              </w:rPr>
              <w:t>(Revised)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7740" w:type="dxa"/>
            <w:vAlign w:val="bottom"/>
            <w:gridSpan w:val="3"/>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vMerge w:val="continue"/>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2,683.0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7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COMBINED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no less than 80.1%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balance sheet reflects the telecommunications distribution system assets of Windstream that will be transferred to CSL in the planned separation and spin-off. The balance sheet presented herein is combined on the basis of common control. The accompanying balance sheet has been prepared in accordance with accounting principles generally accepted in the United States (“GAAP”) and has been derived from the accounting records of Windstream. The telecommunications distribution system assets presented in the accompanying balance sheet reflect Windstream’s historical carrying value of the assets as of the balance sheet date consistent with the accounting for spin-off transactions in accordance with GAAP.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Revisions to Combined Balance Sheet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to the preparation and issuance of the combined balance sheet for the year ended December 31, 2013, management became aware of and corrected certain errors in the reported amount of property, plant and equipment, net. The previously reported amounts included certain real estate assets that would not be transferred to CS&amp;L in the planned separation and spin-off. The revisions as of December 31, 2013, which we have assessed and determined are not material to the combined balance sheet, are presented below.</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The following table presents the effect the revision had on the combined balance sheet and the property, plant and equipment footnote disclosure accompanying the combined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39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As Previously</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Effect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60" w:type="dxa"/>
            <w:vAlign w:val="bottom"/>
            <w:gridSpan w:val="3"/>
            <w:vMerge w:val="continue"/>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w w:val="90"/>
              </w:rPr>
              <w:t>Reported</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Revision</w:t>
            </w:r>
          </w:p>
        </w:tc>
        <w:tc>
          <w:tcPr>
            <w:tcW w:w="2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As Revised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w:t>
            </w: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3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spacing w:after="0"/>
              <w:rPr>
                <w:sz w:val="20"/>
                <w:szCs w:val="20"/>
                <w:color w:val="auto"/>
              </w:rPr>
            </w:pPr>
            <w:r>
              <w:rPr>
                <w:rFonts w:ascii="Arial" w:cs="Arial" w:eastAsia="Arial" w:hAnsi="Arial"/>
                <w:sz w:val="18"/>
                <w:szCs w:val="18"/>
                <w:color w:val="auto"/>
              </w:rPr>
              <w:t>Combined Balance Sheet:</w:t>
            </w: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406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(57.2)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Invested equity</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2,740.2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(57.2)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Note:</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Land</w:t>
            </w:r>
          </w:p>
        </w:tc>
        <w:tc>
          <w:tcPr>
            <w:tcW w:w="4060" w:type="dxa"/>
            <w:vAlign w:val="bottom"/>
            <w:gridSpan w:val="2"/>
          </w:tcPr>
          <w:p>
            <w:pPr>
              <w:ind w:left="39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Buildings and improvements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Poles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Fiber</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Copper</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Conduit</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Construction in progress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property, plant and equipment</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(73.2)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Accumulated depreciation</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(3,070.1)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(3,054.1)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property, plant and equipment</w:t>
            </w:r>
          </w:p>
        </w:tc>
        <w:tc>
          <w:tcPr>
            <w:tcW w:w="406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(57.2)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2,683.0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940" w:type="dxa"/>
            <w:vAlign w:val="bottom"/>
          </w:tcPr>
          <w:p>
            <w:pPr>
              <w:ind w:left="1280"/>
              <w:spacing w:after="0"/>
              <w:rPr>
                <w:sz w:val="20"/>
                <w:szCs w:val="20"/>
                <w:color w:val="auto"/>
              </w:rPr>
            </w:pPr>
            <w:r>
              <w:rPr>
                <w:rFonts w:ascii="Arial" w:cs="Arial" w:eastAsia="Arial" w:hAnsi="Arial"/>
                <w:sz w:val="18"/>
                <w:szCs w:val="18"/>
                <w:color w:val="auto"/>
              </w:rPr>
              <w:t>F-16</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—Property, plant and equipment are stated at original cost, less accumulated depreciation. Property, plant and equipment consists of land and central office buildings, copper and fiber optic cable lines, telephone poles, underground conduits, concrete pads, pedestals, guy wires, anchors, and attachment hardware. The costs of additions, replacements, substantial improvements and extension of the network to the customer premise, including related labor costs, are capitalized, while the costs of maintenance and repairs are expensed as incurred. Interest costs incurred in connection with the acquisition or construction of plant assets are capitalized and included in the cost of the asset.</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property, plant and equipment is depreciated using a group composite depreciation method. Under this method, when plant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and when the property is retired or otherwise disposed of, the related cost and accumulated depreciation are written-off, with the corresponding gain or loss reflected in operating results.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—Management reviews long-lived assets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balance sheet is derived from the consolidated financial statements of Windstream, which issued its annual consolidated financial statements on February 27, 2014. Accordingly, management has evaluated transactions for consideration as recognized subsequent events in the accompanying financial statement through the date of February 27, 2014. In addition, management has evaluated transactions that occurred as of the issuance of the original financial statement on October 24, 2014 and for the reissuance due to the revision as of December 22, 2014, for purposes of disclosure of unrecognized subsequent events. No additional disclosures are required other than those matters that are reflected within this financial statement.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COMBINED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Depreciable</w:t>
            </w: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180" w:type="dxa"/>
            <w:vAlign w:val="bottom"/>
            <w:gridSpan w:val="2"/>
            <w:vMerge w:val="continue"/>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7"/>
              </w:rPr>
              <w:t>Lives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5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3-40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Fiber</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13-47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(3,054.1)</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 of Credit Risks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spin-off, all of CSL’s real property will be leased to Windstream and all of its rental revenues will be derived from the Master Lease. Windstream is a publicly traded company and is subject to the periodic filing requirements of the Securities and Exchange Act of 1934, as amended. For the year ended December 31, 2013, Windstream had total revenues and sales of nearly $6.0 billion and generated net cash from operations of $1.5 billion. Other than this tenant concentration, management believes the current portfolio of real property is diversified by geographical location and does not contain any other significant concentration of credit risks.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80"/>
          </w:cols>
          <w:pgMar w:left="240" w:top="459" w:right="3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III—Distribution Systems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gridSpan w:val="3"/>
          </w:tcPr>
          <w:p>
            <w:pPr>
              <w:spacing w:after="0"/>
              <w:rPr>
                <w:sz w:val="20"/>
                <w:szCs w:val="20"/>
                <w:color w:val="auto"/>
              </w:rPr>
            </w:pPr>
            <w:r>
              <w:rPr>
                <w:rFonts w:ascii="Arial" w:cs="Arial" w:eastAsia="Arial" w:hAnsi="Arial"/>
                <w:sz w:val="14"/>
                <w:szCs w:val="14"/>
                <w:color w:val="auto"/>
              </w:rPr>
              <w:t>Col. 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Col. B</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Col. C</w:t>
            </w:r>
          </w:p>
        </w:tc>
        <w:tc>
          <w:tcPr>
            <w:tcW w:w="1020" w:type="dxa"/>
            <w:vAlign w:val="bottom"/>
            <w:gridSpan w:val="2"/>
          </w:tcPr>
          <w:p>
            <w:pPr>
              <w:jc w:val="center"/>
              <w:ind w:left="437"/>
              <w:spacing w:after="0"/>
              <w:rPr>
                <w:sz w:val="20"/>
                <w:szCs w:val="20"/>
                <w:color w:val="auto"/>
              </w:rPr>
            </w:pPr>
            <w:r>
              <w:rPr>
                <w:rFonts w:ascii="Arial" w:cs="Arial" w:eastAsia="Arial" w:hAnsi="Arial"/>
                <w:sz w:val="14"/>
                <w:szCs w:val="14"/>
                <w:color w:val="auto"/>
                <w:w w:val="97"/>
              </w:rPr>
              <w:t>Col. 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Col. E</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Col. F</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Col. G</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Col. H</w:t>
            </w:r>
          </w:p>
        </w:tc>
        <w:tc>
          <w:tcPr>
            <w:tcW w:w="28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Col. I</w:t>
            </w:r>
          </w:p>
        </w:tc>
        <w:tc>
          <w:tcPr>
            <w:tcW w:w="0" w:type="dxa"/>
            <w:vAlign w:val="bottom"/>
          </w:tcPr>
          <w:p>
            <w:pPr>
              <w:spacing w:after="0"/>
              <w:rPr>
                <w:sz w:val="1"/>
                <w:szCs w:val="1"/>
                <w:color w:val="auto"/>
              </w:rPr>
            </w:pPr>
          </w:p>
        </w:tc>
      </w:tr>
      <w:tr>
        <w:trPr>
          <w:trHeight w:val="123"/>
        </w:trPr>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Gross Amount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4"/>
              </w:rPr>
              <w:t>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100"/>
              <w:spacing w:after="0" w:line="154" w:lineRule="exact"/>
              <w:rPr>
                <w:sz w:val="20"/>
                <w:szCs w:val="20"/>
                <w:color w:val="auto"/>
              </w:rPr>
            </w:pPr>
            <w:r>
              <w:rPr>
                <w:rFonts w:ascii="Arial" w:cs="Arial" w:eastAsia="Arial" w:hAnsi="Arial"/>
                <w:sz w:val="14"/>
                <w:szCs w:val="14"/>
                <w:color w:val="auto"/>
                <w:w w:val="97"/>
              </w:rPr>
              <w:t>Life on which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Initial Cost to</w:t>
            </w:r>
          </w:p>
        </w:tc>
        <w:tc>
          <w:tcPr>
            <w:tcW w:w="16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9"/>
              </w:rPr>
              <w:t>Cost Subsequent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Close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Depreciation in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Company(1)</w:t>
            </w: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Acquisition(1)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Latest Income</w:t>
            </w:r>
          </w:p>
        </w:tc>
        <w:tc>
          <w:tcPr>
            <w:tcW w:w="0" w:type="dxa"/>
            <w:vAlign w:val="bottom"/>
          </w:tcPr>
          <w:p>
            <w:pPr>
              <w:spacing w:after="0"/>
              <w:rPr>
                <w:sz w:val="1"/>
                <w:szCs w:val="1"/>
                <w:color w:val="auto"/>
              </w:rPr>
            </w:pPr>
          </w:p>
        </w:tc>
      </w:tr>
      <w:tr>
        <w:trPr>
          <w:trHeight w:val="123"/>
        </w:trPr>
        <w:tc>
          <w:tcPr>
            <w:tcW w:w="230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200" w:type="dxa"/>
            <w:vAlign w:val="bottom"/>
          </w:tcPr>
          <w:p>
            <w:pPr>
              <w:spacing w:after="0"/>
              <w:rPr>
                <w:sz w:val="10"/>
                <w:szCs w:val="10"/>
                <w:color w:val="auto"/>
              </w:rPr>
            </w:pPr>
          </w:p>
        </w:tc>
        <w:tc>
          <w:tcPr>
            <w:tcW w:w="10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Accumulated</w:t>
            </w: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rPr>
              <w:t>Date of</w:t>
            </w:r>
          </w:p>
        </w:tc>
        <w:tc>
          <w:tcPr>
            <w:tcW w:w="88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Date</w:t>
            </w:r>
          </w:p>
        </w:tc>
        <w:tc>
          <w:tcPr>
            <w:tcW w:w="1100" w:type="dxa"/>
            <w:vAlign w:val="bottom"/>
            <w:gridSpan w:val="3"/>
          </w:tcPr>
          <w:p>
            <w:pPr>
              <w:jc w:val="center"/>
              <w:ind w:right="80"/>
              <w:spacing w:after="0" w:line="123" w:lineRule="exact"/>
              <w:rPr>
                <w:sz w:val="20"/>
                <w:szCs w:val="20"/>
                <w:color w:val="auto"/>
              </w:rPr>
            </w:pPr>
            <w:r>
              <w:rPr>
                <w:rFonts w:ascii="Arial" w:cs="Arial" w:eastAsia="Arial" w:hAnsi="Arial"/>
                <w:sz w:val="14"/>
                <w:szCs w:val="14"/>
                <w:color w:val="auto"/>
                <w:w w:val="89"/>
              </w:rPr>
              <w:t>Statement is</w:t>
            </w:r>
          </w:p>
        </w:tc>
        <w:tc>
          <w:tcPr>
            <w:tcW w:w="0" w:type="dxa"/>
            <w:vAlign w:val="bottom"/>
          </w:tcPr>
          <w:p>
            <w:pPr>
              <w:spacing w:after="0"/>
              <w:rPr>
                <w:sz w:val="1"/>
                <w:szCs w:val="1"/>
                <w:color w:val="auto"/>
              </w:rPr>
            </w:pPr>
          </w:p>
        </w:tc>
      </w:tr>
      <w:tr>
        <w:trPr>
          <w:trHeight w:val="167"/>
        </w:trPr>
        <w:tc>
          <w:tcPr>
            <w:tcW w:w="2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Encumbrances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Systems</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Improvements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Costs</w:t>
            </w:r>
          </w:p>
        </w:tc>
        <w:tc>
          <w:tcPr>
            <w:tcW w:w="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Systems Total</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Depreciation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Construction(2)</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Acquired(2)</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Computed</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color w:val="auto"/>
                <w:w w:val="93"/>
              </w:rPr>
              <w:t>(Revised)</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93"/>
              </w:rPr>
              <w:t>(Revised)</w:t>
            </w: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298,259</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(125,294)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(161,719)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Fiber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1,685,408</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(464,142)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Copper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3,373,220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(2,256,704)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Conduit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89,015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(46,290)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- 47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Given the voluminous nature and variety of the Distribution Systems assets, this schedule omits columns C and D from the Schedule III presentation.</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Because additions and improvements to the Distribution Systems are ongoing, construction and acquisition dates are not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SYSTEMS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w w:val="87"/>
              </w:rPr>
              <w:t>September 30,</w:t>
            </w:r>
          </w:p>
        </w:tc>
        <w:tc>
          <w:tcPr>
            <w:tcW w:w="6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8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NOTES TO COMBINED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no less than 80.1%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balance sheet as of September 30, 2014 has been prepared in accordance with accounting principles generally accepted in the United States (“GAAP”) for interim financial information and Article 10 of Regulation S-X of the Securities and Exchange Commission (the “SEC”). Certain information and footnote disclosures have been condensed or omitted in accordance with those rules and regulations. In the opinion of management, all adjustments considered necessary for a fair statement have been included. For a more complete discussion of significant accounting policies and certain other information, these balance sheets should be read in conjunction with the audited balance sheet and accompanying notes thereto included elsewhere in this information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Subsequent Events: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balance sheets are derived from the consolidated financial statements of Windstream, which issued its interim unaudited consolidated financial statements as of and for the quarterly period ended September 30, 2014 on November 6, 2014. Accordingly, management has evaluated transactions for consideration as recognized subsequent events in these financial statements through the date of November 6, 2014. In addition, management has evaluated transactions that occurred as of the issuance of these financial statements, December 22,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20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color w:val="auto"/>
              </w:rPr>
              <w:t>Depreciable</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354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color w:val="auto"/>
              </w:rPr>
              <w:t>Lives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9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3-40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13-40 years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Fiber</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7-40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 years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0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13-47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(3,301.4)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(3,054.1)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80" w:type="dxa"/>
            <w:vAlign w:val="bottom"/>
            <w:gridSpan w:val="3"/>
            <w:vMerge w:val="restart"/>
          </w:tcPr>
          <w:p>
            <w:pPr>
              <w:jc w:val="right"/>
              <w:ind w:right="1860"/>
              <w:spacing w:after="0"/>
              <w:rPr>
                <w:sz w:val="20"/>
                <w:szCs w:val="20"/>
                <w:color w:val="auto"/>
              </w:rPr>
            </w:pPr>
            <w:r>
              <w:rPr>
                <w:rFonts w:ascii="Arial" w:cs="Arial" w:eastAsia="Arial" w:hAnsi="Arial"/>
                <w:sz w:val="18"/>
                <w:szCs w:val="18"/>
                <w:color w:val="auto"/>
              </w:rPr>
              <w:t>F-21</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4"/>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lvl w:ilvl="1">
      <w:lvlJc w:val="left"/>
      <w:lvlText w:val="(%2)"/>
      <w:numFmt w:val="lowerLetter"/>
      <w:start w:val="24"/>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upperLetter"/>
      <w:start w:val="1"/>
    </w:lvl>
  </w:abstractNum>
  <w:abstractNum w:abstractNumId="27">
    <w:nsid w:val="741226BB"/>
    <w:multiLevelType w:val="hybridMultilevel"/>
    <w:lvl w:ilvl="0">
      <w:lvlJc w:val="left"/>
      <w:lvlText w:val="(%1)"/>
      <w:numFmt w:val="upperLetter"/>
      <w:start w:val="4"/>
    </w:lvl>
  </w:abstractNum>
  <w:abstractNum w:abstractNumId="28">
    <w:nsid w:val="D34B6A8"/>
    <w:multiLevelType w:val="hybridMultilevel"/>
    <w:lvl w:ilvl="0">
      <w:lvlJc w:val="left"/>
      <w:lvlText w:val="(%1)"/>
      <w:numFmt w:val="upperLetter"/>
      <w:start w:val="6"/>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upperLetter"/>
      <w:start w:val="8"/>
    </w:lvl>
  </w:abstractNum>
  <w:abstractNum w:abstractNumId="33">
    <w:nsid w:val="77AE35EB"/>
    <w:multiLevelType w:val="hybridMultilevel"/>
    <w:lvl w:ilvl="0">
      <w:lvlJc w:val="left"/>
      <w:lvlText w:val="(%1)"/>
      <w:numFmt w:val="lowerRoman"/>
      <w:start w:val="1"/>
    </w:lvl>
  </w:abstractNum>
  <w:abstractNum w:abstractNumId="34">
    <w:nsid w:val="579BE4F1"/>
    <w:multiLevelType w:val="hybridMultilevel"/>
    <w:lvl w:ilvl="0">
      <w:lvlJc w:val="left"/>
      <w:lvlText w:val="(%1)"/>
      <w:numFmt w:val="lowerRoman"/>
      <w:start w:val="5"/>
    </w:lvl>
  </w:abstractNum>
  <w:abstractNum w:abstractNumId="35">
    <w:nsid w:val="310C50B3"/>
    <w:multiLevelType w:val="hybridMultilevel"/>
    <w:lvl w:ilvl="0">
      <w:lvlJc w:val="left"/>
      <w:lvlText w:val="(%1)"/>
      <w:numFmt w:val="upperLetter"/>
      <w:start w:val="1"/>
    </w:lvl>
  </w:abstractNum>
  <w:abstractNum w:abstractNumId="36">
    <w:nsid w:val="5FF87E05"/>
    <w:multiLevelType w:val="hybridMultilevel"/>
    <w:lvl w:ilvl="0">
      <w:lvlJc w:val="left"/>
      <w:lvlText w:val="(%1)"/>
      <w:numFmt w:val="upperLetter"/>
      <w:start w:val="2"/>
    </w:lvl>
  </w:abstractNum>
  <w:abstractNum w:abstractNumId="37">
    <w:nsid w:val="2F305DEF"/>
    <w:multiLevelType w:val="hybridMultilevel"/>
    <w:lvl w:ilvl="0">
      <w:lvlJc w:val="left"/>
      <w:lvlText w:val="(%1)"/>
      <w:numFmt w:val="upperLetter"/>
      <w:start w:val="3"/>
    </w:lvl>
  </w:abstractNum>
  <w:abstractNum w:abstractNumId="38">
    <w:nsid w:val="25A70BF7"/>
    <w:multiLevelType w:val="hybridMultilevel"/>
    <w:lvl w:ilvl="0">
      <w:lvlJc w:val="left"/>
      <w:lvlText w:val="(%1)"/>
      <w:numFmt w:val="upperLetter"/>
      <w:start w:val="5"/>
    </w:lvl>
  </w:abstractNum>
  <w:abstractNum w:abstractNumId="39">
    <w:nsid w:val="1DBABF00"/>
    <w:multiLevelType w:val="hybridMultilevel"/>
    <w:lvl w:ilvl="0">
      <w:lvlJc w:val="left"/>
      <w:lvlText w:val="(%1)"/>
      <w:numFmt w:val="upperLetter"/>
      <w:start w:val="6"/>
    </w:lvl>
  </w:abstractNum>
  <w:abstractNum w:abstractNumId="40">
    <w:nsid w:val="4AD084E9"/>
    <w:multiLevelType w:val="hybridMultilevel"/>
    <w:lvl w:ilvl="0">
      <w:lvlJc w:val="left"/>
      <w:lvlText w:val="(%1)"/>
      <w:numFmt w:val="upperLetter"/>
      <w:start w:val="8"/>
    </w:lvl>
  </w:abstractNum>
  <w:abstractNum w:abstractNumId="41">
    <w:nsid w:val="1F48EAA1"/>
    <w:multiLevelType w:val="hybridMultilevel"/>
    <w:lvl w:ilvl="0">
      <w:lvlJc w:val="left"/>
      <w:lvlText w:val="(%1)"/>
      <w:numFmt w:val="upperLetter"/>
      <w:start w:val="1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1)"/>
      <w:numFmt w:val="upperLetter"/>
      <w:start w:val="12"/>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lowerLetter"/>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decimal"/>
      <w:start w:val="2"/>
    </w:lvl>
    <w:lvl w:ilvl="1">
      <w:lvlJc w:val="left"/>
      <w:lvlText w:val=","/>
      <w:numFmt w:val="bullet"/>
      <w:start w:val="1"/>
    </w:lvl>
  </w:abstractNum>
  <w:abstractNum w:abstractNumId="60">
    <w:nsid w:val="BF72B14"/>
    <w:multiLevelType w:val="hybridMultilevel"/>
    <w:lvl w:ilvl="0">
      <w:lvlJc w:val="left"/>
      <w:lvlText w:val="(%1)"/>
      <w:numFmt w:val="lowerLetter"/>
      <w:start w:val="3"/>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3"/>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decimal"/>
      <w:start w:val="2"/>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6"/>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lowerRoman"/>
      <w:start w:val="1"/>
    </w:lvl>
  </w:abstractNum>
  <w:abstractNum w:abstractNumId="86">
    <w:nsid w:val="74DE0EE3"/>
    <w:multiLevelType w:val="hybridMultilevel"/>
    <w:lvl w:ilvl="0">
      <w:lvlJc w:val="left"/>
      <w:lvlText w:val="(%1)"/>
      <w:numFmt w:val="decimal"/>
      <w:start w:val="1"/>
    </w:lvl>
    <w:lvl w:ilvl="1">
      <w:lvlJc w:val="left"/>
      <w:lvlText w:val="(%2)"/>
      <w:numFmt w:val="lowerLetter"/>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1)"/>
      <w:numFmt w:val="decimal"/>
      <w:start w:val="2"/>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2019-12-08T12:16:02Z</dcterms:created>
  <dcterms:modified xsi:type="dcterms:W3CDTF">2019-12-08T12:16:02Z</dcterms:modified>
</cp:coreProperties>
</file>