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4,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Paul H. Sunu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Windstream Parent,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4005 Rodney Parham Road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Little Rock, AR 72212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Windstream Parent,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16,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333-281068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Paul H. Sunu: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52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 Unless we note otherwise,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any references to prior comments are to comments in our August 30. 2024 letter.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to Form S-4 filed September 16, 2024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Historical Financial Data of Windstream, page 28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9 regarding Adjusted EBITDA as defined in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960" w:type="dxa"/>
            <w:vAlign w:val="bottom"/>
            <w:gridSpan w:val="2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Windstream</w:t>
            </w:r>
          </w:p>
        </w:tc>
        <w:tc>
          <w:tcPr>
            <w:tcW w:w="3680" w:type="dxa"/>
            <w:vAlign w:val="bottom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 debt agreements. Please tell us</w:t>
            </w:r>
          </w:p>
        </w:tc>
        <w:tc>
          <w:tcPr>
            <w:tcW w:w="194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how you considered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Question 102.09</w:t>
            </w:r>
          </w:p>
        </w:tc>
        <w:tc>
          <w:tcPr>
            <w:tcW w:w="40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the</w:t>
            </w:r>
          </w:p>
        </w:tc>
        <w:tc>
          <w:tcPr>
            <w:tcW w:w="1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&amp;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</w:t>
            </w:r>
          </w:p>
        </w:tc>
        <w:tc>
          <w:tcPr>
            <w:tcW w:w="40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of Corporation Finance   s Compliance</w:t>
            </w: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Interpretations</w:t>
            </w:r>
          </w:p>
        </w:tc>
        <w:tc>
          <w:tcPr>
            <w:tcW w:w="4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Non-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1819" w:firstLine="737"/>
        <w:spacing w:after="0" w:line="37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GAAP Financial Measures with regards to your disclosure of this measure. Unaudited Pro Forma Condensed Combined Financial Information, page 76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 w:right="1919" w:hanging="732"/>
        <w:spacing w:after="0" w:line="289" w:lineRule="auto"/>
        <w:tabs>
          <w:tab w:leader="none" w:pos="7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disclosure on page 8 states that, "As of the date of this proxy statement/prospectus, an affiliate of Elliott (as defined below) is</w:t>
      </w: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Windstream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largest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 holder, and affiliates of Elliott are expected to continue to be the largest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 of New Uniti after the Closing." Expand your disclosure to explain how this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considered when determining who is the accounting acquirer. Refer to your basis in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4,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literature.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also note based on disclosure on page 11, that entities affiliated with Elliott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Management, L.P. (EIM) currently hold approximately 4.15% of all Uniti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Common Shares. Disclose current common ownership between Windstream and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Uniti</w:t>
      </w: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explain how common ownership was considered when determining accounting for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transaction. Refer to your basis in accounting literature.</w:t>
      </w:r>
    </w:p>
    <w:p>
      <w:pPr>
        <w:ind w:right="191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10 and the disclosure under Note 1 on page 85.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in your pro forma information, and give pro forma effect to, the range of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possible results from a favorable and unfavorable outcome of the private letter ruling.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 11-02(a)(10) of Regulation S-X.</w:t>
      </w:r>
    </w:p>
    <w:p>
      <w:pPr>
        <w:ind w:right="181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11. Since Windstream is the legal acquirer in the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 transaction, we believe any transaction that affects Windstream's equity should be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transparently disclosed in the pro forma financial statements. As such, we continue to</w:t>
      </w:r>
    </w:p>
    <w:p>
      <w:pPr>
        <w:ind w:right="191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that you should show a separate column following the Windstream historical as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information, the pro forma adjustments to give effect the Windstream</w:t>
      </w:r>
    </w:p>
    <w:p>
      <w:pPr>
        <w:ind w:right="28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reorganization. This should be followed by a column to present Windstream as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reorganized prior to presenting the pro forma impact of the merger.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 11-</w:t>
      </w: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02(b)(4) of Regulation S-X. If amounts are not yet known, please disclose a range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accordance with Rule 11-02(a)(10) of Regulation S-X. Also, tell us how you determined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ownership percentage post-merger if Windstream's equity is unknown. Explain why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used Windstream common units outstanding pre-close in determining purchase price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Note 2.</w:t>
      </w: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our prior comment 13. However, it appears that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elimination of intercompany transactions are presented in Note 7 and some are presented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Note 4. As previously requested, please present the elimination of intercompany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 in a separate column in the pro forma income statement.</w:t>
      </w:r>
    </w:p>
    <w:p>
      <w:pPr>
        <w:ind w:right="2239" w:firstLine="8"/>
        <w:spacing w:after="0" w:line="238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to us how the reduction in revenue of $791,410, under Note 7 on page 82,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relates to the reduction in cost of services of $677,108 disclosed on page 96.</w:t>
      </w:r>
    </w:p>
    <w:p>
      <w:pPr>
        <w:ind w:right="2019" w:firstLine="8"/>
        <w:spacing w:after="0" w:line="238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22. Please clearly disclose how each adjustment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 is derived, similar to what you presented in the response. If you aggregate values,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detail should also be disclosed. Consider presenting the purchase price allocation as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self balancing adjustment.</w:t>
      </w:r>
    </w:p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per your in disclosure on pages 26 - 27 that on September 11, 2024, Windstream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initiated a Consent Solicitation. Explain to us your consideration of giving effect to the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Consent Solicitation in your unaudited pro forma financial statements. Also, disclose the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Consent Solicitation as a subsequent event in your financial statements.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prior comment 17 and the related disclosure on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ind w:right="2239" w:firstLine="745"/>
        <w:spacing w:after="0" w:line="238" w:lineRule="auto"/>
        <w:tabs>
          <w:tab w:leader="none" w:pos="1158" w:val="left"/>
        </w:tabs>
        <w:numPr>
          <w:ilvl w:val="1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adjustment to the estimated fair value of tangible assets for economic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obsolescence, please clarify in the last paragraph on page 87 the nature of the external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conditions, specify the referenced market you anticipate will experience a decline in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demand and explain to us the basis for your assumptions. Also, please tell us if your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assumptions are consistent with those relied upon by management when negotiating the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 of the purchase consideration and when estimating useful lives of the Windstream</w:t>
      </w:r>
    </w:p>
    <w:p>
      <w:pPr>
        <w:ind w:right="84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4, 2024 Page 3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tangible and intangible assets. Refer us to your disclosures where you describe this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anticipated decline in demand.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in your preliminary purchase price allocation, you anticipate recording $332,432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goodwill. Explain to us why it is reasonable to reduce the fair value of PP&amp;E for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economic obsolescence while recognizing goodwill. Tell us why it is not more reasonable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conclude there is significantly less obsolescence and no goodwill.</w:t>
      </w:r>
    </w:p>
    <w:p>
      <w:pPr>
        <w:ind w:right="2339" w:firstLine="8"/>
        <w:spacing w:after="0" w:line="238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response to prior comment 18 you said "the company expected lower customer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740" w:type="dxa"/>
            <w:vAlign w:val="bottom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attrition</w:t>
            </w:r>
          </w:p>
        </w:tc>
        <w:tc>
          <w:tcPr>
            <w:tcW w:w="4000" w:type="dxa"/>
            <w:vAlign w:val="bottom"/>
            <w:gridSpan w:val="2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rate going forward due to Windstream</w:t>
            </w:r>
          </w:p>
        </w:tc>
        <w:tc>
          <w:tcPr>
            <w:tcW w:w="2480" w:type="dxa"/>
            <w:vAlign w:val="bottom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significant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7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investments into</w:t>
            </w:r>
          </w:p>
        </w:tc>
        <w:tc>
          <w:tcPr>
            <w:tcW w:w="37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expanding</w:t>
            </w: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capabilities on its copper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4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its fiber network and maintaining high speed</w:t>
            </w: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7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network. High</w:t>
            </w: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into strong consumer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4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available service speeds generally translate</w:t>
            </w: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 retention. In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addition, Windstream intends to implement auto pay enrollment and pricing strategies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97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reduce go-forward attrition. Accordingly, the decrease in the anticipated customer attrition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rate directly results in an extension of the periods in which future cash flows are expected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2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to be generated from the asset." Reconcile</w:t>
            </w: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this statement with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anticipated PP&amp;E</w:t>
            </w:r>
          </w:p>
        </w:tc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external conditions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22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"economic obsolescence, which accounts for</w:t>
            </w: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decline in market</w:t>
            </w:r>
          </w:p>
        </w:tc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87.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2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demand" disclosed in the last paragraph on</w:t>
            </w: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1819" w:firstLine="8"/>
        <w:spacing w:after="0" w:line="238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Note 7 on page 99, to avoid confusion between "Settlement of Pre-Existing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Relationships" and the "Settlement Agreement" related to a prior legal settlement between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Windstream and Uniti, consider being more descriptive in the name "Settlement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Agreement."</w:t>
      </w:r>
    </w:p>
    <w:p>
      <w:pPr>
        <w:ind w:right="2019" w:firstLine="8"/>
        <w:spacing w:after="0" w:line="238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disclosure on page F-91 to F-93 refers to various equity-based compensation for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consideration of $13 per unit payable on or about May 2, 2025, 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consummation of the merger with Uniti, whichever is earlier. Tell us if and how this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is reflected in your pro forma financial statements.</w:t>
      </w:r>
    </w:p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clarity, please identify in the heading appearing in the table on page 99, the entity that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"previously recognized net assets (liabilities)."</w:t>
      </w:r>
    </w:p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income tax expense adjustments in the Windstream income statements on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pages 95 - 96, disclose in detailed supporting footnotes how the amounts were calculated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explain the basis for your assumptions. Refer to Rule 11-02(b)(5) of Regulation S-X.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 Following the Merger, page 137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comment 25 and new disclosure provided on page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659" w:firstLine="745"/>
        <w:spacing w:after="0" w:line="238" w:lineRule="auto"/>
        <w:tabs>
          <w:tab w:leader="none" w:pos="1264" w:val="left"/>
        </w:tabs>
        <w:numPr>
          <w:ilvl w:val="1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your disclosure does not "analyze" your ability to generate and obtain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adequate amounts of cash following the Merger. Please expand disclosure to provide a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robust analysis of your ability to meet short-term and long-term liquidity needs after the</w:t>
      </w:r>
    </w:p>
    <w:p>
      <w:pPr>
        <w:ind w:right="30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Merger. Also, disclose any new financing such as the Consent Solicitation.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Merger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Litigation Related to the Merger, page 199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discuss the nature of the alleged omissions of information in the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proxy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statement/prospectus relating to the Transactions by the two Uniti stockholders.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Windstream Holdings II, LLC Consolidated Financial Statements</w:t>
      </w:r>
    </w:p>
    <w:p>
      <w:pPr>
        <w:ind w:right="8019" w:firstLine="8"/>
        <w:spacing w:after="0" w:line="273" w:lineRule="auto"/>
        <w:tabs>
          <w:tab w:leader="none" w:pos="316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Leases, page F-38 October 4, 2024 Page 4</w:t>
      </w:r>
    </w:p>
    <w:p>
      <w:pPr>
        <w:spacing w:after="0" w:line="8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 view towards clarifying disclosure, please explain to us your accounting for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master lease agreements and other related arrangements with Uniti. Identify all of the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of your arrangements with Uniti that are relevant to your accounting conclusions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along with references to the supporting accounting literature. Tell us if you are accounting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leases as finance leases and if not, explain why.</w:t>
      </w:r>
    </w:p>
    <w:p>
      <w:pPr>
        <w:ind w:right="1919" w:firstLine="8"/>
        <w:spacing w:after="0" w:line="238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your accounting for the $400.0 million in quarterly cash installments. Tell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the purpose for the payments and explain your basis for recording the Settlement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payments as an accretion to the Company s operating lease liability. Condensed Consolidated Balance Sheet, page F-65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859" w:firstLine="8"/>
        <w:spacing w:after="0" w:line="257" w:lineRule="auto"/>
        <w:tabs>
          <w:tab w:leader="none" w:pos="737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in Note 7 on page 99 Uniti reports deferred revenue in connection with the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Windstream Leases of $845,272. Explain to us the facts and circumstances that resulted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this deferred revenue balance and tell us if there is a corresponding prepaid rent amount</w:t>
      </w:r>
    </w:p>
    <w:p>
      <w:pPr>
        <w:jc w:val="both"/>
        <w:ind w:left="740" w:right="21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reported on the Windstream balance sheet. If not, please explain why. Please contact Inessa Kessman at 202-551-3371 or Robert Littlepage at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202-551-3361 if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ind w:right="223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Edwin Kim at 202-551-3297 or Jan Woo at 202-551-3453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08" w:right="1440" w:bottom="0" w:gutter="0" w:footer="0" w:header="0"/>
        </w:sectPr>
      </w:pPr>
    </w:p>
    <w:bookmarkStart w:id="3" w:name="page4"/>
    <w:bookmarkEnd w:id="3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right"/>
        <w:ind w:right="2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Ben Pedersen</w:t>
      </w:r>
    </w:p>
    <w:sectPr>
      <w:pgSz w:w="11900" w:h="16838" w:orient="portrait"/>
      <w:cols w:equalWidth="0" w:num="1">
        <w:col w:w="10139"/>
      </w:cols>
      <w:pgMar w:left="320" w:top="51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3D1B58BA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507ED7AB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2EB141F2"/>
    <w:multiLevelType w:val="hybridMultilevel"/>
    <w:lvl w:ilvl="0">
      <w:lvlJc w:val="left"/>
      <w:lvlText w:val="%1."/>
      <w:numFmt w:val="decimal"/>
      <w:start w:val="5"/>
    </w:lvl>
    <w:lvl w:ilvl="1">
      <w:lvlJc w:val="left"/>
      <w:lvlText w:val="%2."/>
      <w:numFmt w:val="decimal"/>
      <w:start w:val="87"/>
    </w:lvl>
  </w:abstractNum>
  <w:abstractNum w:abstractNumId="4">
    <w:nsid w:val="41B71EFB"/>
    <w:multiLevelType w:val="hybridMultilevel"/>
    <w:lvl w:ilvl="0">
      <w:lvlJc w:val="left"/>
      <w:lvlText w:val="%1."/>
      <w:numFmt w:val="decimal"/>
      <w:start w:val="10"/>
    </w:lvl>
  </w:abstractNum>
  <w:abstractNum w:abstractNumId="5">
    <w:nsid w:val="79E2A9E3"/>
    <w:multiLevelType w:val="hybridMultilevel"/>
    <w:lvl w:ilvl="0">
      <w:lvlJc w:val="left"/>
      <w:lvlText w:val="%1."/>
      <w:numFmt w:val="decimal"/>
      <w:start w:val="12"/>
    </w:lvl>
    <w:lvl w:ilvl="1">
      <w:lvlJc w:val="left"/>
      <w:lvlText w:val="%2."/>
      <w:numFmt w:val="decimal"/>
      <w:start w:val="137"/>
    </w:lvl>
  </w:abstractNum>
  <w:abstractNum w:abstractNumId="6">
    <w:nsid w:val="7545E146"/>
    <w:multiLevelType w:val="hybridMultilevel"/>
    <w:lvl w:ilvl="0">
      <w:lvlJc w:val="left"/>
      <w:lvlText w:val="%1."/>
      <w:numFmt w:val="decimal"/>
      <w:start w:val="9"/>
    </w:lvl>
    <w:lvl w:ilvl="1">
      <w:lvlJc w:val="left"/>
      <w:lvlText w:val="%2"/>
      <w:numFmt w:val="decimal"/>
      <w:start w:val="1"/>
    </w:lvl>
  </w:abstractNum>
  <w:abstractNum w:abstractNumId="7">
    <w:nsid w:val="515F007C"/>
    <w:multiLevelType w:val="hybridMultilevel"/>
    <w:lvl w:ilvl="0">
      <w:lvlJc w:val="left"/>
      <w:lvlText w:val="%1."/>
      <w:numFmt w:val="decimal"/>
      <w:start w:val="18"/>
    </w:lvl>
    <w:lvl w:ilvl="1">
      <w:lvlJc w:val="left"/>
      <w:lvlText w:val="%2"/>
      <w:numFmt w:val="decimal"/>
      <w:start w:val="1"/>
    </w:lvl>
  </w:abstractNum>
  <w:abstractNum w:abstractNumId="8">
    <w:nsid w:val="5BD062C2"/>
    <w:multiLevelType w:val="hybridMultilevel"/>
    <w:lvl w:ilvl="0">
      <w:lvlJc w:val="left"/>
      <w:lvlText w:val="%1."/>
      <w:numFmt w:val="decimal"/>
      <w:start w:val="20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2025-08-19T23:16:08Z</dcterms:created>
  <dcterms:modified xsi:type="dcterms:W3CDTF">2025-08-19T23:16:08Z</dcterms:modified>
</cp:coreProperties>
</file>